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color w:val="auto"/>
          <w:sz w:val="36"/>
          <w:szCs w:val="32"/>
        </w:rPr>
      </w:pPr>
      <w:r>
        <w:drawing>
          <wp:inline distT="0" distB="0" distL="114300" distR="114300">
            <wp:extent cx="6085840" cy="8594725"/>
            <wp:effectExtent l="0" t="0" r="10160" b="15875"/>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5"/>
                    <a:srcRect b="959"/>
                    <a:stretch>
                      <a:fillRect/>
                    </a:stretch>
                  </pic:blipFill>
                  <pic:spPr>
                    <a:xfrm>
                      <a:off x="0" y="0"/>
                      <a:ext cx="6085840" cy="8594725"/>
                    </a:xfrm>
                    <a:prstGeom prst="rect">
                      <a:avLst/>
                    </a:prstGeom>
                    <a:noFill/>
                    <a:ln>
                      <a:noFill/>
                    </a:ln>
                  </pic:spPr>
                </pic:pic>
              </a:graphicData>
            </a:graphic>
          </wp:inline>
        </w:drawing>
      </w:r>
      <w:r>
        <w:rPr>
          <w:rFonts w:hint="eastAsia" w:ascii="仿宋_GB2312" w:eastAsia="仿宋_GB2312"/>
          <w:color w:val="auto"/>
          <w:sz w:val="36"/>
          <w:szCs w:val="32"/>
        </w:rPr>
        <w:br w:type="page"/>
      </w:r>
    </w:p>
    <w:p>
      <w:pPr>
        <w:spacing w:line="500" w:lineRule="exact"/>
        <w:jc w:val="center"/>
        <w:rPr>
          <w:rFonts w:ascii="仿宋_GB2312" w:eastAsia="仿宋_GB2312"/>
          <w:color w:val="auto"/>
          <w:sz w:val="36"/>
          <w:szCs w:val="32"/>
        </w:rPr>
      </w:pPr>
      <w:r>
        <w:rPr>
          <w:rFonts w:hint="eastAsia" w:ascii="仿宋_GB2312" w:eastAsia="仿宋_GB2312"/>
          <w:color w:val="auto"/>
          <w:sz w:val="36"/>
          <w:szCs w:val="32"/>
        </w:rPr>
        <w:t>使用说明</w:t>
      </w:r>
    </w:p>
    <w:p>
      <w:pPr>
        <w:spacing w:line="500" w:lineRule="exact"/>
        <w:rPr>
          <w:rFonts w:ascii="仿宋_GB2312" w:eastAsia="仿宋_GB2312"/>
          <w:color w:val="auto"/>
          <w:sz w:val="22"/>
        </w:rPr>
      </w:pPr>
    </w:p>
    <w:p>
      <w:pPr>
        <w:tabs>
          <w:tab w:val="left" w:pos="1080"/>
        </w:tabs>
        <w:autoSpaceDE/>
        <w:autoSpaceDN/>
        <w:adjustRightInd/>
        <w:spacing w:line="500" w:lineRule="exact"/>
        <w:ind w:firstLine="560" w:firstLineChars="200"/>
        <w:jc w:val="left"/>
        <w:rPr>
          <w:rFonts w:ascii="仿宋_GB2312" w:hAnsi="仿宋" w:eastAsia="仿宋_GB2312" w:cs="仿宋"/>
          <w:color w:val="auto"/>
          <w:sz w:val="28"/>
          <w:szCs w:val="28"/>
        </w:rPr>
      </w:pPr>
      <w:r>
        <w:rPr>
          <w:rFonts w:hint="eastAsia" w:ascii="仿宋_GB2312" w:hAnsi="仿宋" w:eastAsia="仿宋_GB2312" w:cs="仿宋"/>
          <w:color w:val="auto"/>
          <w:sz w:val="28"/>
          <w:szCs w:val="28"/>
        </w:rPr>
        <w:t>一、本招标文件范本以《江门市房屋建筑和市政工程施工监理招标文件应用示范文本》（2016.A2版）为基础，结合《建筑市场信用管理暂行办法》（建市〔2017〕241号）、《江门市房屋建筑和市政基础设施工程招标项目信用评价信息应用指引》（江建〔201</w:t>
      </w:r>
      <w:r>
        <w:rPr>
          <w:rFonts w:ascii="仿宋_GB2312" w:hAnsi="仿宋" w:eastAsia="仿宋_GB2312" w:cs="仿宋"/>
          <w:color w:val="auto"/>
          <w:sz w:val="28"/>
          <w:szCs w:val="28"/>
        </w:rPr>
        <w:t>7</w:t>
      </w:r>
      <w:r>
        <w:rPr>
          <w:rFonts w:hint="eastAsia" w:ascii="仿宋_GB2312" w:hAnsi="仿宋" w:eastAsia="仿宋_GB2312" w:cs="仿宋"/>
          <w:color w:val="auto"/>
          <w:sz w:val="28"/>
          <w:szCs w:val="28"/>
        </w:rPr>
        <w:t>〕521号）及本市有关工程招标投标的管理规定进行编制，适用于江门市行政区域内依法必须进行招标的房屋建筑和市政工程（含园林绿化工程）及其配套工程建设项目施工监理招标。</w:t>
      </w:r>
    </w:p>
    <w:p>
      <w:pPr>
        <w:tabs>
          <w:tab w:val="left" w:pos="1080"/>
        </w:tabs>
        <w:spacing w:line="500" w:lineRule="exact"/>
        <w:ind w:firstLine="560" w:firstLineChars="200"/>
        <w:rPr>
          <w:rFonts w:ascii="仿宋_GB2312" w:hAnsi="仿宋" w:eastAsia="仿宋_GB2312" w:cs="仿宋"/>
          <w:color w:val="auto"/>
          <w:sz w:val="28"/>
          <w:szCs w:val="28"/>
        </w:rPr>
      </w:pPr>
      <w:r>
        <w:rPr>
          <w:rFonts w:hint="eastAsia" w:ascii="仿宋_GB2312" w:hAnsi="仿宋" w:eastAsia="仿宋_GB2312" w:cs="仿宋"/>
          <w:color w:val="auto"/>
          <w:sz w:val="28"/>
          <w:szCs w:val="28"/>
        </w:rPr>
        <w:t>二、本范本用相同序号标示的章、节、条、款、项、目，供招标人和投标人选择使用；以空格标示的由招标人填写的内容，招标人应根据招标项目具体特点和实际需要具体化，确实没有需要填写的，在空格中用“/”标示。</w:t>
      </w:r>
    </w:p>
    <w:p>
      <w:pPr>
        <w:spacing w:line="560" w:lineRule="exact"/>
        <w:ind w:firstLine="560" w:firstLineChars="200"/>
        <w:jc w:val="left"/>
        <w:rPr>
          <w:rFonts w:ascii="仿宋_GB2312" w:hAnsi="仿宋" w:eastAsia="仿宋_GB2312" w:cs="仿宋"/>
          <w:color w:val="auto"/>
          <w:sz w:val="28"/>
          <w:szCs w:val="28"/>
        </w:rPr>
      </w:pPr>
      <w:r>
        <w:rPr>
          <w:rFonts w:hint="eastAsia" w:ascii="仿宋_GB2312" w:hAnsi="仿宋" w:eastAsia="仿宋_GB2312" w:cs="仿宋"/>
          <w:color w:val="auto"/>
          <w:sz w:val="28"/>
          <w:szCs w:val="28"/>
        </w:rPr>
        <w:t>三、本范本中，</w:t>
      </w:r>
      <w:r>
        <w:rPr>
          <w:rFonts w:hint="eastAsia" w:ascii="仿宋_GB2312" w:eastAsia="仿宋_GB2312"/>
          <w:color w:val="auto"/>
          <w:sz w:val="32"/>
          <w:szCs w:val="32"/>
        </w:rPr>
        <w:t xml:space="preserve"> </w:t>
      </w:r>
      <w:r>
        <w:rPr>
          <w:rFonts w:hint="eastAsia" w:ascii="仿宋_GB2312" w:hAnsi="仿宋" w:eastAsia="仿宋_GB2312" w:cs="仿宋"/>
          <w:color w:val="auto"/>
          <w:sz w:val="28"/>
          <w:szCs w:val="28"/>
        </w:rPr>
        <w:t>“投标人须知”（投标人须知前附表和其他附表除外）、“评标办法”、“通用合同条款”，原则</w:t>
      </w:r>
      <w:r>
        <w:rPr>
          <w:rFonts w:ascii="仿宋_GB2312" w:hAnsi="仿宋" w:eastAsia="仿宋_GB2312" w:cs="仿宋"/>
          <w:color w:val="auto"/>
          <w:sz w:val="28"/>
          <w:szCs w:val="28"/>
        </w:rPr>
        <w:t>上</w:t>
      </w:r>
      <w:r>
        <w:rPr>
          <w:rFonts w:hint="eastAsia" w:ascii="仿宋_GB2312" w:hAnsi="仿宋" w:eastAsia="仿宋_GB2312" w:cs="仿宋"/>
          <w:color w:val="auto"/>
          <w:sz w:val="28"/>
          <w:szCs w:val="28"/>
        </w:rPr>
        <w:t>应不加修改地直接引用。</w:t>
      </w:r>
    </w:p>
    <w:p>
      <w:pPr>
        <w:spacing w:line="560" w:lineRule="exact"/>
        <w:ind w:firstLine="560" w:firstLineChars="200"/>
        <w:jc w:val="left"/>
        <w:rPr>
          <w:rFonts w:ascii="仿宋_GB2312" w:hAnsi="仿宋" w:eastAsia="仿宋_GB2312" w:cs="仿宋"/>
          <w:color w:val="auto"/>
          <w:sz w:val="28"/>
          <w:szCs w:val="28"/>
        </w:rPr>
      </w:pPr>
      <w:r>
        <w:rPr>
          <w:rFonts w:hint="eastAsia" w:ascii="仿宋_GB2312" w:hAnsi="仿宋" w:eastAsia="仿宋_GB2312" w:cs="仿宋"/>
          <w:color w:val="auto"/>
          <w:sz w:val="28"/>
          <w:szCs w:val="28"/>
        </w:rPr>
        <w:t>以空格标示的由招标人填空的内容、选择性内容和可补充内容，由招标人根据国家和地方有关法律法规的规定以及招标项目具体情况确定。其中，“专用合同条款”补充和细化的内容不得与“通用合同条款”相抵触，否则补充和细化的内容无效。“投标人须知前附表”用于进一步明确“投标人须知”正文中的未尽事宜，招标人应结合招标项目具体特点和实际需要编制和填写，但不得与“投标人须知”正文内容相抵触，否则与正文抵触的内容无效。</w:t>
      </w:r>
    </w:p>
    <w:p>
      <w:pPr>
        <w:spacing w:line="500" w:lineRule="exact"/>
        <w:ind w:firstLine="560" w:firstLineChars="200"/>
        <w:rPr>
          <w:rFonts w:ascii="仿宋_GB2312" w:hAnsi="仿宋" w:eastAsia="仿宋_GB2312"/>
          <w:color w:val="auto"/>
          <w:sz w:val="28"/>
          <w:szCs w:val="28"/>
        </w:rPr>
      </w:pPr>
      <w:r>
        <w:rPr>
          <w:rFonts w:hint="eastAsia" w:ascii="仿宋_GB2312" w:hAnsi="仿宋" w:eastAsia="仿宋_GB2312" w:cs="仿宋"/>
          <w:color w:val="auto"/>
          <w:sz w:val="28"/>
          <w:szCs w:val="28"/>
        </w:rPr>
        <w:t>确实需要修改、删除的内容以及可补充的内容应全部写入《招标文件范本修改补充申报表》（附后），</w:t>
      </w:r>
      <w:r>
        <w:rPr>
          <w:rFonts w:ascii="仿宋_GB2312" w:hAnsi="仿宋" w:eastAsia="仿宋_GB2312" w:cs="仿宋"/>
          <w:color w:val="auto"/>
          <w:sz w:val="28"/>
          <w:szCs w:val="28"/>
        </w:rPr>
        <w:t>并作出说明</w:t>
      </w:r>
      <w:r>
        <w:rPr>
          <w:rFonts w:hint="eastAsia" w:ascii="仿宋_GB2312" w:hAnsi="仿宋" w:eastAsia="仿宋_GB2312" w:cs="仿宋"/>
          <w:color w:val="auto"/>
          <w:sz w:val="28"/>
          <w:szCs w:val="28"/>
        </w:rPr>
        <w:t>。</w:t>
      </w:r>
    </w:p>
    <w:p>
      <w:pPr>
        <w:tabs>
          <w:tab w:val="left" w:pos="1080"/>
        </w:tabs>
        <w:spacing w:line="500" w:lineRule="exact"/>
        <w:ind w:firstLine="560" w:firstLineChars="200"/>
        <w:rPr>
          <w:rFonts w:ascii="仿宋_GB2312" w:hAnsi="仿宋" w:eastAsia="仿宋_GB2312" w:cs="仿宋"/>
          <w:color w:val="auto"/>
          <w:sz w:val="28"/>
          <w:szCs w:val="28"/>
        </w:rPr>
      </w:pPr>
      <w:r>
        <w:rPr>
          <w:rFonts w:hint="eastAsia" w:ascii="仿宋_GB2312" w:hAnsi="仿宋" w:eastAsia="仿宋_GB2312" w:cs="仿宋"/>
          <w:color w:val="auto"/>
          <w:sz w:val="28"/>
          <w:szCs w:val="28"/>
        </w:rPr>
        <w:t>四、招标人应按照本范本的“投标文件否决性条款摘要”的格式，将招标文件中提及的所有否决性条款（投标人不满足其要求即导致其投标被拒绝或被否决的全部条款）予以集中列明。</w:t>
      </w:r>
    </w:p>
    <w:p>
      <w:pPr>
        <w:tabs>
          <w:tab w:val="left" w:pos="1080"/>
        </w:tabs>
        <w:spacing w:line="500" w:lineRule="exact"/>
        <w:ind w:firstLine="560" w:firstLineChars="200"/>
        <w:rPr>
          <w:rFonts w:ascii="仿宋_GB2312" w:hAnsi="仿宋" w:eastAsia="仿宋_GB2312" w:cs="仿宋"/>
          <w:color w:val="auto"/>
          <w:sz w:val="28"/>
          <w:szCs w:val="28"/>
        </w:rPr>
      </w:pPr>
      <w:r>
        <w:rPr>
          <w:rFonts w:hint="eastAsia" w:ascii="仿宋_GB2312" w:hAnsi="仿宋" w:eastAsia="仿宋_GB2312" w:cs="仿宋"/>
          <w:color w:val="auto"/>
          <w:sz w:val="28"/>
          <w:szCs w:val="28"/>
        </w:rPr>
        <w:t>五、招标人按照本范本第一章的格式发布招标公告或发出投标邀请书后，将实际发布的招标公告或实际发出的投标邀请书编入招标文件中，作为投标邀请。其中，招标公告应同时注明发布所在的所有媒介名称。</w:t>
      </w:r>
    </w:p>
    <w:p>
      <w:pPr>
        <w:tabs>
          <w:tab w:val="left" w:pos="1080"/>
        </w:tabs>
        <w:spacing w:line="500" w:lineRule="exact"/>
        <w:ind w:firstLine="560" w:firstLineChars="200"/>
        <w:rPr>
          <w:rFonts w:ascii="仿宋_GB2312" w:hAnsi="仿宋" w:eastAsia="仿宋_GB2312" w:cs="仿宋"/>
          <w:color w:val="auto"/>
          <w:sz w:val="28"/>
          <w:szCs w:val="28"/>
        </w:rPr>
      </w:pPr>
      <w:r>
        <w:rPr>
          <w:rFonts w:hint="eastAsia" w:ascii="仿宋_GB2312" w:hAnsi="仿宋" w:eastAsia="仿宋_GB2312" w:cs="仿宋"/>
          <w:color w:val="auto"/>
          <w:sz w:val="28"/>
          <w:szCs w:val="28"/>
        </w:rPr>
        <w:t xml:space="preserve">六、本范本第五章“评标办法”：“综合评估法”评标方法，供招标人根据招标项目具体特点和实际需要使用。 </w:t>
      </w:r>
    </w:p>
    <w:p>
      <w:pPr>
        <w:tabs>
          <w:tab w:val="left" w:pos="1080"/>
        </w:tabs>
        <w:spacing w:line="500" w:lineRule="exact"/>
        <w:ind w:firstLine="560" w:firstLineChars="200"/>
        <w:rPr>
          <w:rFonts w:ascii="仿宋_GB2312" w:hAnsi="仿宋" w:eastAsia="仿宋_GB2312" w:cs="仿宋"/>
          <w:color w:val="auto"/>
          <w:sz w:val="28"/>
          <w:szCs w:val="28"/>
        </w:rPr>
      </w:pPr>
      <w:r>
        <w:rPr>
          <w:rFonts w:hint="eastAsia" w:ascii="仿宋_GB2312" w:hAnsi="仿宋" w:eastAsia="仿宋_GB2312" w:cs="仿宋"/>
          <w:color w:val="auto"/>
          <w:sz w:val="28"/>
          <w:szCs w:val="28"/>
        </w:rPr>
        <w:t>七、本范本将根据实际执行过程中出现的问题及时进行修改。各使用单位或个人对本范本的修改意见和建议，可向江门市住建局市场管理科反映，联系电话：（0750）3831675。</w:t>
      </w:r>
    </w:p>
    <w:p>
      <w:pPr>
        <w:autoSpaceDE w:val="0"/>
        <w:autoSpaceDN w:val="0"/>
        <w:spacing w:line="360" w:lineRule="auto"/>
        <w:ind w:firstLine="420" w:firstLineChars="200"/>
        <w:rPr>
          <w:rFonts w:ascii="宋体" w:cs="宋体"/>
          <w:color w:val="auto"/>
          <w:kern w:val="0"/>
          <w:szCs w:val="21"/>
        </w:rPr>
      </w:pPr>
    </w:p>
    <w:p>
      <w:pPr>
        <w:autoSpaceDE w:val="0"/>
        <w:autoSpaceDN w:val="0"/>
        <w:adjustRightInd w:val="0"/>
        <w:spacing w:line="200" w:lineRule="exact"/>
        <w:jc w:val="left"/>
        <w:rPr>
          <w:rFonts w:ascii="宋体" w:cs="宋体"/>
          <w:color w:val="auto"/>
          <w:kern w:val="0"/>
          <w:sz w:val="20"/>
          <w:szCs w:val="20"/>
        </w:rPr>
      </w:pPr>
    </w:p>
    <w:p>
      <w:pPr>
        <w:rPr>
          <w:color w:val="auto"/>
        </w:rPr>
      </w:pPr>
    </w:p>
    <w:p>
      <w:pPr>
        <w:spacing w:after="360" w:afterLines="150" w:line="360" w:lineRule="auto"/>
        <w:rPr>
          <w:rFonts w:ascii="宋体" w:hAnsi="宋体"/>
          <w:b/>
          <w:color w:val="auto"/>
          <w:sz w:val="52"/>
          <w:szCs w:val="52"/>
        </w:rPr>
      </w:pPr>
    </w:p>
    <w:p>
      <w:pPr>
        <w:spacing w:after="360" w:afterLines="150" w:line="360" w:lineRule="auto"/>
        <w:rPr>
          <w:rFonts w:ascii="宋体" w:hAnsi="宋体"/>
          <w:b/>
          <w:color w:val="auto"/>
          <w:sz w:val="52"/>
          <w:szCs w:val="52"/>
        </w:rPr>
      </w:pPr>
    </w:p>
    <w:p>
      <w:pPr>
        <w:spacing w:after="360" w:afterLines="150" w:line="360" w:lineRule="auto"/>
        <w:rPr>
          <w:rFonts w:ascii="宋体" w:hAnsi="宋体"/>
          <w:b/>
          <w:color w:val="auto"/>
          <w:sz w:val="52"/>
          <w:szCs w:val="52"/>
        </w:rPr>
      </w:pPr>
    </w:p>
    <w:p>
      <w:pPr>
        <w:spacing w:after="360" w:afterLines="150" w:line="360" w:lineRule="auto"/>
        <w:rPr>
          <w:rFonts w:ascii="宋体" w:hAnsi="宋体"/>
          <w:b/>
          <w:color w:val="auto"/>
          <w:sz w:val="52"/>
          <w:szCs w:val="52"/>
        </w:rPr>
      </w:pPr>
    </w:p>
    <w:p>
      <w:pPr>
        <w:spacing w:after="360" w:afterLines="150" w:line="360" w:lineRule="auto"/>
        <w:rPr>
          <w:rFonts w:ascii="宋体" w:hAnsi="宋体"/>
          <w:b/>
          <w:color w:val="auto"/>
          <w:sz w:val="52"/>
          <w:szCs w:val="52"/>
        </w:rPr>
      </w:pPr>
    </w:p>
    <w:p>
      <w:pPr>
        <w:spacing w:after="360" w:afterLines="150" w:line="360" w:lineRule="auto"/>
        <w:rPr>
          <w:rFonts w:ascii="宋体" w:hAnsi="宋体"/>
          <w:b/>
          <w:color w:val="auto"/>
          <w:sz w:val="28"/>
          <w:szCs w:val="52"/>
        </w:rPr>
        <w:sectPr>
          <w:footerReference r:id="rId3" w:type="default"/>
          <w:pgSz w:w="12240" w:h="15840"/>
          <w:pgMar w:top="1247" w:right="1259" w:bottom="992" w:left="1259" w:header="720" w:footer="720" w:gutter="0"/>
          <w:cols w:space="0" w:num="1"/>
          <w:titlePg/>
        </w:sectPr>
      </w:pPr>
    </w:p>
    <w:p>
      <w:pPr>
        <w:autoSpaceDE w:val="0"/>
        <w:autoSpaceDN w:val="0"/>
        <w:adjustRightInd w:val="0"/>
        <w:spacing w:before="312" w:after="312"/>
        <w:rPr>
          <w:rFonts w:ascii="宋体" w:hAnsi="宋体" w:cs="黑体"/>
          <w:color w:val="auto"/>
          <w:sz w:val="44"/>
          <w:szCs w:val="44"/>
          <w:lang w:val="zh-CN"/>
        </w:rPr>
      </w:pPr>
    </w:p>
    <w:sdt>
      <w:sdtPr>
        <w:rPr>
          <w:rFonts w:hint="eastAsia" w:ascii="黑体" w:hAnsi="黑体" w:eastAsia="黑体" w:cs="黑体"/>
          <w:color w:val="auto"/>
          <w:sz w:val="44"/>
          <w:szCs w:val="44"/>
        </w:rPr>
        <w:id w:val="147466779"/>
        <w15:color w:val="DBDBDB"/>
        <w:docPartObj>
          <w:docPartGallery w:val="Table of Contents"/>
          <w:docPartUnique/>
        </w:docPartObj>
      </w:sdtPr>
      <w:sdtEndPr>
        <w:rPr>
          <w:rFonts w:hint="eastAsia" w:ascii="宋体" w:hAnsi="宋体" w:eastAsia="黑体" w:cs="黑体"/>
          <w:color w:val="auto"/>
          <w:sz w:val="44"/>
          <w:szCs w:val="21"/>
        </w:rPr>
      </w:sdtEndPr>
      <w:sdtContent>
        <w:p>
          <w:pPr>
            <w:jc w:val="center"/>
            <w:rPr>
              <w:rFonts w:ascii="黑体" w:hAnsi="黑体" w:eastAsia="黑体" w:cs="黑体"/>
              <w:color w:val="auto"/>
              <w:sz w:val="44"/>
              <w:szCs w:val="44"/>
            </w:rPr>
          </w:pPr>
          <w:r>
            <w:rPr>
              <w:rFonts w:hint="eastAsia" w:ascii="黑体" w:hAnsi="黑体" w:eastAsia="黑体" w:cs="黑体"/>
              <w:color w:val="auto"/>
              <w:sz w:val="44"/>
              <w:szCs w:val="44"/>
            </w:rPr>
            <w:t>目录</w:t>
          </w:r>
        </w:p>
        <w:p>
          <w:pPr>
            <w:pStyle w:val="50"/>
            <w:tabs>
              <w:tab w:val="right" w:leader="dot" w:pos="9722"/>
            </w:tabs>
            <w:spacing w:line="360" w:lineRule="auto"/>
            <w:rPr>
              <w:color w:val="auto"/>
              <w:sz w:val="28"/>
              <w:szCs w:val="28"/>
            </w:rPr>
          </w:pPr>
          <w:r>
            <w:rPr>
              <w:rFonts w:ascii="宋体" w:hAnsi="宋体"/>
              <w:color w:val="auto"/>
              <w:szCs w:val="21"/>
            </w:rPr>
            <w:fldChar w:fldCharType="begin"/>
          </w:r>
          <w:r>
            <w:rPr>
              <w:rFonts w:ascii="宋体" w:hAnsi="宋体"/>
              <w:color w:val="auto"/>
              <w:szCs w:val="21"/>
            </w:rPr>
            <w:instrText xml:space="preserve">TOC \o "1-1" \h \u </w:instrText>
          </w:r>
          <w:r>
            <w:rPr>
              <w:rFonts w:ascii="宋体" w:hAnsi="宋体"/>
              <w:color w:val="auto"/>
              <w:szCs w:val="21"/>
            </w:rPr>
            <w:fldChar w:fldCharType="separate"/>
          </w:r>
          <w:r>
            <w:rPr>
              <w:color w:val="auto"/>
            </w:rPr>
            <w:fldChar w:fldCharType="begin"/>
          </w:r>
          <w:r>
            <w:rPr>
              <w:color w:val="auto"/>
            </w:rPr>
            <w:instrText xml:space="preserve"> HYPERLINK \l "_Toc16002" </w:instrText>
          </w:r>
          <w:r>
            <w:rPr>
              <w:color w:val="auto"/>
            </w:rPr>
            <w:fldChar w:fldCharType="separate"/>
          </w:r>
          <w:r>
            <w:rPr>
              <w:rFonts w:hint="eastAsia" w:ascii="黑体" w:eastAsia="黑体"/>
              <w:color w:val="auto"/>
              <w:sz w:val="28"/>
              <w:szCs w:val="28"/>
            </w:rPr>
            <w:t>投标文件否决性条款摘要</w:t>
          </w:r>
          <w:r>
            <w:rPr>
              <w:color w:val="auto"/>
              <w:sz w:val="28"/>
              <w:szCs w:val="28"/>
            </w:rPr>
            <w:tab/>
          </w:r>
          <w:r>
            <w:rPr>
              <w:color w:val="auto"/>
              <w:sz w:val="28"/>
              <w:szCs w:val="28"/>
            </w:rPr>
            <w:fldChar w:fldCharType="begin"/>
          </w:r>
          <w:r>
            <w:rPr>
              <w:color w:val="auto"/>
              <w:sz w:val="28"/>
              <w:szCs w:val="28"/>
            </w:rPr>
            <w:instrText xml:space="preserve"> PAGEREF _Toc16002 \h </w:instrText>
          </w:r>
          <w:r>
            <w:rPr>
              <w:color w:val="auto"/>
              <w:sz w:val="28"/>
              <w:szCs w:val="28"/>
            </w:rPr>
            <w:fldChar w:fldCharType="separate"/>
          </w:r>
          <w:r>
            <w:rPr>
              <w:color w:val="auto"/>
              <w:sz w:val="28"/>
              <w:szCs w:val="28"/>
            </w:rPr>
            <w:t>2</w:t>
          </w:r>
          <w:r>
            <w:rPr>
              <w:color w:val="auto"/>
              <w:sz w:val="28"/>
              <w:szCs w:val="28"/>
            </w:rPr>
            <w:fldChar w:fldCharType="end"/>
          </w:r>
          <w:r>
            <w:rPr>
              <w:color w:val="auto"/>
              <w:sz w:val="28"/>
              <w:szCs w:val="28"/>
            </w:rPr>
            <w:fldChar w:fldCharType="end"/>
          </w:r>
        </w:p>
        <w:p>
          <w:pPr>
            <w:pStyle w:val="50"/>
            <w:tabs>
              <w:tab w:val="right" w:leader="dot" w:pos="9722"/>
            </w:tabs>
            <w:spacing w:line="360" w:lineRule="auto"/>
            <w:rPr>
              <w:color w:val="auto"/>
              <w:sz w:val="28"/>
              <w:szCs w:val="28"/>
            </w:rPr>
          </w:pPr>
          <w:r>
            <w:rPr>
              <w:color w:val="auto"/>
            </w:rPr>
            <w:fldChar w:fldCharType="begin"/>
          </w:r>
          <w:r>
            <w:rPr>
              <w:color w:val="auto"/>
            </w:rPr>
            <w:instrText xml:space="preserve"> HYPERLINK \l "_Toc4179" </w:instrText>
          </w:r>
          <w:r>
            <w:rPr>
              <w:color w:val="auto"/>
            </w:rPr>
            <w:fldChar w:fldCharType="separate"/>
          </w:r>
          <w:r>
            <w:rPr>
              <w:rFonts w:hint="eastAsia" w:ascii="宋体" w:hAnsi="宋体" w:cs="黑体"/>
              <w:color w:val="auto"/>
              <w:kern w:val="24"/>
              <w:sz w:val="28"/>
              <w:szCs w:val="28"/>
              <w:lang w:val="zh-CN"/>
            </w:rPr>
            <w:t>第一章</w:t>
          </w:r>
          <w:r>
            <w:rPr>
              <w:rFonts w:ascii="宋体" w:hAnsi="宋体" w:cs="黑体"/>
              <w:color w:val="auto"/>
              <w:kern w:val="24"/>
              <w:sz w:val="28"/>
              <w:szCs w:val="28"/>
              <w:lang w:val="zh-CN"/>
            </w:rPr>
            <w:t xml:space="preserve"> </w:t>
          </w:r>
          <w:r>
            <w:rPr>
              <w:rFonts w:hint="eastAsia" w:ascii="宋体" w:hAnsi="宋体" w:cs="黑体"/>
              <w:color w:val="auto"/>
              <w:kern w:val="24"/>
              <w:sz w:val="28"/>
              <w:szCs w:val="28"/>
              <w:lang w:val="zh-CN"/>
            </w:rPr>
            <w:t>招标公告</w:t>
          </w:r>
          <w:r>
            <w:rPr>
              <w:color w:val="auto"/>
              <w:sz w:val="28"/>
              <w:szCs w:val="28"/>
            </w:rPr>
            <w:tab/>
          </w:r>
          <w:r>
            <w:rPr>
              <w:color w:val="auto"/>
              <w:sz w:val="28"/>
              <w:szCs w:val="28"/>
            </w:rPr>
            <w:fldChar w:fldCharType="begin"/>
          </w:r>
          <w:r>
            <w:rPr>
              <w:color w:val="auto"/>
              <w:sz w:val="28"/>
              <w:szCs w:val="28"/>
            </w:rPr>
            <w:instrText xml:space="preserve"> PAGEREF _Toc4179 \h </w:instrText>
          </w:r>
          <w:r>
            <w:rPr>
              <w:color w:val="auto"/>
              <w:sz w:val="28"/>
              <w:szCs w:val="28"/>
            </w:rPr>
            <w:fldChar w:fldCharType="separate"/>
          </w:r>
          <w:r>
            <w:rPr>
              <w:color w:val="auto"/>
              <w:sz w:val="28"/>
              <w:szCs w:val="28"/>
            </w:rPr>
            <w:t>4</w:t>
          </w:r>
          <w:r>
            <w:rPr>
              <w:color w:val="auto"/>
              <w:sz w:val="28"/>
              <w:szCs w:val="28"/>
            </w:rPr>
            <w:fldChar w:fldCharType="end"/>
          </w:r>
          <w:r>
            <w:rPr>
              <w:color w:val="auto"/>
              <w:sz w:val="28"/>
              <w:szCs w:val="28"/>
            </w:rPr>
            <w:fldChar w:fldCharType="end"/>
          </w:r>
        </w:p>
        <w:p>
          <w:pPr>
            <w:pStyle w:val="50"/>
            <w:tabs>
              <w:tab w:val="right" w:leader="dot" w:pos="9722"/>
            </w:tabs>
            <w:spacing w:line="360" w:lineRule="auto"/>
            <w:rPr>
              <w:color w:val="auto"/>
              <w:sz w:val="28"/>
              <w:szCs w:val="28"/>
            </w:rPr>
          </w:pPr>
          <w:r>
            <w:rPr>
              <w:color w:val="auto"/>
            </w:rPr>
            <w:fldChar w:fldCharType="begin"/>
          </w:r>
          <w:r>
            <w:rPr>
              <w:color w:val="auto"/>
            </w:rPr>
            <w:instrText xml:space="preserve"> HYPERLINK \l "_Toc7151" </w:instrText>
          </w:r>
          <w:r>
            <w:rPr>
              <w:color w:val="auto"/>
            </w:rPr>
            <w:fldChar w:fldCharType="separate"/>
          </w:r>
          <w:r>
            <w:rPr>
              <w:rFonts w:hint="eastAsia" w:ascii="宋体" w:hAnsi="宋体" w:cs="黑体"/>
              <w:color w:val="auto"/>
              <w:sz w:val="28"/>
              <w:szCs w:val="28"/>
              <w:lang w:val="zh-CN"/>
            </w:rPr>
            <w:t>第二章</w:t>
          </w:r>
          <w:r>
            <w:rPr>
              <w:rFonts w:ascii="宋体" w:hAnsi="宋体" w:cs="黑体"/>
              <w:color w:val="auto"/>
              <w:sz w:val="28"/>
              <w:szCs w:val="28"/>
              <w:lang w:val="zh-CN"/>
            </w:rPr>
            <w:t xml:space="preserve"> </w:t>
          </w:r>
          <w:r>
            <w:rPr>
              <w:rFonts w:hint="eastAsia" w:ascii="宋体" w:hAnsi="宋体" w:cs="黑体"/>
              <w:color w:val="auto"/>
              <w:kern w:val="24"/>
              <w:sz w:val="28"/>
              <w:szCs w:val="28"/>
              <w:lang w:val="zh-CN"/>
            </w:rPr>
            <w:t>投标人须知及前附表</w:t>
          </w:r>
          <w:r>
            <w:rPr>
              <w:color w:val="auto"/>
              <w:sz w:val="28"/>
              <w:szCs w:val="28"/>
            </w:rPr>
            <w:tab/>
          </w:r>
          <w:r>
            <w:rPr>
              <w:color w:val="auto"/>
              <w:sz w:val="28"/>
              <w:szCs w:val="28"/>
            </w:rPr>
            <w:fldChar w:fldCharType="begin"/>
          </w:r>
          <w:r>
            <w:rPr>
              <w:color w:val="auto"/>
              <w:sz w:val="28"/>
              <w:szCs w:val="28"/>
            </w:rPr>
            <w:instrText xml:space="preserve"> PAGEREF _Toc7151 \h </w:instrText>
          </w:r>
          <w:r>
            <w:rPr>
              <w:color w:val="auto"/>
              <w:sz w:val="28"/>
              <w:szCs w:val="28"/>
            </w:rPr>
            <w:fldChar w:fldCharType="separate"/>
          </w:r>
          <w:r>
            <w:rPr>
              <w:color w:val="auto"/>
              <w:sz w:val="28"/>
              <w:szCs w:val="28"/>
            </w:rPr>
            <w:t>7</w:t>
          </w:r>
          <w:r>
            <w:rPr>
              <w:color w:val="auto"/>
              <w:sz w:val="28"/>
              <w:szCs w:val="28"/>
            </w:rPr>
            <w:fldChar w:fldCharType="end"/>
          </w:r>
          <w:r>
            <w:rPr>
              <w:color w:val="auto"/>
              <w:sz w:val="28"/>
              <w:szCs w:val="28"/>
            </w:rPr>
            <w:fldChar w:fldCharType="end"/>
          </w:r>
        </w:p>
        <w:p>
          <w:pPr>
            <w:pStyle w:val="50"/>
            <w:tabs>
              <w:tab w:val="right" w:leader="dot" w:pos="9722"/>
            </w:tabs>
            <w:spacing w:line="360" w:lineRule="auto"/>
            <w:rPr>
              <w:color w:val="auto"/>
              <w:sz w:val="28"/>
              <w:szCs w:val="28"/>
            </w:rPr>
          </w:pPr>
          <w:r>
            <w:rPr>
              <w:color w:val="auto"/>
            </w:rPr>
            <w:fldChar w:fldCharType="begin"/>
          </w:r>
          <w:r>
            <w:rPr>
              <w:color w:val="auto"/>
            </w:rPr>
            <w:instrText xml:space="preserve"> HYPERLINK \l "_Toc23136" </w:instrText>
          </w:r>
          <w:r>
            <w:rPr>
              <w:color w:val="auto"/>
            </w:rPr>
            <w:fldChar w:fldCharType="separate"/>
          </w:r>
          <w:r>
            <w:rPr>
              <w:rFonts w:hint="eastAsia" w:ascii="宋体" w:hAnsi="宋体" w:cs="黑体"/>
              <w:color w:val="auto"/>
              <w:kern w:val="24"/>
              <w:sz w:val="28"/>
              <w:szCs w:val="28"/>
              <w:lang w:val="zh-CN"/>
            </w:rPr>
            <w:t>第三章</w:t>
          </w:r>
          <w:r>
            <w:rPr>
              <w:rFonts w:ascii="宋体" w:hAnsi="宋体" w:cs="黑体"/>
              <w:color w:val="auto"/>
              <w:kern w:val="24"/>
              <w:sz w:val="28"/>
              <w:szCs w:val="28"/>
              <w:lang w:val="zh-CN"/>
            </w:rPr>
            <w:t xml:space="preserve"> </w:t>
          </w:r>
          <w:r>
            <w:rPr>
              <w:rFonts w:hint="eastAsia" w:ascii="宋体" w:hAnsi="宋体" w:cs="黑体"/>
              <w:color w:val="auto"/>
              <w:kern w:val="24"/>
              <w:sz w:val="28"/>
              <w:szCs w:val="28"/>
              <w:lang w:val="zh-CN"/>
            </w:rPr>
            <w:t>监理合同</w:t>
          </w:r>
          <w:r>
            <w:rPr>
              <w:color w:val="auto"/>
              <w:sz w:val="28"/>
              <w:szCs w:val="28"/>
            </w:rPr>
            <w:tab/>
          </w:r>
          <w:r>
            <w:rPr>
              <w:color w:val="auto"/>
              <w:sz w:val="28"/>
              <w:szCs w:val="28"/>
            </w:rPr>
            <w:fldChar w:fldCharType="begin"/>
          </w:r>
          <w:r>
            <w:rPr>
              <w:color w:val="auto"/>
              <w:sz w:val="28"/>
              <w:szCs w:val="28"/>
            </w:rPr>
            <w:instrText xml:space="preserve"> PAGEREF _Toc23136 \h </w:instrText>
          </w:r>
          <w:r>
            <w:rPr>
              <w:color w:val="auto"/>
              <w:sz w:val="28"/>
              <w:szCs w:val="28"/>
            </w:rPr>
            <w:fldChar w:fldCharType="separate"/>
          </w:r>
          <w:r>
            <w:rPr>
              <w:color w:val="auto"/>
              <w:sz w:val="28"/>
              <w:szCs w:val="28"/>
            </w:rPr>
            <w:t>23</w:t>
          </w:r>
          <w:r>
            <w:rPr>
              <w:color w:val="auto"/>
              <w:sz w:val="28"/>
              <w:szCs w:val="28"/>
            </w:rPr>
            <w:fldChar w:fldCharType="end"/>
          </w:r>
          <w:r>
            <w:rPr>
              <w:color w:val="auto"/>
              <w:sz w:val="28"/>
              <w:szCs w:val="28"/>
            </w:rPr>
            <w:fldChar w:fldCharType="end"/>
          </w:r>
        </w:p>
        <w:p>
          <w:pPr>
            <w:pStyle w:val="50"/>
            <w:tabs>
              <w:tab w:val="right" w:leader="dot" w:pos="9722"/>
            </w:tabs>
            <w:spacing w:line="360" w:lineRule="auto"/>
            <w:rPr>
              <w:color w:val="auto"/>
              <w:sz w:val="28"/>
              <w:szCs w:val="28"/>
            </w:rPr>
          </w:pPr>
          <w:r>
            <w:rPr>
              <w:color w:val="auto"/>
            </w:rPr>
            <w:fldChar w:fldCharType="begin"/>
          </w:r>
          <w:r>
            <w:rPr>
              <w:color w:val="auto"/>
            </w:rPr>
            <w:instrText xml:space="preserve"> HYPERLINK \l "_Toc3565" </w:instrText>
          </w:r>
          <w:r>
            <w:rPr>
              <w:color w:val="auto"/>
            </w:rPr>
            <w:fldChar w:fldCharType="separate"/>
          </w:r>
          <w:r>
            <w:rPr>
              <w:rFonts w:hint="eastAsia" w:ascii="宋体" w:hAnsi="宋体" w:cs="黑体"/>
              <w:color w:val="auto"/>
              <w:sz w:val="28"/>
              <w:szCs w:val="28"/>
              <w:lang w:val="zh-CN"/>
            </w:rPr>
            <w:t>第四章</w:t>
          </w:r>
          <w:r>
            <w:rPr>
              <w:rFonts w:ascii="宋体" w:hAnsi="宋体" w:cs="黑体"/>
              <w:color w:val="auto"/>
              <w:sz w:val="28"/>
              <w:szCs w:val="28"/>
              <w:lang w:val="zh-CN"/>
            </w:rPr>
            <w:t xml:space="preserve"> </w:t>
          </w:r>
          <w:r>
            <w:rPr>
              <w:rFonts w:hint="eastAsia" w:ascii="宋体" w:hAnsi="宋体" w:cs="黑体"/>
              <w:color w:val="auto"/>
              <w:sz w:val="28"/>
              <w:szCs w:val="28"/>
              <w:lang w:val="zh-CN"/>
            </w:rPr>
            <w:t>投标文件格式</w:t>
          </w:r>
          <w:r>
            <w:rPr>
              <w:color w:val="auto"/>
              <w:sz w:val="28"/>
              <w:szCs w:val="28"/>
            </w:rPr>
            <w:tab/>
          </w:r>
          <w:r>
            <w:rPr>
              <w:color w:val="auto"/>
              <w:sz w:val="28"/>
              <w:szCs w:val="28"/>
            </w:rPr>
            <w:fldChar w:fldCharType="begin"/>
          </w:r>
          <w:r>
            <w:rPr>
              <w:color w:val="auto"/>
              <w:sz w:val="28"/>
              <w:szCs w:val="28"/>
            </w:rPr>
            <w:instrText xml:space="preserve"> PAGEREF _Toc3565 \h </w:instrText>
          </w:r>
          <w:r>
            <w:rPr>
              <w:color w:val="auto"/>
              <w:sz w:val="28"/>
              <w:szCs w:val="28"/>
            </w:rPr>
            <w:fldChar w:fldCharType="separate"/>
          </w:r>
          <w:r>
            <w:rPr>
              <w:color w:val="auto"/>
              <w:sz w:val="28"/>
              <w:szCs w:val="28"/>
            </w:rPr>
            <w:t>95</w:t>
          </w:r>
          <w:r>
            <w:rPr>
              <w:color w:val="auto"/>
              <w:sz w:val="28"/>
              <w:szCs w:val="28"/>
            </w:rPr>
            <w:fldChar w:fldCharType="end"/>
          </w:r>
          <w:r>
            <w:rPr>
              <w:color w:val="auto"/>
              <w:sz w:val="28"/>
              <w:szCs w:val="28"/>
            </w:rPr>
            <w:fldChar w:fldCharType="end"/>
          </w:r>
        </w:p>
        <w:p>
          <w:pPr>
            <w:pStyle w:val="50"/>
            <w:tabs>
              <w:tab w:val="right" w:leader="dot" w:pos="9722"/>
            </w:tabs>
            <w:spacing w:line="360" w:lineRule="auto"/>
            <w:rPr>
              <w:color w:val="auto"/>
            </w:rPr>
          </w:pPr>
          <w:r>
            <w:rPr>
              <w:color w:val="auto"/>
            </w:rPr>
            <w:fldChar w:fldCharType="begin"/>
          </w:r>
          <w:r>
            <w:rPr>
              <w:color w:val="auto"/>
            </w:rPr>
            <w:instrText xml:space="preserve"> HYPERLINK \l "_Toc11923" </w:instrText>
          </w:r>
          <w:r>
            <w:rPr>
              <w:color w:val="auto"/>
            </w:rPr>
            <w:fldChar w:fldCharType="separate"/>
          </w:r>
          <w:r>
            <w:rPr>
              <w:rFonts w:hint="eastAsia" w:ascii="宋体" w:hAnsi="宋体" w:cs="黑体"/>
              <w:color w:val="auto"/>
              <w:sz w:val="28"/>
              <w:szCs w:val="28"/>
              <w:lang w:val="zh-CN"/>
            </w:rPr>
            <w:t>第五章</w:t>
          </w:r>
          <w:r>
            <w:rPr>
              <w:rFonts w:ascii="宋体" w:hAnsi="宋体" w:cs="黑体"/>
              <w:color w:val="auto"/>
              <w:sz w:val="28"/>
              <w:szCs w:val="28"/>
              <w:lang w:val="zh-CN"/>
            </w:rPr>
            <w:t xml:space="preserve"> </w:t>
          </w:r>
          <w:r>
            <w:rPr>
              <w:rFonts w:hint="eastAsia" w:ascii="宋体" w:hAnsi="宋体" w:cs="黑体"/>
              <w:color w:val="auto"/>
              <w:sz w:val="28"/>
              <w:szCs w:val="28"/>
              <w:lang w:val="zh-CN"/>
            </w:rPr>
            <w:t>评标办法（综合评估法）</w:t>
          </w:r>
          <w:r>
            <w:rPr>
              <w:color w:val="auto"/>
              <w:sz w:val="28"/>
              <w:szCs w:val="28"/>
            </w:rPr>
            <w:tab/>
          </w:r>
          <w:r>
            <w:rPr>
              <w:color w:val="auto"/>
              <w:sz w:val="28"/>
              <w:szCs w:val="28"/>
            </w:rPr>
            <w:fldChar w:fldCharType="begin"/>
          </w:r>
          <w:r>
            <w:rPr>
              <w:color w:val="auto"/>
              <w:sz w:val="28"/>
              <w:szCs w:val="28"/>
            </w:rPr>
            <w:instrText xml:space="preserve"> PAGEREF _Toc11923 \h </w:instrText>
          </w:r>
          <w:r>
            <w:rPr>
              <w:color w:val="auto"/>
              <w:sz w:val="28"/>
              <w:szCs w:val="28"/>
            </w:rPr>
            <w:fldChar w:fldCharType="separate"/>
          </w:r>
          <w:r>
            <w:rPr>
              <w:color w:val="auto"/>
              <w:sz w:val="28"/>
              <w:szCs w:val="28"/>
            </w:rPr>
            <w:t>119</w:t>
          </w:r>
          <w:r>
            <w:rPr>
              <w:color w:val="auto"/>
              <w:sz w:val="28"/>
              <w:szCs w:val="28"/>
            </w:rPr>
            <w:fldChar w:fldCharType="end"/>
          </w:r>
          <w:r>
            <w:rPr>
              <w:color w:val="auto"/>
              <w:sz w:val="28"/>
              <w:szCs w:val="28"/>
            </w:rPr>
            <w:fldChar w:fldCharType="end"/>
          </w:r>
        </w:p>
        <w:p>
          <w:pPr>
            <w:autoSpaceDE w:val="0"/>
            <w:autoSpaceDN w:val="0"/>
            <w:adjustRightInd w:val="0"/>
            <w:rPr>
              <w:rFonts w:ascii="宋体" w:hAnsi="宋体"/>
              <w:color w:val="auto"/>
              <w:szCs w:val="21"/>
            </w:rPr>
          </w:pPr>
          <w:r>
            <w:rPr>
              <w:rFonts w:ascii="宋体" w:hAnsi="宋体"/>
              <w:color w:val="auto"/>
              <w:szCs w:val="21"/>
            </w:rPr>
            <w:fldChar w:fldCharType="end"/>
          </w:r>
        </w:p>
      </w:sdtContent>
    </w:sdt>
    <w:p>
      <w:pPr>
        <w:autoSpaceDE w:val="0"/>
        <w:autoSpaceDN w:val="0"/>
        <w:adjustRightInd w:val="0"/>
        <w:rPr>
          <w:rFonts w:ascii="宋体" w:hAnsi="宋体"/>
          <w:color w:val="auto"/>
          <w:sz w:val="44"/>
          <w:szCs w:val="44"/>
        </w:rPr>
      </w:pPr>
    </w:p>
    <w:p>
      <w:pPr>
        <w:autoSpaceDE w:val="0"/>
        <w:autoSpaceDN w:val="0"/>
        <w:adjustRightInd w:val="0"/>
        <w:rPr>
          <w:rFonts w:ascii="宋体" w:hAnsi="宋体"/>
          <w:color w:val="auto"/>
          <w:sz w:val="44"/>
          <w:szCs w:val="44"/>
        </w:rPr>
      </w:pPr>
    </w:p>
    <w:p>
      <w:pPr>
        <w:autoSpaceDE w:val="0"/>
        <w:autoSpaceDN w:val="0"/>
        <w:adjustRightInd w:val="0"/>
        <w:rPr>
          <w:rFonts w:ascii="宋体" w:hAnsi="宋体"/>
          <w:color w:val="auto"/>
          <w:sz w:val="44"/>
          <w:szCs w:val="44"/>
        </w:rPr>
      </w:pPr>
    </w:p>
    <w:p>
      <w:pPr>
        <w:autoSpaceDE w:val="0"/>
        <w:autoSpaceDN w:val="0"/>
        <w:adjustRightInd w:val="0"/>
        <w:rPr>
          <w:rFonts w:ascii="宋体" w:hAnsi="宋体"/>
          <w:color w:val="auto"/>
          <w:sz w:val="44"/>
          <w:szCs w:val="44"/>
        </w:rPr>
      </w:pPr>
    </w:p>
    <w:p>
      <w:pPr>
        <w:autoSpaceDE w:val="0"/>
        <w:autoSpaceDN w:val="0"/>
        <w:adjustRightInd w:val="0"/>
        <w:rPr>
          <w:rFonts w:ascii="宋体" w:hAnsi="宋体"/>
          <w:color w:val="auto"/>
          <w:sz w:val="44"/>
          <w:szCs w:val="44"/>
        </w:rPr>
      </w:pPr>
    </w:p>
    <w:p>
      <w:pPr>
        <w:autoSpaceDE w:val="0"/>
        <w:autoSpaceDN w:val="0"/>
        <w:adjustRightInd w:val="0"/>
        <w:rPr>
          <w:rFonts w:ascii="宋体" w:hAnsi="宋体"/>
          <w:color w:val="auto"/>
          <w:sz w:val="44"/>
          <w:szCs w:val="44"/>
        </w:rPr>
      </w:pPr>
    </w:p>
    <w:p>
      <w:pPr>
        <w:autoSpaceDE w:val="0"/>
        <w:autoSpaceDN w:val="0"/>
        <w:adjustRightInd w:val="0"/>
        <w:ind w:firstLine="440"/>
        <w:rPr>
          <w:rFonts w:ascii="宋体" w:hAnsi="宋体"/>
          <w:color w:val="auto"/>
          <w:sz w:val="44"/>
          <w:szCs w:val="44"/>
        </w:rPr>
      </w:pPr>
    </w:p>
    <w:p>
      <w:pPr>
        <w:autoSpaceDE w:val="0"/>
        <w:autoSpaceDN w:val="0"/>
        <w:adjustRightInd w:val="0"/>
        <w:spacing w:line="480" w:lineRule="auto"/>
        <w:rPr>
          <w:rFonts w:ascii="宋体" w:hAnsi="宋体"/>
          <w:color w:val="auto"/>
          <w:sz w:val="44"/>
          <w:szCs w:val="44"/>
        </w:rPr>
      </w:pPr>
    </w:p>
    <w:p>
      <w:pPr>
        <w:autoSpaceDE w:val="0"/>
        <w:autoSpaceDN w:val="0"/>
        <w:adjustRightInd w:val="0"/>
        <w:spacing w:line="480" w:lineRule="auto"/>
        <w:rPr>
          <w:rFonts w:ascii="宋体" w:hAnsi="宋体"/>
          <w:color w:val="auto"/>
          <w:sz w:val="44"/>
          <w:szCs w:val="44"/>
        </w:rPr>
      </w:pPr>
    </w:p>
    <w:p>
      <w:pPr>
        <w:autoSpaceDE w:val="0"/>
        <w:autoSpaceDN w:val="0"/>
        <w:adjustRightInd w:val="0"/>
        <w:spacing w:line="480" w:lineRule="auto"/>
        <w:rPr>
          <w:rFonts w:ascii="宋体" w:hAnsi="宋体"/>
          <w:color w:val="auto"/>
          <w:sz w:val="44"/>
          <w:szCs w:val="44"/>
        </w:rPr>
      </w:pPr>
    </w:p>
    <w:p>
      <w:pPr>
        <w:autoSpaceDE w:val="0"/>
        <w:autoSpaceDN w:val="0"/>
        <w:adjustRightInd w:val="0"/>
        <w:spacing w:line="480" w:lineRule="auto"/>
        <w:rPr>
          <w:rFonts w:ascii="宋体" w:hAnsi="宋体"/>
          <w:color w:val="auto"/>
          <w:sz w:val="44"/>
          <w:szCs w:val="44"/>
        </w:rPr>
      </w:pPr>
    </w:p>
    <w:p>
      <w:pPr>
        <w:pStyle w:val="3"/>
        <w:jc w:val="center"/>
        <w:rPr>
          <w:rFonts w:ascii="黑体" w:eastAsia="黑体"/>
          <w:color w:val="auto"/>
          <w:sz w:val="32"/>
        </w:rPr>
      </w:pPr>
      <w:bookmarkStart w:id="0" w:name="_Toc16002"/>
      <w:bookmarkStart w:id="1" w:name="_Toc437960957"/>
      <w:bookmarkStart w:id="2" w:name="_Toc357586305"/>
      <w:r>
        <w:rPr>
          <w:rFonts w:hint="eastAsia" w:ascii="黑体" w:eastAsia="黑体"/>
          <w:color w:val="auto"/>
          <w:sz w:val="32"/>
        </w:rPr>
        <w:t>投标文件否决性条款摘要</w:t>
      </w:r>
      <w:bookmarkEnd w:id="0"/>
      <w:bookmarkEnd w:id="1"/>
      <w:bookmarkEnd w:id="2"/>
    </w:p>
    <w:p>
      <w:pPr>
        <w:spacing w:line="400" w:lineRule="exact"/>
        <w:ind w:right="-197" w:firstLine="482" w:firstLineChars="200"/>
        <w:rPr>
          <w:rFonts w:ascii="宋体"/>
          <w:b/>
          <w:color w:val="auto"/>
          <w:sz w:val="24"/>
        </w:rPr>
      </w:pPr>
      <w:r>
        <w:rPr>
          <w:rFonts w:hint="eastAsia" w:ascii="宋体" w:hAnsi="宋体"/>
          <w:b/>
          <w:color w:val="auto"/>
          <w:sz w:val="24"/>
        </w:rPr>
        <w:t>重要提示：</w:t>
      </w:r>
      <w:r>
        <w:rPr>
          <w:rFonts w:hint="eastAsia" w:ascii="宋体" w:hAnsi="宋体"/>
          <w:color w:val="auto"/>
          <w:sz w:val="24"/>
        </w:rPr>
        <w:t>本摘要是本招标文件</w:t>
      </w:r>
      <w:r>
        <w:rPr>
          <w:rFonts w:ascii="宋体" w:hAnsi="宋体"/>
          <w:color w:val="auto"/>
          <w:sz w:val="24"/>
        </w:rPr>
        <w:t>(</w:t>
      </w:r>
      <w:r>
        <w:rPr>
          <w:rFonts w:hint="eastAsia" w:ascii="宋体" w:hAnsi="宋体"/>
          <w:color w:val="auto"/>
          <w:sz w:val="24"/>
        </w:rPr>
        <w:t>含招标文件的澄清、修改、补充文件等</w:t>
      </w:r>
      <w:r>
        <w:rPr>
          <w:rFonts w:ascii="宋体" w:hAnsi="宋体"/>
          <w:color w:val="auto"/>
          <w:sz w:val="24"/>
        </w:rPr>
        <w:t>)</w:t>
      </w:r>
      <w:r>
        <w:rPr>
          <w:rFonts w:hint="eastAsia" w:ascii="宋体" w:hAnsi="宋体"/>
          <w:color w:val="auto"/>
          <w:sz w:val="24"/>
        </w:rPr>
        <w:t>中涉及的所有否决性条款的集中列示，包括：招标文件规定的在开标会上当场宣布投标文件不予受理或为无效投标的情形，初步评审、详细评审阶段发现重大偏差的情形。</w:t>
      </w:r>
      <w:r>
        <w:rPr>
          <w:rFonts w:hint="eastAsia" w:ascii="宋体" w:hAnsi="宋体"/>
          <w:b/>
          <w:color w:val="auto"/>
          <w:sz w:val="24"/>
        </w:rPr>
        <w:t>除出现本摘要集中列示的否决性条款规定的情形以外，投标文件出现的其他任何情形均不得作否决处理。招标文件中有关否决性条款的阐述与本摘要所列内容不一致的，以本摘要列示的内容为准</w:t>
      </w:r>
      <w:r>
        <w:rPr>
          <w:rFonts w:hint="eastAsia" w:ascii="宋体" w:hAnsi="宋体"/>
          <w:color w:val="auto"/>
          <w:sz w:val="24"/>
        </w:rPr>
        <w:t>。</w:t>
      </w:r>
    </w:p>
    <w:p>
      <w:pPr>
        <w:spacing w:line="400" w:lineRule="exact"/>
        <w:ind w:right="-197" w:firstLine="480" w:firstLineChars="200"/>
        <w:rPr>
          <w:rFonts w:ascii="宋体"/>
          <w:color w:val="auto"/>
          <w:sz w:val="24"/>
        </w:rPr>
      </w:pPr>
      <w:r>
        <w:rPr>
          <w:rFonts w:hint="eastAsia" w:ascii="宋体" w:hAnsi="宋体"/>
          <w:color w:val="auto"/>
          <w:sz w:val="24"/>
        </w:rPr>
        <w:t>如招标人通过招标文件的澄清、修改、补充文件予以增加否决性条款的，招标人应当重新编写本摘要内容，将新增否决性条款列入本摘要，并发布新的完整的《投标文件否决性条款摘要》。否则，增加的否决性条款无效。</w:t>
      </w:r>
    </w:p>
    <w:p>
      <w:pPr>
        <w:spacing w:line="400" w:lineRule="exact"/>
        <w:ind w:right="-197" w:firstLine="480" w:firstLineChars="200"/>
        <w:rPr>
          <w:rFonts w:ascii="宋体"/>
          <w:color w:val="auto"/>
          <w:sz w:val="24"/>
        </w:rPr>
      </w:pPr>
      <w:r>
        <w:rPr>
          <w:rFonts w:hint="eastAsia" w:ascii="宋体" w:hAnsi="宋体"/>
          <w:color w:val="auto"/>
          <w:sz w:val="24"/>
        </w:rPr>
        <w:t>评标委员会应将在初步评审阶段和详细评审阶段发现的投标文件中的重大偏差情况列入评标报告中的“否决投标情况说明”，对该投标文件作否决处理。</w:t>
      </w:r>
    </w:p>
    <w:p>
      <w:pPr>
        <w:spacing w:line="400" w:lineRule="exact"/>
        <w:ind w:right="-197" w:firstLine="482" w:firstLineChars="200"/>
        <w:rPr>
          <w:rFonts w:ascii="宋体" w:hAnsi="宋体"/>
          <w:b/>
          <w:color w:val="auto"/>
          <w:sz w:val="24"/>
        </w:rPr>
      </w:pPr>
      <w:r>
        <w:rPr>
          <w:rFonts w:hint="eastAsia" w:ascii="宋体" w:hAnsi="宋体"/>
          <w:b/>
          <w:color w:val="auto"/>
          <w:sz w:val="24"/>
        </w:rPr>
        <w:t>一、在开标会上，判定投标文件不予受理或为无效投标的情形（由招标人负责判定）：</w:t>
      </w:r>
      <w:r>
        <w:rPr>
          <w:rFonts w:ascii="宋体" w:hAnsi="宋体"/>
          <w:b/>
          <w:color w:val="auto"/>
          <w:sz w:val="24"/>
        </w:rPr>
        <w:t xml:space="preserve"> </w:t>
      </w:r>
    </w:p>
    <w:p>
      <w:pPr>
        <w:spacing w:line="400" w:lineRule="exact"/>
        <w:ind w:right="-197" w:firstLine="480" w:firstLineChars="200"/>
        <w:rPr>
          <w:rFonts w:ascii="宋体"/>
          <w:color w:val="auto"/>
          <w:sz w:val="24"/>
        </w:rPr>
      </w:pPr>
      <w:r>
        <w:rPr>
          <w:rFonts w:hint="eastAsia" w:ascii="宋体" w:hAnsi="宋体"/>
          <w:color w:val="auto"/>
          <w:sz w:val="24"/>
        </w:rPr>
        <w:t>（一）判定投标文件不予受理的情形：</w:t>
      </w:r>
    </w:p>
    <w:p>
      <w:pPr>
        <w:tabs>
          <w:tab w:val="left" w:pos="1080"/>
        </w:tabs>
        <w:spacing w:line="400" w:lineRule="exact"/>
        <w:ind w:right="-197" w:firstLine="480" w:firstLineChars="200"/>
        <w:rPr>
          <w:rFonts w:ascii="宋体" w:hAnsi="宋体"/>
          <w:color w:val="auto"/>
          <w:sz w:val="24"/>
        </w:rPr>
      </w:pPr>
      <w:r>
        <w:rPr>
          <w:rFonts w:hint="eastAsia" w:ascii="宋体" w:hAnsi="宋体"/>
          <w:color w:val="auto"/>
          <w:sz w:val="24"/>
        </w:rPr>
        <w:t>1、投标文件在投标截止时间以后送达或者未送达指定地点；</w:t>
      </w:r>
    </w:p>
    <w:p>
      <w:pPr>
        <w:tabs>
          <w:tab w:val="left" w:pos="1080"/>
        </w:tabs>
        <w:spacing w:line="400" w:lineRule="exact"/>
        <w:ind w:right="-197" w:firstLine="480" w:firstLineChars="200"/>
        <w:rPr>
          <w:rFonts w:ascii="宋体" w:hAnsi="宋体"/>
          <w:color w:val="auto"/>
          <w:sz w:val="24"/>
        </w:rPr>
      </w:pPr>
      <w:r>
        <w:rPr>
          <w:rFonts w:hint="eastAsia" w:ascii="宋体" w:hAnsi="宋体"/>
          <w:color w:val="auto"/>
          <w:sz w:val="24"/>
        </w:rPr>
        <w:t>2、不同投标人的投标文件由同一投标人送达或者分发的；</w:t>
      </w:r>
    </w:p>
    <w:p>
      <w:pPr>
        <w:tabs>
          <w:tab w:val="left" w:pos="1080"/>
        </w:tabs>
        <w:spacing w:line="400" w:lineRule="exact"/>
        <w:ind w:right="-197" w:firstLine="480" w:firstLineChars="200"/>
        <w:rPr>
          <w:rFonts w:ascii="宋体" w:hAnsi="宋体"/>
          <w:color w:val="auto"/>
          <w:sz w:val="24"/>
        </w:rPr>
      </w:pPr>
      <w:r>
        <w:rPr>
          <w:rFonts w:hint="eastAsia" w:ascii="宋体" w:hAnsi="宋体"/>
          <w:color w:val="auto"/>
          <w:sz w:val="24"/>
        </w:rPr>
        <w:t>3、投标人无正当理由放弃中标或者在投标截止后撤销投标文件，造成招标人重新招标的，招标人可以禁止该投标人再次投标该项目；</w:t>
      </w:r>
    </w:p>
    <w:p>
      <w:pPr>
        <w:tabs>
          <w:tab w:val="left" w:pos="1080"/>
        </w:tabs>
        <w:spacing w:line="400" w:lineRule="exact"/>
        <w:ind w:right="-197" w:firstLine="480" w:firstLineChars="200"/>
        <w:rPr>
          <w:rFonts w:ascii="宋体" w:hAnsi="宋体"/>
          <w:color w:val="auto"/>
          <w:sz w:val="24"/>
        </w:rPr>
      </w:pPr>
      <w:r>
        <w:rPr>
          <w:rFonts w:hint="eastAsia" w:ascii="宋体" w:hAnsi="宋体"/>
          <w:color w:val="auto"/>
          <w:sz w:val="24"/>
        </w:rPr>
        <w:t>4、投标文件未按要求密封、标记的；</w:t>
      </w:r>
    </w:p>
    <w:p>
      <w:pPr>
        <w:tabs>
          <w:tab w:val="left" w:pos="1080"/>
        </w:tabs>
        <w:spacing w:line="400" w:lineRule="exact"/>
        <w:ind w:right="-197" w:firstLine="480" w:firstLineChars="200"/>
        <w:rPr>
          <w:color w:val="auto"/>
          <w:sz w:val="24"/>
          <w:u w:val="single"/>
        </w:rPr>
      </w:pPr>
      <w:r>
        <w:rPr>
          <w:rFonts w:hint="eastAsia" w:ascii="宋体" w:hAnsi="宋体"/>
          <w:color w:val="auto"/>
          <w:sz w:val="24"/>
        </w:rPr>
        <w:t>5、不提交投标保证金的（采用银行转账的，以投标截止时广州市公共资源交易中心出具的到账名单或投标截止前投标人提供的投标保证金银行成功缴纳的到账回执为准）；</w:t>
      </w:r>
    </w:p>
    <w:p>
      <w:pPr>
        <w:tabs>
          <w:tab w:val="left" w:pos="1080"/>
        </w:tabs>
        <w:spacing w:line="400" w:lineRule="exact"/>
        <w:ind w:right="-197" w:firstLine="480" w:firstLineChars="200"/>
        <w:rPr>
          <w:rFonts w:ascii="宋体" w:hAnsi="宋体"/>
          <w:color w:val="auto"/>
          <w:sz w:val="24"/>
        </w:rPr>
      </w:pPr>
      <w:r>
        <w:rPr>
          <w:rFonts w:hint="eastAsia" w:ascii="宋体" w:hAnsi="宋体"/>
          <w:color w:val="auto"/>
          <w:sz w:val="24"/>
        </w:rPr>
        <w:t>6、投标人未被列入“江门市建筑业企业信用管理信息系统”C</w:t>
      </w:r>
      <w:r>
        <w:rPr>
          <w:rFonts w:ascii="宋体" w:hAnsi="宋体"/>
          <w:color w:val="auto"/>
          <w:sz w:val="24"/>
        </w:rPr>
        <w:t>级</w:t>
      </w:r>
      <w:r>
        <w:rPr>
          <w:rFonts w:hint="eastAsia" w:ascii="宋体" w:hAnsi="宋体"/>
          <w:color w:val="auto"/>
          <w:sz w:val="24"/>
        </w:rPr>
        <w:t>或以上</w:t>
      </w:r>
      <w:r>
        <w:rPr>
          <w:rFonts w:ascii="宋体" w:hAnsi="宋体"/>
          <w:color w:val="auto"/>
          <w:sz w:val="24"/>
        </w:rPr>
        <w:t>信用等级</w:t>
      </w:r>
      <w:r>
        <w:rPr>
          <w:rFonts w:hint="eastAsia" w:ascii="宋体" w:hAnsi="宋体"/>
          <w:color w:val="auto"/>
          <w:sz w:val="24"/>
        </w:rPr>
        <w:t>。</w:t>
      </w:r>
    </w:p>
    <w:p>
      <w:pPr>
        <w:spacing w:line="400" w:lineRule="exact"/>
        <w:ind w:right="-197" w:firstLine="480" w:firstLineChars="200"/>
        <w:rPr>
          <w:rFonts w:ascii="宋体"/>
          <w:color w:val="auto"/>
          <w:sz w:val="24"/>
        </w:rPr>
      </w:pPr>
      <w:r>
        <w:rPr>
          <w:rFonts w:hint="eastAsia" w:ascii="宋体" w:hAnsi="宋体"/>
          <w:color w:val="auto"/>
          <w:sz w:val="24"/>
        </w:rPr>
        <w:t>（二）宣布投标文件为无效投标的情形：</w:t>
      </w:r>
    </w:p>
    <w:p>
      <w:pPr>
        <w:tabs>
          <w:tab w:val="left" w:pos="1080"/>
        </w:tabs>
        <w:spacing w:line="400" w:lineRule="exact"/>
        <w:ind w:right="-197" w:firstLine="480" w:firstLineChars="200"/>
        <w:rPr>
          <w:rFonts w:ascii="宋体"/>
          <w:color w:val="auto"/>
          <w:sz w:val="24"/>
        </w:rPr>
      </w:pPr>
      <w:r>
        <w:rPr>
          <w:rFonts w:hint="eastAsia" w:ascii="宋体" w:hAnsi="宋体"/>
          <w:color w:val="auto"/>
          <w:sz w:val="24"/>
        </w:rPr>
        <w:t>1、投标文件的装订不符合要求；</w:t>
      </w:r>
    </w:p>
    <w:p>
      <w:pPr>
        <w:tabs>
          <w:tab w:val="left" w:pos="1080"/>
        </w:tabs>
        <w:spacing w:line="400" w:lineRule="exact"/>
        <w:ind w:right="-197" w:firstLine="480" w:firstLineChars="200"/>
        <w:rPr>
          <w:rFonts w:ascii="宋体"/>
          <w:color w:val="auto"/>
          <w:sz w:val="24"/>
        </w:rPr>
      </w:pPr>
      <w:r>
        <w:rPr>
          <w:rFonts w:hint="eastAsia" w:ascii="宋体" w:hAnsi="宋体"/>
          <w:color w:val="auto"/>
          <w:sz w:val="24"/>
        </w:rPr>
        <w:t>2、投标文件的份数不满足要求；</w:t>
      </w:r>
    </w:p>
    <w:p>
      <w:pPr>
        <w:tabs>
          <w:tab w:val="left" w:pos="1080"/>
        </w:tabs>
        <w:spacing w:line="400" w:lineRule="exact"/>
        <w:ind w:right="-197" w:firstLine="480" w:firstLineChars="200"/>
        <w:rPr>
          <w:rFonts w:ascii="宋体"/>
          <w:color w:val="auto"/>
          <w:sz w:val="24"/>
        </w:rPr>
      </w:pPr>
      <w:r>
        <w:rPr>
          <w:rFonts w:hint="eastAsia" w:ascii="宋体" w:hAnsi="宋体"/>
          <w:color w:val="auto"/>
          <w:sz w:val="24"/>
        </w:rPr>
        <w:t>3、未在投标函上填写投标报价或投标文件中投标函以汉字形式（大写金额）记载的投标报价高于</w:t>
      </w:r>
      <w:r>
        <w:rPr>
          <w:rFonts w:hint="eastAsia" w:ascii="宋体" w:hAnsi="宋体"/>
          <w:color w:val="auto"/>
          <w:sz w:val="24"/>
          <w:lang w:val="en-US" w:eastAsia="zh-CN"/>
        </w:rPr>
        <w:t>最高限价</w:t>
      </w:r>
      <w:r>
        <w:rPr>
          <w:rFonts w:hint="eastAsia" w:ascii="宋体" w:hAnsi="宋体"/>
          <w:color w:val="auto"/>
          <w:sz w:val="24"/>
        </w:rPr>
        <w:t>。</w:t>
      </w:r>
    </w:p>
    <w:p>
      <w:pPr>
        <w:spacing w:line="400" w:lineRule="exact"/>
        <w:ind w:right="-197" w:firstLine="482" w:firstLineChars="200"/>
        <w:rPr>
          <w:rFonts w:ascii="宋体"/>
          <w:b/>
          <w:color w:val="auto"/>
          <w:sz w:val="24"/>
          <w:u w:val="single"/>
        </w:rPr>
      </w:pPr>
      <w:r>
        <w:rPr>
          <w:rFonts w:hint="eastAsia" w:ascii="宋体" w:hAnsi="宋体"/>
          <w:b/>
          <w:color w:val="auto"/>
          <w:sz w:val="24"/>
        </w:rPr>
        <w:t>注：投标文件出现上述情形在开标会上被宣布为无效投标后，不再经评标委员会确认，亦不进入评标程序，该投标文件不予退回。</w:t>
      </w:r>
    </w:p>
    <w:p>
      <w:pPr>
        <w:spacing w:line="400" w:lineRule="exact"/>
        <w:ind w:right="-197" w:firstLine="482" w:firstLineChars="200"/>
        <w:rPr>
          <w:rFonts w:ascii="宋体" w:hAnsi="宋体"/>
          <w:b/>
          <w:color w:val="auto"/>
          <w:sz w:val="24"/>
        </w:rPr>
      </w:pPr>
      <w:r>
        <w:rPr>
          <w:rFonts w:hint="eastAsia" w:ascii="宋体" w:hAnsi="宋体"/>
          <w:b/>
          <w:color w:val="auto"/>
          <w:sz w:val="24"/>
        </w:rPr>
        <w:t>二、初步评审阶段和详细评审阶段有下列情形之一的，评标委员会应当否决其投标：</w:t>
      </w:r>
      <w:r>
        <w:rPr>
          <w:rFonts w:ascii="宋体" w:hAnsi="宋体"/>
          <w:b/>
          <w:color w:val="auto"/>
          <w:sz w:val="24"/>
        </w:rPr>
        <w:t xml:space="preserve"> </w:t>
      </w:r>
    </w:p>
    <w:p>
      <w:pPr>
        <w:tabs>
          <w:tab w:val="left" w:pos="1080"/>
        </w:tabs>
        <w:spacing w:line="400" w:lineRule="exact"/>
        <w:ind w:right="-197" w:firstLine="480" w:firstLineChars="200"/>
        <w:rPr>
          <w:rFonts w:ascii="宋体" w:hAnsi="宋体"/>
          <w:color w:val="auto"/>
          <w:sz w:val="24"/>
        </w:rPr>
      </w:pPr>
      <w:r>
        <w:rPr>
          <w:rFonts w:ascii="宋体" w:hAnsi="宋体"/>
          <w:color w:val="auto"/>
          <w:sz w:val="24"/>
        </w:rPr>
        <w:t>1</w:t>
      </w:r>
      <w:r>
        <w:rPr>
          <w:rFonts w:hint="eastAsia" w:ascii="宋体" w:hAnsi="宋体"/>
          <w:color w:val="auto"/>
          <w:sz w:val="24"/>
        </w:rPr>
        <w:t>、有第二章“投标人须知及前附表”中“投标人须知（正文部分）”第4.8项规定的任何一种情形的；</w:t>
      </w:r>
    </w:p>
    <w:p>
      <w:pPr>
        <w:tabs>
          <w:tab w:val="left" w:pos="1080"/>
        </w:tabs>
        <w:spacing w:line="400" w:lineRule="exact"/>
        <w:ind w:right="-197" w:firstLine="480" w:firstLineChars="200"/>
        <w:rPr>
          <w:rFonts w:ascii="宋体" w:hAnsi="宋体"/>
          <w:color w:val="auto"/>
          <w:sz w:val="24"/>
        </w:rPr>
      </w:pPr>
      <w:r>
        <w:rPr>
          <w:rFonts w:ascii="宋体" w:hAnsi="宋体"/>
          <w:color w:val="auto"/>
          <w:sz w:val="24"/>
        </w:rPr>
        <w:t>2</w:t>
      </w:r>
      <w:r>
        <w:rPr>
          <w:rFonts w:hint="eastAsia" w:ascii="宋体" w:hAnsi="宋体"/>
          <w:color w:val="auto"/>
          <w:sz w:val="24"/>
        </w:rPr>
        <w:t>、投标人有以他人的名义投标、串通投标、弄虚作假或有其他违法行为的；包含但不仅限于以下行为：</w:t>
      </w:r>
    </w:p>
    <w:p>
      <w:pPr>
        <w:tabs>
          <w:tab w:val="left" w:pos="1080"/>
        </w:tabs>
        <w:spacing w:line="400" w:lineRule="exact"/>
        <w:ind w:right="-197" w:firstLine="480" w:firstLineChars="200"/>
        <w:rPr>
          <w:rFonts w:ascii="宋体" w:hAnsi="宋体"/>
          <w:color w:val="auto"/>
          <w:sz w:val="24"/>
        </w:rPr>
      </w:pPr>
      <w:r>
        <w:rPr>
          <w:rFonts w:hint="eastAsia" w:ascii="宋体" w:hAnsi="宋体"/>
          <w:color w:val="auto"/>
          <w:sz w:val="24"/>
        </w:rPr>
        <w:t>不同投标人编制的投标文件的实质性内容存在两处以上细节错误一致；</w:t>
      </w:r>
    </w:p>
    <w:p>
      <w:pPr>
        <w:tabs>
          <w:tab w:val="left" w:pos="1080"/>
        </w:tabs>
        <w:spacing w:line="400" w:lineRule="exact"/>
        <w:ind w:right="-197" w:firstLine="480" w:firstLineChars="200"/>
        <w:rPr>
          <w:rFonts w:ascii="宋体" w:hAnsi="宋体"/>
          <w:color w:val="auto"/>
          <w:sz w:val="24"/>
        </w:rPr>
      </w:pPr>
      <w:r>
        <w:rPr>
          <w:rFonts w:hint="eastAsia" w:ascii="宋体" w:hAnsi="宋体"/>
          <w:color w:val="auto"/>
          <w:sz w:val="24"/>
        </w:rPr>
        <w:t>3、不按评标委员会要求澄清、说明或补正的；</w:t>
      </w:r>
    </w:p>
    <w:p>
      <w:pPr>
        <w:tabs>
          <w:tab w:val="left" w:pos="1080"/>
        </w:tabs>
        <w:spacing w:line="400" w:lineRule="exact"/>
        <w:ind w:right="-197" w:firstLine="480" w:firstLineChars="200"/>
        <w:rPr>
          <w:rFonts w:ascii="宋体" w:hAnsi="宋体"/>
          <w:color w:val="auto"/>
          <w:sz w:val="24"/>
        </w:rPr>
      </w:pPr>
      <w:r>
        <w:rPr>
          <w:rFonts w:ascii="宋体" w:hAnsi="宋体"/>
          <w:color w:val="auto"/>
          <w:sz w:val="24"/>
        </w:rPr>
        <w:t>4</w:t>
      </w:r>
      <w:r>
        <w:rPr>
          <w:rFonts w:hint="eastAsia" w:ascii="宋体" w:hAnsi="宋体"/>
          <w:color w:val="auto"/>
          <w:sz w:val="24"/>
        </w:rPr>
        <w:t>、在符合性审查、资格审查评审中，评标委员会认定投标人的投标文件不符合符合性审查表、资格审查内容表规定的任何一项评审标准的；</w:t>
      </w:r>
    </w:p>
    <w:p>
      <w:pPr>
        <w:tabs>
          <w:tab w:val="left" w:pos="1080"/>
        </w:tabs>
        <w:spacing w:line="400" w:lineRule="exact"/>
        <w:ind w:right="-197" w:firstLine="480" w:firstLineChars="200"/>
        <w:rPr>
          <w:rFonts w:ascii="宋体" w:hAnsi="宋体"/>
          <w:color w:val="auto"/>
          <w:sz w:val="24"/>
        </w:rPr>
      </w:pPr>
      <w:r>
        <w:rPr>
          <w:rFonts w:ascii="宋体" w:hAnsi="宋体"/>
          <w:color w:val="auto"/>
          <w:sz w:val="24"/>
        </w:rPr>
        <w:t>5</w:t>
      </w:r>
      <w:r>
        <w:rPr>
          <w:rFonts w:hint="eastAsia" w:ascii="宋体" w:hAnsi="宋体"/>
          <w:color w:val="auto"/>
          <w:sz w:val="24"/>
        </w:rPr>
        <w:t>、 当投标人资格预审申请文件的内容发生重大变化时，其在投标文件中更新的资料，未能通过资格评审的（适用于已进行资格预审）；</w:t>
      </w:r>
    </w:p>
    <w:p>
      <w:pPr>
        <w:tabs>
          <w:tab w:val="left" w:pos="1080"/>
        </w:tabs>
        <w:spacing w:line="400" w:lineRule="exact"/>
        <w:ind w:right="-197" w:firstLine="480" w:firstLineChars="200"/>
        <w:rPr>
          <w:rFonts w:ascii="宋体" w:hAnsi="宋体"/>
          <w:color w:val="auto"/>
          <w:sz w:val="24"/>
        </w:rPr>
      </w:pPr>
      <w:r>
        <w:rPr>
          <w:rFonts w:hint="eastAsia" w:ascii="宋体" w:hAnsi="宋体"/>
          <w:color w:val="auto"/>
          <w:sz w:val="24"/>
        </w:rPr>
        <w:t>6、未按要求在开标时提供有关资料的；</w:t>
      </w:r>
    </w:p>
    <w:p>
      <w:pPr>
        <w:tabs>
          <w:tab w:val="left" w:pos="1080"/>
        </w:tabs>
        <w:spacing w:line="400" w:lineRule="exact"/>
        <w:ind w:right="-197" w:firstLine="480" w:firstLineChars="200"/>
        <w:rPr>
          <w:rFonts w:ascii="宋体" w:hAnsi="宋体"/>
          <w:color w:val="auto"/>
          <w:sz w:val="24"/>
        </w:rPr>
      </w:pPr>
      <w:r>
        <w:rPr>
          <w:rFonts w:hint="eastAsia" w:ascii="宋体" w:hAnsi="宋体"/>
          <w:color w:val="auto"/>
          <w:sz w:val="24"/>
        </w:rPr>
        <w:t>7、投标报价高于招标文件设定的</w:t>
      </w:r>
      <w:r>
        <w:rPr>
          <w:rFonts w:hint="eastAsia" w:ascii="宋体" w:hAnsi="宋体"/>
          <w:color w:val="auto"/>
          <w:sz w:val="24"/>
          <w:lang w:val="en-US" w:eastAsia="zh-CN"/>
        </w:rPr>
        <w:t>最高限价</w:t>
      </w:r>
      <w:r>
        <w:rPr>
          <w:rFonts w:hint="eastAsia" w:ascii="宋体" w:hAnsi="宋体"/>
          <w:color w:val="auto"/>
          <w:sz w:val="24"/>
        </w:rPr>
        <w:t>的；</w:t>
      </w:r>
    </w:p>
    <w:p>
      <w:pPr>
        <w:tabs>
          <w:tab w:val="left" w:pos="1080"/>
        </w:tabs>
        <w:spacing w:line="400" w:lineRule="exact"/>
        <w:ind w:right="-197" w:firstLine="480" w:firstLineChars="200"/>
        <w:rPr>
          <w:rFonts w:ascii="宋体" w:hAnsi="宋体"/>
          <w:color w:val="auto"/>
          <w:sz w:val="24"/>
        </w:rPr>
      </w:pPr>
      <w:r>
        <w:rPr>
          <w:rFonts w:hint="eastAsia" w:ascii="宋体" w:hAnsi="宋体"/>
          <w:color w:val="auto"/>
          <w:sz w:val="24"/>
        </w:rPr>
        <w:t>8、投标文件中拟投入本项目的项目</w:t>
      </w:r>
      <w:r>
        <w:rPr>
          <w:rFonts w:hint="eastAsia" w:ascii="宋体" w:hAnsi="宋体" w:cs="宋体"/>
          <w:color w:val="auto"/>
          <w:sz w:val="24"/>
          <w:lang w:val="zh-CN"/>
        </w:rPr>
        <w:t>总监理工程师</w:t>
      </w:r>
      <w:r>
        <w:rPr>
          <w:rFonts w:hint="eastAsia" w:ascii="宋体" w:hAnsi="宋体"/>
          <w:color w:val="auto"/>
          <w:sz w:val="24"/>
        </w:rPr>
        <w:t>（注册</w:t>
      </w:r>
      <w:r>
        <w:rPr>
          <w:rFonts w:hint="eastAsia" w:ascii="宋体" w:hAnsi="宋体" w:cs="宋体"/>
          <w:color w:val="auto"/>
          <w:sz w:val="24"/>
          <w:lang w:val="zh-CN"/>
        </w:rPr>
        <w:t>监理工程</w:t>
      </w:r>
      <w:r>
        <w:rPr>
          <w:rFonts w:hint="eastAsia" w:ascii="宋体" w:hAnsi="宋体"/>
          <w:color w:val="auto"/>
          <w:sz w:val="24"/>
        </w:rPr>
        <w:t>师）信息与网上核查不相符的；</w:t>
      </w:r>
    </w:p>
    <w:p>
      <w:pPr>
        <w:tabs>
          <w:tab w:val="left" w:pos="1080"/>
        </w:tabs>
        <w:spacing w:line="400" w:lineRule="exact"/>
        <w:ind w:right="-197" w:firstLine="480" w:firstLineChars="200"/>
        <w:rPr>
          <w:rFonts w:ascii="宋体" w:hAnsi="宋体"/>
          <w:color w:val="auto"/>
          <w:sz w:val="24"/>
        </w:rPr>
      </w:pPr>
      <w:r>
        <w:rPr>
          <w:rFonts w:hint="eastAsia" w:ascii="宋体" w:hAnsi="宋体"/>
          <w:color w:val="auto"/>
          <w:sz w:val="24"/>
        </w:rPr>
        <w:t>9、总监理工程师的注册执业证书不在有效期内的；</w:t>
      </w:r>
    </w:p>
    <w:p>
      <w:pPr>
        <w:tabs>
          <w:tab w:val="left" w:pos="1080"/>
        </w:tabs>
        <w:spacing w:line="400" w:lineRule="exact"/>
        <w:ind w:right="-197" w:firstLine="480" w:firstLineChars="200"/>
        <w:rPr>
          <w:rFonts w:ascii="宋体" w:hAnsi="宋体"/>
          <w:color w:val="auto"/>
          <w:sz w:val="24"/>
        </w:rPr>
      </w:pPr>
      <w:r>
        <w:rPr>
          <w:rFonts w:hint="eastAsia" w:ascii="宋体" w:hAnsi="宋体"/>
          <w:color w:val="auto"/>
          <w:sz w:val="24"/>
        </w:rPr>
        <w:t>10、没有在投标文件正本中提供企业近三个月(从本项目招标公告发出之月起计之前)完整的参保人员养老保险证明材料或提供不真实的养老保险材料的；</w:t>
      </w:r>
    </w:p>
    <w:p>
      <w:pPr>
        <w:tabs>
          <w:tab w:val="left" w:pos="1080"/>
        </w:tabs>
        <w:spacing w:line="400" w:lineRule="exact"/>
        <w:ind w:right="-197" w:firstLine="480" w:firstLineChars="200"/>
        <w:rPr>
          <w:rFonts w:ascii="宋体" w:hAnsi="宋体"/>
          <w:color w:val="auto"/>
          <w:sz w:val="24"/>
        </w:rPr>
      </w:pPr>
      <w:r>
        <w:rPr>
          <w:rFonts w:hint="eastAsia" w:ascii="宋体" w:hAnsi="宋体"/>
          <w:color w:val="auto"/>
          <w:sz w:val="24"/>
        </w:rPr>
        <w:t>11、投标文件未加盖单位公章、未有法定代表人或者被授权人签名、或未按招标文件要求进行签名或签章的；</w:t>
      </w:r>
    </w:p>
    <w:p>
      <w:pPr>
        <w:tabs>
          <w:tab w:val="left" w:pos="1080"/>
        </w:tabs>
        <w:spacing w:line="400" w:lineRule="exact"/>
        <w:ind w:right="-197" w:firstLine="480" w:firstLineChars="200"/>
        <w:rPr>
          <w:rFonts w:ascii="宋体" w:hAnsi="宋体"/>
          <w:color w:val="auto"/>
          <w:sz w:val="24"/>
        </w:rPr>
      </w:pPr>
      <w:r>
        <w:rPr>
          <w:rFonts w:hint="eastAsia" w:ascii="宋体" w:hAnsi="宋体"/>
          <w:color w:val="auto"/>
          <w:sz w:val="24"/>
        </w:rPr>
        <w:t>12、评标委员会要求澄清、说明、补正，投标人拒不进行澄清、说明、补正的；或评标委员会根据评标办法对投标文件的计算错误进行修正后，投标人不接受修正后的投标报价的；</w:t>
      </w:r>
    </w:p>
    <w:p>
      <w:pPr>
        <w:tabs>
          <w:tab w:val="left" w:pos="1080"/>
        </w:tabs>
        <w:spacing w:line="400" w:lineRule="exact"/>
        <w:ind w:right="-197" w:firstLine="480" w:firstLineChars="200"/>
        <w:rPr>
          <w:rFonts w:ascii="宋体" w:hAnsi="宋体"/>
          <w:color w:val="auto"/>
          <w:sz w:val="24"/>
        </w:rPr>
      </w:pPr>
      <w:r>
        <w:rPr>
          <w:rFonts w:hint="eastAsia" w:ascii="宋体" w:hAnsi="宋体"/>
          <w:color w:val="auto"/>
          <w:sz w:val="24"/>
        </w:rPr>
        <w:t>13、投标人递交两份或多份内容不同的投标文件的（投标文件另有规定除外）；</w:t>
      </w:r>
    </w:p>
    <w:p>
      <w:pPr>
        <w:tabs>
          <w:tab w:val="left" w:pos="1080"/>
        </w:tabs>
        <w:spacing w:line="400" w:lineRule="exact"/>
        <w:ind w:right="-197" w:firstLine="480" w:firstLineChars="200"/>
        <w:rPr>
          <w:rFonts w:ascii="宋体" w:hAnsi="宋体"/>
          <w:color w:val="auto"/>
          <w:sz w:val="24"/>
        </w:rPr>
      </w:pPr>
      <w:r>
        <w:rPr>
          <w:rFonts w:hint="eastAsia" w:ascii="宋体" w:hAnsi="宋体"/>
          <w:color w:val="auto"/>
          <w:sz w:val="24"/>
        </w:rPr>
        <w:t>14、投标报价中的规费、税金不按现行规定计算的；</w:t>
      </w:r>
    </w:p>
    <w:p>
      <w:pPr>
        <w:tabs>
          <w:tab w:val="left" w:pos="1080"/>
        </w:tabs>
        <w:spacing w:line="400" w:lineRule="exact"/>
        <w:ind w:right="-197" w:firstLine="480" w:firstLineChars="200"/>
        <w:rPr>
          <w:rFonts w:ascii="宋体" w:hAnsi="宋体"/>
          <w:color w:val="auto"/>
          <w:sz w:val="24"/>
        </w:rPr>
      </w:pPr>
      <w:r>
        <w:rPr>
          <w:rFonts w:hint="eastAsia" w:ascii="宋体" w:hAnsi="宋体"/>
          <w:color w:val="auto"/>
          <w:sz w:val="24"/>
        </w:rPr>
        <w:t>15、法律、法规、规章规定的其他情形。</w:t>
      </w:r>
    </w:p>
    <w:p>
      <w:pPr>
        <w:keepNext/>
        <w:keepLines/>
        <w:autoSpaceDE w:val="0"/>
        <w:autoSpaceDN w:val="0"/>
        <w:adjustRightInd w:val="0"/>
        <w:spacing w:before="240" w:after="60"/>
        <w:jc w:val="center"/>
        <w:outlineLvl w:val="0"/>
        <w:rPr>
          <w:rFonts w:ascii="宋体" w:hAnsi="宋体" w:cs="黑体"/>
          <w:color w:val="auto"/>
          <w:kern w:val="24"/>
          <w:sz w:val="44"/>
          <w:szCs w:val="44"/>
          <w:lang w:val="zh-CN"/>
        </w:rPr>
      </w:pPr>
      <w:r>
        <w:rPr>
          <w:rFonts w:ascii="宋体" w:hAnsi="宋体" w:cs="黑体"/>
          <w:color w:val="auto"/>
          <w:kern w:val="24"/>
          <w:sz w:val="44"/>
          <w:szCs w:val="44"/>
          <w:lang w:val="zh-CN"/>
        </w:rPr>
        <w:br w:type="page"/>
      </w:r>
      <w:bookmarkStart w:id="3" w:name="_Toc4179"/>
      <w:r>
        <w:rPr>
          <w:rFonts w:hint="eastAsia" w:ascii="宋体" w:hAnsi="宋体" w:cs="黑体"/>
          <w:color w:val="auto"/>
          <w:kern w:val="24"/>
          <w:sz w:val="44"/>
          <w:szCs w:val="44"/>
          <w:lang w:val="zh-CN"/>
        </w:rPr>
        <w:t>第一章</w:t>
      </w:r>
      <w:r>
        <w:rPr>
          <w:rFonts w:ascii="宋体" w:hAnsi="宋体" w:cs="黑体"/>
          <w:color w:val="auto"/>
          <w:kern w:val="24"/>
          <w:sz w:val="44"/>
          <w:szCs w:val="44"/>
          <w:lang w:val="zh-CN"/>
        </w:rPr>
        <w:t xml:space="preserve"> </w:t>
      </w:r>
      <w:r>
        <w:rPr>
          <w:rFonts w:hint="eastAsia" w:ascii="宋体" w:hAnsi="宋体" w:cs="黑体"/>
          <w:color w:val="auto"/>
          <w:kern w:val="24"/>
          <w:sz w:val="44"/>
          <w:szCs w:val="44"/>
          <w:lang w:val="zh-CN"/>
        </w:rPr>
        <w:t>招标公告</w:t>
      </w:r>
      <w:bookmarkEnd w:id="3"/>
    </w:p>
    <w:p>
      <w:pPr>
        <w:widowControl/>
        <w:spacing w:line="360" w:lineRule="auto"/>
        <w:ind w:right="300"/>
        <w:rPr>
          <w:rFonts w:ascii="宋体" w:hAnsi="宋体" w:cs="宋体"/>
          <w:color w:val="auto"/>
          <w:kern w:val="0"/>
          <w:sz w:val="22"/>
          <w:szCs w:val="22"/>
        </w:rPr>
      </w:pPr>
    </w:p>
    <w:p>
      <w:pPr>
        <w:jc w:val="center"/>
        <w:rPr>
          <w:color w:val="auto"/>
          <w:sz w:val="32"/>
          <w:szCs w:val="32"/>
        </w:rPr>
      </w:pPr>
      <w:r>
        <w:rPr>
          <w:rFonts w:hint="eastAsia"/>
          <w:color w:val="auto"/>
          <w:sz w:val="32"/>
          <w:szCs w:val="32"/>
          <w:u w:val="single"/>
        </w:rPr>
        <w:t>粤港澳大湾区(江门)农产品交易流通中心一期(启动区)冷链物流B-8/B-9地块项目</w:t>
      </w:r>
      <w:r>
        <w:rPr>
          <w:rFonts w:hint="eastAsia"/>
          <w:color w:val="auto"/>
          <w:sz w:val="32"/>
          <w:szCs w:val="32"/>
        </w:rPr>
        <w:t>监理服务招标公告</w:t>
      </w:r>
    </w:p>
    <w:p>
      <w:pPr>
        <w:rPr>
          <w:color w:val="auto"/>
          <w:sz w:val="36"/>
          <w:szCs w:val="36"/>
        </w:rPr>
      </w:pPr>
    </w:p>
    <w:p>
      <w:pPr>
        <w:spacing w:line="360" w:lineRule="auto"/>
        <w:ind w:firstLine="420" w:firstLineChars="200"/>
        <w:rPr>
          <w:rFonts w:hint="eastAsia" w:eastAsia="宋体"/>
          <w:color w:val="auto"/>
          <w:szCs w:val="21"/>
          <w:highlight w:val="none"/>
          <w:lang w:eastAsia="zh-CN"/>
        </w:rPr>
      </w:pPr>
      <w:r>
        <w:rPr>
          <w:rFonts w:hint="eastAsia"/>
          <w:color w:val="auto"/>
          <w:szCs w:val="21"/>
        </w:rPr>
        <w:t>1、</w:t>
      </w:r>
      <w:r>
        <w:rPr>
          <w:rFonts w:hint="eastAsia"/>
          <w:color w:val="auto"/>
          <w:szCs w:val="21"/>
          <w:u w:val="single"/>
        </w:rPr>
        <w:t xml:space="preserve"> 粤港澳大湾区(江门)农产品交易流通中心一期(启动区)冷链物流B-8/B-9地块项目 </w:t>
      </w:r>
      <w:r>
        <w:rPr>
          <w:rFonts w:hint="eastAsia"/>
          <w:color w:val="auto"/>
          <w:szCs w:val="21"/>
        </w:rPr>
        <w:t>（项目名称），已由</w:t>
      </w:r>
      <w:r>
        <w:rPr>
          <w:rFonts w:hint="eastAsia"/>
          <w:color w:val="auto"/>
          <w:szCs w:val="21"/>
          <w:u w:val="single"/>
        </w:rPr>
        <w:t xml:space="preserve"> 台山市发展和改革局  </w:t>
      </w:r>
      <w:r>
        <w:rPr>
          <w:rFonts w:hint="eastAsia"/>
          <w:color w:val="auto"/>
          <w:szCs w:val="21"/>
        </w:rPr>
        <w:t>(项目审批、核准机关名称)批准建设，批准文号为:（</w:t>
      </w:r>
      <w:r>
        <w:rPr>
          <w:rFonts w:hint="eastAsia"/>
          <w:color w:val="auto"/>
          <w:szCs w:val="21"/>
          <w:u w:val="single"/>
        </w:rPr>
        <w:t xml:space="preserve"> 台发改[2020]183号 </w:t>
      </w:r>
      <w:r>
        <w:rPr>
          <w:rFonts w:hint="eastAsia"/>
          <w:color w:val="auto"/>
          <w:szCs w:val="21"/>
        </w:rPr>
        <w:t>），</w:t>
      </w:r>
      <w:r>
        <w:rPr>
          <w:color w:val="auto"/>
        </w:rPr>
        <w:t>投资项目统一代</w:t>
      </w:r>
      <w:r>
        <w:rPr>
          <w:color w:val="auto"/>
          <w:highlight w:val="none"/>
        </w:rPr>
        <w:t>码</w:t>
      </w:r>
      <w:r>
        <w:rPr>
          <w:rFonts w:hint="eastAsia"/>
          <w:color w:val="auto"/>
          <w:highlight w:val="none"/>
        </w:rPr>
        <w:t>为：</w:t>
      </w:r>
      <w:r>
        <w:rPr>
          <w:rFonts w:hint="eastAsia"/>
          <w:color w:val="auto"/>
          <w:highlight w:val="none"/>
          <w:u w:val="single"/>
        </w:rPr>
        <w:t xml:space="preserve"> </w:t>
      </w:r>
      <w:r>
        <w:rPr>
          <w:color w:val="auto"/>
          <w:highlight w:val="none"/>
          <w:u w:val="single"/>
        </w:rPr>
        <w:t>2020-440781-59-01-028345</w:t>
      </w:r>
      <w:r>
        <w:rPr>
          <w:rFonts w:hint="eastAsia"/>
          <w:color w:val="auto"/>
          <w:highlight w:val="none"/>
          <w:u w:val="single"/>
        </w:rPr>
        <w:t xml:space="preserve"> </w:t>
      </w:r>
      <w:r>
        <w:rPr>
          <w:rFonts w:hint="eastAsia"/>
          <w:color w:val="auto"/>
          <w:szCs w:val="21"/>
          <w:highlight w:val="none"/>
        </w:rPr>
        <w:t xml:space="preserve">。现对本项目的施工监理进行公开招标，选定承包人。 </w:t>
      </w:r>
    </w:p>
    <w:p>
      <w:pPr>
        <w:spacing w:line="360" w:lineRule="auto"/>
        <w:ind w:firstLine="420" w:firstLineChars="200"/>
        <w:rPr>
          <w:color w:val="auto"/>
          <w:szCs w:val="21"/>
          <w:highlight w:val="none"/>
        </w:rPr>
      </w:pPr>
      <w:r>
        <w:rPr>
          <w:rFonts w:hint="eastAsia"/>
          <w:color w:val="auto"/>
          <w:szCs w:val="21"/>
          <w:highlight w:val="none"/>
        </w:rPr>
        <w:t xml:space="preserve">2、项目概况 </w:t>
      </w:r>
    </w:p>
    <w:p>
      <w:pPr>
        <w:spacing w:line="360" w:lineRule="auto"/>
        <w:ind w:firstLine="420" w:firstLineChars="200"/>
        <w:rPr>
          <w:color w:val="auto"/>
          <w:szCs w:val="21"/>
          <w:highlight w:val="none"/>
        </w:rPr>
      </w:pPr>
      <w:r>
        <w:rPr>
          <w:rFonts w:hint="eastAsia"/>
          <w:color w:val="auto"/>
          <w:szCs w:val="21"/>
          <w:highlight w:val="none"/>
        </w:rPr>
        <w:t xml:space="preserve">建设规模: </w:t>
      </w:r>
      <w:r>
        <w:rPr>
          <w:rFonts w:hint="eastAsia"/>
          <w:highlight w:val="none"/>
        </w:rPr>
        <w:t>本项目位于粤港澳大湾区(江门)农产品交易流通中心启动区内，含B8/B9地块。项目用地面积69222.81㎡，建筑面积 86678.25㎡，包括C1、C2、C3、C4 二层冷库(局部四层)、管理用房、设备用房、雨棚、门卫3个 、坡道及平台。</w:t>
      </w:r>
    </w:p>
    <w:p>
      <w:pPr>
        <w:spacing w:line="360" w:lineRule="auto"/>
        <w:ind w:firstLine="420" w:firstLineChars="200"/>
        <w:rPr>
          <w:color w:val="auto"/>
          <w:szCs w:val="21"/>
          <w:highlight w:val="none"/>
        </w:rPr>
      </w:pPr>
      <w:r>
        <w:rPr>
          <w:rFonts w:hint="eastAsia"/>
          <w:color w:val="auto"/>
          <w:szCs w:val="21"/>
          <w:highlight w:val="none"/>
        </w:rPr>
        <w:t xml:space="preserve">资金来源和落实情况: </w:t>
      </w:r>
      <w:r>
        <w:rPr>
          <w:rFonts w:hint="eastAsia"/>
          <w:color w:val="auto"/>
          <w:szCs w:val="21"/>
          <w:highlight w:val="none"/>
          <w:u w:val="single"/>
        </w:rPr>
        <w:t xml:space="preserve"> 建设资金来自企业自筹，项目出资比例为 100%  </w:t>
      </w:r>
      <w:r>
        <w:rPr>
          <w:rFonts w:hint="eastAsia"/>
          <w:color w:val="auto"/>
          <w:szCs w:val="21"/>
          <w:highlight w:val="none"/>
        </w:rPr>
        <w:t xml:space="preserve">。          </w:t>
      </w:r>
    </w:p>
    <w:p>
      <w:pPr>
        <w:spacing w:line="360" w:lineRule="auto"/>
        <w:ind w:left="1470" w:leftChars="200" w:hanging="1050" w:hangingChars="500"/>
        <w:rPr>
          <w:color w:val="auto"/>
          <w:szCs w:val="21"/>
          <w:highlight w:val="none"/>
          <w:u w:val="single"/>
        </w:rPr>
      </w:pPr>
      <w:r>
        <w:rPr>
          <w:rFonts w:hint="eastAsia"/>
          <w:color w:val="auto"/>
          <w:szCs w:val="21"/>
          <w:highlight w:val="none"/>
        </w:rPr>
        <w:t xml:space="preserve">招标范围: </w:t>
      </w:r>
      <w:r>
        <w:rPr>
          <w:rFonts w:hint="eastAsia"/>
          <w:color w:val="auto"/>
          <w:szCs w:val="21"/>
          <w:highlight w:val="none"/>
          <w:u w:val="single"/>
        </w:rPr>
        <w:t xml:space="preserve"> 本工程施工准备、设计阶段、建设阶段、竣工结算阶段、保修阶段的质量控制、安全生产监督管理、投资控制、进度控制、合同管理、信息管理、组织协调等监理工作以及缺陷责任期内的监理服务和相关专业技术咨询服务等现行监理条例所规定全部内容的建设工程监理 。</w:t>
      </w:r>
    </w:p>
    <w:p>
      <w:pPr>
        <w:spacing w:line="360" w:lineRule="auto"/>
        <w:ind w:firstLine="420" w:firstLineChars="200"/>
        <w:rPr>
          <w:color w:val="auto"/>
          <w:szCs w:val="21"/>
          <w:highlight w:val="none"/>
        </w:rPr>
      </w:pPr>
      <w:r>
        <w:rPr>
          <w:rFonts w:hint="eastAsia"/>
          <w:color w:val="auto"/>
          <w:szCs w:val="21"/>
          <w:highlight w:val="none"/>
        </w:rPr>
        <w:t xml:space="preserve">招标内容: </w:t>
      </w:r>
      <w:r>
        <w:rPr>
          <w:rFonts w:hint="eastAsia"/>
          <w:color w:val="auto"/>
          <w:szCs w:val="21"/>
          <w:highlight w:val="none"/>
          <w:u w:val="single"/>
        </w:rPr>
        <w:t xml:space="preserve"> 监理服务招标 </w:t>
      </w:r>
      <w:r>
        <w:rPr>
          <w:rFonts w:hint="eastAsia"/>
          <w:color w:val="auto"/>
          <w:szCs w:val="21"/>
          <w:highlight w:val="none"/>
        </w:rPr>
        <w:t>。</w:t>
      </w:r>
    </w:p>
    <w:p>
      <w:pPr>
        <w:spacing w:line="360" w:lineRule="auto"/>
        <w:ind w:firstLine="420" w:firstLineChars="200"/>
        <w:rPr>
          <w:color w:val="auto"/>
          <w:szCs w:val="21"/>
          <w:highlight w:val="none"/>
        </w:rPr>
      </w:pPr>
      <w:r>
        <w:rPr>
          <w:rFonts w:hint="eastAsia"/>
          <w:color w:val="auto"/>
          <w:szCs w:val="21"/>
          <w:highlight w:val="none"/>
        </w:rPr>
        <w:t xml:space="preserve">工程建设地点: </w:t>
      </w:r>
      <w:r>
        <w:rPr>
          <w:rFonts w:hint="eastAsia"/>
          <w:color w:val="auto"/>
          <w:szCs w:val="21"/>
          <w:highlight w:val="none"/>
          <w:u w:val="single"/>
        </w:rPr>
        <w:t xml:space="preserve"> </w:t>
      </w:r>
      <w:r>
        <w:rPr>
          <w:color w:val="auto"/>
          <w:szCs w:val="21"/>
          <w:highlight w:val="none"/>
          <w:u w:val="single"/>
        </w:rPr>
        <w:t>广东省江门市台山市白沙镇</w:t>
      </w:r>
      <w:r>
        <w:rPr>
          <w:rFonts w:hint="eastAsia"/>
          <w:color w:val="auto"/>
          <w:szCs w:val="21"/>
          <w:highlight w:val="none"/>
          <w:u w:val="single"/>
        </w:rPr>
        <w:t xml:space="preserve"> </w:t>
      </w:r>
      <w:r>
        <w:rPr>
          <w:rFonts w:hint="eastAsia"/>
          <w:color w:val="auto"/>
          <w:szCs w:val="21"/>
          <w:highlight w:val="none"/>
        </w:rPr>
        <w:t>。</w:t>
      </w:r>
    </w:p>
    <w:p>
      <w:pPr>
        <w:spacing w:line="360" w:lineRule="auto"/>
        <w:ind w:left="1680" w:leftChars="200" w:hanging="1260" w:hangingChars="600"/>
        <w:rPr>
          <w:color w:val="auto"/>
          <w:szCs w:val="21"/>
          <w:highlight w:val="none"/>
        </w:rPr>
      </w:pPr>
      <w:r>
        <w:rPr>
          <w:rFonts w:hint="eastAsia"/>
          <w:color w:val="auto"/>
          <w:szCs w:val="21"/>
          <w:highlight w:val="none"/>
        </w:rPr>
        <w:t xml:space="preserve">监理服务期: </w:t>
      </w:r>
      <w:r>
        <w:rPr>
          <w:rFonts w:hint="eastAsia"/>
          <w:color w:val="auto"/>
          <w:szCs w:val="21"/>
          <w:highlight w:val="none"/>
          <w:u w:val="single"/>
        </w:rPr>
        <w:t xml:space="preserve"> 监理服务期自监理通知中载明的开始监理日期开始至竣工验收合格且工程质量保修期满之日止 </w:t>
      </w:r>
      <w:r>
        <w:rPr>
          <w:rFonts w:hint="eastAsia"/>
          <w:color w:val="auto"/>
          <w:szCs w:val="21"/>
          <w:highlight w:val="none"/>
        </w:rPr>
        <w:t>。</w:t>
      </w:r>
    </w:p>
    <w:p>
      <w:pPr>
        <w:spacing w:line="360" w:lineRule="auto"/>
        <w:ind w:left="1680" w:leftChars="200" w:hanging="1260" w:hangingChars="600"/>
        <w:rPr>
          <w:rFonts w:ascii="宋体" w:hAnsi="宋体" w:cs="宋体"/>
          <w:color w:val="auto"/>
          <w:szCs w:val="21"/>
          <w:highlight w:val="none"/>
        </w:rPr>
      </w:pPr>
      <w:r>
        <w:rPr>
          <w:rFonts w:hint="eastAsia"/>
          <w:color w:val="auto"/>
          <w:szCs w:val="21"/>
          <w:highlight w:val="none"/>
        </w:rPr>
        <w:t>建筑安装工程费用</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26539.57</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万元 。</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项目监理招标最高限价：</w:t>
      </w:r>
      <w:r>
        <w:rPr>
          <w:rFonts w:hint="eastAsia" w:ascii="宋体" w:hAnsi="宋体" w:cs="宋体"/>
          <w:color w:val="auto"/>
          <w:highlight w:val="none"/>
          <w:u w:val="single"/>
          <w:lang w:eastAsia="zh-CN"/>
        </w:rPr>
        <w:t>29</w:t>
      </w:r>
      <w:r>
        <w:rPr>
          <w:rFonts w:hint="eastAsia" w:ascii="宋体" w:hAnsi="宋体" w:cs="宋体"/>
          <w:color w:val="auto"/>
          <w:highlight w:val="none"/>
          <w:u w:val="single"/>
          <w:lang w:val="en-US" w:eastAsia="zh-CN"/>
        </w:rPr>
        <w:t>5.16</w:t>
      </w:r>
      <w:r>
        <w:rPr>
          <w:rFonts w:hint="eastAsia" w:ascii="宋体" w:hAnsi="宋体" w:cs="宋体"/>
          <w:color w:val="auto"/>
          <w:highlight w:val="none"/>
        </w:rPr>
        <w:t>万元 。</w:t>
      </w:r>
    </w:p>
    <w:p>
      <w:pPr>
        <w:spacing w:line="360" w:lineRule="auto"/>
        <w:ind w:firstLine="420" w:firstLineChars="200"/>
        <w:rPr>
          <w:color w:val="auto"/>
          <w:szCs w:val="21"/>
          <w:highlight w:val="none"/>
        </w:rPr>
      </w:pPr>
      <w:r>
        <w:rPr>
          <w:rFonts w:hint="eastAsia"/>
          <w:color w:val="auto"/>
          <w:szCs w:val="21"/>
          <w:highlight w:val="none"/>
        </w:rPr>
        <w:t>3、投标人的资质要求</w:t>
      </w:r>
    </w:p>
    <w:p>
      <w:pPr>
        <w:spacing w:line="360" w:lineRule="auto"/>
        <w:ind w:left="1890" w:leftChars="200" w:hanging="1470" w:hangingChars="700"/>
        <w:rPr>
          <w:color w:val="auto"/>
          <w:szCs w:val="21"/>
          <w:highlight w:val="none"/>
          <w:u w:val="single"/>
        </w:rPr>
      </w:pPr>
      <w:r>
        <w:rPr>
          <w:rFonts w:hint="eastAsia"/>
          <w:color w:val="auto"/>
          <w:szCs w:val="21"/>
          <w:highlight w:val="none"/>
        </w:rPr>
        <w:t>3.1资质要求：具备</w:t>
      </w:r>
      <w:r>
        <w:rPr>
          <w:rFonts w:hint="eastAsia"/>
          <w:color w:val="auto"/>
          <w:szCs w:val="21"/>
          <w:highlight w:val="none"/>
          <w:u w:val="single"/>
        </w:rPr>
        <w:t xml:space="preserve"> 建设主管部门颁发的工程监理综合资质或建设主管部门颁发的房屋建筑工程监理</w:t>
      </w:r>
      <w:r>
        <w:rPr>
          <w:rFonts w:hint="default"/>
          <w:b/>
          <w:bCs/>
          <w:color w:val="auto"/>
          <w:szCs w:val="21"/>
          <w:highlight w:val="none"/>
          <w:u w:val="single"/>
          <w:lang w:val="en-US"/>
        </w:rPr>
        <w:t>甲</w:t>
      </w:r>
      <w:r>
        <w:rPr>
          <w:rFonts w:hint="eastAsia"/>
          <w:b/>
          <w:bCs/>
          <w:color w:val="auto"/>
          <w:szCs w:val="21"/>
          <w:highlight w:val="none"/>
          <w:u w:val="single"/>
        </w:rPr>
        <w:t>级</w:t>
      </w:r>
      <w:r>
        <w:rPr>
          <w:rFonts w:hint="eastAsia"/>
          <w:color w:val="auto"/>
          <w:szCs w:val="21"/>
          <w:highlight w:val="none"/>
          <w:u w:val="single"/>
        </w:rPr>
        <w:t xml:space="preserve"> </w:t>
      </w:r>
      <w:r>
        <w:rPr>
          <w:rFonts w:hint="eastAsia"/>
          <w:color w:val="auto"/>
          <w:szCs w:val="21"/>
          <w:highlight w:val="none"/>
        </w:rPr>
        <w:t>资质；</w:t>
      </w:r>
    </w:p>
    <w:p>
      <w:pPr>
        <w:spacing w:line="360" w:lineRule="auto"/>
        <w:ind w:firstLine="420" w:firstLineChars="200"/>
        <w:rPr>
          <w:color w:val="auto"/>
          <w:szCs w:val="21"/>
          <w:highlight w:val="none"/>
        </w:rPr>
      </w:pPr>
      <w:r>
        <w:rPr>
          <w:rFonts w:hint="eastAsia"/>
          <w:color w:val="auto"/>
          <w:szCs w:val="21"/>
          <w:highlight w:val="none"/>
        </w:rPr>
        <w:t>3.2其他投标条件要求：</w:t>
      </w:r>
    </w:p>
    <w:p>
      <w:pPr>
        <w:spacing w:line="360" w:lineRule="auto"/>
        <w:ind w:firstLine="420" w:firstLineChars="200"/>
        <w:rPr>
          <w:color w:val="auto"/>
          <w:szCs w:val="21"/>
          <w:highlight w:val="none"/>
        </w:rPr>
      </w:pPr>
      <w:r>
        <w:rPr>
          <w:rFonts w:hint="eastAsia"/>
          <w:color w:val="auto"/>
          <w:szCs w:val="21"/>
          <w:highlight w:val="none"/>
        </w:rPr>
        <w:t>投标人近五年内（</w:t>
      </w:r>
      <w:r>
        <w:rPr>
          <w:rFonts w:hint="eastAsia"/>
          <w:color w:val="auto"/>
          <w:szCs w:val="21"/>
          <w:highlight w:val="none"/>
          <w:u w:val="single"/>
        </w:rPr>
        <w:t xml:space="preserve"> </w:t>
      </w:r>
      <w:r>
        <w:rPr>
          <w:color w:val="auto"/>
          <w:szCs w:val="21"/>
          <w:highlight w:val="none"/>
          <w:u w:val="single"/>
        </w:rPr>
        <w:t>2018</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color w:val="auto"/>
          <w:szCs w:val="21"/>
          <w:highlight w:val="none"/>
          <w:u w:val="single"/>
        </w:rPr>
        <w:t>1</w:t>
      </w:r>
      <w:r>
        <w:rPr>
          <w:rFonts w:hint="eastAsia"/>
          <w:color w:val="auto"/>
          <w:szCs w:val="21"/>
          <w:highlight w:val="none"/>
          <w:u w:val="single"/>
        </w:rPr>
        <w:t xml:space="preserve"> </w:t>
      </w:r>
      <w:r>
        <w:rPr>
          <w:rFonts w:hint="eastAsia"/>
          <w:color w:val="auto"/>
          <w:szCs w:val="21"/>
          <w:highlight w:val="none"/>
        </w:rPr>
        <w:t>月至今）曾完成过质量合格的</w:t>
      </w:r>
      <w:r>
        <w:rPr>
          <w:color w:val="auto"/>
          <w:szCs w:val="21"/>
          <w:highlight w:val="none"/>
          <w:u w:val="single"/>
        </w:rPr>
        <w:t xml:space="preserve"> </w:t>
      </w:r>
      <w:r>
        <w:rPr>
          <w:rFonts w:hint="eastAsia"/>
          <w:b/>
          <w:bCs/>
          <w:color w:val="auto"/>
          <w:szCs w:val="21"/>
          <w:highlight w:val="none"/>
          <w:u w:val="single"/>
        </w:rPr>
        <w:t xml:space="preserve">房屋建筑工程监理 </w:t>
      </w:r>
      <w:r>
        <w:rPr>
          <w:rFonts w:hint="eastAsia"/>
          <w:color w:val="auto"/>
          <w:szCs w:val="21"/>
          <w:highlight w:val="none"/>
        </w:rPr>
        <w:t>类似工程业绩。</w:t>
      </w:r>
    </w:p>
    <w:p>
      <w:pPr>
        <w:spacing w:line="360" w:lineRule="auto"/>
        <w:ind w:firstLine="420" w:firstLineChars="200"/>
        <w:rPr>
          <w:color w:val="auto"/>
          <w:szCs w:val="21"/>
          <w:highlight w:val="none"/>
        </w:rPr>
      </w:pPr>
      <w:r>
        <w:rPr>
          <w:rFonts w:hint="eastAsia"/>
          <w:color w:val="auto"/>
          <w:szCs w:val="21"/>
          <w:highlight w:val="none"/>
        </w:rPr>
        <w:t>总监理工程师须具备住建部颁发的中华人民共和国注册监理工程师执业证书，且其注册证书专业为</w:t>
      </w:r>
      <w:r>
        <w:rPr>
          <w:rFonts w:hint="eastAsia"/>
          <w:b/>
          <w:bCs/>
          <w:color w:val="auto"/>
          <w:szCs w:val="21"/>
          <w:highlight w:val="none"/>
          <w:u w:val="single"/>
        </w:rPr>
        <w:t xml:space="preserve"> </w:t>
      </w:r>
      <w:r>
        <w:rPr>
          <w:b/>
          <w:bCs/>
          <w:color w:val="auto"/>
          <w:highlight w:val="none"/>
          <w:u w:val="single"/>
        </w:rPr>
        <w:t>房屋建筑工程</w:t>
      </w:r>
      <w:r>
        <w:rPr>
          <w:rFonts w:hint="eastAsia"/>
          <w:b/>
          <w:bCs/>
          <w:color w:val="auto"/>
          <w:highlight w:val="none"/>
          <w:u w:val="none"/>
        </w:rPr>
        <w:t xml:space="preserve"> </w:t>
      </w:r>
      <w:r>
        <w:rPr>
          <w:rFonts w:hint="eastAsia"/>
          <w:b/>
          <w:bCs/>
          <w:color w:val="auto"/>
          <w:szCs w:val="21"/>
          <w:highlight w:val="none"/>
          <w:u w:val="none"/>
        </w:rPr>
        <w:t>,</w:t>
      </w:r>
      <w:r>
        <w:rPr>
          <w:rFonts w:hint="eastAsia"/>
          <w:color w:val="auto"/>
          <w:szCs w:val="21"/>
          <w:highlight w:val="none"/>
        </w:rPr>
        <w:t>注册执业单位为本公司。</w:t>
      </w:r>
    </w:p>
    <w:p>
      <w:pPr>
        <w:spacing w:line="360" w:lineRule="auto"/>
        <w:ind w:firstLine="420" w:firstLineChars="200"/>
        <w:rPr>
          <w:color w:val="auto"/>
          <w:szCs w:val="21"/>
          <w:highlight w:val="none"/>
        </w:rPr>
      </w:pPr>
      <w:r>
        <w:rPr>
          <w:rFonts w:hint="eastAsia"/>
          <w:color w:val="auto"/>
          <w:szCs w:val="21"/>
          <w:highlight w:val="none"/>
        </w:rPr>
        <w:t xml:space="preserve">3.3根据《广东省住房和城乡建设厅关于取消省外建筑企业和人员进粤信息备案有关工作的通知》（粤建市[2015]52号）要求，省外建筑企业需在“进粤企业和人员诚信信息登记平台”录入相关信息并通过数据规范检查，并在投标文件中提供企业基本信息、资质情况和驻粤技术管理人员情况信息（网上公开信息打印件）以备审查。 </w:t>
      </w:r>
    </w:p>
    <w:p>
      <w:pPr>
        <w:spacing w:line="360" w:lineRule="auto"/>
        <w:ind w:firstLine="420" w:firstLineChars="200"/>
        <w:jc w:val="left"/>
        <w:rPr>
          <w:rFonts w:hint="eastAsia" w:ascii="Arial" w:hAnsi="Arial" w:cs="Arial"/>
          <w:color w:val="auto"/>
          <w:kern w:val="0"/>
          <w:szCs w:val="21"/>
          <w:highlight w:val="none"/>
        </w:rPr>
      </w:pPr>
      <w:r>
        <w:rPr>
          <w:rFonts w:hint="eastAsia"/>
          <w:color w:val="auto"/>
          <w:highlight w:val="none"/>
        </w:rPr>
        <w:t>3.4</w:t>
      </w:r>
      <w:r>
        <w:rPr>
          <w:rFonts w:hint="eastAsia" w:ascii="Arial" w:hAnsi="Arial" w:cs="Arial"/>
          <w:color w:val="auto"/>
          <w:kern w:val="0"/>
          <w:szCs w:val="21"/>
          <w:highlight w:val="none"/>
        </w:rPr>
        <w:t>根据《江门市住房和城乡建设局关于江门市建筑业企业信用管理办法（修订版）》(江建〔2019〕</w:t>
      </w:r>
    </w:p>
    <w:p>
      <w:pPr>
        <w:spacing w:line="360" w:lineRule="auto"/>
        <w:ind w:firstLine="0" w:firstLineChars="0"/>
        <w:jc w:val="left"/>
        <w:rPr>
          <w:rFonts w:ascii="Arial" w:hAnsi="Arial" w:cs="Arial"/>
          <w:color w:val="auto"/>
          <w:kern w:val="0"/>
          <w:szCs w:val="21"/>
          <w:highlight w:val="none"/>
        </w:rPr>
      </w:pPr>
      <w:r>
        <w:rPr>
          <w:rFonts w:hint="eastAsia" w:ascii="Arial" w:hAnsi="Arial" w:cs="Arial"/>
          <w:color w:val="auto"/>
          <w:kern w:val="0"/>
          <w:szCs w:val="21"/>
          <w:highlight w:val="none"/>
        </w:rPr>
        <w:t>356 号)的相关规定，投标人须是被列入“</w:t>
      </w:r>
      <w:r>
        <w:rPr>
          <w:rFonts w:hint="eastAsia" w:ascii="宋体" w:hAnsi="宋体"/>
          <w:color w:val="auto"/>
          <w:szCs w:val="21"/>
          <w:highlight w:val="none"/>
        </w:rPr>
        <w:t>江门市建筑业企业信用管理信息系统</w:t>
      </w:r>
      <w:r>
        <w:rPr>
          <w:rFonts w:hint="eastAsia" w:ascii="Arial" w:hAnsi="Arial" w:cs="Arial"/>
          <w:color w:val="auto"/>
          <w:kern w:val="0"/>
          <w:szCs w:val="21"/>
          <w:highlight w:val="none"/>
        </w:rPr>
        <w:t>”</w:t>
      </w:r>
      <w:r>
        <w:rPr>
          <w:rFonts w:ascii="Arial" w:hAnsi="Arial" w:cs="Arial"/>
          <w:color w:val="auto"/>
          <w:kern w:val="0"/>
          <w:szCs w:val="21"/>
          <w:highlight w:val="none"/>
        </w:rPr>
        <w:t>信用等级为</w:t>
      </w:r>
      <w:r>
        <w:rPr>
          <w:rFonts w:hint="eastAsia" w:ascii="Arial" w:hAnsi="Arial" w:cs="Arial"/>
          <w:color w:val="auto"/>
          <w:kern w:val="0"/>
          <w:szCs w:val="21"/>
          <w:highlight w:val="none"/>
        </w:rPr>
        <w:t>C</w:t>
      </w:r>
      <w:r>
        <w:rPr>
          <w:rFonts w:ascii="Arial" w:hAnsi="Arial" w:cs="Arial"/>
          <w:color w:val="auto"/>
          <w:kern w:val="0"/>
          <w:szCs w:val="21"/>
          <w:highlight w:val="none"/>
        </w:rPr>
        <w:t>级</w:t>
      </w:r>
      <w:r>
        <w:rPr>
          <w:rFonts w:hint="eastAsia" w:ascii="Arial" w:hAnsi="Arial" w:cs="Arial"/>
          <w:color w:val="auto"/>
          <w:kern w:val="0"/>
          <w:szCs w:val="21"/>
          <w:highlight w:val="none"/>
        </w:rPr>
        <w:t>或以上</w:t>
      </w:r>
      <w:r>
        <w:rPr>
          <w:rFonts w:ascii="Arial" w:hAnsi="Arial" w:cs="Arial"/>
          <w:color w:val="auto"/>
          <w:kern w:val="0"/>
          <w:szCs w:val="21"/>
          <w:highlight w:val="none"/>
        </w:rPr>
        <w:t>的</w:t>
      </w:r>
      <w:r>
        <w:rPr>
          <w:rFonts w:hint="eastAsia" w:ascii="Arial" w:hAnsi="Arial" w:cs="Arial"/>
          <w:color w:val="auto"/>
          <w:kern w:val="0"/>
          <w:szCs w:val="21"/>
          <w:highlight w:val="none"/>
        </w:rPr>
        <w:t>企业。</w:t>
      </w:r>
    </w:p>
    <w:p>
      <w:pPr>
        <w:spacing w:line="360" w:lineRule="auto"/>
        <w:ind w:firstLine="420" w:firstLineChars="200"/>
        <w:jc w:val="left"/>
        <w:rPr>
          <w:color w:val="auto"/>
          <w:szCs w:val="21"/>
          <w:highlight w:val="none"/>
        </w:rPr>
      </w:pPr>
      <w:r>
        <w:rPr>
          <w:rFonts w:hint="eastAsia"/>
          <w:color w:val="auto"/>
          <w:szCs w:val="21"/>
          <w:highlight w:val="none"/>
        </w:rPr>
        <w:t>3.5 投标人拟派出的项目总监理工程师</w:t>
      </w:r>
      <w:r>
        <w:rPr>
          <w:rFonts w:hint="eastAsia"/>
          <w:color w:val="auto"/>
          <w:szCs w:val="21"/>
          <w:highlight w:val="none"/>
          <w:lang w:eastAsia="zh-CN"/>
        </w:rPr>
        <w:t>、技术负责人</w:t>
      </w:r>
      <w:r>
        <w:rPr>
          <w:rFonts w:hint="eastAsia"/>
          <w:color w:val="auto"/>
          <w:szCs w:val="21"/>
          <w:highlight w:val="none"/>
        </w:rPr>
        <w:t>须在投标文件中签字确认。</w:t>
      </w:r>
    </w:p>
    <w:p>
      <w:pPr>
        <w:spacing w:line="360" w:lineRule="auto"/>
        <w:ind w:firstLine="420" w:firstLineChars="200"/>
        <w:jc w:val="left"/>
        <w:rPr>
          <w:color w:val="auto"/>
          <w:szCs w:val="21"/>
          <w:highlight w:val="none"/>
        </w:rPr>
      </w:pPr>
      <w:r>
        <w:rPr>
          <w:rFonts w:hint="eastAsia"/>
          <w:color w:val="auto"/>
          <w:szCs w:val="21"/>
          <w:highlight w:val="none"/>
        </w:rPr>
        <w:t>3.6取得香港工程建设咨询从业资格的企业和执业资格的专业人士，按照《广东省住房和城乡建设厅关于印发香港工程咨询企业和专业人士在粤港澳大湾区内地城市开业执业试点管理暂行办法的通知》规定备案，且备案信息已在广东省建设信息网公布，可以在我市范围内开业执业，为市场主体直接提供服务。经备案的香港企业和香港专业人士应当在备案的业务范围内开业执业。</w:t>
      </w:r>
    </w:p>
    <w:p>
      <w:pPr>
        <w:spacing w:line="360" w:lineRule="auto"/>
        <w:ind w:firstLine="420" w:firstLineChars="200"/>
        <w:jc w:val="left"/>
        <w:rPr>
          <w:rFonts w:hint="eastAsia"/>
          <w:color w:val="auto"/>
          <w:szCs w:val="21"/>
          <w:highlight w:val="none"/>
        </w:rPr>
      </w:pPr>
      <w:r>
        <w:rPr>
          <w:rFonts w:hint="eastAsia"/>
          <w:color w:val="auto"/>
          <w:szCs w:val="21"/>
          <w:highlight w:val="none"/>
        </w:rPr>
        <w:t>3.7 本项目不接受联合体投标。</w:t>
      </w:r>
    </w:p>
    <w:p>
      <w:pPr>
        <w:spacing w:line="360" w:lineRule="auto"/>
        <w:ind w:firstLine="420" w:firstLineChars="200"/>
        <w:jc w:val="left"/>
        <w:rPr>
          <w:rFonts w:ascii="Arial" w:hAnsi="Arial" w:cs="Arial"/>
          <w:color w:val="auto"/>
          <w:kern w:val="0"/>
          <w:szCs w:val="21"/>
          <w:highlight w:val="none"/>
        </w:rPr>
      </w:pPr>
      <w:r>
        <w:rPr>
          <w:rFonts w:hint="eastAsia"/>
          <w:color w:val="auto"/>
          <w:szCs w:val="21"/>
          <w:highlight w:val="none"/>
        </w:rPr>
        <w:t>4、凡有意参加投标者，请于</w:t>
      </w:r>
      <w:r>
        <w:rPr>
          <w:rFonts w:hint="eastAsia"/>
          <w:color w:val="auto"/>
          <w:szCs w:val="21"/>
          <w:highlight w:val="none"/>
          <w:u w:val="single"/>
        </w:rPr>
        <w:t>2023年5月26日1</w:t>
      </w:r>
      <w:r>
        <w:rPr>
          <w:rFonts w:hint="eastAsia"/>
          <w:color w:val="auto"/>
          <w:szCs w:val="21"/>
          <w:highlight w:val="none"/>
          <w:u w:val="single"/>
          <w:lang w:val="en-US" w:eastAsia="zh-CN"/>
        </w:rPr>
        <w:t>8</w:t>
      </w:r>
      <w:r>
        <w:rPr>
          <w:rFonts w:hint="eastAsia"/>
          <w:color w:val="auto"/>
          <w:szCs w:val="21"/>
          <w:highlight w:val="none"/>
          <w:u w:val="single"/>
        </w:rPr>
        <w:t>时</w:t>
      </w:r>
      <w:r>
        <w:rPr>
          <w:rFonts w:hint="eastAsia"/>
          <w:color w:val="auto"/>
          <w:szCs w:val="21"/>
          <w:highlight w:val="none"/>
          <w:u w:val="single"/>
          <w:lang w:val="en-US" w:eastAsia="zh-CN"/>
        </w:rPr>
        <w:t>0</w:t>
      </w:r>
      <w:r>
        <w:rPr>
          <w:rFonts w:hint="eastAsia"/>
          <w:color w:val="auto"/>
          <w:szCs w:val="21"/>
          <w:highlight w:val="none"/>
          <w:u w:val="single"/>
        </w:rPr>
        <w:t>0分至 2023年6月16日 9 时 00 分</w:t>
      </w:r>
      <w:r>
        <w:rPr>
          <w:rFonts w:hint="eastAsia"/>
          <w:color w:val="auto"/>
          <w:szCs w:val="21"/>
          <w:highlight w:val="none"/>
        </w:rPr>
        <w:t>（北京时间，详见广州公共资源交易中心日程安排），在广州公共资源交易中心网站上获取招标文件，网址：http://www.gzggzy.cn/。（详见广州市公共资源交易中心网站日程安排）。</w:t>
      </w:r>
    </w:p>
    <w:p>
      <w:pPr>
        <w:spacing w:line="360" w:lineRule="auto"/>
        <w:ind w:firstLine="420" w:firstLineChars="200"/>
        <w:jc w:val="left"/>
        <w:rPr>
          <w:color w:val="auto"/>
          <w:szCs w:val="21"/>
          <w:highlight w:val="none"/>
        </w:rPr>
      </w:pPr>
      <w:r>
        <w:rPr>
          <w:rFonts w:hint="eastAsia"/>
          <w:color w:val="auto"/>
          <w:szCs w:val="21"/>
          <w:highlight w:val="none"/>
        </w:rPr>
        <w:t>4.1招标文件获取方式：招标公告网上发布时，同时发布招标文件等相关资料。（投标人自行登录广州公共资源交易中心网下载相关资料）</w:t>
      </w:r>
    </w:p>
    <w:p>
      <w:pPr>
        <w:spacing w:line="360" w:lineRule="auto"/>
        <w:ind w:firstLine="420" w:firstLineChars="200"/>
        <w:jc w:val="left"/>
        <w:rPr>
          <w:color w:val="auto"/>
          <w:highlight w:val="none"/>
        </w:rPr>
      </w:pPr>
      <w:r>
        <w:rPr>
          <w:rFonts w:hint="eastAsia"/>
          <w:color w:val="auto"/>
          <w:szCs w:val="21"/>
          <w:highlight w:val="none"/>
        </w:rPr>
        <w:t>4.2</w:t>
      </w:r>
      <w:r>
        <w:rPr>
          <w:color w:val="auto"/>
          <w:highlight w:val="none"/>
        </w:rPr>
        <w:t>办理 CA 锁的投标人，应按照《广州公共资源交易中心办事指引》的要求，前往广州公共资源交易中心办理 CA 锁。相关文件下载网址：广州公共资源交易中心 http://www.gzggzy.cn/。</w:t>
      </w:r>
    </w:p>
    <w:p>
      <w:pPr>
        <w:spacing w:line="360" w:lineRule="auto"/>
        <w:ind w:firstLine="420" w:firstLineChars="200"/>
        <w:jc w:val="left"/>
        <w:rPr>
          <w:color w:val="auto"/>
          <w:szCs w:val="21"/>
          <w:highlight w:val="none"/>
        </w:rPr>
      </w:pPr>
      <w:r>
        <w:rPr>
          <w:rFonts w:hint="eastAsia"/>
          <w:color w:val="auto"/>
          <w:szCs w:val="21"/>
          <w:highlight w:val="none"/>
        </w:rPr>
        <w:t>5、投标文件按招标文件要求密封后，于</w:t>
      </w:r>
      <w:r>
        <w:rPr>
          <w:rFonts w:hint="eastAsia"/>
          <w:color w:val="auto"/>
          <w:szCs w:val="21"/>
          <w:highlight w:val="none"/>
          <w:u w:val="single"/>
        </w:rPr>
        <w:t xml:space="preserve">  </w:t>
      </w:r>
      <w:r>
        <w:rPr>
          <w:rFonts w:hint="eastAsia"/>
          <w:color w:val="auto"/>
          <w:szCs w:val="21"/>
          <w:highlight w:val="none"/>
          <w:u w:val="single"/>
          <w:lang w:val="en-US" w:eastAsia="zh-CN"/>
        </w:rPr>
        <w:t>2023</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u w:val="single"/>
          <w:lang w:val="en-US" w:eastAsia="zh-CN"/>
        </w:rPr>
        <w:t>6</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u w:val="single"/>
          <w:lang w:val="en-US" w:eastAsia="zh-CN"/>
        </w:rPr>
        <w:t>16</w:t>
      </w:r>
      <w:r>
        <w:rPr>
          <w:rFonts w:hint="eastAsia"/>
          <w:color w:val="auto"/>
          <w:szCs w:val="21"/>
          <w:highlight w:val="none"/>
          <w:u w:val="single"/>
        </w:rPr>
        <w:t xml:space="preserve"> </w:t>
      </w:r>
      <w:r>
        <w:rPr>
          <w:rFonts w:hint="eastAsia"/>
          <w:color w:val="auto"/>
          <w:szCs w:val="21"/>
          <w:highlight w:val="none"/>
        </w:rPr>
        <w:t>日</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r>
        <w:rPr>
          <w:rFonts w:hint="eastAsia"/>
          <w:color w:val="auto"/>
          <w:szCs w:val="21"/>
          <w:highlight w:val="none"/>
        </w:rPr>
        <w:t>时</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r>
        <w:rPr>
          <w:rFonts w:hint="eastAsia"/>
          <w:color w:val="auto"/>
          <w:szCs w:val="21"/>
          <w:highlight w:val="none"/>
        </w:rPr>
        <w:t xml:space="preserve">分以前送至广州公共资源交易中心开标室(具体开标室请投标人自行登录广州公共资源交易中心网查询，下同)，逾期送达的或不符合规定的投标文件将被拒绝。 </w:t>
      </w:r>
    </w:p>
    <w:p>
      <w:pPr>
        <w:spacing w:line="360" w:lineRule="auto"/>
        <w:ind w:firstLine="420" w:firstLineChars="200"/>
        <w:rPr>
          <w:color w:val="auto"/>
          <w:szCs w:val="21"/>
          <w:highlight w:val="none"/>
        </w:rPr>
      </w:pPr>
      <w:r>
        <w:rPr>
          <w:rFonts w:hint="eastAsia"/>
          <w:color w:val="auto"/>
          <w:szCs w:val="21"/>
          <w:highlight w:val="none"/>
        </w:rPr>
        <w:t>6、其他要求</w:t>
      </w:r>
      <w:bookmarkStart w:id="35" w:name="_GoBack"/>
      <w:bookmarkEnd w:id="35"/>
    </w:p>
    <w:p>
      <w:pPr>
        <w:spacing w:line="360" w:lineRule="auto"/>
        <w:ind w:firstLine="420" w:firstLineChars="200"/>
        <w:rPr>
          <w:rFonts w:hint="eastAsia"/>
          <w:color w:val="auto"/>
          <w:szCs w:val="21"/>
          <w:highlight w:val="none"/>
        </w:rPr>
      </w:pPr>
      <w:r>
        <w:rPr>
          <w:rFonts w:hint="eastAsia"/>
          <w:color w:val="auto"/>
          <w:szCs w:val="21"/>
          <w:highlight w:val="none"/>
        </w:rPr>
        <w:t>投标登记时间：</w:t>
      </w:r>
      <w:r>
        <w:rPr>
          <w:rFonts w:hint="eastAsia"/>
          <w:color w:val="auto"/>
          <w:szCs w:val="21"/>
          <w:highlight w:val="none"/>
          <w:lang w:val="en-US" w:eastAsia="zh-CN"/>
        </w:rPr>
        <w:t>2023</w:t>
      </w:r>
      <w:r>
        <w:rPr>
          <w:rFonts w:hint="eastAsia"/>
          <w:color w:val="auto"/>
          <w:szCs w:val="21"/>
          <w:highlight w:val="none"/>
        </w:rPr>
        <w:t>年</w:t>
      </w:r>
      <w:r>
        <w:rPr>
          <w:rFonts w:hint="eastAsia"/>
          <w:color w:val="auto"/>
          <w:szCs w:val="21"/>
          <w:highlight w:val="none"/>
          <w:lang w:val="en-US" w:eastAsia="zh-CN"/>
        </w:rPr>
        <w:t>5</w:t>
      </w:r>
      <w:r>
        <w:rPr>
          <w:rFonts w:hint="eastAsia"/>
          <w:color w:val="auto"/>
          <w:szCs w:val="21"/>
          <w:highlight w:val="none"/>
        </w:rPr>
        <w:t>月</w:t>
      </w:r>
      <w:r>
        <w:rPr>
          <w:rFonts w:hint="eastAsia"/>
          <w:color w:val="auto"/>
          <w:szCs w:val="21"/>
          <w:highlight w:val="none"/>
          <w:lang w:val="en-US" w:eastAsia="zh-CN"/>
        </w:rPr>
        <w:t>26</w:t>
      </w:r>
      <w:r>
        <w:rPr>
          <w:rFonts w:hint="eastAsia"/>
          <w:color w:val="auto"/>
          <w:szCs w:val="21"/>
          <w:highlight w:val="none"/>
        </w:rPr>
        <w:t>日</w:t>
      </w:r>
      <w:r>
        <w:rPr>
          <w:rFonts w:hint="eastAsia"/>
          <w:color w:val="auto"/>
          <w:szCs w:val="21"/>
          <w:highlight w:val="none"/>
          <w:lang w:val="en-US" w:eastAsia="zh-CN"/>
        </w:rPr>
        <w:t>18</w:t>
      </w:r>
      <w:r>
        <w:rPr>
          <w:rFonts w:hint="eastAsia"/>
          <w:color w:val="auto"/>
          <w:szCs w:val="21"/>
          <w:highlight w:val="none"/>
        </w:rPr>
        <w:t>时</w:t>
      </w:r>
      <w:r>
        <w:rPr>
          <w:rFonts w:hint="eastAsia"/>
          <w:color w:val="auto"/>
          <w:szCs w:val="21"/>
          <w:highlight w:val="none"/>
          <w:lang w:val="en-US" w:eastAsia="zh-CN"/>
        </w:rPr>
        <w:t>00</w:t>
      </w:r>
      <w:r>
        <w:rPr>
          <w:rFonts w:hint="eastAsia"/>
          <w:color w:val="auto"/>
          <w:szCs w:val="21"/>
          <w:highlight w:val="none"/>
        </w:rPr>
        <w:t>分至</w:t>
      </w:r>
      <w:r>
        <w:rPr>
          <w:rFonts w:hint="eastAsia"/>
          <w:color w:val="auto"/>
          <w:szCs w:val="21"/>
          <w:highlight w:val="none"/>
          <w:lang w:val="en-US" w:eastAsia="zh-CN"/>
        </w:rPr>
        <w:t xml:space="preserve">2023 </w:t>
      </w:r>
      <w:r>
        <w:rPr>
          <w:rFonts w:hint="eastAsia"/>
          <w:color w:val="auto"/>
          <w:szCs w:val="21"/>
          <w:highlight w:val="none"/>
        </w:rPr>
        <w:t>年</w:t>
      </w:r>
      <w:r>
        <w:rPr>
          <w:rFonts w:hint="eastAsia"/>
          <w:color w:val="auto"/>
          <w:szCs w:val="21"/>
          <w:highlight w:val="none"/>
          <w:lang w:val="en-US" w:eastAsia="zh-CN"/>
        </w:rPr>
        <w:t>6</w:t>
      </w:r>
      <w:r>
        <w:rPr>
          <w:rFonts w:hint="eastAsia"/>
          <w:color w:val="auto"/>
          <w:szCs w:val="21"/>
          <w:highlight w:val="none"/>
        </w:rPr>
        <w:t>月</w:t>
      </w:r>
      <w:r>
        <w:rPr>
          <w:rFonts w:hint="eastAsia"/>
          <w:color w:val="auto"/>
          <w:szCs w:val="21"/>
          <w:highlight w:val="none"/>
          <w:lang w:val="en-US" w:eastAsia="zh-CN"/>
        </w:rPr>
        <w:t>16</w:t>
      </w:r>
      <w:r>
        <w:rPr>
          <w:rFonts w:hint="eastAsia"/>
          <w:color w:val="auto"/>
          <w:szCs w:val="21"/>
          <w:highlight w:val="none"/>
        </w:rPr>
        <w:t>日</w:t>
      </w:r>
      <w:r>
        <w:rPr>
          <w:rFonts w:hint="eastAsia"/>
          <w:color w:val="auto"/>
          <w:szCs w:val="21"/>
          <w:highlight w:val="none"/>
          <w:lang w:val="en-US" w:eastAsia="zh-CN"/>
        </w:rPr>
        <w:t>9</w:t>
      </w:r>
      <w:r>
        <w:rPr>
          <w:rFonts w:hint="eastAsia"/>
          <w:color w:val="auto"/>
          <w:szCs w:val="21"/>
          <w:highlight w:val="none"/>
        </w:rPr>
        <w:t>时</w:t>
      </w:r>
      <w:r>
        <w:rPr>
          <w:rFonts w:hint="eastAsia"/>
          <w:color w:val="auto"/>
          <w:szCs w:val="21"/>
          <w:highlight w:val="none"/>
          <w:lang w:val="en-US" w:eastAsia="zh-CN"/>
        </w:rPr>
        <w:t>00</w:t>
      </w:r>
      <w:r>
        <w:rPr>
          <w:rFonts w:hint="eastAsia"/>
          <w:color w:val="auto"/>
          <w:szCs w:val="21"/>
          <w:highlight w:val="none"/>
        </w:rPr>
        <w:t>分。</w:t>
      </w:r>
    </w:p>
    <w:p>
      <w:pPr>
        <w:spacing w:line="360" w:lineRule="auto"/>
        <w:ind w:firstLine="420" w:firstLineChars="200"/>
        <w:jc w:val="left"/>
        <w:rPr>
          <w:color w:val="auto"/>
          <w:szCs w:val="21"/>
          <w:highlight w:val="none"/>
        </w:rPr>
      </w:pPr>
      <w:r>
        <w:rPr>
          <w:rFonts w:hint="eastAsia"/>
          <w:color w:val="auto"/>
          <w:szCs w:val="21"/>
          <w:highlight w:val="none"/>
        </w:rPr>
        <w:t>投标人提出问题的截止时间：</w:t>
      </w:r>
      <w:r>
        <w:rPr>
          <w:rFonts w:hint="eastAsia"/>
          <w:color w:val="auto"/>
          <w:szCs w:val="21"/>
          <w:highlight w:val="none"/>
          <w:lang w:val="en-US" w:eastAsia="zh-CN"/>
        </w:rPr>
        <w:t>2023</w:t>
      </w:r>
      <w:r>
        <w:rPr>
          <w:rFonts w:hint="eastAsia"/>
          <w:color w:val="auto"/>
          <w:szCs w:val="21"/>
          <w:highlight w:val="none"/>
        </w:rPr>
        <w:t>年</w:t>
      </w:r>
      <w:r>
        <w:rPr>
          <w:rFonts w:hint="eastAsia"/>
          <w:color w:val="auto"/>
          <w:szCs w:val="21"/>
          <w:highlight w:val="none"/>
          <w:lang w:val="en-US" w:eastAsia="zh-CN"/>
        </w:rPr>
        <w:t>5</w:t>
      </w:r>
      <w:r>
        <w:rPr>
          <w:rFonts w:hint="eastAsia"/>
          <w:color w:val="auto"/>
          <w:szCs w:val="21"/>
          <w:highlight w:val="none"/>
        </w:rPr>
        <w:t>月</w:t>
      </w:r>
      <w:r>
        <w:rPr>
          <w:rFonts w:hint="eastAsia"/>
          <w:color w:val="auto"/>
          <w:szCs w:val="21"/>
          <w:highlight w:val="none"/>
          <w:lang w:val="en-US" w:eastAsia="zh-CN"/>
        </w:rPr>
        <w:t>30</w:t>
      </w:r>
      <w:r>
        <w:rPr>
          <w:rFonts w:hint="eastAsia"/>
          <w:color w:val="auto"/>
          <w:szCs w:val="21"/>
          <w:highlight w:val="none"/>
        </w:rPr>
        <w:t>日</w:t>
      </w:r>
      <w:r>
        <w:rPr>
          <w:rFonts w:hint="eastAsia"/>
          <w:color w:val="auto"/>
          <w:szCs w:val="21"/>
          <w:highlight w:val="none"/>
          <w:lang w:val="en-US" w:eastAsia="zh-CN"/>
        </w:rPr>
        <w:t>17</w:t>
      </w:r>
      <w:r>
        <w:rPr>
          <w:rFonts w:hint="eastAsia"/>
          <w:color w:val="auto"/>
          <w:szCs w:val="21"/>
          <w:highlight w:val="none"/>
        </w:rPr>
        <w:t>时</w:t>
      </w:r>
      <w:r>
        <w:rPr>
          <w:rFonts w:hint="eastAsia"/>
          <w:color w:val="auto"/>
          <w:szCs w:val="21"/>
          <w:highlight w:val="none"/>
          <w:lang w:val="en-US" w:eastAsia="zh-CN"/>
        </w:rPr>
        <w:t>30</w:t>
      </w:r>
      <w:r>
        <w:rPr>
          <w:rFonts w:hint="eastAsia"/>
          <w:color w:val="auto"/>
          <w:szCs w:val="21"/>
          <w:highlight w:val="none"/>
        </w:rPr>
        <w:t xml:space="preserve">分。      </w:t>
      </w:r>
    </w:p>
    <w:p>
      <w:pPr>
        <w:spacing w:line="360" w:lineRule="auto"/>
        <w:ind w:firstLine="420" w:firstLineChars="200"/>
        <w:jc w:val="left"/>
        <w:rPr>
          <w:color w:val="auto"/>
          <w:szCs w:val="21"/>
          <w:highlight w:val="none"/>
        </w:rPr>
      </w:pPr>
      <w:r>
        <w:rPr>
          <w:rFonts w:hint="eastAsia"/>
          <w:color w:val="auto"/>
          <w:szCs w:val="21"/>
          <w:highlight w:val="none"/>
        </w:rPr>
        <w:t>招标人澄清的截止时间：</w:t>
      </w:r>
      <w:r>
        <w:rPr>
          <w:rFonts w:hint="eastAsia"/>
          <w:color w:val="auto"/>
          <w:szCs w:val="21"/>
          <w:highlight w:val="none"/>
          <w:lang w:val="en-US" w:eastAsia="zh-CN"/>
        </w:rPr>
        <w:t>2023</w:t>
      </w:r>
      <w:r>
        <w:rPr>
          <w:rFonts w:hint="eastAsia"/>
          <w:color w:val="auto"/>
          <w:szCs w:val="21"/>
          <w:highlight w:val="none"/>
        </w:rPr>
        <w:t>年</w:t>
      </w:r>
      <w:r>
        <w:rPr>
          <w:rFonts w:hint="eastAsia"/>
          <w:color w:val="auto"/>
          <w:szCs w:val="21"/>
          <w:highlight w:val="none"/>
          <w:lang w:val="en-US" w:eastAsia="zh-CN"/>
        </w:rPr>
        <w:t>5</w:t>
      </w:r>
      <w:r>
        <w:rPr>
          <w:rFonts w:hint="eastAsia"/>
          <w:color w:val="auto"/>
          <w:szCs w:val="21"/>
          <w:highlight w:val="none"/>
        </w:rPr>
        <w:t>月</w:t>
      </w:r>
      <w:r>
        <w:rPr>
          <w:rFonts w:hint="eastAsia"/>
          <w:color w:val="auto"/>
          <w:szCs w:val="21"/>
          <w:highlight w:val="none"/>
          <w:lang w:val="en-US" w:eastAsia="zh-CN"/>
        </w:rPr>
        <w:t>31</w:t>
      </w:r>
      <w:r>
        <w:rPr>
          <w:rFonts w:hint="eastAsia"/>
          <w:color w:val="auto"/>
          <w:szCs w:val="21"/>
          <w:highlight w:val="none"/>
        </w:rPr>
        <w:t>日</w:t>
      </w:r>
      <w:r>
        <w:rPr>
          <w:rFonts w:hint="eastAsia"/>
          <w:color w:val="auto"/>
          <w:szCs w:val="21"/>
          <w:highlight w:val="none"/>
          <w:lang w:val="en-US" w:eastAsia="zh-CN"/>
        </w:rPr>
        <w:t>17</w:t>
      </w:r>
      <w:r>
        <w:rPr>
          <w:rFonts w:hint="eastAsia"/>
          <w:color w:val="auto"/>
          <w:szCs w:val="21"/>
          <w:highlight w:val="none"/>
        </w:rPr>
        <w:t>时</w:t>
      </w:r>
      <w:r>
        <w:rPr>
          <w:rFonts w:hint="eastAsia"/>
          <w:color w:val="auto"/>
          <w:szCs w:val="21"/>
          <w:highlight w:val="none"/>
          <w:lang w:val="en-US" w:eastAsia="zh-CN"/>
        </w:rPr>
        <w:t>30</w:t>
      </w:r>
      <w:r>
        <w:rPr>
          <w:rFonts w:hint="eastAsia"/>
          <w:color w:val="auto"/>
          <w:szCs w:val="21"/>
          <w:highlight w:val="none"/>
        </w:rPr>
        <w:t>分。</w:t>
      </w:r>
    </w:p>
    <w:p>
      <w:pPr>
        <w:spacing w:line="360" w:lineRule="auto"/>
        <w:ind w:firstLine="420" w:firstLineChars="200"/>
        <w:jc w:val="left"/>
        <w:rPr>
          <w:color w:val="auto"/>
          <w:szCs w:val="21"/>
          <w:highlight w:val="none"/>
        </w:rPr>
      </w:pPr>
      <w:r>
        <w:rPr>
          <w:rFonts w:hint="eastAsia"/>
          <w:color w:val="auto"/>
          <w:szCs w:val="21"/>
          <w:highlight w:val="none"/>
        </w:rPr>
        <w:t>投标人要求澄清招标文件的截止时间：</w:t>
      </w:r>
      <w:r>
        <w:rPr>
          <w:rFonts w:hint="eastAsia"/>
          <w:color w:val="auto"/>
          <w:szCs w:val="21"/>
          <w:highlight w:val="none"/>
          <w:lang w:val="en-US" w:eastAsia="zh-CN"/>
        </w:rPr>
        <w:t>2023</w:t>
      </w:r>
      <w:r>
        <w:rPr>
          <w:rFonts w:hint="eastAsia"/>
          <w:color w:val="auto"/>
          <w:szCs w:val="21"/>
          <w:highlight w:val="none"/>
        </w:rPr>
        <w:t>年</w:t>
      </w:r>
      <w:r>
        <w:rPr>
          <w:rFonts w:hint="eastAsia"/>
          <w:color w:val="auto"/>
          <w:szCs w:val="21"/>
          <w:highlight w:val="none"/>
          <w:lang w:val="en-US" w:eastAsia="zh-CN"/>
        </w:rPr>
        <w:t>5</w:t>
      </w:r>
      <w:r>
        <w:rPr>
          <w:rFonts w:hint="eastAsia"/>
          <w:color w:val="auto"/>
          <w:szCs w:val="21"/>
          <w:highlight w:val="none"/>
        </w:rPr>
        <w:t>月</w:t>
      </w:r>
      <w:r>
        <w:rPr>
          <w:rFonts w:hint="eastAsia"/>
          <w:color w:val="auto"/>
          <w:szCs w:val="21"/>
          <w:highlight w:val="none"/>
          <w:lang w:val="en-US" w:eastAsia="zh-CN"/>
        </w:rPr>
        <w:t>30</w:t>
      </w:r>
      <w:r>
        <w:rPr>
          <w:rFonts w:hint="eastAsia"/>
          <w:color w:val="auto"/>
          <w:szCs w:val="21"/>
          <w:highlight w:val="none"/>
        </w:rPr>
        <w:t>日</w:t>
      </w:r>
      <w:r>
        <w:rPr>
          <w:rFonts w:hint="eastAsia"/>
          <w:color w:val="auto"/>
          <w:szCs w:val="21"/>
          <w:highlight w:val="none"/>
          <w:lang w:val="en-US" w:eastAsia="zh-CN"/>
        </w:rPr>
        <w:t>17</w:t>
      </w:r>
      <w:r>
        <w:rPr>
          <w:rFonts w:hint="eastAsia"/>
          <w:color w:val="auto"/>
          <w:szCs w:val="21"/>
          <w:highlight w:val="none"/>
        </w:rPr>
        <w:t>时</w:t>
      </w:r>
      <w:r>
        <w:rPr>
          <w:rFonts w:hint="eastAsia"/>
          <w:color w:val="auto"/>
          <w:szCs w:val="21"/>
          <w:highlight w:val="none"/>
          <w:lang w:val="en-US" w:eastAsia="zh-CN"/>
        </w:rPr>
        <w:t>30</w:t>
      </w:r>
      <w:r>
        <w:rPr>
          <w:rFonts w:hint="eastAsia"/>
          <w:color w:val="auto"/>
          <w:szCs w:val="21"/>
          <w:highlight w:val="none"/>
        </w:rPr>
        <w:t>分。</w:t>
      </w:r>
    </w:p>
    <w:p>
      <w:pPr>
        <w:spacing w:line="360" w:lineRule="auto"/>
        <w:ind w:firstLine="420" w:firstLineChars="200"/>
        <w:jc w:val="left"/>
        <w:rPr>
          <w:color w:val="auto"/>
          <w:szCs w:val="21"/>
          <w:highlight w:val="none"/>
        </w:rPr>
      </w:pPr>
      <w:r>
        <w:rPr>
          <w:rFonts w:hint="eastAsia"/>
          <w:color w:val="auto"/>
          <w:szCs w:val="21"/>
          <w:highlight w:val="none"/>
        </w:rPr>
        <w:t>踏勘现场时间：</w:t>
      </w:r>
      <w:r>
        <w:rPr>
          <w:rFonts w:hint="eastAsia"/>
          <w:color w:val="auto"/>
          <w:szCs w:val="21"/>
          <w:highlight w:val="none"/>
          <w:lang w:val="en-US" w:eastAsia="zh-CN"/>
        </w:rPr>
        <w:t xml:space="preserve"> / </w:t>
      </w:r>
      <w:r>
        <w:rPr>
          <w:rFonts w:hint="eastAsia"/>
          <w:color w:val="auto"/>
          <w:szCs w:val="21"/>
          <w:highlight w:val="none"/>
        </w:rPr>
        <w:t>年</w:t>
      </w:r>
      <w:r>
        <w:rPr>
          <w:rFonts w:hint="eastAsia"/>
          <w:color w:val="auto"/>
          <w:szCs w:val="21"/>
          <w:highlight w:val="none"/>
          <w:lang w:val="en-US" w:eastAsia="zh-CN"/>
        </w:rPr>
        <w:t xml:space="preserve"> / </w:t>
      </w:r>
      <w:r>
        <w:rPr>
          <w:rFonts w:hint="eastAsia"/>
          <w:color w:val="auto"/>
          <w:szCs w:val="21"/>
          <w:highlight w:val="none"/>
        </w:rPr>
        <w:t>月</w:t>
      </w:r>
      <w:r>
        <w:rPr>
          <w:rFonts w:hint="eastAsia"/>
          <w:color w:val="auto"/>
          <w:szCs w:val="21"/>
          <w:highlight w:val="none"/>
          <w:lang w:val="en-US" w:eastAsia="zh-CN"/>
        </w:rPr>
        <w:t xml:space="preserve"> / </w:t>
      </w:r>
      <w:r>
        <w:rPr>
          <w:rFonts w:hint="eastAsia"/>
          <w:color w:val="auto"/>
          <w:szCs w:val="21"/>
          <w:highlight w:val="none"/>
        </w:rPr>
        <w:t xml:space="preserve">日前。 </w:t>
      </w:r>
    </w:p>
    <w:p>
      <w:pPr>
        <w:spacing w:line="360" w:lineRule="auto"/>
        <w:ind w:firstLine="420" w:firstLineChars="200"/>
        <w:jc w:val="left"/>
        <w:rPr>
          <w:color w:val="auto"/>
          <w:szCs w:val="21"/>
          <w:highlight w:val="none"/>
        </w:rPr>
      </w:pPr>
      <w:r>
        <w:rPr>
          <w:rFonts w:hint="eastAsia"/>
          <w:color w:val="auto"/>
          <w:szCs w:val="21"/>
          <w:highlight w:val="none"/>
        </w:rPr>
        <w:t>投标保证金到账截止时间：</w:t>
      </w:r>
      <w:r>
        <w:rPr>
          <w:rFonts w:hint="eastAsia"/>
          <w:color w:val="auto"/>
          <w:szCs w:val="21"/>
          <w:highlight w:val="none"/>
          <w:lang w:val="en-US" w:eastAsia="zh-CN"/>
        </w:rPr>
        <w:t>2023</w:t>
      </w:r>
      <w:r>
        <w:rPr>
          <w:rFonts w:hint="eastAsia"/>
          <w:color w:val="auto"/>
          <w:szCs w:val="21"/>
          <w:highlight w:val="none"/>
        </w:rPr>
        <w:t>年</w:t>
      </w:r>
      <w:r>
        <w:rPr>
          <w:rFonts w:hint="eastAsia"/>
          <w:color w:val="auto"/>
          <w:szCs w:val="21"/>
          <w:highlight w:val="none"/>
          <w:lang w:val="en-US" w:eastAsia="zh-CN"/>
        </w:rPr>
        <w:t>6</w:t>
      </w:r>
      <w:r>
        <w:rPr>
          <w:rFonts w:hint="eastAsia"/>
          <w:color w:val="auto"/>
          <w:szCs w:val="21"/>
          <w:highlight w:val="none"/>
        </w:rPr>
        <w:t>月</w:t>
      </w:r>
      <w:r>
        <w:rPr>
          <w:rFonts w:hint="eastAsia"/>
          <w:color w:val="auto"/>
          <w:szCs w:val="21"/>
          <w:highlight w:val="none"/>
          <w:lang w:val="en-US" w:eastAsia="zh-CN"/>
        </w:rPr>
        <w:t>15</w:t>
      </w:r>
      <w:r>
        <w:rPr>
          <w:rFonts w:hint="eastAsia"/>
          <w:color w:val="auto"/>
          <w:szCs w:val="21"/>
          <w:highlight w:val="none"/>
        </w:rPr>
        <w:t>日</w:t>
      </w:r>
      <w:r>
        <w:rPr>
          <w:rFonts w:hint="eastAsia"/>
          <w:color w:val="auto"/>
          <w:szCs w:val="21"/>
          <w:highlight w:val="none"/>
          <w:lang w:val="en-US" w:eastAsia="zh-CN"/>
        </w:rPr>
        <w:t>17</w:t>
      </w:r>
      <w:r>
        <w:rPr>
          <w:rFonts w:hint="eastAsia"/>
          <w:color w:val="auto"/>
          <w:szCs w:val="21"/>
          <w:highlight w:val="none"/>
        </w:rPr>
        <w:t xml:space="preserve"> 时</w:t>
      </w:r>
      <w:r>
        <w:rPr>
          <w:rFonts w:hint="eastAsia"/>
          <w:color w:val="auto"/>
          <w:szCs w:val="21"/>
          <w:highlight w:val="none"/>
          <w:lang w:val="en-US" w:eastAsia="zh-CN"/>
        </w:rPr>
        <w:t>00</w:t>
      </w:r>
      <w:r>
        <w:rPr>
          <w:rFonts w:hint="eastAsia"/>
          <w:color w:val="auto"/>
          <w:szCs w:val="21"/>
          <w:highlight w:val="none"/>
        </w:rPr>
        <w:t>分。</w:t>
      </w:r>
    </w:p>
    <w:p>
      <w:pPr>
        <w:spacing w:line="360" w:lineRule="auto"/>
        <w:ind w:firstLine="420" w:firstLineChars="200"/>
        <w:jc w:val="left"/>
        <w:rPr>
          <w:color w:val="auto"/>
          <w:szCs w:val="21"/>
          <w:highlight w:val="none"/>
        </w:rPr>
      </w:pPr>
      <w:r>
        <w:rPr>
          <w:rFonts w:hint="eastAsia"/>
          <w:color w:val="auto"/>
          <w:szCs w:val="21"/>
          <w:highlight w:val="none"/>
        </w:rPr>
        <w:t>投标保证金允许使用保证保险形式。</w:t>
      </w:r>
    </w:p>
    <w:p>
      <w:pPr>
        <w:spacing w:line="360" w:lineRule="auto"/>
        <w:ind w:firstLine="420" w:firstLineChars="200"/>
        <w:jc w:val="left"/>
        <w:rPr>
          <w:color w:val="auto"/>
          <w:szCs w:val="21"/>
          <w:highlight w:val="none"/>
        </w:rPr>
      </w:pPr>
      <w:r>
        <w:rPr>
          <w:rFonts w:hint="eastAsia"/>
          <w:color w:val="auto"/>
          <w:szCs w:val="21"/>
          <w:highlight w:val="none"/>
        </w:rPr>
        <w:t>招标项目其他要求：/（如有）</w:t>
      </w:r>
    </w:p>
    <w:p>
      <w:pPr>
        <w:spacing w:line="360" w:lineRule="auto"/>
        <w:ind w:firstLine="420" w:firstLineChars="200"/>
        <w:jc w:val="left"/>
        <w:rPr>
          <w:color w:val="auto"/>
          <w:szCs w:val="21"/>
          <w:highlight w:val="none"/>
        </w:rPr>
      </w:pPr>
      <w:r>
        <w:rPr>
          <w:rFonts w:hint="eastAsia"/>
          <w:color w:val="auto"/>
          <w:szCs w:val="21"/>
          <w:highlight w:val="none"/>
        </w:rPr>
        <w:t>7、本公告同时在广东省招标投标监管网、广州公共资源交易中心网站上发布，本公告在各媒体发布的文本如有不同之处，以在广东省招标投标监管网发布的文本为准。</w:t>
      </w:r>
    </w:p>
    <w:p>
      <w:pPr>
        <w:spacing w:line="360" w:lineRule="auto"/>
        <w:ind w:firstLine="420" w:firstLineChars="200"/>
        <w:jc w:val="left"/>
        <w:rPr>
          <w:rFonts w:hint="eastAsia"/>
          <w:color w:val="auto"/>
          <w:szCs w:val="21"/>
          <w:highlight w:val="none"/>
        </w:rPr>
      </w:pPr>
      <w:r>
        <w:rPr>
          <w:rFonts w:hint="eastAsia"/>
          <w:color w:val="auto"/>
          <w:szCs w:val="21"/>
          <w:highlight w:val="none"/>
        </w:rPr>
        <w:t>8、联系方式</w:t>
      </w:r>
    </w:p>
    <w:p>
      <w:pPr>
        <w:pStyle w:val="2"/>
        <w:rPr>
          <w:highlight w:val="none"/>
        </w:rPr>
      </w:pPr>
    </w:p>
    <w:tbl>
      <w:tblPr>
        <w:tblStyle w:val="22"/>
        <w:tblW w:w="9907" w:type="dxa"/>
        <w:tblInd w:w="-147" w:type="dxa"/>
        <w:tblLayout w:type="autofit"/>
        <w:tblCellMar>
          <w:top w:w="0" w:type="dxa"/>
          <w:left w:w="108" w:type="dxa"/>
          <w:bottom w:w="0" w:type="dxa"/>
          <w:right w:w="108" w:type="dxa"/>
        </w:tblCellMar>
      </w:tblPr>
      <w:tblGrid>
        <w:gridCol w:w="1247"/>
        <w:gridCol w:w="3183"/>
        <w:gridCol w:w="1714"/>
        <w:gridCol w:w="3763"/>
      </w:tblGrid>
      <w:tr>
        <w:tblPrEx>
          <w:tblCellMar>
            <w:top w:w="0" w:type="dxa"/>
            <w:left w:w="108" w:type="dxa"/>
            <w:bottom w:w="0" w:type="dxa"/>
            <w:right w:w="108" w:type="dxa"/>
          </w:tblCellMar>
        </w:tblPrEx>
        <w:trPr>
          <w:trHeight w:val="397" w:hRule="atLeast"/>
        </w:trPr>
        <w:tc>
          <w:tcPr>
            <w:tcW w:w="1247" w:type="dxa"/>
            <w:shd w:val="clear" w:color="auto" w:fill="auto"/>
          </w:tcPr>
          <w:p>
            <w:pPr>
              <w:keepNext w:val="0"/>
              <w:keepLines w:val="0"/>
              <w:suppressLineNumbers w:val="0"/>
              <w:spacing w:before="0" w:beforeAutospacing="0" w:after="0" w:afterAutospacing="0" w:line="360" w:lineRule="auto"/>
              <w:ind w:left="0" w:right="0"/>
              <w:rPr>
                <w:rFonts w:hint="default"/>
                <w:color w:val="auto"/>
                <w:szCs w:val="21"/>
                <w:highlight w:val="none"/>
              </w:rPr>
            </w:pPr>
            <w:r>
              <w:rPr>
                <w:rFonts w:hint="default"/>
                <w:color w:val="auto"/>
                <w:szCs w:val="21"/>
                <w:highlight w:val="none"/>
              </w:rPr>
              <w:t>招标人</w:t>
            </w:r>
            <w:r>
              <w:rPr>
                <w:rFonts w:hint="eastAsia"/>
                <w:color w:val="auto"/>
                <w:szCs w:val="21"/>
                <w:highlight w:val="none"/>
              </w:rPr>
              <w:t>：</w:t>
            </w:r>
          </w:p>
        </w:tc>
        <w:tc>
          <w:tcPr>
            <w:tcW w:w="3183" w:type="dxa"/>
            <w:shd w:val="clear" w:color="auto" w:fill="auto"/>
          </w:tcPr>
          <w:p>
            <w:pPr>
              <w:keepNext w:val="0"/>
              <w:keepLines w:val="0"/>
              <w:suppressLineNumbers w:val="0"/>
              <w:spacing w:before="0" w:beforeAutospacing="0" w:after="0" w:afterAutospacing="0" w:line="360" w:lineRule="auto"/>
              <w:ind w:left="0" w:right="0"/>
              <w:rPr>
                <w:rFonts w:hint="default"/>
                <w:color w:val="auto"/>
                <w:szCs w:val="21"/>
                <w:highlight w:val="none"/>
              </w:rPr>
            </w:pPr>
            <w:r>
              <w:rPr>
                <w:rFonts w:hint="eastAsia"/>
                <w:color w:val="auto"/>
                <w:szCs w:val="21"/>
                <w:highlight w:val="none"/>
              </w:rPr>
              <w:t>台山市大湾物流园开发有限公司</w:t>
            </w:r>
          </w:p>
        </w:tc>
        <w:tc>
          <w:tcPr>
            <w:tcW w:w="1714" w:type="dxa"/>
            <w:shd w:val="clear" w:color="auto" w:fill="auto"/>
          </w:tcPr>
          <w:p>
            <w:pPr>
              <w:keepNext w:val="0"/>
              <w:keepLines w:val="0"/>
              <w:suppressLineNumbers w:val="0"/>
              <w:spacing w:before="0" w:beforeAutospacing="0" w:after="0" w:afterAutospacing="0" w:line="360" w:lineRule="auto"/>
              <w:ind w:left="0" w:right="0"/>
              <w:rPr>
                <w:rFonts w:hint="default"/>
                <w:color w:val="auto"/>
                <w:szCs w:val="21"/>
                <w:highlight w:val="none"/>
              </w:rPr>
            </w:pPr>
            <w:r>
              <w:rPr>
                <w:rFonts w:hint="default"/>
                <w:color w:val="auto"/>
                <w:szCs w:val="21"/>
                <w:highlight w:val="none"/>
              </w:rPr>
              <w:t>招标代理机构：</w:t>
            </w:r>
          </w:p>
        </w:tc>
        <w:tc>
          <w:tcPr>
            <w:tcW w:w="3763" w:type="dxa"/>
            <w:shd w:val="clear" w:color="auto" w:fill="auto"/>
          </w:tcPr>
          <w:p>
            <w:pPr>
              <w:keepNext w:val="0"/>
              <w:keepLines w:val="0"/>
              <w:suppressLineNumbers w:val="0"/>
              <w:spacing w:before="0" w:beforeAutospacing="0" w:after="0" w:afterAutospacing="0" w:line="360" w:lineRule="auto"/>
              <w:ind w:left="0" w:right="0"/>
              <w:rPr>
                <w:rFonts w:hint="default"/>
                <w:color w:val="auto"/>
                <w:szCs w:val="21"/>
                <w:highlight w:val="none"/>
              </w:rPr>
            </w:pPr>
            <w:r>
              <w:rPr>
                <w:rFonts w:hint="eastAsia"/>
                <w:color w:val="auto"/>
                <w:szCs w:val="21"/>
                <w:highlight w:val="none"/>
              </w:rPr>
              <w:t>中资国际工程咨询集团有限责任公司</w:t>
            </w:r>
          </w:p>
        </w:tc>
      </w:tr>
      <w:tr>
        <w:tblPrEx>
          <w:tblCellMar>
            <w:top w:w="0" w:type="dxa"/>
            <w:left w:w="108" w:type="dxa"/>
            <w:bottom w:w="0" w:type="dxa"/>
            <w:right w:w="108" w:type="dxa"/>
          </w:tblCellMar>
        </w:tblPrEx>
        <w:trPr>
          <w:trHeight w:val="397" w:hRule="atLeast"/>
        </w:trPr>
        <w:tc>
          <w:tcPr>
            <w:tcW w:w="1247" w:type="dxa"/>
            <w:shd w:val="clear" w:color="auto" w:fill="auto"/>
          </w:tcPr>
          <w:p>
            <w:pPr>
              <w:keepNext w:val="0"/>
              <w:keepLines w:val="0"/>
              <w:suppressLineNumbers w:val="0"/>
              <w:spacing w:before="0" w:beforeAutospacing="0" w:after="0" w:afterAutospacing="0" w:line="360" w:lineRule="auto"/>
              <w:ind w:left="0" w:right="0"/>
              <w:rPr>
                <w:rFonts w:hint="default"/>
                <w:color w:val="auto"/>
                <w:szCs w:val="21"/>
                <w:highlight w:val="none"/>
              </w:rPr>
            </w:pPr>
            <w:r>
              <w:rPr>
                <w:rFonts w:hint="default"/>
                <w:color w:val="auto"/>
                <w:szCs w:val="21"/>
                <w:highlight w:val="none"/>
              </w:rPr>
              <w:t>联系人：</w:t>
            </w:r>
          </w:p>
        </w:tc>
        <w:tc>
          <w:tcPr>
            <w:tcW w:w="3183" w:type="dxa"/>
            <w:shd w:val="clear" w:color="auto" w:fill="auto"/>
          </w:tcPr>
          <w:p>
            <w:pPr>
              <w:keepNext w:val="0"/>
              <w:keepLines w:val="0"/>
              <w:suppressLineNumbers w:val="0"/>
              <w:spacing w:before="0" w:beforeAutospacing="0" w:after="0" w:afterAutospacing="0" w:line="360" w:lineRule="auto"/>
              <w:ind w:left="0" w:right="0"/>
              <w:rPr>
                <w:rFonts w:hint="default"/>
                <w:color w:val="auto"/>
                <w:szCs w:val="21"/>
                <w:highlight w:val="none"/>
              </w:rPr>
            </w:pPr>
            <w:r>
              <w:rPr>
                <w:rFonts w:hint="eastAsia"/>
                <w:color w:val="auto"/>
                <w:szCs w:val="21"/>
                <w:highlight w:val="none"/>
              </w:rPr>
              <w:t>方工</w:t>
            </w:r>
          </w:p>
        </w:tc>
        <w:tc>
          <w:tcPr>
            <w:tcW w:w="1714" w:type="dxa"/>
            <w:shd w:val="clear" w:color="auto" w:fill="auto"/>
          </w:tcPr>
          <w:p>
            <w:pPr>
              <w:keepNext w:val="0"/>
              <w:keepLines w:val="0"/>
              <w:suppressLineNumbers w:val="0"/>
              <w:spacing w:before="0" w:beforeAutospacing="0" w:after="0" w:afterAutospacing="0" w:line="360" w:lineRule="auto"/>
              <w:ind w:left="0" w:right="0"/>
              <w:rPr>
                <w:rFonts w:hint="default"/>
                <w:color w:val="auto"/>
                <w:szCs w:val="21"/>
                <w:highlight w:val="none"/>
              </w:rPr>
            </w:pPr>
            <w:r>
              <w:rPr>
                <w:rFonts w:hint="default"/>
                <w:color w:val="auto"/>
                <w:szCs w:val="21"/>
                <w:highlight w:val="none"/>
              </w:rPr>
              <w:t>联系人：</w:t>
            </w:r>
          </w:p>
        </w:tc>
        <w:tc>
          <w:tcPr>
            <w:tcW w:w="3763" w:type="dxa"/>
            <w:shd w:val="clear" w:color="auto" w:fill="auto"/>
          </w:tcPr>
          <w:p>
            <w:pPr>
              <w:keepNext w:val="0"/>
              <w:keepLines w:val="0"/>
              <w:suppressLineNumbers w:val="0"/>
              <w:spacing w:before="0" w:beforeAutospacing="0" w:after="0" w:afterAutospacing="0" w:line="360" w:lineRule="auto"/>
              <w:ind w:left="0" w:right="0"/>
              <w:rPr>
                <w:rFonts w:hint="default"/>
                <w:color w:val="auto"/>
                <w:szCs w:val="21"/>
                <w:highlight w:val="none"/>
              </w:rPr>
            </w:pPr>
            <w:r>
              <w:rPr>
                <w:rFonts w:hint="eastAsia"/>
                <w:color w:val="auto"/>
                <w:szCs w:val="21"/>
                <w:highlight w:val="none"/>
              </w:rPr>
              <w:t>张工</w:t>
            </w:r>
          </w:p>
        </w:tc>
      </w:tr>
      <w:tr>
        <w:tblPrEx>
          <w:tblCellMar>
            <w:top w:w="0" w:type="dxa"/>
            <w:left w:w="108" w:type="dxa"/>
            <w:bottom w:w="0" w:type="dxa"/>
            <w:right w:w="108" w:type="dxa"/>
          </w:tblCellMar>
        </w:tblPrEx>
        <w:trPr>
          <w:trHeight w:val="397" w:hRule="atLeast"/>
        </w:trPr>
        <w:tc>
          <w:tcPr>
            <w:tcW w:w="1247" w:type="dxa"/>
            <w:shd w:val="clear" w:color="auto" w:fill="auto"/>
          </w:tcPr>
          <w:p>
            <w:pPr>
              <w:keepNext w:val="0"/>
              <w:keepLines w:val="0"/>
              <w:suppressLineNumbers w:val="0"/>
              <w:spacing w:before="0" w:beforeAutospacing="0" w:after="0" w:afterAutospacing="0" w:line="360" w:lineRule="auto"/>
              <w:ind w:left="0" w:right="0"/>
              <w:rPr>
                <w:rFonts w:hint="default"/>
                <w:color w:val="auto"/>
                <w:szCs w:val="21"/>
                <w:highlight w:val="none"/>
              </w:rPr>
            </w:pPr>
            <w:r>
              <w:rPr>
                <w:rFonts w:hint="default"/>
                <w:color w:val="auto"/>
                <w:szCs w:val="21"/>
                <w:highlight w:val="none"/>
              </w:rPr>
              <w:t>电话：</w:t>
            </w:r>
          </w:p>
        </w:tc>
        <w:tc>
          <w:tcPr>
            <w:tcW w:w="3183" w:type="dxa"/>
            <w:shd w:val="clear" w:color="auto" w:fill="auto"/>
          </w:tcPr>
          <w:p>
            <w:pPr>
              <w:keepNext w:val="0"/>
              <w:keepLines w:val="0"/>
              <w:suppressLineNumbers w:val="0"/>
              <w:spacing w:before="0" w:beforeAutospacing="0" w:after="0" w:afterAutospacing="0" w:line="360" w:lineRule="auto"/>
              <w:ind w:left="0" w:right="0"/>
              <w:rPr>
                <w:rFonts w:hint="default"/>
                <w:color w:val="auto"/>
                <w:szCs w:val="21"/>
                <w:highlight w:val="none"/>
              </w:rPr>
            </w:pPr>
            <w:r>
              <w:rPr>
                <w:rFonts w:hint="default"/>
                <w:color w:val="auto"/>
                <w:szCs w:val="21"/>
                <w:highlight w:val="none"/>
              </w:rPr>
              <w:t>0750-5679667</w:t>
            </w:r>
          </w:p>
        </w:tc>
        <w:tc>
          <w:tcPr>
            <w:tcW w:w="1714" w:type="dxa"/>
            <w:shd w:val="clear" w:color="auto" w:fill="auto"/>
          </w:tcPr>
          <w:p>
            <w:pPr>
              <w:keepNext w:val="0"/>
              <w:keepLines w:val="0"/>
              <w:suppressLineNumbers w:val="0"/>
              <w:spacing w:before="0" w:beforeAutospacing="0" w:after="0" w:afterAutospacing="0" w:line="360" w:lineRule="auto"/>
              <w:ind w:left="0" w:right="0"/>
              <w:rPr>
                <w:rFonts w:hint="default"/>
                <w:color w:val="auto"/>
                <w:szCs w:val="21"/>
                <w:highlight w:val="none"/>
              </w:rPr>
            </w:pPr>
            <w:r>
              <w:rPr>
                <w:rFonts w:hint="default"/>
                <w:color w:val="auto"/>
                <w:szCs w:val="21"/>
                <w:highlight w:val="none"/>
              </w:rPr>
              <w:t>电话：</w:t>
            </w:r>
          </w:p>
        </w:tc>
        <w:tc>
          <w:tcPr>
            <w:tcW w:w="3763" w:type="dxa"/>
            <w:shd w:val="clear" w:color="auto" w:fill="auto"/>
          </w:tcPr>
          <w:p>
            <w:pPr>
              <w:keepNext w:val="0"/>
              <w:keepLines w:val="0"/>
              <w:suppressLineNumbers w:val="0"/>
              <w:spacing w:before="0" w:beforeAutospacing="0" w:after="0" w:afterAutospacing="0" w:line="360" w:lineRule="auto"/>
              <w:ind w:left="0" w:right="0"/>
              <w:rPr>
                <w:rFonts w:hint="default"/>
                <w:color w:val="auto"/>
                <w:szCs w:val="21"/>
                <w:highlight w:val="none"/>
              </w:rPr>
            </w:pPr>
            <w:r>
              <w:rPr>
                <w:rFonts w:hint="eastAsia"/>
                <w:color w:val="auto"/>
                <w:szCs w:val="21"/>
                <w:highlight w:val="none"/>
              </w:rPr>
              <w:t>1</w:t>
            </w:r>
            <w:r>
              <w:rPr>
                <w:rFonts w:hint="default"/>
                <w:color w:val="auto"/>
                <w:szCs w:val="21"/>
                <w:highlight w:val="none"/>
              </w:rPr>
              <w:t>8899737154</w:t>
            </w:r>
          </w:p>
        </w:tc>
      </w:tr>
      <w:tr>
        <w:tblPrEx>
          <w:tblCellMar>
            <w:top w:w="0" w:type="dxa"/>
            <w:left w:w="108" w:type="dxa"/>
            <w:bottom w:w="0" w:type="dxa"/>
            <w:right w:w="108" w:type="dxa"/>
          </w:tblCellMar>
        </w:tblPrEx>
        <w:trPr>
          <w:trHeight w:val="397" w:hRule="atLeast"/>
        </w:trPr>
        <w:tc>
          <w:tcPr>
            <w:tcW w:w="1247" w:type="dxa"/>
            <w:shd w:val="clear" w:color="auto" w:fill="auto"/>
          </w:tcPr>
          <w:p>
            <w:pPr>
              <w:keepNext w:val="0"/>
              <w:keepLines w:val="0"/>
              <w:suppressLineNumbers w:val="0"/>
              <w:spacing w:before="0" w:beforeAutospacing="0" w:after="0" w:afterAutospacing="0" w:line="360" w:lineRule="auto"/>
              <w:ind w:left="0" w:right="0"/>
              <w:rPr>
                <w:rFonts w:hint="default"/>
                <w:color w:val="auto"/>
                <w:szCs w:val="21"/>
                <w:highlight w:val="none"/>
              </w:rPr>
            </w:pPr>
            <w:r>
              <w:rPr>
                <w:rFonts w:hint="eastAsia"/>
                <w:color w:val="auto"/>
                <w:szCs w:val="21"/>
                <w:highlight w:val="none"/>
              </w:rPr>
              <w:t>监督部门：</w:t>
            </w:r>
          </w:p>
        </w:tc>
        <w:tc>
          <w:tcPr>
            <w:tcW w:w="3183" w:type="dxa"/>
            <w:shd w:val="clear" w:color="auto" w:fill="auto"/>
          </w:tcPr>
          <w:p>
            <w:pPr>
              <w:keepNext w:val="0"/>
              <w:keepLines w:val="0"/>
              <w:suppressLineNumbers w:val="0"/>
              <w:spacing w:before="0" w:beforeAutospacing="0" w:after="0" w:afterAutospacing="0" w:line="360" w:lineRule="auto"/>
              <w:ind w:left="0" w:right="0"/>
              <w:rPr>
                <w:rFonts w:hint="default"/>
                <w:color w:val="auto"/>
                <w:szCs w:val="21"/>
                <w:highlight w:val="none"/>
              </w:rPr>
            </w:pPr>
            <w:r>
              <w:rPr>
                <w:rFonts w:hint="eastAsia"/>
                <w:color w:val="auto"/>
                <w:szCs w:val="21"/>
                <w:highlight w:val="none"/>
              </w:rPr>
              <w:t>台山市住房和城乡建设局</w:t>
            </w:r>
          </w:p>
        </w:tc>
        <w:tc>
          <w:tcPr>
            <w:tcW w:w="1714" w:type="dxa"/>
            <w:shd w:val="clear" w:color="auto" w:fill="auto"/>
          </w:tcPr>
          <w:p>
            <w:pPr>
              <w:keepNext w:val="0"/>
              <w:keepLines w:val="0"/>
              <w:suppressLineNumbers w:val="0"/>
              <w:spacing w:before="0" w:beforeAutospacing="0" w:after="0" w:afterAutospacing="0" w:line="360" w:lineRule="auto"/>
              <w:ind w:left="0" w:right="0"/>
              <w:rPr>
                <w:rFonts w:hint="default"/>
                <w:color w:val="auto"/>
                <w:szCs w:val="21"/>
                <w:highlight w:val="none"/>
              </w:rPr>
            </w:pPr>
          </w:p>
        </w:tc>
        <w:tc>
          <w:tcPr>
            <w:tcW w:w="3763" w:type="dxa"/>
            <w:shd w:val="clear" w:color="auto" w:fill="auto"/>
          </w:tcPr>
          <w:p>
            <w:pPr>
              <w:keepNext w:val="0"/>
              <w:keepLines w:val="0"/>
              <w:suppressLineNumbers w:val="0"/>
              <w:spacing w:before="0" w:beforeAutospacing="0" w:after="0" w:afterAutospacing="0" w:line="360" w:lineRule="auto"/>
              <w:ind w:left="0" w:right="0"/>
              <w:rPr>
                <w:rFonts w:hint="default"/>
                <w:color w:val="auto"/>
                <w:szCs w:val="21"/>
                <w:highlight w:val="none"/>
              </w:rPr>
            </w:pPr>
          </w:p>
        </w:tc>
      </w:tr>
      <w:tr>
        <w:tblPrEx>
          <w:tblCellMar>
            <w:top w:w="0" w:type="dxa"/>
            <w:left w:w="108" w:type="dxa"/>
            <w:bottom w:w="0" w:type="dxa"/>
            <w:right w:w="108" w:type="dxa"/>
          </w:tblCellMar>
        </w:tblPrEx>
        <w:trPr>
          <w:trHeight w:val="397" w:hRule="atLeast"/>
        </w:trPr>
        <w:tc>
          <w:tcPr>
            <w:tcW w:w="1247" w:type="dxa"/>
            <w:shd w:val="clear" w:color="auto" w:fill="auto"/>
          </w:tcPr>
          <w:p>
            <w:pPr>
              <w:keepNext w:val="0"/>
              <w:keepLines w:val="0"/>
              <w:suppressLineNumbers w:val="0"/>
              <w:spacing w:before="0" w:beforeAutospacing="0" w:after="0" w:afterAutospacing="0" w:line="360" w:lineRule="auto"/>
              <w:ind w:left="0" w:right="0"/>
              <w:rPr>
                <w:rFonts w:hint="default"/>
                <w:color w:val="auto"/>
                <w:szCs w:val="21"/>
                <w:highlight w:val="none"/>
              </w:rPr>
            </w:pPr>
            <w:r>
              <w:rPr>
                <w:rFonts w:hint="eastAsia"/>
                <w:color w:val="auto"/>
                <w:szCs w:val="21"/>
                <w:highlight w:val="none"/>
              </w:rPr>
              <w:t>电话：</w:t>
            </w:r>
          </w:p>
        </w:tc>
        <w:tc>
          <w:tcPr>
            <w:tcW w:w="3183" w:type="dxa"/>
            <w:shd w:val="clear" w:color="auto" w:fill="auto"/>
          </w:tcPr>
          <w:p>
            <w:pPr>
              <w:keepNext w:val="0"/>
              <w:keepLines w:val="0"/>
              <w:suppressLineNumbers w:val="0"/>
              <w:spacing w:before="0" w:beforeAutospacing="0" w:after="0" w:afterAutospacing="0" w:line="360" w:lineRule="auto"/>
              <w:ind w:left="0" w:right="0"/>
              <w:rPr>
                <w:rFonts w:hint="default"/>
                <w:color w:val="auto"/>
                <w:szCs w:val="21"/>
                <w:highlight w:val="none"/>
              </w:rPr>
            </w:pPr>
            <w:r>
              <w:rPr>
                <w:rFonts w:hint="eastAsia"/>
                <w:color w:val="auto"/>
                <w:szCs w:val="21"/>
                <w:highlight w:val="none"/>
              </w:rPr>
              <w:t>0750-5525858</w:t>
            </w:r>
          </w:p>
        </w:tc>
        <w:tc>
          <w:tcPr>
            <w:tcW w:w="1714" w:type="dxa"/>
            <w:shd w:val="clear" w:color="auto" w:fill="auto"/>
          </w:tcPr>
          <w:p>
            <w:pPr>
              <w:keepNext w:val="0"/>
              <w:keepLines w:val="0"/>
              <w:suppressLineNumbers w:val="0"/>
              <w:spacing w:before="0" w:beforeAutospacing="0" w:after="0" w:afterAutospacing="0" w:line="360" w:lineRule="auto"/>
              <w:ind w:left="0" w:right="0"/>
              <w:rPr>
                <w:rFonts w:hint="default"/>
                <w:color w:val="auto"/>
                <w:szCs w:val="21"/>
                <w:highlight w:val="none"/>
              </w:rPr>
            </w:pPr>
          </w:p>
        </w:tc>
        <w:tc>
          <w:tcPr>
            <w:tcW w:w="3763" w:type="dxa"/>
            <w:shd w:val="clear" w:color="auto" w:fill="auto"/>
          </w:tcPr>
          <w:p>
            <w:pPr>
              <w:keepNext w:val="0"/>
              <w:keepLines w:val="0"/>
              <w:suppressLineNumbers w:val="0"/>
              <w:spacing w:before="0" w:beforeAutospacing="0" w:after="0" w:afterAutospacing="0" w:line="360" w:lineRule="auto"/>
              <w:ind w:left="0" w:right="0"/>
              <w:rPr>
                <w:rFonts w:hint="default"/>
                <w:color w:val="auto"/>
                <w:szCs w:val="21"/>
                <w:highlight w:val="none"/>
              </w:rPr>
            </w:pPr>
          </w:p>
        </w:tc>
      </w:tr>
    </w:tbl>
    <w:p>
      <w:pPr>
        <w:spacing w:line="256" w:lineRule="auto"/>
        <w:rPr>
          <w:color w:val="auto"/>
          <w:highlight w:val="none"/>
        </w:rPr>
      </w:pPr>
    </w:p>
    <w:p>
      <w:pPr>
        <w:spacing w:before="75" w:line="193" w:lineRule="auto"/>
        <w:ind w:right="19"/>
        <w:jc w:val="right"/>
        <w:rPr>
          <w:color w:val="auto"/>
          <w:sz w:val="21"/>
          <w:szCs w:val="21"/>
          <w:highlight w:val="none"/>
        </w:rPr>
        <w:sectPr>
          <w:footerReference r:id="rId5" w:type="first"/>
          <w:footerReference r:id="rId4" w:type="default"/>
          <w:pgSz w:w="12240" w:h="15840"/>
          <w:pgMar w:top="1247" w:right="1259" w:bottom="992" w:left="1259" w:header="720" w:footer="720" w:gutter="0"/>
          <w:pgNumType w:start="1"/>
          <w:cols w:space="0" w:num="1"/>
          <w:titlePg/>
        </w:sectPr>
      </w:pPr>
      <w:r>
        <w:rPr>
          <w:rFonts w:ascii="宋体" w:hAnsi="宋体" w:cs="宋体"/>
          <w:color w:val="auto"/>
          <w:spacing w:val="14"/>
          <w:sz w:val="21"/>
          <w:szCs w:val="21"/>
          <w:highlight w:val="none"/>
        </w:rPr>
        <w:t>2</w:t>
      </w:r>
      <w:r>
        <w:rPr>
          <w:rFonts w:ascii="宋体" w:hAnsi="宋体" w:cs="宋体"/>
          <w:color w:val="auto"/>
          <w:spacing w:val="11"/>
          <w:sz w:val="21"/>
          <w:szCs w:val="21"/>
          <w:highlight w:val="none"/>
        </w:rPr>
        <w:t>0</w:t>
      </w:r>
      <w:r>
        <w:rPr>
          <w:rFonts w:ascii="宋体" w:hAnsi="宋体" w:cs="宋体"/>
          <w:color w:val="auto"/>
          <w:spacing w:val="7"/>
          <w:sz w:val="21"/>
          <w:szCs w:val="21"/>
          <w:highlight w:val="none"/>
        </w:rPr>
        <w:t>23年</w:t>
      </w:r>
      <w:r>
        <w:rPr>
          <w:rFonts w:hint="eastAsia" w:ascii="宋体" w:hAnsi="宋体" w:cs="宋体"/>
          <w:color w:val="auto"/>
          <w:spacing w:val="7"/>
          <w:sz w:val="21"/>
          <w:szCs w:val="21"/>
          <w:highlight w:val="none"/>
        </w:rPr>
        <w:t xml:space="preserve"> </w:t>
      </w:r>
      <w:r>
        <w:rPr>
          <w:rFonts w:hint="eastAsia" w:ascii="宋体" w:hAnsi="宋体" w:cs="宋体"/>
          <w:color w:val="auto"/>
          <w:spacing w:val="7"/>
          <w:sz w:val="21"/>
          <w:szCs w:val="21"/>
          <w:highlight w:val="none"/>
          <w:lang w:val="en-US" w:eastAsia="zh-CN"/>
        </w:rPr>
        <w:t>5</w:t>
      </w:r>
      <w:r>
        <w:rPr>
          <w:rFonts w:hint="eastAsia" w:ascii="宋体" w:hAnsi="宋体" w:cs="宋体"/>
          <w:color w:val="auto"/>
          <w:spacing w:val="7"/>
          <w:sz w:val="21"/>
          <w:szCs w:val="21"/>
          <w:highlight w:val="none"/>
        </w:rPr>
        <w:t xml:space="preserve"> </w:t>
      </w:r>
      <w:r>
        <w:rPr>
          <w:rFonts w:ascii="宋体" w:hAnsi="宋体" w:cs="宋体"/>
          <w:color w:val="auto"/>
          <w:spacing w:val="7"/>
          <w:sz w:val="21"/>
          <w:szCs w:val="21"/>
          <w:highlight w:val="none"/>
        </w:rPr>
        <w:t>月</w:t>
      </w:r>
      <w:r>
        <w:rPr>
          <w:rFonts w:hint="eastAsia" w:ascii="宋体" w:hAnsi="宋体" w:cs="宋体"/>
          <w:color w:val="auto"/>
          <w:spacing w:val="7"/>
          <w:sz w:val="21"/>
          <w:szCs w:val="21"/>
          <w:highlight w:val="none"/>
        </w:rPr>
        <w:t xml:space="preserve"> </w:t>
      </w:r>
      <w:r>
        <w:rPr>
          <w:rFonts w:hint="eastAsia" w:ascii="宋体" w:hAnsi="宋体" w:cs="宋体"/>
          <w:color w:val="auto"/>
          <w:spacing w:val="7"/>
          <w:sz w:val="21"/>
          <w:szCs w:val="21"/>
          <w:highlight w:val="none"/>
          <w:lang w:val="en-US" w:eastAsia="zh-CN"/>
        </w:rPr>
        <w:t>26</w:t>
      </w:r>
      <w:r>
        <w:rPr>
          <w:rFonts w:hint="eastAsia" w:ascii="宋体" w:hAnsi="宋体" w:cs="宋体"/>
          <w:color w:val="auto"/>
          <w:spacing w:val="7"/>
          <w:sz w:val="21"/>
          <w:szCs w:val="21"/>
          <w:highlight w:val="none"/>
        </w:rPr>
        <w:t xml:space="preserve"> </w:t>
      </w:r>
      <w:r>
        <w:rPr>
          <w:rFonts w:ascii="宋体" w:hAnsi="宋体" w:cs="宋体"/>
          <w:color w:val="auto"/>
          <w:spacing w:val="7"/>
          <w:sz w:val="21"/>
          <w:szCs w:val="21"/>
          <w:highlight w:val="none"/>
        </w:rPr>
        <w:t>日</w:t>
      </w:r>
    </w:p>
    <w:p>
      <w:pPr>
        <w:spacing w:line="360" w:lineRule="exact"/>
        <w:rPr>
          <w:color w:val="auto"/>
          <w:szCs w:val="21"/>
          <w:highlight w:val="none"/>
          <w:u w:val="single"/>
        </w:rPr>
      </w:pPr>
    </w:p>
    <w:p>
      <w:pPr>
        <w:keepNext/>
        <w:keepLines/>
        <w:autoSpaceDE w:val="0"/>
        <w:autoSpaceDN w:val="0"/>
        <w:adjustRightInd w:val="0"/>
        <w:spacing w:before="240" w:after="60" w:line="360" w:lineRule="auto"/>
        <w:jc w:val="center"/>
        <w:outlineLvl w:val="0"/>
        <w:rPr>
          <w:rFonts w:ascii="宋体" w:hAnsi="宋体" w:cs="黑体"/>
          <w:color w:val="auto"/>
          <w:sz w:val="44"/>
          <w:szCs w:val="44"/>
          <w:highlight w:val="none"/>
          <w:lang w:val="zh-CN"/>
        </w:rPr>
      </w:pPr>
      <w:bookmarkStart w:id="4" w:name="_Toc7151"/>
      <w:r>
        <w:rPr>
          <w:rFonts w:hint="eastAsia" w:ascii="宋体" w:hAnsi="宋体" w:cs="黑体"/>
          <w:color w:val="auto"/>
          <w:sz w:val="44"/>
          <w:szCs w:val="44"/>
          <w:highlight w:val="none"/>
          <w:lang w:val="zh-CN"/>
        </w:rPr>
        <w:t>第二章</w:t>
      </w:r>
      <w:r>
        <w:rPr>
          <w:rFonts w:ascii="宋体" w:hAnsi="宋体" w:cs="黑体"/>
          <w:color w:val="auto"/>
          <w:sz w:val="44"/>
          <w:szCs w:val="44"/>
          <w:highlight w:val="none"/>
          <w:lang w:val="zh-CN"/>
        </w:rPr>
        <w:t xml:space="preserve"> </w:t>
      </w:r>
      <w:r>
        <w:rPr>
          <w:rFonts w:hint="eastAsia" w:ascii="宋体" w:hAnsi="宋体" w:cs="黑体"/>
          <w:color w:val="auto"/>
          <w:kern w:val="24"/>
          <w:sz w:val="44"/>
          <w:szCs w:val="44"/>
          <w:highlight w:val="none"/>
          <w:lang w:val="zh-CN"/>
        </w:rPr>
        <w:t>投标人须知及前附表</w:t>
      </w:r>
      <w:bookmarkEnd w:id="4"/>
    </w:p>
    <w:p>
      <w:pPr>
        <w:keepNext/>
        <w:keepLines/>
        <w:autoSpaceDE w:val="0"/>
        <w:autoSpaceDN w:val="0"/>
        <w:adjustRightInd w:val="0"/>
        <w:spacing w:before="240" w:after="60"/>
        <w:jc w:val="center"/>
        <w:outlineLvl w:val="1"/>
        <w:rPr>
          <w:rFonts w:ascii="宋体" w:hAnsi="宋体" w:cs="黑体"/>
          <w:color w:val="auto"/>
          <w:sz w:val="36"/>
          <w:szCs w:val="36"/>
          <w:highlight w:val="none"/>
          <w:lang w:val="zh-CN"/>
        </w:rPr>
      </w:pPr>
      <w:bookmarkStart w:id="5" w:name="_Hlk130502008"/>
      <w:r>
        <w:rPr>
          <w:rFonts w:hint="eastAsia" w:ascii="宋体" w:hAnsi="宋体" w:cs="黑体"/>
          <w:color w:val="auto"/>
          <w:sz w:val="36"/>
          <w:szCs w:val="36"/>
          <w:highlight w:val="none"/>
          <w:lang w:val="zh-CN"/>
        </w:rPr>
        <w:t>一、</w:t>
      </w:r>
      <w:r>
        <w:rPr>
          <w:rFonts w:hint="eastAsia" w:ascii="宋体" w:hAnsi="宋体" w:cs="黑体"/>
          <w:color w:val="auto"/>
          <w:kern w:val="24"/>
          <w:sz w:val="28"/>
          <w:szCs w:val="28"/>
          <w:highlight w:val="none"/>
          <w:lang w:val="zh-CN"/>
        </w:rPr>
        <w:t>投标人须知前附表</w:t>
      </w:r>
    </w:p>
    <w:tbl>
      <w:tblPr>
        <w:tblStyle w:val="22"/>
        <w:tblW w:w="9773" w:type="dxa"/>
        <w:jc w:val="center"/>
        <w:tblLayout w:type="fixed"/>
        <w:tblCellMar>
          <w:top w:w="0" w:type="dxa"/>
          <w:left w:w="108" w:type="dxa"/>
          <w:bottom w:w="0" w:type="dxa"/>
          <w:right w:w="108" w:type="dxa"/>
        </w:tblCellMar>
      </w:tblPr>
      <w:tblGrid>
        <w:gridCol w:w="702"/>
        <w:gridCol w:w="909"/>
        <w:gridCol w:w="1557"/>
        <w:gridCol w:w="6435"/>
        <w:gridCol w:w="170"/>
      </w:tblGrid>
      <w:tr>
        <w:tblPrEx>
          <w:tblCellMar>
            <w:top w:w="0" w:type="dxa"/>
            <w:left w:w="108" w:type="dxa"/>
            <w:bottom w:w="0" w:type="dxa"/>
            <w:right w:w="108" w:type="dxa"/>
          </w:tblCellMar>
        </w:tblPrEx>
        <w:trPr>
          <w:trHeight w:val="591" w:hRule="atLeast"/>
          <w:jc w:val="center"/>
        </w:trPr>
        <w:tc>
          <w:tcPr>
            <w:tcW w:w="70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b/>
                <w:bCs/>
                <w:color w:val="auto"/>
                <w:sz w:val="24"/>
                <w:highlight w:val="none"/>
              </w:rPr>
            </w:pPr>
            <w:r>
              <w:rPr>
                <w:rFonts w:hint="eastAsia" w:ascii="宋体" w:hAnsi="宋体" w:cs="宋体"/>
                <w:b/>
                <w:bCs/>
                <w:color w:val="auto"/>
                <w:sz w:val="24"/>
                <w:highlight w:val="none"/>
                <w:lang w:val="zh-CN"/>
              </w:rPr>
              <w:t>项目</w:t>
            </w:r>
          </w:p>
        </w:tc>
        <w:tc>
          <w:tcPr>
            <w:tcW w:w="90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b/>
                <w:bCs/>
                <w:color w:val="auto"/>
                <w:sz w:val="24"/>
                <w:highlight w:val="none"/>
              </w:rPr>
            </w:pPr>
            <w:r>
              <w:rPr>
                <w:rFonts w:hint="eastAsia" w:ascii="宋体" w:hAnsi="宋体" w:cs="宋体"/>
                <w:b/>
                <w:bCs/>
                <w:color w:val="auto"/>
                <w:sz w:val="24"/>
                <w:highlight w:val="none"/>
                <w:lang w:val="zh-CN"/>
              </w:rPr>
              <w:t>条款号</w:t>
            </w:r>
          </w:p>
        </w:tc>
        <w:tc>
          <w:tcPr>
            <w:tcW w:w="1557"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b/>
                <w:bCs/>
                <w:color w:val="auto"/>
                <w:sz w:val="24"/>
                <w:highlight w:val="none"/>
              </w:rPr>
            </w:pPr>
            <w:r>
              <w:rPr>
                <w:rFonts w:hint="eastAsia" w:ascii="宋体" w:hAnsi="宋体" w:cs="宋体"/>
                <w:b/>
                <w:bCs/>
                <w:color w:val="auto"/>
                <w:sz w:val="24"/>
                <w:highlight w:val="none"/>
                <w:lang w:val="zh-CN"/>
              </w:rPr>
              <w:t>内容</w:t>
            </w:r>
          </w:p>
        </w:tc>
        <w:tc>
          <w:tcPr>
            <w:tcW w:w="6605"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b/>
                <w:bCs/>
                <w:color w:val="auto"/>
                <w:sz w:val="24"/>
                <w:highlight w:val="none"/>
              </w:rPr>
            </w:pPr>
            <w:r>
              <w:rPr>
                <w:rFonts w:hint="eastAsia" w:ascii="宋体" w:hAnsi="宋体" w:cs="宋体"/>
                <w:b/>
                <w:bCs/>
                <w:color w:val="auto"/>
                <w:sz w:val="24"/>
                <w:highlight w:val="none"/>
                <w:lang w:val="zh-CN"/>
              </w:rPr>
              <w:t>说明与要求</w:t>
            </w:r>
          </w:p>
        </w:tc>
      </w:tr>
      <w:tr>
        <w:tblPrEx>
          <w:tblCellMar>
            <w:top w:w="0" w:type="dxa"/>
            <w:left w:w="108" w:type="dxa"/>
            <w:bottom w:w="0" w:type="dxa"/>
            <w:right w:w="108" w:type="dxa"/>
          </w:tblCellMar>
        </w:tblPrEx>
        <w:trPr>
          <w:trHeight w:val="495" w:hRule="atLeast"/>
          <w:jc w:val="center"/>
        </w:trPr>
        <w:tc>
          <w:tcPr>
            <w:tcW w:w="70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default" w:ascii="宋体" w:hAnsi="宋体"/>
                <w:color w:val="auto"/>
                <w:szCs w:val="21"/>
                <w:highlight w:val="none"/>
              </w:rPr>
              <w:t>1</w:t>
            </w:r>
          </w:p>
        </w:tc>
        <w:tc>
          <w:tcPr>
            <w:tcW w:w="90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default" w:ascii="宋体" w:hAnsi="宋体" w:cs="宋体"/>
                <w:color w:val="auto"/>
                <w:szCs w:val="21"/>
                <w:highlight w:val="none"/>
                <w:lang w:val="zh-CN"/>
              </w:rPr>
              <w:t>1.1</w:t>
            </w:r>
          </w:p>
        </w:tc>
        <w:tc>
          <w:tcPr>
            <w:tcW w:w="1557"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s="宋体"/>
                <w:color w:val="auto"/>
                <w:szCs w:val="21"/>
                <w:highlight w:val="none"/>
                <w:lang w:val="zh-CN"/>
              </w:rPr>
            </w:pPr>
            <w:r>
              <w:rPr>
                <w:rFonts w:hint="eastAsia"/>
                <w:color w:val="auto"/>
                <w:szCs w:val="21"/>
                <w:highlight w:val="none"/>
              </w:rPr>
              <w:t>招标人</w:t>
            </w:r>
          </w:p>
        </w:tc>
        <w:tc>
          <w:tcPr>
            <w:tcW w:w="6605"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exact"/>
              <w:ind w:left="0" w:right="0"/>
              <w:rPr>
                <w:rFonts w:hint="default"/>
                <w:color w:val="auto"/>
                <w:szCs w:val="21"/>
                <w:highlight w:val="none"/>
              </w:rPr>
            </w:pPr>
            <w:r>
              <w:rPr>
                <w:rFonts w:hint="eastAsia"/>
                <w:color w:val="auto"/>
                <w:szCs w:val="21"/>
                <w:highlight w:val="none"/>
              </w:rPr>
              <w:t>名称：台山市大湾物流园开发有限公司</w:t>
            </w:r>
          </w:p>
          <w:p>
            <w:pPr>
              <w:keepNext w:val="0"/>
              <w:keepLines w:val="0"/>
              <w:suppressLineNumbers w:val="0"/>
              <w:spacing w:before="0" w:beforeAutospacing="0" w:after="0" w:afterAutospacing="0" w:line="360" w:lineRule="exact"/>
              <w:ind w:left="0" w:right="0"/>
              <w:rPr>
                <w:rFonts w:hint="default"/>
                <w:color w:val="auto"/>
                <w:szCs w:val="21"/>
                <w:highlight w:val="none"/>
              </w:rPr>
            </w:pPr>
            <w:r>
              <w:rPr>
                <w:rFonts w:hint="eastAsia"/>
                <w:color w:val="auto"/>
                <w:szCs w:val="21"/>
                <w:highlight w:val="none"/>
              </w:rPr>
              <w:t>地址：台山市白沙镇三八圩长堤街13号</w:t>
            </w:r>
          </w:p>
          <w:p>
            <w:pPr>
              <w:keepNext w:val="0"/>
              <w:keepLines w:val="0"/>
              <w:suppressLineNumbers w:val="0"/>
              <w:spacing w:before="0" w:beforeAutospacing="0" w:after="0" w:afterAutospacing="0" w:line="360" w:lineRule="exact"/>
              <w:ind w:left="0" w:right="0"/>
              <w:rPr>
                <w:rFonts w:hint="default"/>
                <w:color w:val="auto"/>
                <w:szCs w:val="21"/>
                <w:highlight w:val="none"/>
              </w:rPr>
            </w:pPr>
            <w:r>
              <w:rPr>
                <w:rFonts w:hint="eastAsia"/>
                <w:color w:val="auto"/>
                <w:szCs w:val="21"/>
                <w:highlight w:val="none"/>
              </w:rPr>
              <w:t>联系人：方工</w:t>
            </w:r>
          </w:p>
          <w:p>
            <w:pPr>
              <w:keepNext w:val="0"/>
              <w:keepLines w:val="0"/>
              <w:suppressLineNumbers w:val="0"/>
              <w:spacing w:before="0" w:beforeAutospacing="0" w:after="0" w:afterAutospacing="0" w:line="360" w:lineRule="exact"/>
              <w:ind w:left="0" w:right="0"/>
              <w:rPr>
                <w:rFonts w:hint="default"/>
                <w:color w:val="auto"/>
                <w:szCs w:val="21"/>
                <w:highlight w:val="none"/>
              </w:rPr>
            </w:pPr>
            <w:r>
              <w:rPr>
                <w:rFonts w:hint="eastAsia"/>
                <w:color w:val="auto"/>
                <w:szCs w:val="21"/>
                <w:highlight w:val="none"/>
              </w:rPr>
              <w:t>电话：</w:t>
            </w:r>
            <w:r>
              <w:rPr>
                <w:rFonts w:hint="default"/>
                <w:color w:val="auto"/>
                <w:szCs w:val="21"/>
                <w:highlight w:val="none"/>
              </w:rPr>
              <w:t>0750-5679667</w:t>
            </w:r>
          </w:p>
          <w:p>
            <w:pPr>
              <w:keepNext w:val="0"/>
              <w:keepLines w:val="0"/>
              <w:suppressLineNumbers w:val="0"/>
              <w:autoSpaceDE w:val="0"/>
              <w:autoSpaceDN w:val="0"/>
              <w:adjustRightInd w:val="0"/>
              <w:spacing w:before="0" w:beforeAutospacing="0" w:after="0" w:afterAutospacing="0"/>
              <w:ind w:left="0" w:right="0"/>
              <w:rPr>
                <w:rFonts w:hint="default" w:ascii="宋体" w:hAnsi="宋体"/>
                <w:color w:val="auto"/>
                <w:szCs w:val="21"/>
                <w:highlight w:val="none"/>
              </w:rPr>
            </w:pPr>
            <w:r>
              <w:rPr>
                <w:rFonts w:hint="eastAsia"/>
                <w:color w:val="auto"/>
                <w:szCs w:val="21"/>
                <w:highlight w:val="none"/>
              </w:rPr>
              <w:t>电子邮</w:t>
            </w:r>
            <w:r>
              <w:rPr>
                <w:rFonts w:hint="eastAsia"/>
                <w:color w:val="auto"/>
                <w:szCs w:val="21"/>
                <w:highlight w:val="none"/>
                <w:lang w:val="en-US" w:eastAsia="zh-CN"/>
              </w:rPr>
              <w:t>箱</w:t>
            </w:r>
            <w:r>
              <w:rPr>
                <w:rFonts w:hint="eastAsia"/>
                <w:color w:val="auto"/>
                <w:szCs w:val="21"/>
                <w:highlight w:val="none"/>
              </w:rPr>
              <w:t>：</w:t>
            </w:r>
            <w:r>
              <w:rPr>
                <w:rFonts w:hint="default"/>
                <w:color w:val="auto"/>
                <w:szCs w:val="21"/>
                <w:highlight w:val="none"/>
              </w:rPr>
              <w:t>949073473@qq.com</w:t>
            </w:r>
          </w:p>
        </w:tc>
      </w:tr>
      <w:tr>
        <w:tblPrEx>
          <w:tblCellMar>
            <w:top w:w="0" w:type="dxa"/>
            <w:left w:w="108" w:type="dxa"/>
            <w:bottom w:w="0" w:type="dxa"/>
            <w:right w:w="108" w:type="dxa"/>
          </w:tblCellMar>
        </w:tblPrEx>
        <w:trPr>
          <w:trHeight w:val="495" w:hRule="atLeast"/>
          <w:jc w:val="center"/>
        </w:trPr>
        <w:tc>
          <w:tcPr>
            <w:tcW w:w="70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default" w:ascii="宋体" w:hAnsi="宋体"/>
                <w:color w:val="auto"/>
                <w:szCs w:val="21"/>
                <w:highlight w:val="none"/>
              </w:rPr>
              <w:t>2</w:t>
            </w:r>
          </w:p>
        </w:tc>
        <w:tc>
          <w:tcPr>
            <w:tcW w:w="90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default" w:ascii="宋体" w:hAnsi="宋体" w:cs="宋体"/>
                <w:color w:val="auto"/>
                <w:szCs w:val="21"/>
                <w:highlight w:val="none"/>
                <w:lang w:val="zh-CN"/>
              </w:rPr>
              <w:t>1.4</w:t>
            </w:r>
          </w:p>
        </w:tc>
        <w:tc>
          <w:tcPr>
            <w:tcW w:w="1557"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s="宋体"/>
                <w:color w:val="auto"/>
                <w:szCs w:val="21"/>
                <w:highlight w:val="none"/>
                <w:lang w:val="zh-CN"/>
              </w:rPr>
            </w:pPr>
            <w:r>
              <w:rPr>
                <w:rFonts w:hint="eastAsia"/>
                <w:color w:val="auto"/>
                <w:szCs w:val="21"/>
                <w:highlight w:val="none"/>
              </w:rPr>
              <w:t>招标代理机构</w:t>
            </w:r>
          </w:p>
        </w:tc>
        <w:tc>
          <w:tcPr>
            <w:tcW w:w="6605"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exact"/>
              <w:ind w:left="0" w:right="0"/>
              <w:rPr>
                <w:rFonts w:hint="default"/>
                <w:color w:val="auto"/>
                <w:szCs w:val="21"/>
                <w:highlight w:val="none"/>
              </w:rPr>
            </w:pPr>
            <w:r>
              <w:rPr>
                <w:rFonts w:hint="eastAsia"/>
                <w:color w:val="auto"/>
                <w:szCs w:val="21"/>
                <w:highlight w:val="none"/>
              </w:rPr>
              <w:t>名称：中资国际工程咨询集团有限责任公司</w:t>
            </w:r>
          </w:p>
          <w:p>
            <w:pPr>
              <w:keepNext w:val="0"/>
              <w:keepLines w:val="0"/>
              <w:suppressLineNumbers w:val="0"/>
              <w:spacing w:before="0" w:beforeAutospacing="0" w:after="0" w:afterAutospacing="0" w:line="360" w:lineRule="exact"/>
              <w:ind w:left="0" w:right="0"/>
              <w:rPr>
                <w:rFonts w:hint="default"/>
                <w:color w:val="auto"/>
                <w:szCs w:val="21"/>
                <w:highlight w:val="none"/>
              </w:rPr>
            </w:pPr>
            <w:r>
              <w:rPr>
                <w:rFonts w:hint="eastAsia"/>
                <w:color w:val="auto"/>
                <w:szCs w:val="21"/>
                <w:highlight w:val="none"/>
              </w:rPr>
              <w:t>地址：广州市越秀区东风中路503号东建大厦二楼东区205室</w:t>
            </w:r>
          </w:p>
          <w:p>
            <w:pPr>
              <w:keepNext w:val="0"/>
              <w:keepLines w:val="0"/>
              <w:suppressLineNumbers w:val="0"/>
              <w:spacing w:before="0" w:beforeAutospacing="0" w:after="0" w:afterAutospacing="0" w:line="360" w:lineRule="exact"/>
              <w:ind w:left="0" w:right="0"/>
              <w:rPr>
                <w:rFonts w:hint="default"/>
                <w:color w:val="auto"/>
                <w:szCs w:val="21"/>
                <w:highlight w:val="none"/>
              </w:rPr>
            </w:pPr>
            <w:r>
              <w:rPr>
                <w:rFonts w:hint="eastAsia"/>
                <w:color w:val="auto"/>
                <w:szCs w:val="21"/>
                <w:highlight w:val="none"/>
              </w:rPr>
              <w:t>联系人：张工</w:t>
            </w:r>
          </w:p>
          <w:p>
            <w:pPr>
              <w:keepNext w:val="0"/>
              <w:keepLines w:val="0"/>
              <w:suppressLineNumbers w:val="0"/>
              <w:spacing w:before="0" w:beforeAutospacing="0" w:after="0" w:afterAutospacing="0" w:line="360" w:lineRule="exact"/>
              <w:ind w:left="0" w:right="0"/>
              <w:rPr>
                <w:rFonts w:hint="default"/>
                <w:color w:val="auto"/>
                <w:szCs w:val="21"/>
                <w:highlight w:val="none"/>
              </w:rPr>
            </w:pPr>
            <w:r>
              <w:rPr>
                <w:rFonts w:hint="eastAsia"/>
                <w:color w:val="auto"/>
                <w:szCs w:val="21"/>
                <w:highlight w:val="none"/>
              </w:rPr>
              <w:t>电话：18899737154</w:t>
            </w:r>
          </w:p>
          <w:p>
            <w:pPr>
              <w:keepNext w:val="0"/>
              <w:keepLines w:val="0"/>
              <w:suppressLineNumbers w:val="0"/>
              <w:autoSpaceDE w:val="0"/>
              <w:autoSpaceDN w:val="0"/>
              <w:adjustRightInd w:val="0"/>
              <w:spacing w:before="0" w:beforeAutospacing="0" w:after="0" w:afterAutospacing="0"/>
              <w:ind w:left="0" w:right="0"/>
              <w:rPr>
                <w:rFonts w:hint="default" w:ascii="宋体" w:hAnsi="宋体"/>
                <w:color w:val="auto"/>
                <w:szCs w:val="21"/>
                <w:highlight w:val="none"/>
              </w:rPr>
            </w:pPr>
            <w:r>
              <w:rPr>
                <w:rFonts w:hint="eastAsia"/>
                <w:color w:val="auto"/>
                <w:szCs w:val="21"/>
                <w:highlight w:val="none"/>
              </w:rPr>
              <w:t>电子邮箱：18899737154@139.com</w:t>
            </w:r>
          </w:p>
        </w:tc>
      </w:tr>
      <w:tr>
        <w:tblPrEx>
          <w:tblCellMar>
            <w:top w:w="0" w:type="dxa"/>
            <w:left w:w="108" w:type="dxa"/>
            <w:bottom w:w="0" w:type="dxa"/>
            <w:right w:w="108" w:type="dxa"/>
          </w:tblCellMar>
        </w:tblPrEx>
        <w:trPr>
          <w:trHeight w:val="641" w:hRule="atLeast"/>
          <w:jc w:val="center"/>
        </w:trPr>
        <w:tc>
          <w:tcPr>
            <w:tcW w:w="70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default" w:ascii="宋体" w:hAnsi="宋体"/>
                <w:color w:val="auto"/>
                <w:szCs w:val="21"/>
                <w:highlight w:val="none"/>
              </w:rPr>
              <w:t>3</w:t>
            </w:r>
          </w:p>
        </w:tc>
        <w:tc>
          <w:tcPr>
            <w:tcW w:w="90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default" w:ascii="宋体" w:hAnsi="宋体"/>
                <w:color w:val="auto"/>
                <w:szCs w:val="21"/>
                <w:highlight w:val="none"/>
              </w:rPr>
              <w:t>2.2.1</w:t>
            </w:r>
          </w:p>
        </w:tc>
        <w:tc>
          <w:tcPr>
            <w:tcW w:w="1557"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eastAsia" w:ascii="宋体" w:hAnsi="宋体" w:cs="宋体"/>
                <w:color w:val="auto"/>
                <w:szCs w:val="21"/>
                <w:highlight w:val="none"/>
                <w:lang w:val="zh-CN"/>
              </w:rPr>
              <w:t>工程名称</w:t>
            </w:r>
          </w:p>
        </w:tc>
        <w:tc>
          <w:tcPr>
            <w:tcW w:w="6605"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粤港澳大湾区(江门)农产品交易流通中心一期(启动区)冷链物流B-8/B-9地块项目监理服务</w:t>
            </w:r>
          </w:p>
        </w:tc>
      </w:tr>
      <w:tr>
        <w:tblPrEx>
          <w:tblCellMar>
            <w:top w:w="0" w:type="dxa"/>
            <w:left w:w="108" w:type="dxa"/>
            <w:bottom w:w="0" w:type="dxa"/>
            <w:right w:w="108" w:type="dxa"/>
          </w:tblCellMar>
        </w:tblPrEx>
        <w:trPr>
          <w:trHeight w:val="584" w:hRule="atLeast"/>
          <w:jc w:val="center"/>
        </w:trPr>
        <w:tc>
          <w:tcPr>
            <w:tcW w:w="70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default" w:ascii="宋体" w:hAnsi="宋体"/>
                <w:color w:val="auto"/>
                <w:szCs w:val="21"/>
                <w:highlight w:val="none"/>
              </w:rPr>
              <w:t>4</w:t>
            </w:r>
          </w:p>
        </w:tc>
        <w:tc>
          <w:tcPr>
            <w:tcW w:w="90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default" w:ascii="宋体" w:hAnsi="宋体"/>
                <w:color w:val="auto"/>
                <w:szCs w:val="21"/>
                <w:highlight w:val="none"/>
              </w:rPr>
              <w:t>2.2.2</w:t>
            </w:r>
          </w:p>
        </w:tc>
        <w:tc>
          <w:tcPr>
            <w:tcW w:w="1557"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eastAsia" w:ascii="宋体" w:hAnsi="宋体" w:cs="宋体"/>
                <w:color w:val="auto"/>
                <w:szCs w:val="21"/>
                <w:highlight w:val="none"/>
                <w:lang w:val="zh-CN"/>
              </w:rPr>
              <w:t>建设地点</w:t>
            </w:r>
          </w:p>
        </w:tc>
        <w:tc>
          <w:tcPr>
            <w:tcW w:w="6605"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广东省江门市台山市白沙镇</w:t>
            </w:r>
          </w:p>
        </w:tc>
      </w:tr>
      <w:tr>
        <w:tblPrEx>
          <w:tblCellMar>
            <w:top w:w="0" w:type="dxa"/>
            <w:left w:w="108" w:type="dxa"/>
            <w:bottom w:w="0" w:type="dxa"/>
            <w:right w:w="108" w:type="dxa"/>
          </w:tblCellMar>
        </w:tblPrEx>
        <w:trPr>
          <w:trHeight w:val="615" w:hRule="atLeast"/>
          <w:jc w:val="center"/>
        </w:trPr>
        <w:tc>
          <w:tcPr>
            <w:tcW w:w="70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default" w:ascii="宋体" w:hAnsi="宋体"/>
                <w:color w:val="auto"/>
                <w:szCs w:val="21"/>
                <w:highlight w:val="none"/>
              </w:rPr>
              <w:t>5</w:t>
            </w:r>
          </w:p>
        </w:tc>
        <w:tc>
          <w:tcPr>
            <w:tcW w:w="90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default" w:ascii="宋体" w:hAnsi="宋体"/>
                <w:color w:val="auto"/>
                <w:szCs w:val="21"/>
                <w:highlight w:val="none"/>
              </w:rPr>
              <w:t>2.2.3</w:t>
            </w:r>
          </w:p>
        </w:tc>
        <w:tc>
          <w:tcPr>
            <w:tcW w:w="1557"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eastAsia" w:ascii="宋体" w:hAnsi="宋体" w:cs="宋体"/>
                <w:color w:val="auto"/>
                <w:szCs w:val="21"/>
                <w:highlight w:val="none"/>
                <w:lang w:val="zh-CN"/>
              </w:rPr>
              <w:t>建设规模</w:t>
            </w:r>
          </w:p>
        </w:tc>
        <w:tc>
          <w:tcPr>
            <w:tcW w:w="6605"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tabs>
                <w:tab w:val="center" w:pos="4415"/>
              </w:tabs>
              <w:autoSpaceDE w:val="0"/>
              <w:autoSpaceDN w:val="0"/>
              <w:adjustRightIn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详见招标公告</w:t>
            </w:r>
          </w:p>
        </w:tc>
      </w:tr>
      <w:tr>
        <w:tblPrEx>
          <w:tblCellMar>
            <w:top w:w="0" w:type="dxa"/>
            <w:left w:w="108" w:type="dxa"/>
            <w:bottom w:w="0" w:type="dxa"/>
            <w:right w:w="108" w:type="dxa"/>
          </w:tblCellMar>
        </w:tblPrEx>
        <w:trPr>
          <w:trHeight w:val="614" w:hRule="atLeast"/>
          <w:jc w:val="center"/>
        </w:trPr>
        <w:tc>
          <w:tcPr>
            <w:tcW w:w="70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default" w:ascii="宋体" w:hAnsi="宋体"/>
                <w:color w:val="auto"/>
                <w:szCs w:val="21"/>
                <w:highlight w:val="none"/>
              </w:rPr>
              <w:t>6</w:t>
            </w:r>
          </w:p>
        </w:tc>
        <w:tc>
          <w:tcPr>
            <w:tcW w:w="90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default" w:ascii="宋体" w:hAnsi="宋体"/>
                <w:color w:val="auto"/>
                <w:szCs w:val="21"/>
                <w:highlight w:val="none"/>
              </w:rPr>
              <w:t>2.2.4</w:t>
            </w:r>
          </w:p>
        </w:tc>
        <w:tc>
          <w:tcPr>
            <w:tcW w:w="1557"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eastAsia" w:ascii="宋体" w:hAnsi="宋体" w:cs="宋体"/>
                <w:color w:val="auto"/>
                <w:szCs w:val="21"/>
                <w:highlight w:val="none"/>
                <w:lang w:val="zh-CN"/>
              </w:rPr>
              <w:t>工程概算</w:t>
            </w:r>
          </w:p>
        </w:tc>
        <w:tc>
          <w:tcPr>
            <w:tcW w:w="6605"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exact"/>
              <w:ind w:left="0" w:right="0"/>
              <w:rPr>
                <w:rFonts w:hint="default" w:ascii="宋体" w:hAnsi="宋体" w:cs="宋体"/>
                <w:color w:val="auto"/>
                <w:szCs w:val="21"/>
                <w:highlight w:val="none"/>
              </w:rPr>
            </w:pPr>
            <w:r>
              <w:rPr>
                <w:rFonts w:hint="eastAsia"/>
                <w:color w:val="auto"/>
                <w:szCs w:val="21"/>
                <w:highlight w:val="none"/>
              </w:rPr>
              <w:t>建筑安装工程费用</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26539.57</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万元 。</w:t>
            </w:r>
          </w:p>
          <w:p>
            <w:pPr>
              <w:keepNext w:val="0"/>
              <w:keepLines w:val="0"/>
              <w:suppressLineNumbers w:val="0"/>
              <w:tabs>
                <w:tab w:val="center" w:pos="4415"/>
              </w:tabs>
              <w:autoSpaceDE w:val="0"/>
              <w:autoSpaceDN w:val="0"/>
              <w:adjustRightInd w:val="0"/>
              <w:spacing w:before="0" w:beforeAutospacing="0" w:after="0" w:afterAutospacing="0"/>
              <w:ind w:left="0" w:right="0"/>
              <w:rPr>
                <w:rFonts w:hint="default" w:ascii="宋体" w:hAnsi="宋体"/>
                <w:color w:val="auto"/>
                <w:szCs w:val="21"/>
                <w:highlight w:val="none"/>
              </w:rPr>
            </w:pPr>
            <w:r>
              <w:rPr>
                <w:rFonts w:hint="eastAsia" w:ascii="宋体" w:hAnsi="宋体" w:cs="宋体"/>
                <w:color w:val="auto"/>
                <w:highlight w:val="none"/>
              </w:rPr>
              <w:t>项目监理招标最高限价：</w:t>
            </w:r>
            <w:r>
              <w:rPr>
                <w:rFonts w:hint="eastAsia" w:ascii="宋体" w:hAnsi="宋体" w:cs="宋体"/>
                <w:color w:val="auto"/>
                <w:highlight w:val="none"/>
                <w:u w:val="single"/>
                <w:lang w:val="en-US" w:eastAsia="zh-CN"/>
              </w:rPr>
              <w:t>295.16</w:t>
            </w:r>
            <w:r>
              <w:rPr>
                <w:rFonts w:hint="eastAsia" w:ascii="宋体" w:hAnsi="宋体" w:cs="宋体"/>
                <w:color w:val="auto"/>
                <w:highlight w:val="none"/>
              </w:rPr>
              <w:t>万元</w:t>
            </w:r>
            <w:r>
              <w:rPr>
                <w:rFonts w:hint="eastAsia" w:ascii="宋体" w:hAnsi="宋体" w:cs="宋体"/>
                <w:color w:val="auto"/>
                <w:highlight w:val="none"/>
                <w:lang w:eastAsia="zh-CN"/>
              </w:rPr>
              <w:t>。</w:t>
            </w:r>
          </w:p>
        </w:tc>
      </w:tr>
      <w:tr>
        <w:tblPrEx>
          <w:tblCellMar>
            <w:top w:w="0" w:type="dxa"/>
            <w:left w:w="108" w:type="dxa"/>
            <w:bottom w:w="0" w:type="dxa"/>
            <w:right w:w="108" w:type="dxa"/>
          </w:tblCellMar>
        </w:tblPrEx>
        <w:trPr>
          <w:trHeight w:val="1356" w:hRule="atLeast"/>
          <w:jc w:val="center"/>
        </w:trPr>
        <w:tc>
          <w:tcPr>
            <w:tcW w:w="70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default" w:ascii="宋体" w:hAnsi="宋体"/>
                <w:color w:val="auto"/>
                <w:szCs w:val="21"/>
                <w:highlight w:val="none"/>
              </w:rPr>
              <w:t>7</w:t>
            </w:r>
          </w:p>
        </w:tc>
        <w:tc>
          <w:tcPr>
            <w:tcW w:w="90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default" w:ascii="宋体" w:hAnsi="宋体"/>
                <w:color w:val="auto"/>
                <w:szCs w:val="21"/>
                <w:highlight w:val="none"/>
              </w:rPr>
              <w:t>2.2.5</w:t>
            </w:r>
          </w:p>
        </w:tc>
        <w:tc>
          <w:tcPr>
            <w:tcW w:w="1557"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eastAsia" w:ascii="宋体" w:hAnsi="宋体" w:cs="宋体"/>
                <w:color w:val="auto"/>
                <w:szCs w:val="21"/>
                <w:highlight w:val="none"/>
                <w:lang w:val="zh-CN"/>
              </w:rPr>
              <w:t>监理目标</w:t>
            </w:r>
          </w:p>
        </w:tc>
        <w:tc>
          <w:tcPr>
            <w:tcW w:w="6605"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tabs>
                <w:tab w:val="center" w:pos="4415"/>
              </w:tabs>
              <w:autoSpaceDE w:val="0"/>
              <w:autoSpaceDN w:val="0"/>
              <w:adjustRightInd w:val="0"/>
              <w:spacing w:before="0" w:beforeAutospacing="0" w:after="0" w:afterAutospacing="0"/>
              <w:ind w:left="0" w:right="0"/>
              <w:rPr>
                <w:rFonts w:hint="default" w:ascii="宋体" w:hAnsi="宋体"/>
                <w:color w:val="auto"/>
                <w:szCs w:val="21"/>
                <w:highlight w:val="none"/>
              </w:rPr>
            </w:pPr>
            <w:r>
              <w:rPr>
                <w:rFonts w:hint="eastAsia" w:ascii="宋体" w:hAnsi="宋体" w:cs="宋体"/>
                <w:color w:val="auto"/>
                <w:szCs w:val="21"/>
                <w:highlight w:val="none"/>
                <w:lang w:val="zh-CN"/>
              </w:rPr>
              <w:t>（</w:t>
            </w:r>
            <w:r>
              <w:rPr>
                <w:rFonts w:hint="default" w:ascii="宋体" w:hAnsi="宋体"/>
                <w:color w:val="auto"/>
                <w:szCs w:val="21"/>
                <w:highlight w:val="none"/>
              </w:rPr>
              <w:t>1</w:t>
            </w:r>
            <w:r>
              <w:rPr>
                <w:rFonts w:hint="eastAsia" w:ascii="宋体" w:hAnsi="宋体" w:cs="宋体"/>
                <w:color w:val="auto"/>
                <w:szCs w:val="21"/>
                <w:highlight w:val="none"/>
                <w:lang w:val="zh-CN"/>
              </w:rPr>
              <w:t>）进度目标：计划开工日期为</w:t>
            </w:r>
            <w:r>
              <w:rPr>
                <w:rFonts w:hint="default" w:ascii="宋体" w:hAnsi="宋体" w:cs="宋体"/>
                <w:color w:val="auto"/>
                <w:szCs w:val="21"/>
                <w:highlight w:val="none"/>
                <w:u w:val="single"/>
                <w:lang w:val="zh-CN"/>
              </w:rPr>
              <w:t xml:space="preserve"> </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zh-CN"/>
              </w:rPr>
              <w:t xml:space="preserve">  </w:t>
            </w:r>
            <w:r>
              <w:rPr>
                <w:rFonts w:hint="default"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年</w:t>
            </w:r>
            <w:r>
              <w:rPr>
                <w:rFonts w:hint="default" w:ascii="宋体" w:hAnsi="宋体" w:cs="宋体"/>
                <w:color w:val="auto"/>
                <w:szCs w:val="21"/>
                <w:highlight w:val="none"/>
                <w:u w:val="single"/>
                <w:lang w:val="zh-CN"/>
              </w:rPr>
              <w:t xml:space="preserve"> </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月</w:t>
            </w:r>
            <w:r>
              <w:rPr>
                <w:rFonts w:hint="default" w:ascii="宋体" w:hAnsi="宋体" w:cs="宋体"/>
                <w:color w:val="auto"/>
                <w:szCs w:val="21"/>
                <w:highlight w:val="none"/>
                <w:u w:val="single"/>
                <w:lang w:val="zh-CN"/>
              </w:rPr>
              <w:t xml:space="preserve"> </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日，施工工期暂定为</w:t>
            </w:r>
            <w:r>
              <w:rPr>
                <w:rFonts w:hint="eastAsia" w:ascii="宋体" w:hAnsi="宋体" w:cs="宋体"/>
                <w:color w:val="auto"/>
                <w:szCs w:val="21"/>
                <w:highlight w:val="none"/>
                <w:u w:val="single"/>
                <w:lang w:val="zh-CN"/>
              </w:rPr>
              <w:t xml:space="preserve"> </w:t>
            </w:r>
            <w:r>
              <w:rPr>
                <w:rFonts w:hint="default" w:ascii="宋体" w:hAnsi="宋体" w:cs="宋体"/>
                <w:color w:val="auto"/>
                <w:szCs w:val="21"/>
                <w:highlight w:val="none"/>
                <w:u w:val="single"/>
                <w:lang w:val="zh-CN"/>
              </w:rPr>
              <w:t>24</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个月。</w:t>
            </w:r>
          </w:p>
          <w:p>
            <w:pPr>
              <w:keepNext w:val="0"/>
              <w:keepLines w:val="0"/>
              <w:suppressLineNumbers w:val="0"/>
              <w:tabs>
                <w:tab w:val="center" w:pos="4415"/>
              </w:tabs>
              <w:autoSpaceDE w:val="0"/>
              <w:autoSpaceDN w:val="0"/>
              <w:adjustRightInd w:val="0"/>
              <w:spacing w:before="0" w:beforeAutospacing="0" w:after="0" w:afterAutospacing="0"/>
              <w:ind w:left="0" w:right="0"/>
              <w:rPr>
                <w:rFonts w:hint="default" w:ascii="宋体" w:hAnsi="宋体" w:cs="宋体"/>
                <w:color w:val="auto"/>
                <w:szCs w:val="21"/>
                <w:highlight w:val="none"/>
                <w:lang w:val="zh-CN"/>
              </w:rPr>
            </w:pPr>
            <w:r>
              <w:rPr>
                <w:rFonts w:hint="eastAsia" w:ascii="宋体" w:hAnsi="宋体" w:cs="宋体"/>
                <w:color w:val="auto"/>
                <w:szCs w:val="21"/>
                <w:highlight w:val="none"/>
                <w:lang w:val="zh-CN"/>
              </w:rPr>
              <w:t>（</w:t>
            </w:r>
            <w:r>
              <w:rPr>
                <w:rFonts w:hint="default" w:ascii="宋体" w:hAnsi="宋体"/>
                <w:color w:val="auto"/>
                <w:szCs w:val="21"/>
                <w:highlight w:val="none"/>
              </w:rPr>
              <w:t>2</w:t>
            </w:r>
            <w:r>
              <w:rPr>
                <w:rFonts w:hint="eastAsia" w:ascii="宋体" w:hAnsi="宋体" w:cs="宋体"/>
                <w:color w:val="auto"/>
                <w:szCs w:val="21"/>
                <w:highlight w:val="none"/>
                <w:lang w:val="zh-CN"/>
              </w:rPr>
              <w:t>）质量目标：合格。</w:t>
            </w:r>
          </w:p>
          <w:p>
            <w:pPr>
              <w:keepNext w:val="0"/>
              <w:keepLines w:val="0"/>
              <w:suppressLineNumbers w:val="0"/>
              <w:tabs>
                <w:tab w:val="center" w:pos="4415"/>
              </w:tabs>
              <w:autoSpaceDE w:val="0"/>
              <w:autoSpaceDN w:val="0"/>
              <w:adjustRightInd w:val="0"/>
              <w:spacing w:before="0" w:beforeAutospacing="0" w:after="0" w:afterAutospacing="0"/>
              <w:ind w:left="0" w:right="0"/>
              <w:rPr>
                <w:rFonts w:hint="default" w:ascii="宋体" w:hAnsi="宋体"/>
                <w:color w:val="auto"/>
                <w:szCs w:val="21"/>
                <w:highlight w:val="none"/>
              </w:rPr>
            </w:pPr>
            <w:r>
              <w:rPr>
                <w:rFonts w:hint="eastAsia" w:ascii="宋体" w:hAnsi="宋体" w:cs="宋体"/>
                <w:color w:val="auto"/>
                <w:szCs w:val="21"/>
                <w:highlight w:val="none"/>
                <w:lang w:val="zh-CN"/>
              </w:rPr>
              <w:t>（</w:t>
            </w:r>
            <w:r>
              <w:rPr>
                <w:rFonts w:hint="default" w:ascii="宋体" w:hAnsi="宋体" w:cs="宋体"/>
                <w:color w:val="auto"/>
                <w:szCs w:val="21"/>
                <w:highlight w:val="none"/>
                <w:lang w:val="zh-CN"/>
              </w:rPr>
              <w:t>3</w:t>
            </w:r>
            <w:r>
              <w:rPr>
                <w:rFonts w:hint="eastAsia" w:ascii="宋体" w:hAnsi="宋体" w:cs="宋体"/>
                <w:color w:val="auto"/>
                <w:szCs w:val="21"/>
                <w:highlight w:val="none"/>
                <w:lang w:val="zh-CN"/>
              </w:rPr>
              <w:t>）投资控制目标：投资控制在政府批准的工程投资总概算内。</w:t>
            </w:r>
          </w:p>
        </w:tc>
      </w:tr>
      <w:tr>
        <w:tblPrEx>
          <w:tblCellMar>
            <w:top w:w="0" w:type="dxa"/>
            <w:left w:w="108" w:type="dxa"/>
            <w:bottom w:w="0" w:type="dxa"/>
            <w:right w:w="108" w:type="dxa"/>
          </w:tblCellMar>
        </w:tblPrEx>
        <w:trPr>
          <w:trHeight w:val="1019" w:hRule="atLeast"/>
          <w:jc w:val="center"/>
        </w:trPr>
        <w:tc>
          <w:tcPr>
            <w:tcW w:w="70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default" w:ascii="宋体" w:hAnsi="宋体"/>
                <w:color w:val="auto"/>
                <w:szCs w:val="21"/>
                <w:highlight w:val="none"/>
              </w:rPr>
              <w:t>8</w:t>
            </w:r>
          </w:p>
        </w:tc>
        <w:tc>
          <w:tcPr>
            <w:tcW w:w="90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default" w:ascii="宋体" w:hAnsi="宋体"/>
                <w:color w:val="auto"/>
                <w:szCs w:val="21"/>
                <w:highlight w:val="none"/>
              </w:rPr>
              <w:t>2.3.1</w:t>
            </w:r>
          </w:p>
        </w:tc>
        <w:tc>
          <w:tcPr>
            <w:tcW w:w="1557"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eastAsia" w:ascii="宋体" w:hAnsi="宋体" w:cs="宋体"/>
                <w:color w:val="auto"/>
                <w:szCs w:val="21"/>
                <w:highlight w:val="none"/>
                <w:lang w:val="zh-CN"/>
              </w:rPr>
              <w:t>招标</w:t>
            </w:r>
            <w:r>
              <w:rPr>
                <w:rFonts w:hint="eastAsia" w:ascii="宋体" w:hAnsi="宋体" w:cs="宋体"/>
                <w:color w:val="auto"/>
                <w:szCs w:val="21"/>
                <w:highlight w:val="none"/>
              </w:rPr>
              <w:t>的监理</w:t>
            </w:r>
            <w:r>
              <w:rPr>
                <w:rFonts w:hint="eastAsia" w:ascii="宋体" w:hAnsi="宋体" w:cs="宋体"/>
                <w:color w:val="auto"/>
                <w:szCs w:val="21"/>
                <w:highlight w:val="none"/>
                <w:lang w:val="zh-CN"/>
              </w:rPr>
              <w:t>范围</w:t>
            </w:r>
          </w:p>
        </w:tc>
        <w:tc>
          <w:tcPr>
            <w:tcW w:w="6605"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ind w:left="0" w:right="0"/>
              <w:rPr>
                <w:rFonts w:hint="default" w:ascii="宋体" w:hAnsi="宋体" w:cs="宋体"/>
                <w:color w:val="auto"/>
                <w:szCs w:val="21"/>
                <w:highlight w:val="none"/>
                <w:lang w:val="zh-CN"/>
              </w:rPr>
            </w:pPr>
            <w:r>
              <w:rPr>
                <w:rFonts w:hint="eastAsia" w:ascii="宋体" w:hAnsi="宋体"/>
                <w:color w:val="auto"/>
                <w:szCs w:val="21"/>
                <w:highlight w:val="none"/>
              </w:rPr>
              <w:t>本工程施工准备、设计阶段、建设阶段、竣工结算阶段、保修阶段的质量控制、安全生产监督管理、投资控制、进度控制、合同管理、信息管理、组织协调等监理工作以及缺陷责任期内的监理服务和相关专业技术咨询服务等现行监理条例所规定全部内容的建设工程监理。</w:t>
            </w:r>
          </w:p>
        </w:tc>
      </w:tr>
      <w:tr>
        <w:tblPrEx>
          <w:tblCellMar>
            <w:top w:w="0" w:type="dxa"/>
            <w:left w:w="108" w:type="dxa"/>
            <w:bottom w:w="0" w:type="dxa"/>
            <w:right w:w="108" w:type="dxa"/>
          </w:tblCellMar>
        </w:tblPrEx>
        <w:trPr>
          <w:trHeight w:val="673" w:hRule="atLeast"/>
          <w:jc w:val="center"/>
        </w:trPr>
        <w:tc>
          <w:tcPr>
            <w:tcW w:w="70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default" w:ascii="宋体" w:hAnsi="宋体"/>
                <w:color w:val="auto"/>
                <w:szCs w:val="21"/>
                <w:highlight w:val="none"/>
              </w:rPr>
              <w:t>9</w:t>
            </w:r>
          </w:p>
        </w:tc>
        <w:tc>
          <w:tcPr>
            <w:tcW w:w="90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default" w:ascii="宋体" w:hAnsi="宋体"/>
                <w:color w:val="auto"/>
                <w:szCs w:val="21"/>
                <w:highlight w:val="none"/>
              </w:rPr>
              <w:t>2.3.2</w:t>
            </w:r>
          </w:p>
        </w:tc>
        <w:tc>
          <w:tcPr>
            <w:tcW w:w="1557"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eastAsia" w:ascii="宋体" w:hAnsi="宋体" w:cs="宋体"/>
                <w:color w:val="auto"/>
                <w:szCs w:val="21"/>
                <w:highlight w:val="none"/>
                <w:lang w:val="zh-CN"/>
              </w:rPr>
              <w:t>监理服务期</w:t>
            </w:r>
          </w:p>
        </w:tc>
        <w:tc>
          <w:tcPr>
            <w:tcW w:w="6605"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ind w:left="0" w:right="0"/>
              <w:rPr>
                <w:rFonts w:hint="default" w:ascii="宋体" w:hAnsi="宋体"/>
                <w:color w:val="auto"/>
                <w:szCs w:val="21"/>
                <w:highlight w:val="none"/>
              </w:rPr>
            </w:pPr>
            <w:r>
              <w:rPr>
                <w:rFonts w:hint="default"/>
                <w:color w:val="auto"/>
                <w:highlight w:val="none"/>
              </w:rPr>
              <w:t>监理服务期自监理通知中载明的开始监理日期开始至竣工验收合格且工程质量保修期满之日止</w:t>
            </w:r>
            <w:r>
              <w:rPr>
                <w:rFonts w:hint="eastAsia"/>
                <w:color w:val="auto"/>
                <w:highlight w:val="none"/>
              </w:rPr>
              <w:t>。</w:t>
            </w:r>
          </w:p>
        </w:tc>
      </w:tr>
      <w:tr>
        <w:tblPrEx>
          <w:tblCellMar>
            <w:top w:w="0" w:type="dxa"/>
            <w:left w:w="108" w:type="dxa"/>
            <w:bottom w:w="0" w:type="dxa"/>
            <w:right w:w="108" w:type="dxa"/>
          </w:tblCellMar>
        </w:tblPrEx>
        <w:trPr>
          <w:trHeight w:val="617" w:hRule="atLeast"/>
          <w:jc w:val="center"/>
        </w:trPr>
        <w:tc>
          <w:tcPr>
            <w:tcW w:w="70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default" w:ascii="宋体" w:hAnsi="宋体"/>
                <w:color w:val="auto"/>
                <w:szCs w:val="21"/>
                <w:highlight w:val="none"/>
              </w:rPr>
              <w:t>10</w:t>
            </w:r>
          </w:p>
        </w:tc>
        <w:tc>
          <w:tcPr>
            <w:tcW w:w="90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default" w:ascii="宋体" w:hAnsi="宋体"/>
                <w:color w:val="auto"/>
                <w:szCs w:val="21"/>
                <w:highlight w:val="none"/>
              </w:rPr>
              <w:t>3.1</w:t>
            </w:r>
          </w:p>
        </w:tc>
        <w:tc>
          <w:tcPr>
            <w:tcW w:w="1557"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eastAsia" w:ascii="宋体" w:hAnsi="宋体" w:cs="宋体"/>
                <w:color w:val="auto"/>
                <w:szCs w:val="21"/>
                <w:highlight w:val="none"/>
                <w:lang w:val="zh-CN"/>
              </w:rPr>
              <w:t>资金来源</w:t>
            </w:r>
          </w:p>
        </w:tc>
        <w:tc>
          <w:tcPr>
            <w:tcW w:w="6605"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自筹资金</w:t>
            </w:r>
          </w:p>
        </w:tc>
      </w:tr>
      <w:tr>
        <w:tblPrEx>
          <w:tblCellMar>
            <w:top w:w="0" w:type="dxa"/>
            <w:left w:w="108" w:type="dxa"/>
            <w:bottom w:w="0" w:type="dxa"/>
            <w:right w:w="108" w:type="dxa"/>
          </w:tblCellMar>
        </w:tblPrEx>
        <w:trPr>
          <w:trHeight w:val="592" w:hRule="atLeast"/>
          <w:jc w:val="center"/>
        </w:trPr>
        <w:tc>
          <w:tcPr>
            <w:tcW w:w="70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default" w:ascii="宋体" w:hAnsi="宋体"/>
                <w:color w:val="auto"/>
                <w:szCs w:val="21"/>
                <w:highlight w:val="none"/>
              </w:rPr>
              <w:t>11</w:t>
            </w:r>
          </w:p>
        </w:tc>
        <w:tc>
          <w:tcPr>
            <w:tcW w:w="90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default" w:ascii="宋体" w:hAnsi="宋体"/>
                <w:color w:val="auto"/>
                <w:szCs w:val="21"/>
                <w:highlight w:val="none"/>
              </w:rPr>
              <w:t>4.2</w:t>
            </w:r>
          </w:p>
        </w:tc>
        <w:tc>
          <w:tcPr>
            <w:tcW w:w="1557"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eastAsia" w:ascii="宋体" w:hAnsi="宋体" w:cs="宋体"/>
                <w:color w:val="auto"/>
                <w:szCs w:val="21"/>
                <w:highlight w:val="none"/>
                <w:lang w:val="zh-CN"/>
              </w:rPr>
              <w:t>投标人资质要求</w:t>
            </w:r>
          </w:p>
        </w:tc>
        <w:tc>
          <w:tcPr>
            <w:tcW w:w="6605"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276" w:lineRule="auto"/>
              <w:ind w:left="0" w:right="0"/>
              <w:outlineLvl w:val="0"/>
              <w:rPr>
                <w:rFonts w:hint="default" w:ascii="宋体" w:hAnsi="宋体"/>
                <w:color w:val="auto"/>
                <w:szCs w:val="21"/>
                <w:highlight w:val="none"/>
              </w:rPr>
            </w:pPr>
            <w:r>
              <w:rPr>
                <w:rFonts w:hint="eastAsia" w:ascii="宋体" w:hAnsi="宋体" w:cs="宋体"/>
                <w:color w:val="auto"/>
                <w:kern w:val="0"/>
                <w:szCs w:val="21"/>
                <w:highlight w:val="none"/>
              </w:rPr>
              <w:t>详见招标公告</w:t>
            </w:r>
          </w:p>
        </w:tc>
      </w:tr>
      <w:tr>
        <w:tblPrEx>
          <w:tblCellMar>
            <w:top w:w="0" w:type="dxa"/>
            <w:left w:w="108" w:type="dxa"/>
            <w:bottom w:w="0" w:type="dxa"/>
            <w:right w:w="108" w:type="dxa"/>
          </w:tblCellMar>
        </w:tblPrEx>
        <w:trPr>
          <w:trHeight w:val="857" w:hRule="atLeast"/>
          <w:jc w:val="center"/>
        </w:trPr>
        <w:tc>
          <w:tcPr>
            <w:tcW w:w="70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eastAsia" w:ascii="宋体" w:hAnsi="宋体" w:cs="宋体"/>
                <w:color w:val="auto"/>
                <w:szCs w:val="21"/>
                <w:highlight w:val="none"/>
                <w:lang w:val="zh-CN"/>
              </w:rPr>
              <w:t>12</w:t>
            </w:r>
          </w:p>
        </w:tc>
        <w:tc>
          <w:tcPr>
            <w:tcW w:w="90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eastAsia" w:ascii="宋体" w:hAnsi="宋体"/>
                <w:color w:val="auto"/>
                <w:szCs w:val="21"/>
                <w:highlight w:val="none"/>
              </w:rPr>
              <w:t>4.3</w:t>
            </w:r>
          </w:p>
        </w:tc>
        <w:tc>
          <w:tcPr>
            <w:tcW w:w="1557"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eastAsia" w:ascii="宋体" w:hAnsi="宋体" w:cs="宋体"/>
                <w:color w:val="auto"/>
                <w:szCs w:val="21"/>
                <w:highlight w:val="none"/>
                <w:lang w:val="zh-CN"/>
              </w:rPr>
              <w:t>监理人员专业配套要求</w:t>
            </w:r>
          </w:p>
        </w:tc>
        <w:tc>
          <w:tcPr>
            <w:tcW w:w="6605"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60" w:beforeAutospacing="0" w:after="60" w:afterAutospacing="0" w:line="0" w:lineRule="atLeast"/>
              <w:ind w:left="0" w:right="0"/>
              <w:rPr>
                <w:rFonts w:hint="default" w:ascii="宋体" w:hAnsi="宋体" w:cs="宋体"/>
                <w:color w:val="auto"/>
                <w:szCs w:val="21"/>
                <w:highlight w:val="none"/>
                <w:lang w:val="zh-CN"/>
              </w:rPr>
            </w:pPr>
            <w:r>
              <w:rPr>
                <w:rFonts w:hint="eastAsia" w:ascii="宋体" w:hAnsi="宋体" w:cs="宋体"/>
                <w:color w:val="auto"/>
                <w:szCs w:val="21"/>
                <w:highlight w:val="none"/>
                <w:lang w:val="zh-CN"/>
              </w:rPr>
              <w:t>监理机构组成人员数量不少于广东省建设厅粤建管（2002）97号文关于工程项目监理最少人数配置数量要求。</w:t>
            </w:r>
          </w:p>
        </w:tc>
      </w:tr>
      <w:tr>
        <w:tblPrEx>
          <w:tblCellMar>
            <w:top w:w="0" w:type="dxa"/>
            <w:left w:w="108" w:type="dxa"/>
            <w:bottom w:w="0" w:type="dxa"/>
            <w:right w:w="108" w:type="dxa"/>
          </w:tblCellMar>
        </w:tblPrEx>
        <w:trPr>
          <w:trHeight w:val="678" w:hRule="atLeast"/>
          <w:jc w:val="center"/>
        </w:trPr>
        <w:tc>
          <w:tcPr>
            <w:tcW w:w="70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default" w:ascii="宋体" w:hAnsi="宋体"/>
                <w:color w:val="auto"/>
                <w:szCs w:val="21"/>
                <w:highlight w:val="none"/>
              </w:rPr>
              <w:t>1</w:t>
            </w:r>
            <w:r>
              <w:rPr>
                <w:rFonts w:hint="eastAsia" w:ascii="宋体" w:hAnsi="宋体"/>
                <w:color w:val="auto"/>
                <w:szCs w:val="21"/>
                <w:highlight w:val="none"/>
              </w:rPr>
              <w:t>3</w:t>
            </w:r>
          </w:p>
        </w:tc>
        <w:tc>
          <w:tcPr>
            <w:tcW w:w="90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default" w:ascii="宋体" w:hAnsi="宋体"/>
                <w:color w:val="auto"/>
                <w:szCs w:val="21"/>
                <w:highlight w:val="none"/>
              </w:rPr>
              <w:t>4.5</w:t>
            </w:r>
          </w:p>
        </w:tc>
        <w:tc>
          <w:tcPr>
            <w:tcW w:w="1557"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eastAsia" w:ascii="宋体" w:hAnsi="宋体" w:cs="宋体"/>
                <w:color w:val="auto"/>
                <w:szCs w:val="21"/>
                <w:highlight w:val="none"/>
                <w:lang w:val="zh-CN"/>
              </w:rPr>
              <w:t>资格审查方式</w:t>
            </w:r>
          </w:p>
        </w:tc>
        <w:tc>
          <w:tcPr>
            <w:tcW w:w="6605"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76" w:lineRule="auto"/>
              <w:ind w:left="0" w:right="0"/>
              <w:rPr>
                <w:rFonts w:hint="default" w:ascii="宋体" w:hAnsi="宋体"/>
                <w:color w:val="auto"/>
                <w:szCs w:val="21"/>
                <w:highlight w:val="none"/>
              </w:rPr>
            </w:pPr>
            <w:r>
              <w:rPr>
                <w:rFonts w:hint="eastAsia" w:ascii="宋体" w:hAnsi="宋体" w:cs="宋体"/>
                <w:color w:val="auto"/>
                <w:szCs w:val="21"/>
                <w:highlight w:val="none"/>
                <w:lang w:val="zh-CN"/>
              </w:rPr>
              <w:t>资格后审</w:t>
            </w:r>
          </w:p>
        </w:tc>
      </w:tr>
      <w:tr>
        <w:tblPrEx>
          <w:tblCellMar>
            <w:top w:w="0" w:type="dxa"/>
            <w:left w:w="108" w:type="dxa"/>
            <w:bottom w:w="0" w:type="dxa"/>
            <w:right w:w="108" w:type="dxa"/>
          </w:tblCellMar>
        </w:tblPrEx>
        <w:trPr>
          <w:trHeight w:val="678" w:hRule="atLeast"/>
          <w:jc w:val="center"/>
        </w:trPr>
        <w:tc>
          <w:tcPr>
            <w:tcW w:w="70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s="宋体"/>
                <w:color w:val="auto"/>
                <w:szCs w:val="21"/>
                <w:highlight w:val="none"/>
                <w:lang w:val="zh-CN"/>
              </w:rPr>
            </w:pPr>
            <w:r>
              <w:rPr>
                <w:rFonts w:hint="default" w:ascii="宋体" w:hAnsi="宋体"/>
                <w:color w:val="auto"/>
                <w:szCs w:val="21"/>
                <w:highlight w:val="none"/>
              </w:rPr>
              <w:t>1</w:t>
            </w:r>
            <w:r>
              <w:rPr>
                <w:rFonts w:hint="eastAsia" w:ascii="宋体" w:hAnsi="宋体"/>
                <w:color w:val="auto"/>
                <w:szCs w:val="21"/>
                <w:highlight w:val="none"/>
              </w:rPr>
              <w:t>4</w:t>
            </w:r>
          </w:p>
        </w:tc>
        <w:tc>
          <w:tcPr>
            <w:tcW w:w="90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s="宋体"/>
                <w:color w:val="auto"/>
                <w:szCs w:val="21"/>
                <w:highlight w:val="none"/>
                <w:lang w:val="zh-CN"/>
              </w:rPr>
            </w:pPr>
            <w:r>
              <w:rPr>
                <w:rFonts w:hint="eastAsia" w:ascii="宋体" w:hAnsi="宋体" w:cs="宋体"/>
                <w:color w:val="auto"/>
                <w:szCs w:val="21"/>
                <w:highlight w:val="none"/>
                <w:lang w:val="zh-CN"/>
              </w:rPr>
              <w:t>4.7</w:t>
            </w:r>
          </w:p>
        </w:tc>
        <w:tc>
          <w:tcPr>
            <w:tcW w:w="1557"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s="宋体"/>
                <w:color w:val="auto"/>
                <w:szCs w:val="21"/>
                <w:highlight w:val="none"/>
                <w:lang w:val="zh-CN"/>
              </w:rPr>
            </w:pPr>
            <w:r>
              <w:rPr>
                <w:rFonts w:hint="eastAsia" w:ascii="宋体" w:hAnsi="宋体" w:cs="宋体"/>
                <w:color w:val="auto"/>
                <w:szCs w:val="21"/>
                <w:highlight w:val="none"/>
                <w:lang w:val="zh-CN"/>
              </w:rPr>
              <w:t>联合体投标</w:t>
            </w:r>
          </w:p>
        </w:tc>
        <w:tc>
          <w:tcPr>
            <w:tcW w:w="6605"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76" w:lineRule="auto"/>
              <w:ind w:left="0" w:right="0"/>
              <w:rPr>
                <w:rFonts w:hint="default" w:ascii="宋体" w:hAnsi="宋体" w:cs="宋体"/>
                <w:color w:val="auto"/>
                <w:szCs w:val="21"/>
                <w:highlight w:val="none"/>
                <w:lang w:val="zh-CN"/>
              </w:rPr>
            </w:pPr>
            <w:r>
              <w:rPr>
                <w:rFonts w:hint="eastAsia" w:ascii="宋体" w:hAnsi="宋体" w:cs="宋体"/>
                <w:color w:val="auto"/>
                <w:szCs w:val="21"/>
                <w:highlight w:val="none"/>
                <w:lang w:val="zh-CN"/>
              </w:rPr>
              <w:t>本项目</w:t>
            </w:r>
            <w:r>
              <w:rPr>
                <w:rFonts w:hint="eastAsia" w:ascii="宋体" w:hAnsi="宋体" w:cs="宋体"/>
                <w:b/>
                <w:bCs/>
                <w:color w:val="auto"/>
                <w:szCs w:val="21"/>
                <w:highlight w:val="none"/>
                <w:u w:val="single"/>
                <w:lang w:val="zh-CN"/>
              </w:rPr>
              <w:t>不接受</w:t>
            </w:r>
            <w:r>
              <w:rPr>
                <w:rFonts w:hint="eastAsia" w:ascii="宋体" w:hAnsi="宋体" w:cs="宋体"/>
                <w:color w:val="auto"/>
                <w:szCs w:val="21"/>
                <w:highlight w:val="none"/>
                <w:lang w:val="zh-CN"/>
              </w:rPr>
              <w:t>联合体投标</w:t>
            </w:r>
          </w:p>
        </w:tc>
      </w:tr>
      <w:tr>
        <w:tblPrEx>
          <w:tblCellMar>
            <w:top w:w="0" w:type="dxa"/>
            <w:left w:w="108" w:type="dxa"/>
            <w:bottom w:w="0" w:type="dxa"/>
            <w:right w:w="108" w:type="dxa"/>
          </w:tblCellMar>
        </w:tblPrEx>
        <w:trPr>
          <w:trHeight w:val="1417" w:hRule="atLeast"/>
          <w:jc w:val="center"/>
        </w:trPr>
        <w:tc>
          <w:tcPr>
            <w:tcW w:w="70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default" w:ascii="宋体" w:hAnsi="宋体"/>
                <w:color w:val="auto"/>
                <w:szCs w:val="21"/>
                <w:highlight w:val="none"/>
              </w:rPr>
              <w:t>1</w:t>
            </w:r>
            <w:r>
              <w:rPr>
                <w:rFonts w:hint="eastAsia" w:ascii="宋体" w:hAnsi="宋体"/>
                <w:color w:val="auto"/>
                <w:szCs w:val="21"/>
                <w:highlight w:val="none"/>
              </w:rPr>
              <w:t>5</w:t>
            </w:r>
          </w:p>
        </w:tc>
        <w:tc>
          <w:tcPr>
            <w:tcW w:w="90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default" w:ascii="宋体" w:hAnsi="宋体"/>
                <w:color w:val="auto"/>
                <w:szCs w:val="21"/>
                <w:highlight w:val="none"/>
              </w:rPr>
              <w:t>13.1</w:t>
            </w:r>
          </w:p>
        </w:tc>
        <w:tc>
          <w:tcPr>
            <w:tcW w:w="1557"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eastAsia" w:ascii="宋体" w:hAnsi="宋体" w:cs="宋体"/>
                <w:color w:val="auto"/>
                <w:szCs w:val="21"/>
                <w:highlight w:val="none"/>
                <w:lang w:val="zh-CN"/>
              </w:rPr>
              <w:t>监理报价</w:t>
            </w:r>
          </w:p>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eastAsia" w:ascii="宋体" w:hAnsi="宋体" w:cs="宋体"/>
                <w:color w:val="auto"/>
                <w:szCs w:val="21"/>
                <w:highlight w:val="none"/>
                <w:lang w:val="zh-CN"/>
              </w:rPr>
              <w:t>方式</w:t>
            </w:r>
          </w:p>
        </w:tc>
        <w:tc>
          <w:tcPr>
            <w:tcW w:w="6605"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ind w:left="0" w:right="0"/>
              <w:jc w:val="left"/>
              <w:rPr>
                <w:rFonts w:hint="default" w:ascii="宋体" w:hAnsi="宋体" w:cs="宋体"/>
                <w:color w:val="auto"/>
                <w:szCs w:val="21"/>
                <w:highlight w:val="none"/>
                <w:lang w:val="zh-CN"/>
              </w:rPr>
            </w:pPr>
            <w:r>
              <w:rPr>
                <w:rFonts w:hint="eastAsia" w:ascii="宋体" w:hAnsi="宋体" w:cs="宋体"/>
                <w:color w:val="auto"/>
                <w:szCs w:val="21"/>
                <w:highlight w:val="none"/>
                <w:lang w:val="zh-CN"/>
              </w:rPr>
              <w:t>本项目</w:t>
            </w:r>
            <w:r>
              <w:rPr>
                <w:rFonts w:hint="eastAsia" w:ascii="宋体" w:hAnsi="宋体" w:cs="宋体"/>
                <w:color w:val="auto"/>
                <w:szCs w:val="21"/>
                <w:highlight w:val="none"/>
                <w:lang w:val="en-US" w:eastAsia="zh-CN"/>
              </w:rPr>
              <w:t>最高限价</w:t>
            </w:r>
            <w:r>
              <w:rPr>
                <w:rFonts w:hint="eastAsia" w:ascii="宋体" w:hAnsi="宋体" w:cs="宋体"/>
                <w:color w:val="auto"/>
                <w:szCs w:val="21"/>
                <w:highlight w:val="none"/>
                <w:lang w:val="zh-CN"/>
              </w:rPr>
              <w:t>为：人民币</w:t>
            </w:r>
            <w:r>
              <w:rPr>
                <w:rFonts w:hint="eastAsia"/>
                <w:b/>
                <w:bCs/>
                <w:color w:val="auto"/>
                <w:highlight w:val="none"/>
                <w:u w:val="single"/>
                <w:lang w:eastAsia="zh-CN"/>
              </w:rPr>
              <w:t>29</w:t>
            </w:r>
            <w:r>
              <w:rPr>
                <w:rFonts w:hint="eastAsia"/>
                <w:b/>
                <w:bCs/>
                <w:color w:val="auto"/>
                <w:highlight w:val="none"/>
                <w:u w:val="single"/>
                <w:lang w:val="en-US" w:eastAsia="zh-CN"/>
              </w:rPr>
              <w:t>5.16</w:t>
            </w:r>
            <w:r>
              <w:rPr>
                <w:rFonts w:hint="default"/>
                <w:b/>
                <w:bCs/>
                <w:color w:val="auto"/>
                <w:highlight w:val="none"/>
              </w:rPr>
              <w:t>万元</w:t>
            </w:r>
            <w:r>
              <w:rPr>
                <w:rFonts w:hint="eastAsia" w:ascii="宋体" w:hAnsi="宋体" w:cs="宋体"/>
                <w:color w:val="auto"/>
                <w:szCs w:val="21"/>
                <w:highlight w:val="none"/>
                <w:lang w:val="zh-CN"/>
              </w:rPr>
              <w:t>。本工程采用下浮率报价方式进行报价，由投标人进行下浮率报价，下浮率报价范围为</w:t>
            </w:r>
            <w:r>
              <w:rPr>
                <w:rFonts w:hint="eastAsia" w:ascii="宋体" w:hAnsi="宋体" w:cs="宋体"/>
                <w:color w:val="auto"/>
                <w:szCs w:val="21"/>
                <w:highlight w:val="none"/>
                <w:u w:val="single"/>
                <w:lang w:val="zh-CN"/>
              </w:rPr>
              <w:t xml:space="preserve"> </w:t>
            </w:r>
            <w:r>
              <w:rPr>
                <w:rFonts w:hint="default" w:ascii="宋体" w:hAnsi="宋体" w:cs="宋体"/>
                <w:color w:val="auto"/>
                <w:szCs w:val="21"/>
                <w:highlight w:val="none"/>
                <w:u w:val="single"/>
                <w:lang w:val="zh-CN"/>
              </w:rPr>
              <w:t>0.00</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w:t>
            </w:r>
            <w:r>
              <w:rPr>
                <w:rFonts w:hint="default" w:ascii="宋体" w:hAnsi="宋体" w:cs="宋体"/>
                <w:color w:val="auto"/>
                <w:szCs w:val="21"/>
                <w:highlight w:val="none"/>
                <w:u w:val="single"/>
                <w:lang w:val="zh-CN"/>
              </w:rPr>
              <w:t>10.00</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 xml:space="preserve"> 。（投标报价下浮率保留小数点后两位）。</w:t>
            </w:r>
          </w:p>
        </w:tc>
      </w:tr>
      <w:tr>
        <w:tblPrEx>
          <w:tblCellMar>
            <w:top w:w="0" w:type="dxa"/>
            <w:left w:w="108" w:type="dxa"/>
            <w:bottom w:w="0" w:type="dxa"/>
            <w:right w:w="108" w:type="dxa"/>
          </w:tblCellMar>
        </w:tblPrEx>
        <w:trPr>
          <w:trHeight w:val="488" w:hRule="atLeast"/>
          <w:jc w:val="center"/>
        </w:trPr>
        <w:tc>
          <w:tcPr>
            <w:tcW w:w="70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default" w:ascii="宋体" w:hAnsi="宋体"/>
                <w:color w:val="auto"/>
                <w:szCs w:val="21"/>
                <w:highlight w:val="none"/>
              </w:rPr>
              <w:t>1</w:t>
            </w:r>
            <w:r>
              <w:rPr>
                <w:rFonts w:hint="eastAsia" w:ascii="宋体" w:hAnsi="宋体"/>
                <w:color w:val="auto"/>
                <w:szCs w:val="21"/>
                <w:highlight w:val="none"/>
              </w:rPr>
              <w:t>6</w:t>
            </w:r>
          </w:p>
        </w:tc>
        <w:tc>
          <w:tcPr>
            <w:tcW w:w="90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default" w:ascii="宋体" w:hAnsi="宋体"/>
                <w:color w:val="auto"/>
                <w:szCs w:val="21"/>
                <w:highlight w:val="none"/>
              </w:rPr>
              <w:t>15.1</w:t>
            </w:r>
          </w:p>
        </w:tc>
        <w:tc>
          <w:tcPr>
            <w:tcW w:w="1557"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eastAsia" w:ascii="宋体" w:hAnsi="宋体" w:cs="宋体"/>
                <w:color w:val="auto"/>
                <w:szCs w:val="21"/>
                <w:highlight w:val="none"/>
                <w:lang w:val="zh-CN"/>
              </w:rPr>
              <w:t>投标有效期</w:t>
            </w:r>
          </w:p>
        </w:tc>
        <w:tc>
          <w:tcPr>
            <w:tcW w:w="6605"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76" w:lineRule="auto"/>
              <w:ind w:left="0" w:right="0"/>
              <w:jc w:val="left"/>
              <w:rPr>
                <w:rFonts w:hint="default" w:ascii="宋体" w:hAnsi="宋体"/>
                <w:color w:val="auto"/>
                <w:szCs w:val="21"/>
                <w:highlight w:val="none"/>
                <w:u w:val="single"/>
              </w:rPr>
            </w:pPr>
            <w:r>
              <w:rPr>
                <w:rFonts w:hint="eastAsia" w:ascii="宋体" w:hAnsi="宋体" w:cs="宋体"/>
                <w:b/>
                <w:bCs/>
                <w:color w:val="auto"/>
                <w:szCs w:val="21"/>
                <w:highlight w:val="none"/>
                <w:lang w:val="zh-CN"/>
              </w:rPr>
              <w:t>1</w:t>
            </w:r>
            <w:r>
              <w:rPr>
                <w:rFonts w:hint="default" w:ascii="宋体" w:hAnsi="宋体" w:cs="宋体"/>
                <w:b/>
                <w:bCs/>
                <w:color w:val="auto"/>
                <w:szCs w:val="21"/>
                <w:highlight w:val="none"/>
                <w:lang w:val="zh-CN"/>
              </w:rPr>
              <w:t>20</w:t>
            </w:r>
            <w:r>
              <w:rPr>
                <w:rFonts w:hint="eastAsia" w:ascii="宋体" w:hAnsi="宋体" w:cs="宋体"/>
                <w:color w:val="auto"/>
                <w:szCs w:val="21"/>
                <w:highlight w:val="none"/>
                <w:lang w:val="zh-CN"/>
              </w:rPr>
              <w:t>日历天（从投标截止之日算起）</w:t>
            </w:r>
          </w:p>
        </w:tc>
      </w:tr>
      <w:tr>
        <w:tblPrEx>
          <w:tblCellMar>
            <w:top w:w="0" w:type="dxa"/>
            <w:left w:w="108" w:type="dxa"/>
            <w:bottom w:w="0" w:type="dxa"/>
            <w:right w:w="108" w:type="dxa"/>
          </w:tblCellMar>
        </w:tblPrEx>
        <w:trPr>
          <w:jc w:val="center"/>
        </w:trPr>
        <w:tc>
          <w:tcPr>
            <w:tcW w:w="70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default" w:ascii="宋体" w:hAnsi="宋体"/>
                <w:color w:val="auto"/>
                <w:szCs w:val="21"/>
                <w:highlight w:val="none"/>
              </w:rPr>
              <w:t>1</w:t>
            </w:r>
            <w:r>
              <w:rPr>
                <w:rFonts w:hint="eastAsia" w:ascii="宋体" w:hAnsi="宋体"/>
                <w:color w:val="auto"/>
                <w:szCs w:val="21"/>
                <w:highlight w:val="none"/>
              </w:rPr>
              <w:t>7</w:t>
            </w:r>
          </w:p>
        </w:tc>
        <w:tc>
          <w:tcPr>
            <w:tcW w:w="90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default" w:ascii="宋体" w:hAnsi="宋体"/>
                <w:color w:val="auto"/>
                <w:szCs w:val="21"/>
                <w:highlight w:val="none"/>
              </w:rPr>
              <w:t>16.1</w:t>
            </w:r>
          </w:p>
        </w:tc>
        <w:tc>
          <w:tcPr>
            <w:tcW w:w="1557"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eastAsia" w:ascii="宋体" w:hAnsi="宋体" w:cs="宋体"/>
                <w:color w:val="auto"/>
                <w:szCs w:val="21"/>
                <w:highlight w:val="none"/>
                <w:lang w:val="zh-CN"/>
              </w:rPr>
              <w:t>投标保证金</w:t>
            </w:r>
          </w:p>
        </w:tc>
        <w:tc>
          <w:tcPr>
            <w:tcW w:w="6605" w:type="dxa"/>
            <w:gridSpan w:val="2"/>
            <w:tcBorders>
              <w:top w:val="single" w:color="auto" w:sz="6" w:space="0"/>
              <w:left w:val="single" w:color="auto" w:sz="6" w:space="0"/>
              <w:bottom w:val="single" w:color="auto" w:sz="6" w:space="0"/>
              <w:right w:val="single" w:color="auto" w:sz="6" w:space="0"/>
            </w:tcBorders>
            <w:vAlign w:val="center"/>
          </w:tcPr>
          <w:p>
            <w:pPr>
              <w:pStyle w:val="49"/>
              <w:keepNext w:val="0"/>
              <w:keepLines w:val="0"/>
              <w:numPr>
                <w:ilvl w:val="255"/>
                <w:numId w:val="0"/>
              </w:numPr>
              <w:suppressLineNumbers w:val="0"/>
              <w:autoSpaceDE w:val="0"/>
              <w:autoSpaceDN w:val="0"/>
              <w:adjustRightInd w:val="0"/>
              <w:spacing w:before="0" w:beforeAutospacing="0" w:after="0" w:afterAutospacing="0" w:line="276" w:lineRule="auto"/>
              <w:ind w:left="0" w:right="0"/>
              <w:rPr>
                <w:rFonts w:hint="default" w:ascii="宋体" w:hAnsi="宋体"/>
                <w:color w:val="auto"/>
                <w:szCs w:val="21"/>
                <w:highlight w:val="none"/>
              </w:rPr>
            </w:pPr>
            <w:r>
              <w:rPr>
                <w:rFonts w:hint="eastAsia" w:ascii="宋体" w:hAnsi="宋体"/>
                <w:color w:val="auto"/>
                <w:szCs w:val="21"/>
                <w:highlight w:val="none"/>
              </w:rPr>
              <w:t>1、投标保证金的数额为人民币</w:t>
            </w:r>
            <w:r>
              <w:rPr>
                <w:rFonts w:hint="eastAsia" w:ascii="宋体" w:hAnsi="宋体"/>
                <w:b/>
                <w:bCs/>
                <w:color w:val="auto"/>
                <w:szCs w:val="21"/>
                <w:highlight w:val="none"/>
                <w:u w:val="single"/>
              </w:rPr>
              <w:t xml:space="preserve"> </w:t>
            </w:r>
            <w:r>
              <w:rPr>
                <w:rFonts w:hint="eastAsia" w:ascii="宋体" w:hAnsi="宋体"/>
                <w:b/>
                <w:bCs/>
                <w:color w:val="auto"/>
                <w:szCs w:val="21"/>
                <w:highlight w:val="none"/>
                <w:u w:val="single"/>
                <w:lang w:val="en-US" w:eastAsia="zh-CN"/>
              </w:rPr>
              <w:t>5</w:t>
            </w:r>
            <w:r>
              <w:rPr>
                <w:rFonts w:hint="eastAsia" w:ascii="宋体" w:hAnsi="宋体"/>
                <w:b/>
                <w:bCs/>
                <w:color w:val="auto"/>
                <w:szCs w:val="21"/>
                <w:highlight w:val="none"/>
                <w:u w:val="single"/>
              </w:rPr>
              <w:t xml:space="preserve"> </w:t>
            </w:r>
            <w:r>
              <w:rPr>
                <w:rFonts w:hint="eastAsia" w:ascii="宋体" w:hAnsi="宋体"/>
                <w:color w:val="auto"/>
                <w:szCs w:val="21"/>
                <w:highlight w:val="none"/>
              </w:rPr>
              <w:t>万元整。</w:t>
            </w:r>
          </w:p>
          <w:p>
            <w:pPr>
              <w:pStyle w:val="49"/>
              <w:keepNext w:val="0"/>
              <w:keepLines w:val="0"/>
              <w:numPr>
                <w:ilvl w:val="255"/>
                <w:numId w:val="0"/>
              </w:numPr>
              <w:suppressLineNumbers w:val="0"/>
              <w:autoSpaceDE w:val="0"/>
              <w:autoSpaceDN w:val="0"/>
              <w:adjustRightInd w:val="0"/>
              <w:spacing w:before="0" w:beforeAutospacing="0" w:after="0" w:afterAutospacing="0" w:line="276" w:lineRule="auto"/>
              <w:ind w:left="0" w:right="0"/>
              <w:rPr>
                <w:rFonts w:hint="default" w:ascii="宋体" w:hAnsi="宋体"/>
                <w:color w:val="auto"/>
                <w:szCs w:val="21"/>
                <w:highlight w:val="none"/>
              </w:rPr>
            </w:pPr>
            <w:r>
              <w:rPr>
                <w:rFonts w:hint="eastAsia" w:ascii="宋体" w:hAnsi="宋体"/>
                <w:color w:val="auto"/>
                <w:szCs w:val="21"/>
                <w:highlight w:val="none"/>
              </w:rPr>
              <w:t>2、投标保证金形式：银行转账或银行保函或保证保险。</w:t>
            </w:r>
          </w:p>
          <w:p>
            <w:pPr>
              <w:pStyle w:val="49"/>
              <w:keepNext w:val="0"/>
              <w:keepLines w:val="0"/>
              <w:numPr>
                <w:ilvl w:val="255"/>
                <w:numId w:val="0"/>
              </w:numPr>
              <w:suppressLineNumbers w:val="0"/>
              <w:autoSpaceDE w:val="0"/>
              <w:autoSpaceDN w:val="0"/>
              <w:adjustRightInd w:val="0"/>
              <w:spacing w:before="0" w:beforeAutospacing="0" w:after="0" w:afterAutospacing="0" w:line="276" w:lineRule="auto"/>
              <w:ind w:left="0" w:right="0"/>
              <w:rPr>
                <w:rFonts w:hint="default" w:ascii="宋体" w:hAnsi="宋体"/>
                <w:color w:val="auto"/>
                <w:szCs w:val="21"/>
                <w:highlight w:val="none"/>
              </w:rPr>
            </w:pPr>
            <w:r>
              <w:rPr>
                <w:rFonts w:hint="eastAsia" w:ascii="宋体" w:hAnsi="宋体"/>
                <w:color w:val="auto"/>
                <w:szCs w:val="21"/>
                <w:highlight w:val="none"/>
              </w:rPr>
              <w:t>3、投标保证金递交方式：</w:t>
            </w:r>
          </w:p>
          <w:p>
            <w:pPr>
              <w:pStyle w:val="49"/>
              <w:keepNext w:val="0"/>
              <w:keepLines w:val="0"/>
              <w:numPr>
                <w:ilvl w:val="0"/>
                <w:numId w:val="1"/>
              </w:numPr>
              <w:suppressLineNumbers w:val="0"/>
              <w:autoSpaceDE w:val="0"/>
              <w:autoSpaceDN w:val="0"/>
              <w:adjustRightInd w:val="0"/>
              <w:spacing w:before="0" w:beforeAutospacing="0" w:after="0" w:afterAutospacing="0" w:line="276" w:lineRule="auto"/>
              <w:ind w:right="0" w:firstLineChars="0"/>
              <w:rPr>
                <w:rFonts w:hint="default" w:ascii="宋体" w:hAnsi="宋体"/>
                <w:color w:val="auto"/>
                <w:szCs w:val="21"/>
                <w:highlight w:val="none"/>
              </w:rPr>
            </w:pPr>
            <w:r>
              <w:rPr>
                <w:rFonts w:hint="default"/>
                <w:b/>
                <w:bCs/>
                <w:color w:val="auto"/>
                <w:highlight w:val="none"/>
              </w:rPr>
              <w:t>采用转账、汇款形式</w:t>
            </w:r>
            <w:r>
              <w:rPr>
                <w:rFonts w:hint="default"/>
                <w:color w:val="auto"/>
                <w:highlight w:val="none"/>
              </w:rPr>
              <w:t>的（由招标人委托公共资源交易中心代为收取）： 投标人须在递交投标文件前从其注册地的基本帐户以银行转帐方式汇入以下帐户（以到账时间为准）并备注“</w:t>
            </w:r>
            <w:r>
              <w:rPr>
                <w:rFonts w:hint="eastAsia"/>
                <w:color w:val="auto"/>
                <w:highlight w:val="none"/>
              </w:rPr>
              <w:t>粤港澳大湾区(江门)农产品交易流通中心一期(启动区)冷链物流B-8/B-9地块项目监理服务</w:t>
            </w:r>
            <w:r>
              <w:rPr>
                <w:rFonts w:hint="default"/>
                <w:color w:val="auto"/>
                <w:highlight w:val="none"/>
              </w:rPr>
              <w:t>投标保证金</w:t>
            </w:r>
            <w:r>
              <w:rPr>
                <w:rFonts w:hint="eastAsia"/>
                <w:color w:val="auto"/>
                <w:highlight w:val="none"/>
              </w:rPr>
              <w:t>。</w:t>
            </w:r>
            <w:r>
              <w:rPr>
                <w:rFonts w:hint="default"/>
                <w:color w:val="auto"/>
                <w:highlight w:val="none"/>
              </w:rPr>
              <w:t xml:space="preserve"> </w:t>
            </w:r>
          </w:p>
          <w:p>
            <w:pPr>
              <w:pStyle w:val="49"/>
              <w:keepNext w:val="0"/>
              <w:keepLines w:val="0"/>
              <w:suppressLineNumbers w:val="0"/>
              <w:autoSpaceDE w:val="0"/>
              <w:autoSpaceDN w:val="0"/>
              <w:adjustRightInd w:val="0"/>
              <w:spacing w:before="0" w:beforeAutospacing="0" w:after="0" w:afterAutospacing="0" w:line="276" w:lineRule="auto"/>
              <w:ind w:left="0" w:right="0" w:firstLine="0" w:firstLineChars="0"/>
              <w:rPr>
                <w:rFonts w:hint="default"/>
                <w:color w:val="auto"/>
                <w:highlight w:val="none"/>
              </w:rPr>
            </w:pPr>
            <w:r>
              <w:rPr>
                <w:rFonts w:hint="default"/>
                <w:color w:val="auto"/>
                <w:highlight w:val="none"/>
              </w:rPr>
              <w:t xml:space="preserve">开户名称：广州交易集团有限公司 </w:t>
            </w:r>
          </w:p>
          <w:p>
            <w:pPr>
              <w:pStyle w:val="49"/>
              <w:keepNext w:val="0"/>
              <w:keepLines w:val="0"/>
              <w:suppressLineNumbers w:val="0"/>
              <w:autoSpaceDE w:val="0"/>
              <w:autoSpaceDN w:val="0"/>
              <w:adjustRightInd w:val="0"/>
              <w:spacing w:before="0" w:beforeAutospacing="0" w:after="0" w:afterAutospacing="0" w:line="276" w:lineRule="auto"/>
              <w:ind w:left="0" w:right="0" w:firstLine="0" w:firstLineChars="0"/>
              <w:rPr>
                <w:rFonts w:hint="default"/>
                <w:color w:val="auto"/>
                <w:highlight w:val="none"/>
              </w:rPr>
            </w:pPr>
            <w:r>
              <w:rPr>
                <w:rFonts w:hint="default"/>
                <w:color w:val="auto"/>
                <w:highlight w:val="none"/>
              </w:rPr>
              <w:t xml:space="preserve">开户银行：中国建设银行广州市天润路支行 </w:t>
            </w:r>
          </w:p>
          <w:p>
            <w:pPr>
              <w:pStyle w:val="49"/>
              <w:keepNext w:val="0"/>
              <w:keepLines w:val="0"/>
              <w:suppressLineNumbers w:val="0"/>
              <w:autoSpaceDE w:val="0"/>
              <w:autoSpaceDN w:val="0"/>
              <w:adjustRightInd w:val="0"/>
              <w:spacing w:before="0" w:beforeAutospacing="0" w:after="0" w:afterAutospacing="0" w:line="276" w:lineRule="auto"/>
              <w:ind w:left="0" w:right="0" w:firstLine="0" w:firstLineChars="0"/>
              <w:rPr>
                <w:rFonts w:hint="default"/>
                <w:color w:val="auto"/>
                <w:highlight w:val="none"/>
              </w:rPr>
            </w:pPr>
            <w:r>
              <w:rPr>
                <w:rFonts w:hint="default"/>
                <w:color w:val="auto"/>
                <w:highlight w:val="none"/>
              </w:rPr>
              <w:t xml:space="preserve">银行账号：44001583404059333333 </w:t>
            </w:r>
          </w:p>
          <w:p>
            <w:pPr>
              <w:pStyle w:val="49"/>
              <w:keepNext w:val="0"/>
              <w:keepLines w:val="0"/>
              <w:suppressLineNumbers w:val="0"/>
              <w:autoSpaceDE w:val="0"/>
              <w:autoSpaceDN w:val="0"/>
              <w:adjustRightInd w:val="0"/>
              <w:spacing w:before="0" w:beforeAutospacing="0" w:after="0" w:afterAutospacing="0" w:line="276" w:lineRule="auto"/>
              <w:ind w:left="0" w:right="0" w:firstLine="0" w:firstLineChars="0"/>
              <w:rPr>
                <w:rFonts w:hint="default" w:ascii="宋体" w:hAnsi="宋体"/>
                <w:color w:val="auto"/>
                <w:szCs w:val="21"/>
                <w:highlight w:val="none"/>
              </w:rPr>
            </w:pPr>
            <w:r>
              <w:rPr>
                <w:rFonts w:hint="default"/>
                <w:color w:val="auto"/>
                <w:highlight w:val="none"/>
              </w:rPr>
              <w:t xml:space="preserve">具体操作详见广州公共资源交易中心保证金转账操作指引，未中标的投标人及中标人的投标保证金将在签订合同后 5 日内通过网上银行连同银行同期活期存款利息并退还至原汇款账号。 </w:t>
            </w:r>
          </w:p>
          <w:p>
            <w:pPr>
              <w:pStyle w:val="49"/>
              <w:keepNext w:val="0"/>
              <w:keepLines w:val="0"/>
              <w:numPr>
                <w:ilvl w:val="0"/>
                <w:numId w:val="1"/>
              </w:numPr>
              <w:suppressLineNumbers w:val="0"/>
              <w:autoSpaceDE w:val="0"/>
              <w:autoSpaceDN w:val="0"/>
              <w:adjustRightInd w:val="0"/>
              <w:spacing w:before="0" w:beforeAutospacing="0" w:after="0" w:afterAutospacing="0" w:line="276" w:lineRule="auto"/>
              <w:ind w:right="0" w:firstLineChars="0"/>
              <w:rPr>
                <w:rFonts w:hint="default" w:ascii="宋体" w:hAnsi="宋体"/>
                <w:color w:val="auto"/>
                <w:szCs w:val="21"/>
                <w:highlight w:val="none"/>
              </w:rPr>
            </w:pPr>
            <w:r>
              <w:rPr>
                <w:rFonts w:hint="default"/>
                <w:b/>
                <w:bCs/>
                <w:color w:val="auto"/>
                <w:highlight w:val="none"/>
              </w:rPr>
              <w:t>采用银行保函、保证保险形式的</w:t>
            </w:r>
            <w:r>
              <w:rPr>
                <w:rFonts w:hint="default"/>
                <w:color w:val="auto"/>
                <w:highlight w:val="none"/>
              </w:rPr>
              <w:t xml:space="preserve">： </w:t>
            </w:r>
          </w:p>
          <w:p>
            <w:pPr>
              <w:pStyle w:val="49"/>
              <w:keepNext w:val="0"/>
              <w:keepLines w:val="0"/>
              <w:suppressLineNumbers w:val="0"/>
              <w:autoSpaceDE w:val="0"/>
              <w:autoSpaceDN w:val="0"/>
              <w:adjustRightInd w:val="0"/>
              <w:spacing w:before="0" w:beforeAutospacing="0" w:after="0" w:afterAutospacing="0" w:line="276" w:lineRule="auto"/>
              <w:ind w:left="360" w:right="0" w:firstLine="0" w:firstLineChars="0"/>
              <w:rPr>
                <w:rFonts w:hint="default"/>
                <w:color w:val="auto"/>
                <w:highlight w:val="none"/>
              </w:rPr>
            </w:pPr>
            <w:r>
              <w:rPr>
                <w:rFonts w:hint="default"/>
                <w:b/>
                <w:bCs/>
                <w:color w:val="auto"/>
                <w:highlight w:val="none"/>
              </w:rPr>
              <w:t>（1）</w:t>
            </w:r>
            <w:r>
              <w:rPr>
                <w:rFonts w:hint="default"/>
                <w:color w:val="auto"/>
                <w:highlight w:val="none"/>
              </w:rPr>
              <w:t xml:space="preserve">采用保函形式提交的，保函的单位必须是商业银行；保证保险需开具给招标人（受益人也必须是招标人），该证明文件原件在递交投标文件时单独密封递交，其复印件装订在投标文件中。 </w:t>
            </w:r>
          </w:p>
          <w:p>
            <w:pPr>
              <w:pStyle w:val="49"/>
              <w:keepNext w:val="0"/>
              <w:keepLines w:val="0"/>
              <w:suppressLineNumbers w:val="0"/>
              <w:autoSpaceDE w:val="0"/>
              <w:autoSpaceDN w:val="0"/>
              <w:adjustRightInd w:val="0"/>
              <w:spacing w:before="0" w:beforeAutospacing="0" w:after="0" w:afterAutospacing="0" w:line="276" w:lineRule="auto"/>
              <w:ind w:left="360" w:right="0" w:firstLine="0" w:firstLineChars="0"/>
              <w:rPr>
                <w:rFonts w:hint="default"/>
                <w:color w:val="auto"/>
                <w:highlight w:val="none"/>
              </w:rPr>
            </w:pPr>
            <w:r>
              <w:rPr>
                <w:rFonts w:hint="default"/>
                <w:b/>
                <w:bCs/>
                <w:color w:val="auto"/>
                <w:highlight w:val="none"/>
              </w:rPr>
              <w:t>（2）</w:t>
            </w:r>
            <w:r>
              <w:rPr>
                <w:rFonts w:hint="default"/>
                <w:color w:val="auto"/>
                <w:highlight w:val="none"/>
              </w:rPr>
              <w:t xml:space="preserve">中标人和未中标的投标人的投标保证金证明文件在书面合 签订合同后 5 日内向中标人和未中标的投标人退还。若投标人 7 未领回上述投标保证金证明文件的，则银行保函（或保证保险） 在保障期限到期后自动失效。 </w:t>
            </w:r>
          </w:p>
          <w:p>
            <w:pPr>
              <w:pStyle w:val="49"/>
              <w:keepNext w:val="0"/>
              <w:keepLines w:val="0"/>
              <w:suppressLineNumbers w:val="0"/>
              <w:autoSpaceDE w:val="0"/>
              <w:autoSpaceDN w:val="0"/>
              <w:adjustRightInd w:val="0"/>
              <w:spacing w:before="0" w:beforeAutospacing="0" w:after="0" w:afterAutospacing="0" w:line="276" w:lineRule="auto"/>
              <w:ind w:left="360" w:right="0" w:firstLine="0" w:firstLineChars="0"/>
              <w:rPr>
                <w:rFonts w:hint="default" w:ascii="宋体" w:hAnsi="宋体"/>
                <w:color w:val="auto"/>
                <w:szCs w:val="21"/>
                <w:highlight w:val="none"/>
              </w:rPr>
            </w:pPr>
            <w:r>
              <w:rPr>
                <w:rFonts w:hint="default"/>
                <w:b/>
                <w:bCs/>
                <w:color w:val="auto"/>
                <w:highlight w:val="none"/>
              </w:rPr>
              <w:t>（3）</w:t>
            </w:r>
            <w:r>
              <w:rPr>
                <w:rFonts w:hint="default"/>
                <w:color w:val="auto"/>
                <w:highlight w:val="none"/>
              </w:rPr>
              <w:t>采用上述形式递交投标保证金的，该证明文件有效期必须 等于或大于本项目投标有效期。若投标有效期延长的，投标保证金证明文件有效期相应延长。 注：投标人于 2023 年</w:t>
            </w:r>
            <w:r>
              <w:rPr>
                <w:rFonts w:hint="default"/>
                <w:color w:val="auto"/>
                <w:highlight w:val="none"/>
                <w:u w:val="single"/>
              </w:rPr>
              <w:t xml:space="preserve"> </w:t>
            </w:r>
            <w:r>
              <w:rPr>
                <w:rFonts w:hint="eastAsia"/>
                <w:color w:val="auto"/>
                <w:highlight w:val="none"/>
                <w:u w:val="single"/>
                <w:lang w:val="en-US" w:eastAsia="zh-CN"/>
              </w:rPr>
              <w:t>6</w:t>
            </w:r>
            <w:r>
              <w:rPr>
                <w:rFonts w:hint="default"/>
                <w:color w:val="auto"/>
                <w:highlight w:val="none"/>
                <w:u w:val="single"/>
              </w:rPr>
              <w:t xml:space="preserve"> </w:t>
            </w:r>
            <w:r>
              <w:rPr>
                <w:rFonts w:hint="default"/>
                <w:color w:val="auto"/>
                <w:highlight w:val="none"/>
              </w:rPr>
              <w:t>月</w:t>
            </w:r>
            <w:r>
              <w:rPr>
                <w:rFonts w:hint="default"/>
                <w:color w:val="auto"/>
                <w:highlight w:val="none"/>
                <w:u w:val="single"/>
              </w:rPr>
              <w:t xml:space="preserve"> </w:t>
            </w:r>
            <w:r>
              <w:rPr>
                <w:rFonts w:hint="eastAsia"/>
                <w:color w:val="auto"/>
                <w:highlight w:val="none"/>
                <w:u w:val="single"/>
                <w:lang w:val="en-US" w:eastAsia="zh-CN"/>
              </w:rPr>
              <w:t>15</w:t>
            </w:r>
            <w:r>
              <w:rPr>
                <w:rFonts w:hint="default"/>
                <w:color w:val="auto"/>
                <w:highlight w:val="none"/>
                <w:u w:val="single"/>
              </w:rPr>
              <w:t xml:space="preserve"> </w:t>
            </w:r>
            <w:r>
              <w:rPr>
                <w:rFonts w:hint="default"/>
                <w:color w:val="auto"/>
                <w:highlight w:val="none"/>
              </w:rPr>
              <w:t>日 17 时 00 分</w:t>
            </w:r>
            <w:r>
              <w:rPr>
                <w:rFonts w:hint="eastAsia"/>
                <w:color w:val="auto"/>
                <w:highlight w:val="none"/>
              </w:rPr>
              <w:t>（开标前一天）</w:t>
            </w:r>
            <w:r>
              <w:rPr>
                <w:rFonts w:hint="default"/>
                <w:color w:val="auto"/>
                <w:highlight w:val="none"/>
              </w:rPr>
              <w:t>前，将递交投标保证金保金凭证发送至 18899737154@139.</w:t>
            </w:r>
            <w:r>
              <w:rPr>
                <w:rFonts w:hint="eastAsia"/>
                <w:color w:val="auto"/>
                <w:highlight w:val="none"/>
              </w:rPr>
              <w:t>com</w:t>
            </w:r>
            <w:r>
              <w:rPr>
                <w:rFonts w:hint="default"/>
                <w:color w:val="auto"/>
                <w:highlight w:val="none"/>
              </w:rPr>
              <w:t xml:space="preserve"> 邮箱</w:t>
            </w:r>
            <w:r>
              <w:rPr>
                <w:rFonts w:hint="eastAsia"/>
                <w:color w:val="auto"/>
                <w:highlight w:val="none"/>
              </w:rPr>
              <w:t>.</w:t>
            </w:r>
          </w:p>
        </w:tc>
      </w:tr>
      <w:tr>
        <w:tblPrEx>
          <w:tblCellMar>
            <w:top w:w="0" w:type="dxa"/>
            <w:left w:w="108" w:type="dxa"/>
            <w:bottom w:w="0" w:type="dxa"/>
            <w:right w:w="108" w:type="dxa"/>
          </w:tblCellMar>
        </w:tblPrEx>
        <w:trPr>
          <w:jc w:val="center"/>
        </w:trPr>
        <w:tc>
          <w:tcPr>
            <w:tcW w:w="70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eastAsia" w:ascii="宋体" w:hAnsi="宋体"/>
                <w:color w:val="auto"/>
                <w:szCs w:val="21"/>
                <w:highlight w:val="none"/>
              </w:rPr>
              <w:t>18</w:t>
            </w:r>
          </w:p>
        </w:tc>
        <w:tc>
          <w:tcPr>
            <w:tcW w:w="90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default" w:ascii="宋体" w:hAnsi="宋体"/>
                <w:color w:val="auto"/>
                <w:szCs w:val="21"/>
                <w:highlight w:val="none"/>
              </w:rPr>
              <w:t>16.5</w:t>
            </w:r>
            <w:r>
              <w:rPr>
                <w:rFonts w:hint="eastAsia" w:ascii="宋体" w:hAnsi="宋体"/>
                <w:color w:val="auto"/>
                <w:szCs w:val="21"/>
                <w:highlight w:val="none"/>
              </w:rPr>
              <w:t>（3）</w:t>
            </w:r>
          </w:p>
        </w:tc>
        <w:tc>
          <w:tcPr>
            <w:tcW w:w="1557"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s="宋体"/>
                <w:color w:val="auto"/>
                <w:szCs w:val="21"/>
                <w:highlight w:val="none"/>
                <w:lang w:val="zh-CN"/>
              </w:rPr>
            </w:pPr>
            <w:r>
              <w:rPr>
                <w:rFonts w:hint="eastAsia" w:ascii="宋体" w:hAnsi="宋体"/>
                <w:color w:val="auto"/>
                <w:szCs w:val="21"/>
                <w:highlight w:val="none"/>
              </w:rPr>
              <w:t>其他可以不予退还投标保证金的情况</w:t>
            </w:r>
          </w:p>
        </w:tc>
        <w:tc>
          <w:tcPr>
            <w:tcW w:w="6605"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exact"/>
              <w:ind w:left="0" w:right="0"/>
              <w:rPr>
                <w:rFonts w:hint="default" w:ascii="宋体" w:hAnsi="宋体"/>
                <w:color w:val="auto"/>
                <w:szCs w:val="21"/>
                <w:highlight w:val="none"/>
              </w:rPr>
            </w:pPr>
            <w:r>
              <w:rPr>
                <w:rFonts w:hint="default" w:ascii="Segoe UI Symbol" w:hAnsi="Segoe UI Symbol" w:cs="Segoe UI Symbol"/>
                <w:b/>
                <w:bCs/>
                <w:color w:val="auto"/>
                <w:sz w:val="24"/>
                <w:highlight w:val="none"/>
              </w:rPr>
              <w:t>☑</w:t>
            </w:r>
            <w:r>
              <w:rPr>
                <w:rFonts w:hint="eastAsia" w:ascii="宋体" w:hAnsi="宋体"/>
                <w:b/>
                <w:bCs/>
                <w:color w:val="auto"/>
                <w:sz w:val="24"/>
                <w:highlight w:val="none"/>
              </w:rPr>
              <w:t xml:space="preserve"> </w:t>
            </w:r>
            <w:r>
              <w:rPr>
                <w:rFonts w:hint="eastAsia" w:ascii="宋体" w:hAnsi="宋体"/>
                <w:color w:val="auto"/>
                <w:szCs w:val="21"/>
                <w:highlight w:val="none"/>
              </w:rPr>
              <w:t>经查实存在围标串标违法行为的；</w:t>
            </w:r>
          </w:p>
          <w:p>
            <w:pPr>
              <w:keepNext w:val="0"/>
              <w:keepLines w:val="0"/>
              <w:suppressLineNumbers w:val="0"/>
              <w:autoSpaceDE w:val="0"/>
              <w:autoSpaceDN w:val="0"/>
              <w:adjustRightInd w:val="0"/>
              <w:spacing w:before="0" w:beforeAutospacing="0" w:after="0" w:afterAutospacing="0" w:line="276" w:lineRule="auto"/>
              <w:ind w:left="0" w:right="0"/>
              <w:rPr>
                <w:rFonts w:hint="default" w:ascii="宋体" w:hAnsi="宋体"/>
                <w:color w:val="auto"/>
                <w:szCs w:val="21"/>
                <w:highlight w:val="none"/>
              </w:rPr>
            </w:pPr>
            <w:r>
              <w:rPr>
                <w:rFonts w:hint="default" w:ascii="Segoe UI Symbol" w:hAnsi="Segoe UI Symbol" w:cs="Segoe UI Symbol"/>
                <w:b/>
                <w:bCs/>
                <w:color w:val="auto"/>
                <w:sz w:val="24"/>
                <w:highlight w:val="none"/>
              </w:rPr>
              <w:t>☑</w:t>
            </w:r>
            <w:r>
              <w:rPr>
                <w:rFonts w:hint="default" w:ascii="宋体" w:hAnsi="宋体"/>
                <w:b/>
                <w:bCs/>
                <w:color w:val="auto"/>
                <w:sz w:val="24"/>
                <w:highlight w:val="none"/>
              </w:rPr>
              <w:t xml:space="preserve"> </w:t>
            </w:r>
            <w:r>
              <w:rPr>
                <w:rFonts w:hint="eastAsia" w:ascii="宋体" w:hAnsi="宋体"/>
                <w:color w:val="auto"/>
                <w:szCs w:val="21"/>
                <w:highlight w:val="none"/>
              </w:rPr>
              <w:t>其他违法行为</w:t>
            </w:r>
          </w:p>
        </w:tc>
      </w:tr>
      <w:tr>
        <w:tblPrEx>
          <w:tblCellMar>
            <w:top w:w="0" w:type="dxa"/>
            <w:left w:w="108" w:type="dxa"/>
            <w:bottom w:w="0" w:type="dxa"/>
            <w:right w:w="108" w:type="dxa"/>
          </w:tblCellMar>
        </w:tblPrEx>
        <w:trPr>
          <w:trHeight w:val="440" w:hRule="atLeast"/>
          <w:jc w:val="center"/>
        </w:trPr>
        <w:tc>
          <w:tcPr>
            <w:tcW w:w="70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default" w:ascii="宋体" w:hAnsi="宋体"/>
                <w:color w:val="auto"/>
                <w:szCs w:val="21"/>
                <w:highlight w:val="none"/>
              </w:rPr>
              <w:t>1</w:t>
            </w:r>
            <w:r>
              <w:rPr>
                <w:rFonts w:hint="eastAsia" w:ascii="宋体" w:hAnsi="宋体"/>
                <w:color w:val="auto"/>
                <w:szCs w:val="21"/>
                <w:highlight w:val="none"/>
              </w:rPr>
              <w:t>9</w:t>
            </w:r>
          </w:p>
        </w:tc>
        <w:tc>
          <w:tcPr>
            <w:tcW w:w="90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default" w:ascii="宋体" w:hAnsi="宋体"/>
                <w:color w:val="auto"/>
                <w:szCs w:val="21"/>
                <w:highlight w:val="none"/>
              </w:rPr>
              <w:t>5.1</w:t>
            </w:r>
          </w:p>
        </w:tc>
        <w:tc>
          <w:tcPr>
            <w:tcW w:w="1557"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eastAsia" w:ascii="宋体" w:hAnsi="宋体" w:cs="宋体"/>
                <w:color w:val="auto"/>
                <w:szCs w:val="21"/>
                <w:highlight w:val="none"/>
                <w:lang w:val="zh-CN"/>
              </w:rPr>
              <w:t>踏勘现场</w:t>
            </w:r>
          </w:p>
        </w:tc>
        <w:tc>
          <w:tcPr>
            <w:tcW w:w="6605"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76" w:lineRule="auto"/>
              <w:ind w:left="0" w:right="0"/>
              <w:rPr>
                <w:rFonts w:hint="default" w:ascii="宋体" w:hAnsi="宋体"/>
                <w:color w:val="auto"/>
                <w:szCs w:val="21"/>
                <w:highlight w:val="none"/>
              </w:rPr>
            </w:pPr>
            <w:r>
              <w:rPr>
                <w:rFonts w:hint="eastAsia" w:ascii="宋体" w:hAnsi="宋体" w:cs="宋体"/>
                <w:color w:val="auto"/>
                <w:szCs w:val="21"/>
                <w:highlight w:val="none"/>
              </w:rPr>
              <w:t>如需察看工程现场，各投标人可自行前往现场查看。考察现场的一切费用（包括前往现场的交通工具等）和安全由投标人自理。</w:t>
            </w:r>
          </w:p>
        </w:tc>
      </w:tr>
      <w:tr>
        <w:tblPrEx>
          <w:tblCellMar>
            <w:top w:w="0" w:type="dxa"/>
            <w:left w:w="108" w:type="dxa"/>
            <w:bottom w:w="0" w:type="dxa"/>
            <w:right w:w="108" w:type="dxa"/>
          </w:tblCellMar>
        </w:tblPrEx>
        <w:trPr>
          <w:trHeight w:val="1425" w:hRule="atLeast"/>
          <w:jc w:val="center"/>
        </w:trPr>
        <w:tc>
          <w:tcPr>
            <w:tcW w:w="70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eastAsia" w:ascii="宋体" w:hAnsi="宋体"/>
                <w:color w:val="auto"/>
                <w:szCs w:val="21"/>
                <w:highlight w:val="none"/>
              </w:rPr>
              <w:t>20</w:t>
            </w:r>
          </w:p>
        </w:tc>
        <w:tc>
          <w:tcPr>
            <w:tcW w:w="90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default" w:ascii="宋体" w:hAnsi="宋体"/>
                <w:color w:val="auto"/>
                <w:szCs w:val="21"/>
                <w:highlight w:val="none"/>
              </w:rPr>
              <w:t>8.1</w:t>
            </w:r>
          </w:p>
        </w:tc>
        <w:tc>
          <w:tcPr>
            <w:tcW w:w="1557"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eastAsia" w:ascii="宋体" w:hAnsi="宋体" w:cs="宋体"/>
                <w:color w:val="auto"/>
                <w:szCs w:val="21"/>
                <w:highlight w:val="none"/>
                <w:lang w:val="zh-CN"/>
              </w:rPr>
              <w:t>招标答疑</w:t>
            </w:r>
          </w:p>
        </w:tc>
        <w:tc>
          <w:tcPr>
            <w:tcW w:w="6605"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3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疑问提交时间：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default"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default"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分前(详见广州公共资源交易中心日程安排)通过发布招标文件所在的电子招标投标交易平台发送，过期不予接受。</w:t>
            </w:r>
          </w:p>
        </w:tc>
      </w:tr>
      <w:tr>
        <w:tblPrEx>
          <w:tblCellMar>
            <w:top w:w="0" w:type="dxa"/>
            <w:left w:w="108" w:type="dxa"/>
            <w:bottom w:w="0" w:type="dxa"/>
            <w:right w:w="108" w:type="dxa"/>
          </w:tblCellMar>
        </w:tblPrEx>
        <w:trPr>
          <w:trHeight w:val="1159" w:hRule="atLeast"/>
          <w:jc w:val="center"/>
        </w:trPr>
        <w:tc>
          <w:tcPr>
            <w:tcW w:w="70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eastAsia" w:ascii="宋体" w:hAnsi="宋体"/>
                <w:color w:val="auto"/>
                <w:szCs w:val="21"/>
                <w:highlight w:val="none"/>
              </w:rPr>
              <w:t>21</w:t>
            </w:r>
          </w:p>
        </w:tc>
        <w:tc>
          <w:tcPr>
            <w:tcW w:w="90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default" w:ascii="宋体" w:hAnsi="宋体"/>
                <w:color w:val="auto"/>
                <w:szCs w:val="21"/>
                <w:highlight w:val="none"/>
              </w:rPr>
              <w:t>17.1</w:t>
            </w:r>
          </w:p>
        </w:tc>
        <w:tc>
          <w:tcPr>
            <w:tcW w:w="1557"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宋体" w:hAnsi="宋体"/>
                <w:color w:val="auto"/>
                <w:szCs w:val="21"/>
                <w:highlight w:val="none"/>
              </w:rPr>
            </w:pPr>
            <w:r>
              <w:rPr>
                <w:rFonts w:hint="eastAsia" w:ascii="宋体" w:hAnsi="宋体" w:cs="宋体"/>
                <w:color w:val="auto"/>
                <w:szCs w:val="21"/>
                <w:highlight w:val="none"/>
                <w:lang w:val="zh-CN"/>
              </w:rPr>
              <w:t>投标文件</w:t>
            </w:r>
          </w:p>
          <w:p>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宋体" w:hAnsi="宋体"/>
                <w:color w:val="auto"/>
                <w:szCs w:val="21"/>
                <w:highlight w:val="none"/>
              </w:rPr>
            </w:pPr>
            <w:r>
              <w:rPr>
                <w:rFonts w:hint="eastAsia" w:ascii="宋体" w:hAnsi="宋体" w:cs="宋体"/>
                <w:color w:val="auto"/>
                <w:szCs w:val="21"/>
                <w:highlight w:val="none"/>
                <w:lang w:val="zh-CN"/>
              </w:rPr>
              <w:t>份数</w:t>
            </w:r>
          </w:p>
        </w:tc>
        <w:tc>
          <w:tcPr>
            <w:tcW w:w="6605" w:type="dxa"/>
            <w:gridSpan w:val="2"/>
            <w:tcBorders>
              <w:top w:val="single" w:color="auto" w:sz="6" w:space="0"/>
              <w:left w:val="single" w:color="auto" w:sz="6" w:space="0"/>
              <w:bottom w:val="single" w:color="auto" w:sz="6" w:space="0"/>
              <w:right w:val="single" w:color="auto" w:sz="6" w:space="0"/>
            </w:tcBorders>
            <w:vAlign w:val="center"/>
          </w:tcPr>
          <w:p>
            <w:pPr>
              <w:pStyle w:val="18"/>
              <w:keepNext w:val="0"/>
              <w:keepLines w:val="0"/>
              <w:suppressLineNumbers w:val="0"/>
              <w:spacing w:before="0" w:beforeAutospacing="0" w:after="0" w:afterAutospacing="0"/>
              <w:ind w:left="0" w:right="0"/>
              <w:jc w:val="both"/>
              <w:rPr>
                <w:rFonts w:hint="default"/>
                <w:color w:val="auto"/>
                <w:sz w:val="21"/>
                <w:szCs w:val="21"/>
                <w:highlight w:val="none"/>
              </w:rPr>
            </w:pPr>
            <w:r>
              <w:rPr>
                <w:color w:val="auto"/>
                <w:sz w:val="21"/>
                <w:szCs w:val="21"/>
                <w:highlight w:val="none"/>
              </w:rPr>
              <w:t>投标文件共</w:t>
            </w:r>
            <w:r>
              <w:rPr>
                <w:color w:val="auto"/>
                <w:sz w:val="21"/>
                <w:szCs w:val="21"/>
                <w:highlight w:val="none"/>
                <w:u w:val="single"/>
              </w:rPr>
              <w:t xml:space="preserve"> </w:t>
            </w:r>
            <w:r>
              <w:rPr>
                <w:rFonts w:hint="eastAsia"/>
                <w:color w:val="auto"/>
                <w:sz w:val="21"/>
                <w:szCs w:val="21"/>
                <w:highlight w:val="none"/>
                <w:u w:val="single"/>
                <w:lang w:val="en-US" w:eastAsia="zh-CN"/>
              </w:rPr>
              <w:t>7</w:t>
            </w:r>
            <w:r>
              <w:rPr>
                <w:color w:val="auto"/>
                <w:sz w:val="21"/>
                <w:szCs w:val="21"/>
                <w:highlight w:val="none"/>
                <w:u w:val="single"/>
              </w:rPr>
              <w:t xml:space="preserve">  </w:t>
            </w:r>
            <w:r>
              <w:rPr>
                <w:color w:val="auto"/>
                <w:sz w:val="21"/>
                <w:szCs w:val="21"/>
                <w:highlight w:val="none"/>
              </w:rPr>
              <w:t>份。即投标文件正本</w:t>
            </w:r>
            <w:r>
              <w:rPr>
                <w:color w:val="auto"/>
                <w:sz w:val="21"/>
                <w:szCs w:val="21"/>
                <w:highlight w:val="none"/>
                <w:u w:val="single"/>
              </w:rPr>
              <w:t xml:space="preserve"> </w:t>
            </w:r>
            <w:r>
              <w:rPr>
                <w:rFonts w:hint="default"/>
                <w:color w:val="auto"/>
                <w:sz w:val="21"/>
                <w:szCs w:val="21"/>
                <w:highlight w:val="none"/>
                <w:u w:val="single"/>
              </w:rPr>
              <w:t>1</w:t>
            </w:r>
            <w:r>
              <w:rPr>
                <w:color w:val="auto"/>
                <w:sz w:val="21"/>
                <w:szCs w:val="21"/>
                <w:highlight w:val="none"/>
                <w:u w:val="single"/>
              </w:rPr>
              <w:t xml:space="preserve">  </w:t>
            </w:r>
            <w:r>
              <w:rPr>
                <w:color w:val="auto"/>
                <w:sz w:val="21"/>
                <w:szCs w:val="21"/>
                <w:highlight w:val="none"/>
              </w:rPr>
              <w:t>份，副本为</w:t>
            </w:r>
            <w:r>
              <w:rPr>
                <w:color w:val="auto"/>
                <w:sz w:val="21"/>
                <w:szCs w:val="21"/>
                <w:highlight w:val="none"/>
                <w:u w:val="single"/>
              </w:rPr>
              <w:t xml:space="preserve">  </w:t>
            </w:r>
            <w:r>
              <w:rPr>
                <w:rFonts w:hint="default"/>
                <w:color w:val="auto"/>
                <w:sz w:val="21"/>
                <w:szCs w:val="21"/>
                <w:highlight w:val="none"/>
                <w:u w:val="single"/>
              </w:rPr>
              <w:t>4</w:t>
            </w:r>
            <w:r>
              <w:rPr>
                <w:color w:val="auto"/>
                <w:sz w:val="21"/>
                <w:szCs w:val="21"/>
                <w:highlight w:val="none"/>
                <w:u w:val="single"/>
              </w:rPr>
              <w:t xml:space="preserve">  </w:t>
            </w:r>
            <w:r>
              <w:rPr>
                <w:color w:val="auto"/>
                <w:sz w:val="21"/>
                <w:szCs w:val="21"/>
                <w:highlight w:val="none"/>
              </w:rPr>
              <w:t>份，投标文件副本的扫描件（PDF格式）电子U盘</w:t>
            </w:r>
            <w:r>
              <w:rPr>
                <w:color w:val="auto"/>
                <w:sz w:val="21"/>
                <w:szCs w:val="21"/>
                <w:highlight w:val="none"/>
                <w:u w:val="single"/>
              </w:rPr>
              <w:t xml:space="preserve"> 1 </w:t>
            </w:r>
            <w:r>
              <w:rPr>
                <w:color w:val="auto"/>
                <w:sz w:val="21"/>
                <w:szCs w:val="21"/>
                <w:highlight w:val="none"/>
              </w:rPr>
              <w:t>份</w:t>
            </w:r>
            <w:r>
              <w:rPr>
                <w:rFonts w:hint="eastAsia"/>
                <w:color w:val="auto"/>
                <w:sz w:val="21"/>
                <w:szCs w:val="21"/>
                <w:highlight w:val="none"/>
              </w:rPr>
              <w:t>，投标文件网上公示内容电子版U盘</w:t>
            </w:r>
            <w:r>
              <w:rPr>
                <w:rFonts w:hint="eastAsia"/>
                <w:color w:val="auto"/>
                <w:sz w:val="21"/>
                <w:szCs w:val="21"/>
                <w:highlight w:val="none"/>
                <w:u w:val="single"/>
                <w:lang w:val="en-US" w:eastAsia="zh-CN"/>
              </w:rPr>
              <w:t xml:space="preserve"> </w:t>
            </w:r>
            <w:r>
              <w:rPr>
                <w:rFonts w:hint="eastAsia"/>
                <w:color w:val="auto"/>
                <w:sz w:val="21"/>
                <w:szCs w:val="21"/>
                <w:highlight w:val="none"/>
                <w:u w:val="single"/>
                <w:lang w:eastAsia="zh-CN"/>
              </w:rPr>
              <w:t>1</w:t>
            </w:r>
            <w:r>
              <w:rPr>
                <w:rFonts w:hint="eastAsia"/>
                <w:color w:val="auto"/>
                <w:sz w:val="21"/>
                <w:szCs w:val="21"/>
                <w:highlight w:val="none"/>
                <w:u w:val="single"/>
                <w:lang w:val="en-US" w:eastAsia="zh-CN"/>
              </w:rPr>
              <w:t xml:space="preserve"> </w:t>
            </w:r>
            <w:r>
              <w:rPr>
                <w:rFonts w:hint="eastAsia"/>
                <w:color w:val="auto"/>
                <w:sz w:val="21"/>
                <w:szCs w:val="21"/>
                <w:highlight w:val="none"/>
              </w:rPr>
              <w:t>份。</w:t>
            </w:r>
          </w:p>
          <w:p>
            <w:pPr>
              <w:pStyle w:val="18"/>
              <w:keepNext w:val="0"/>
              <w:keepLines w:val="0"/>
              <w:suppressLineNumbers w:val="0"/>
              <w:spacing w:before="0" w:beforeAutospacing="0" w:after="0" w:afterAutospacing="0"/>
              <w:ind w:left="0" w:right="0"/>
              <w:jc w:val="both"/>
              <w:rPr>
                <w:rFonts w:hint="default"/>
                <w:color w:val="auto"/>
                <w:sz w:val="21"/>
                <w:szCs w:val="21"/>
                <w:highlight w:val="none"/>
              </w:rPr>
            </w:pPr>
            <w:r>
              <w:rPr>
                <w:color w:val="auto"/>
                <w:sz w:val="21"/>
                <w:szCs w:val="21"/>
                <w:highlight w:val="none"/>
              </w:rPr>
              <w:t>注：1、投标人在递交投标文件和投标文件电子版时，另外递交“投标文件网上公示内容电子版”（详见江建函〔2016〕516号），但不作为否决性条款。</w:t>
            </w:r>
          </w:p>
          <w:p>
            <w:pPr>
              <w:pStyle w:val="18"/>
              <w:keepNext w:val="0"/>
              <w:keepLines w:val="0"/>
              <w:suppressLineNumbers w:val="0"/>
              <w:spacing w:before="0" w:beforeAutospacing="0" w:after="0" w:afterAutospacing="0"/>
              <w:ind w:left="0" w:right="0"/>
              <w:jc w:val="both"/>
              <w:rPr>
                <w:rFonts w:hint="default"/>
                <w:color w:val="auto"/>
                <w:sz w:val="21"/>
                <w:szCs w:val="21"/>
                <w:highlight w:val="none"/>
              </w:rPr>
            </w:pPr>
            <w:r>
              <w:rPr>
                <w:color w:val="auto"/>
                <w:sz w:val="21"/>
                <w:szCs w:val="21"/>
                <w:highlight w:val="none"/>
              </w:rPr>
              <w:t>投标文件网上公示内容电子版内容、份数及要求（不作为否决性条款）：</w:t>
            </w:r>
          </w:p>
          <w:p>
            <w:pPr>
              <w:pStyle w:val="18"/>
              <w:keepNext w:val="0"/>
              <w:keepLines w:val="0"/>
              <w:suppressLineNumbers w:val="0"/>
              <w:spacing w:before="0" w:beforeAutospacing="0" w:after="0" w:afterAutospacing="0"/>
              <w:ind w:left="0" w:right="0"/>
              <w:jc w:val="both"/>
              <w:rPr>
                <w:rFonts w:hint="default"/>
                <w:color w:val="auto"/>
                <w:sz w:val="21"/>
                <w:szCs w:val="21"/>
                <w:highlight w:val="none"/>
              </w:rPr>
            </w:pPr>
            <w:r>
              <w:rPr>
                <w:color w:val="auto"/>
                <w:sz w:val="21"/>
                <w:szCs w:val="21"/>
                <w:highlight w:val="none"/>
              </w:rPr>
              <w:t>（1）内容：投标文件商务部分文件的所有内容，包括人员、业绩、奖项等资料，涉及投标人商业秘密的报价清单除外，人员身份证信息自行隐藏第7-14位数字，用“*”号代替；</w:t>
            </w:r>
          </w:p>
          <w:p>
            <w:pPr>
              <w:pStyle w:val="18"/>
              <w:keepNext w:val="0"/>
              <w:keepLines w:val="0"/>
              <w:suppressLineNumbers w:val="0"/>
              <w:spacing w:before="0" w:beforeAutospacing="0" w:after="0" w:afterAutospacing="0"/>
              <w:ind w:left="0" w:right="0"/>
              <w:jc w:val="both"/>
              <w:rPr>
                <w:rFonts w:hint="default"/>
                <w:color w:val="auto"/>
                <w:sz w:val="21"/>
                <w:szCs w:val="21"/>
                <w:highlight w:val="none"/>
              </w:rPr>
            </w:pPr>
            <w:r>
              <w:rPr>
                <w:color w:val="auto"/>
                <w:sz w:val="21"/>
                <w:szCs w:val="21"/>
                <w:highlight w:val="none"/>
              </w:rPr>
              <w:t>（2）份数：1份；</w:t>
            </w:r>
          </w:p>
          <w:p>
            <w:pPr>
              <w:pStyle w:val="18"/>
              <w:keepNext w:val="0"/>
              <w:keepLines w:val="0"/>
              <w:suppressLineNumbers w:val="0"/>
              <w:spacing w:before="0" w:beforeAutospacing="0" w:after="0" w:afterAutospacing="0"/>
              <w:ind w:left="0" w:right="0"/>
              <w:jc w:val="both"/>
              <w:rPr>
                <w:rFonts w:hint="default"/>
                <w:color w:val="auto"/>
                <w:sz w:val="21"/>
                <w:szCs w:val="21"/>
                <w:highlight w:val="none"/>
              </w:rPr>
            </w:pPr>
            <w:r>
              <w:rPr>
                <w:color w:val="auto"/>
                <w:sz w:val="21"/>
                <w:szCs w:val="21"/>
                <w:highlight w:val="none"/>
              </w:rPr>
              <w:t>（3）要求：将上述内容进行扫描，扫描内容清晰可辨，并以PDF格式制作成电子版文件，刻录入光盘，单独密封包装，并在封套上标记项目名称、投标单位名称及“投标文件网上公示内容电子版”字样，在投标文件递交截止时间之前与投标文件一并递交招标人。</w:t>
            </w:r>
          </w:p>
          <w:p>
            <w:pPr>
              <w:pStyle w:val="18"/>
              <w:keepNext w:val="0"/>
              <w:keepLines w:val="0"/>
              <w:suppressLineNumbers w:val="0"/>
              <w:spacing w:before="0" w:beforeAutospacing="0" w:after="0" w:afterAutospacing="0"/>
              <w:ind w:left="0" w:right="0"/>
              <w:jc w:val="both"/>
              <w:rPr>
                <w:rFonts w:hint="default"/>
                <w:color w:val="auto"/>
                <w:sz w:val="21"/>
                <w:szCs w:val="21"/>
                <w:highlight w:val="none"/>
              </w:rPr>
            </w:pPr>
            <w:r>
              <w:rPr>
                <w:color w:val="auto"/>
                <w:sz w:val="21"/>
                <w:szCs w:val="21"/>
                <w:highlight w:val="none"/>
              </w:rPr>
              <w:t>2、中标单位在收到中标通知书后5天内向招标人提供投标文件副本贰份及投标文件副本的扫描件（PDF格式）电子U盘一份。</w:t>
            </w:r>
          </w:p>
        </w:tc>
      </w:tr>
      <w:tr>
        <w:tblPrEx>
          <w:tblCellMar>
            <w:top w:w="0" w:type="dxa"/>
            <w:left w:w="108" w:type="dxa"/>
            <w:bottom w:w="0" w:type="dxa"/>
            <w:right w:w="108" w:type="dxa"/>
          </w:tblCellMar>
        </w:tblPrEx>
        <w:trPr>
          <w:trHeight w:val="1642" w:hRule="atLeast"/>
          <w:jc w:val="center"/>
        </w:trPr>
        <w:tc>
          <w:tcPr>
            <w:tcW w:w="70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default" w:ascii="宋体" w:hAnsi="宋体"/>
                <w:color w:val="auto"/>
                <w:szCs w:val="21"/>
                <w:highlight w:val="none"/>
              </w:rPr>
              <w:t>2</w:t>
            </w:r>
            <w:r>
              <w:rPr>
                <w:rFonts w:hint="eastAsia" w:ascii="宋体" w:hAnsi="宋体"/>
                <w:color w:val="auto"/>
                <w:szCs w:val="21"/>
                <w:highlight w:val="none"/>
              </w:rPr>
              <w:t>2</w:t>
            </w:r>
          </w:p>
        </w:tc>
        <w:tc>
          <w:tcPr>
            <w:tcW w:w="90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default" w:ascii="宋体" w:hAnsi="宋体"/>
                <w:color w:val="auto"/>
                <w:szCs w:val="21"/>
                <w:highlight w:val="none"/>
              </w:rPr>
              <w:t>19.1</w:t>
            </w:r>
          </w:p>
        </w:tc>
        <w:tc>
          <w:tcPr>
            <w:tcW w:w="1557"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61" w:right="-84"/>
              <w:jc w:val="center"/>
              <w:rPr>
                <w:rFonts w:hint="default" w:ascii="宋体" w:hAnsi="宋体"/>
                <w:color w:val="auto"/>
                <w:szCs w:val="21"/>
                <w:highlight w:val="none"/>
              </w:rPr>
            </w:pPr>
            <w:r>
              <w:rPr>
                <w:rFonts w:hint="eastAsia" w:ascii="宋体" w:hAnsi="宋体" w:cs="宋体"/>
                <w:color w:val="auto"/>
                <w:szCs w:val="21"/>
                <w:highlight w:val="none"/>
                <w:lang w:val="zh-CN"/>
              </w:rPr>
              <w:t>投标文件</w:t>
            </w:r>
          </w:p>
          <w:p>
            <w:pPr>
              <w:keepNext w:val="0"/>
              <w:keepLines w:val="0"/>
              <w:suppressLineNumbers w:val="0"/>
              <w:autoSpaceDE w:val="0"/>
              <w:autoSpaceDN w:val="0"/>
              <w:adjustRightInd w:val="0"/>
              <w:spacing w:before="0" w:beforeAutospacing="0" w:after="0" w:afterAutospacing="0" w:line="288" w:lineRule="auto"/>
              <w:ind w:left="-61" w:right="-84"/>
              <w:jc w:val="center"/>
              <w:rPr>
                <w:rFonts w:hint="default" w:ascii="宋体" w:hAnsi="宋体"/>
                <w:color w:val="auto"/>
                <w:szCs w:val="21"/>
                <w:highlight w:val="none"/>
              </w:rPr>
            </w:pPr>
            <w:r>
              <w:rPr>
                <w:rFonts w:hint="eastAsia" w:ascii="宋体" w:hAnsi="宋体" w:cs="宋体"/>
                <w:color w:val="auto"/>
                <w:szCs w:val="21"/>
                <w:highlight w:val="none"/>
                <w:lang w:val="zh-CN"/>
              </w:rPr>
              <w:t>提交地点及截止时间</w:t>
            </w:r>
          </w:p>
        </w:tc>
        <w:tc>
          <w:tcPr>
            <w:tcW w:w="6605"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340" w:lineRule="exact"/>
              <w:ind w:left="0" w:right="0"/>
              <w:rPr>
                <w:rFonts w:hint="default"/>
                <w:color w:val="auto"/>
                <w:highlight w:val="none"/>
              </w:rPr>
            </w:pPr>
            <w:r>
              <w:rPr>
                <w:rFonts w:hint="default"/>
                <w:color w:val="auto"/>
                <w:highlight w:val="none"/>
              </w:rPr>
              <w:t>提交地点：广州公共资源交易中心开标室 （地址：广州市天河区天润路333号广州公共资源交易中心开标室（具体开标室请投标人自行登录广州公共资源交易中心网查询，下同） ）</w:t>
            </w:r>
          </w:p>
          <w:p>
            <w:pPr>
              <w:keepNext w:val="0"/>
              <w:keepLines w:val="0"/>
              <w:suppressLineNumbers w:val="0"/>
              <w:autoSpaceDE w:val="0"/>
              <w:autoSpaceDN w:val="0"/>
              <w:adjustRightInd w:val="0"/>
              <w:spacing w:before="0" w:beforeAutospacing="0" w:after="0" w:afterAutospacing="0" w:line="340" w:lineRule="exact"/>
              <w:ind w:left="0" w:right="0"/>
              <w:rPr>
                <w:rFonts w:hint="default" w:ascii="宋体" w:hAnsi="宋体" w:cs="宋体"/>
                <w:color w:val="auto"/>
                <w:szCs w:val="21"/>
                <w:highlight w:val="none"/>
                <w:lang w:val="zh-CN"/>
              </w:rPr>
            </w:pPr>
            <w:r>
              <w:rPr>
                <w:rFonts w:hint="eastAsia" w:ascii="宋体" w:hAnsi="宋体" w:cs="宋体"/>
                <w:color w:val="auto"/>
                <w:szCs w:val="21"/>
                <w:highlight w:val="none"/>
                <w:lang w:val="zh-CN"/>
              </w:rPr>
              <w:t>投标截止时间：</w:t>
            </w:r>
            <w:r>
              <w:rPr>
                <w:rFonts w:hint="eastAsia" w:ascii="宋体" w:hAnsi="宋体"/>
                <w:color w:val="auto"/>
                <w:szCs w:val="21"/>
                <w:highlight w:val="none"/>
                <w:u w:val="single"/>
              </w:rPr>
              <w:t xml:space="preserve">      </w:t>
            </w:r>
            <w:r>
              <w:rPr>
                <w:rFonts w:hint="eastAsia" w:ascii="宋体" w:hAnsi="宋体" w:cs="宋体"/>
                <w:color w:val="auto"/>
                <w:szCs w:val="21"/>
                <w:highlight w:val="none"/>
                <w:lang w:val="zh-CN"/>
              </w:rPr>
              <w:t>年</w:t>
            </w:r>
            <w:r>
              <w:rPr>
                <w:rFonts w:hint="default" w:ascii="宋体" w:hAnsi="宋体"/>
                <w:color w:val="auto"/>
                <w:szCs w:val="21"/>
                <w:highlight w:val="none"/>
                <w:u w:val="single"/>
              </w:rPr>
              <w:t xml:space="preserve">  </w:t>
            </w:r>
            <w:r>
              <w:rPr>
                <w:rFonts w:hint="eastAsia" w:ascii="宋体" w:hAnsi="宋体" w:cs="宋体"/>
                <w:color w:val="auto"/>
                <w:szCs w:val="21"/>
                <w:highlight w:val="none"/>
                <w:lang w:val="zh-CN"/>
              </w:rPr>
              <w:t>月</w:t>
            </w:r>
            <w:r>
              <w:rPr>
                <w:rFonts w:hint="default" w:ascii="宋体" w:hAnsi="宋体"/>
                <w:color w:val="auto"/>
                <w:szCs w:val="21"/>
                <w:highlight w:val="none"/>
                <w:u w:val="single"/>
              </w:rPr>
              <w:t xml:space="preserve">  </w:t>
            </w:r>
            <w:r>
              <w:rPr>
                <w:rFonts w:hint="eastAsia" w:ascii="宋体" w:hAnsi="宋体" w:cs="宋体"/>
                <w:color w:val="auto"/>
                <w:szCs w:val="21"/>
                <w:highlight w:val="none"/>
                <w:lang w:val="zh-CN"/>
              </w:rPr>
              <w:t>日</w:t>
            </w:r>
            <w:r>
              <w:rPr>
                <w:rFonts w:hint="default" w:ascii="宋体" w:hAnsi="宋体"/>
                <w:color w:val="auto"/>
                <w:szCs w:val="21"/>
                <w:highlight w:val="none"/>
                <w:u w:val="single"/>
              </w:rPr>
              <w:t xml:space="preserve">  </w:t>
            </w:r>
            <w:r>
              <w:rPr>
                <w:rFonts w:hint="eastAsia" w:ascii="宋体" w:hAnsi="宋体" w:cs="宋体"/>
                <w:color w:val="auto"/>
                <w:szCs w:val="21"/>
                <w:highlight w:val="none"/>
                <w:lang w:val="zh-CN"/>
              </w:rPr>
              <w:t>时</w:t>
            </w:r>
            <w:r>
              <w:rPr>
                <w:rFonts w:hint="default" w:ascii="宋体" w:hAnsi="宋体"/>
                <w:color w:val="auto"/>
                <w:szCs w:val="21"/>
                <w:highlight w:val="none"/>
                <w:u w:val="single"/>
              </w:rPr>
              <w:t xml:space="preserve">  </w:t>
            </w:r>
            <w:r>
              <w:rPr>
                <w:rFonts w:hint="eastAsia" w:ascii="宋体" w:hAnsi="宋体" w:cs="宋体"/>
                <w:color w:val="auto"/>
                <w:szCs w:val="21"/>
                <w:highlight w:val="none"/>
                <w:lang w:val="zh-CN"/>
              </w:rPr>
              <w:t>分</w:t>
            </w:r>
            <w:r>
              <w:rPr>
                <w:rFonts w:hint="eastAsia" w:ascii="宋体" w:hAnsi="宋体" w:cs="宋体"/>
                <w:color w:val="auto"/>
                <w:szCs w:val="21"/>
                <w:highlight w:val="none"/>
              </w:rPr>
              <w:t>(详见广州公共资源交易中心日程安排)</w:t>
            </w:r>
          </w:p>
          <w:p>
            <w:pPr>
              <w:keepNext w:val="0"/>
              <w:keepLines w:val="0"/>
              <w:suppressLineNumbers w:val="0"/>
              <w:autoSpaceDE w:val="0"/>
              <w:autoSpaceDN w:val="0"/>
              <w:adjustRightInd w:val="0"/>
              <w:spacing w:before="0" w:beforeAutospacing="0" w:after="0" w:afterAutospacing="0" w:line="340" w:lineRule="exact"/>
              <w:ind w:left="0" w:right="0"/>
              <w:rPr>
                <w:rFonts w:hint="default" w:ascii="宋体" w:hAnsi="宋体"/>
                <w:b/>
                <w:bCs/>
                <w:color w:val="auto"/>
                <w:szCs w:val="21"/>
                <w:highlight w:val="none"/>
              </w:rPr>
            </w:pPr>
            <w:r>
              <w:rPr>
                <w:rFonts w:hint="eastAsia" w:ascii="宋体" w:hAnsi="宋体" w:cs="宋体"/>
                <w:color w:val="auto"/>
                <w:szCs w:val="21"/>
                <w:highlight w:val="none"/>
                <w:lang w:val="zh-CN"/>
              </w:rPr>
              <w:t>备注：招标人邀请所有投标人参加开标会。投标人提交投标文件时，需持有法定代表人证明书、法定代表人授权委托书、本人身份证复印件（身份证原件核对）。</w:t>
            </w:r>
          </w:p>
        </w:tc>
      </w:tr>
      <w:tr>
        <w:tblPrEx>
          <w:tblCellMar>
            <w:top w:w="0" w:type="dxa"/>
            <w:left w:w="108" w:type="dxa"/>
            <w:bottom w:w="0" w:type="dxa"/>
            <w:right w:w="108" w:type="dxa"/>
          </w:tblCellMar>
        </w:tblPrEx>
        <w:trPr>
          <w:trHeight w:val="829" w:hRule="atLeast"/>
          <w:jc w:val="center"/>
        </w:trPr>
        <w:tc>
          <w:tcPr>
            <w:tcW w:w="70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eastAsia" w:ascii="宋体" w:hAnsi="宋体"/>
                <w:color w:val="auto"/>
                <w:szCs w:val="21"/>
                <w:highlight w:val="none"/>
              </w:rPr>
              <w:t>23</w:t>
            </w:r>
          </w:p>
        </w:tc>
        <w:tc>
          <w:tcPr>
            <w:tcW w:w="90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p>
        </w:tc>
        <w:tc>
          <w:tcPr>
            <w:tcW w:w="1557"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61" w:right="-84"/>
              <w:jc w:val="center"/>
              <w:rPr>
                <w:rFonts w:hint="default" w:ascii="宋体" w:hAnsi="宋体" w:cs="宋体"/>
                <w:color w:val="auto"/>
                <w:szCs w:val="21"/>
                <w:highlight w:val="none"/>
                <w:lang w:val="zh-CN"/>
              </w:rPr>
            </w:pPr>
            <w:r>
              <w:rPr>
                <w:rFonts w:hint="eastAsia" w:ascii="宋体" w:hAnsi="宋体" w:cs="宋体"/>
                <w:color w:val="auto"/>
                <w:szCs w:val="21"/>
                <w:highlight w:val="none"/>
                <w:lang w:val="zh-CN"/>
              </w:rPr>
              <w:t>评标委员会的组建</w:t>
            </w:r>
          </w:p>
        </w:tc>
        <w:tc>
          <w:tcPr>
            <w:tcW w:w="6605"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exact"/>
              <w:ind w:left="0" w:right="0"/>
              <w:rPr>
                <w:rFonts w:hint="default" w:ascii="宋体" w:hAnsi="宋体" w:cs="宋体"/>
                <w:color w:val="auto"/>
                <w:szCs w:val="21"/>
                <w:highlight w:val="none"/>
                <w:lang w:val="zh-CN"/>
              </w:rPr>
            </w:pPr>
            <w:r>
              <w:rPr>
                <w:rFonts w:hint="eastAsia" w:ascii="宋体" w:hAnsi="宋体" w:cs="宋体"/>
                <w:color w:val="auto"/>
                <w:szCs w:val="21"/>
                <w:highlight w:val="none"/>
                <w:lang w:val="zh-CN"/>
              </w:rPr>
              <w:t>评标委员会构成：</w:t>
            </w:r>
            <w:r>
              <w:rPr>
                <w:rFonts w:hint="eastAsia" w:ascii="宋体" w:hAnsi="宋体" w:cs="宋体"/>
                <w:color w:val="auto"/>
                <w:szCs w:val="21"/>
                <w:highlight w:val="none"/>
                <w:u w:val="single"/>
                <w:lang w:val="zh-CN"/>
              </w:rPr>
              <w:t xml:space="preserve"> 5 </w:t>
            </w:r>
            <w:r>
              <w:rPr>
                <w:rFonts w:hint="eastAsia" w:ascii="宋体" w:hAnsi="宋体" w:cs="宋体"/>
                <w:color w:val="auto"/>
                <w:szCs w:val="21"/>
                <w:highlight w:val="none"/>
                <w:lang w:val="zh-CN"/>
              </w:rPr>
              <w:t>人，其中招标人代表</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人，专家</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u w:val="single"/>
                <w:lang w:val="en-US" w:eastAsia="zh-CN"/>
              </w:rPr>
              <w:t xml:space="preserve">5 </w:t>
            </w:r>
            <w:r>
              <w:rPr>
                <w:rFonts w:hint="eastAsia" w:ascii="宋体" w:hAnsi="宋体" w:cs="宋体"/>
                <w:color w:val="auto"/>
                <w:szCs w:val="21"/>
                <w:highlight w:val="none"/>
                <w:lang w:val="zh-CN"/>
              </w:rPr>
              <w:t>人；</w:t>
            </w:r>
          </w:p>
          <w:p>
            <w:pPr>
              <w:keepNext w:val="0"/>
              <w:keepLines w:val="0"/>
              <w:suppressLineNumbers w:val="0"/>
              <w:spacing w:before="0" w:beforeAutospacing="0" w:after="0" w:afterAutospacing="0" w:line="360" w:lineRule="exact"/>
              <w:ind w:left="0" w:right="0"/>
              <w:rPr>
                <w:rFonts w:hint="default" w:ascii="宋体" w:hAnsi="宋体" w:cs="宋体"/>
                <w:bCs/>
                <w:color w:val="auto"/>
                <w:szCs w:val="21"/>
                <w:highlight w:val="none"/>
                <w:lang w:val="zh-CN"/>
              </w:rPr>
            </w:pPr>
            <w:r>
              <w:rPr>
                <w:rFonts w:hint="eastAsia" w:ascii="宋体" w:hAnsi="宋体" w:cs="宋体"/>
                <w:color w:val="auto"/>
                <w:szCs w:val="21"/>
                <w:highlight w:val="none"/>
                <w:lang w:val="zh-CN"/>
              </w:rPr>
              <w:t>评标专家确定方式：按规定从广东省综合评标专家库中随机抽取。</w:t>
            </w:r>
          </w:p>
        </w:tc>
      </w:tr>
      <w:tr>
        <w:tblPrEx>
          <w:tblCellMar>
            <w:top w:w="0" w:type="dxa"/>
            <w:left w:w="108" w:type="dxa"/>
            <w:bottom w:w="0" w:type="dxa"/>
            <w:right w:w="108" w:type="dxa"/>
          </w:tblCellMar>
        </w:tblPrEx>
        <w:trPr>
          <w:trHeight w:val="584" w:hRule="atLeast"/>
          <w:jc w:val="center"/>
        </w:trPr>
        <w:tc>
          <w:tcPr>
            <w:tcW w:w="70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eastAsia" w:ascii="宋体" w:hAnsi="宋体"/>
                <w:color w:val="auto"/>
                <w:szCs w:val="21"/>
                <w:highlight w:val="none"/>
              </w:rPr>
              <w:t>24</w:t>
            </w:r>
          </w:p>
        </w:tc>
        <w:tc>
          <w:tcPr>
            <w:tcW w:w="90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default" w:ascii="宋体" w:hAnsi="宋体"/>
                <w:color w:val="auto"/>
                <w:szCs w:val="21"/>
                <w:highlight w:val="none"/>
              </w:rPr>
              <w:t>24.1</w:t>
            </w:r>
          </w:p>
        </w:tc>
        <w:tc>
          <w:tcPr>
            <w:tcW w:w="1557"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eastAsia" w:ascii="宋体" w:hAnsi="宋体" w:cs="宋体"/>
                <w:color w:val="auto"/>
                <w:szCs w:val="21"/>
                <w:highlight w:val="none"/>
                <w:lang w:val="zh-CN"/>
              </w:rPr>
              <w:t>开标</w:t>
            </w:r>
          </w:p>
        </w:tc>
        <w:tc>
          <w:tcPr>
            <w:tcW w:w="6605"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340" w:lineRule="exact"/>
              <w:ind w:left="0" w:right="0"/>
              <w:rPr>
                <w:rFonts w:hint="default"/>
                <w:highlight w:val="none"/>
                <w:lang w:val="zh-CN"/>
              </w:rPr>
            </w:pPr>
            <w:r>
              <w:rPr>
                <w:rFonts w:hint="eastAsia"/>
                <w:highlight w:val="none"/>
                <w:lang w:val="zh-CN"/>
              </w:rPr>
              <w:t>开标时间：     年</w:t>
            </w:r>
            <w:r>
              <w:rPr>
                <w:rFonts w:hint="default"/>
                <w:highlight w:val="none"/>
                <w:lang w:val="zh-CN"/>
              </w:rPr>
              <w:t xml:space="preserve"> </w:t>
            </w:r>
            <w:r>
              <w:rPr>
                <w:rFonts w:hint="eastAsia"/>
                <w:highlight w:val="none"/>
                <w:lang w:val="zh-CN"/>
              </w:rPr>
              <w:t xml:space="preserve"> </w:t>
            </w:r>
            <w:r>
              <w:rPr>
                <w:rFonts w:hint="default"/>
                <w:highlight w:val="none"/>
                <w:lang w:val="zh-CN"/>
              </w:rPr>
              <w:t xml:space="preserve"> </w:t>
            </w:r>
            <w:r>
              <w:rPr>
                <w:rFonts w:hint="eastAsia"/>
                <w:highlight w:val="none"/>
                <w:lang w:val="zh-CN"/>
              </w:rPr>
              <w:t>月</w:t>
            </w:r>
            <w:r>
              <w:rPr>
                <w:rFonts w:hint="default"/>
                <w:highlight w:val="none"/>
                <w:lang w:val="zh-CN"/>
              </w:rPr>
              <w:t xml:space="preserve"> </w:t>
            </w:r>
            <w:r>
              <w:rPr>
                <w:rFonts w:hint="eastAsia"/>
                <w:highlight w:val="none"/>
                <w:lang w:val="zh-CN"/>
              </w:rPr>
              <w:t xml:space="preserve"> </w:t>
            </w:r>
            <w:r>
              <w:rPr>
                <w:rFonts w:hint="default"/>
                <w:highlight w:val="none"/>
                <w:lang w:val="zh-CN"/>
              </w:rPr>
              <w:t xml:space="preserve"> </w:t>
            </w:r>
            <w:r>
              <w:rPr>
                <w:rFonts w:hint="eastAsia"/>
                <w:highlight w:val="none"/>
                <w:lang w:val="zh-CN"/>
              </w:rPr>
              <w:t>日</w:t>
            </w:r>
            <w:r>
              <w:rPr>
                <w:rFonts w:hint="default"/>
                <w:highlight w:val="none"/>
                <w:lang w:val="zh-CN"/>
              </w:rPr>
              <w:t xml:space="preserve"> </w:t>
            </w:r>
            <w:r>
              <w:rPr>
                <w:rFonts w:hint="eastAsia"/>
                <w:highlight w:val="none"/>
                <w:lang w:val="zh-CN"/>
              </w:rPr>
              <w:t xml:space="preserve">   </w:t>
            </w:r>
            <w:r>
              <w:rPr>
                <w:rFonts w:hint="default"/>
                <w:highlight w:val="none"/>
                <w:lang w:val="zh-CN"/>
              </w:rPr>
              <w:t xml:space="preserve"> </w:t>
            </w:r>
            <w:r>
              <w:rPr>
                <w:rFonts w:hint="eastAsia"/>
                <w:highlight w:val="none"/>
                <w:lang w:val="zh-CN"/>
              </w:rPr>
              <w:t>时　 分</w:t>
            </w:r>
            <w:r>
              <w:rPr>
                <w:rFonts w:hint="eastAsia"/>
                <w:highlight w:val="none"/>
              </w:rPr>
              <w:t>(详见广州公共资源交易中心日程安排)</w:t>
            </w:r>
          </w:p>
          <w:p>
            <w:pPr>
              <w:keepNext w:val="0"/>
              <w:keepLines w:val="0"/>
              <w:suppressLineNumbers w:val="0"/>
              <w:autoSpaceDE w:val="0"/>
              <w:autoSpaceDN w:val="0"/>
              <w:adjustRightInd w:val="0"/>
              <w:spacing w:before="0" w:beforeAutospacing="0" w:after="0" w:afterAutospacing="0" w:line="340" w:lineRule="exact"/>
              <w:ind w:left="0" w:right="0"/>
              <w:rPr>
                <w:rFonts w:hint="default"/>
                <w:highlight w:val="none"/>
              </w:rPr>
            </w:pPr>
            <w:r>
              <w:rPr>
                <w:rFonts w:hint="eastAsia"/>
                <w:highlight w:val="none"/>
                <w:lang w:val="zh-CN"/>
              </w:rPr>
              <w:t>地点：</w:t>
            </w:r>
            <w:r>
              <w:rPr>
                <w:rFonts w:hint="eastAsia"/>
                <w:highlight w:val="none"/>
              </w:rPr>
              <w:t>广州公共资源交易中心开标室 （地址：广州市天河区天润路333号广州公共资源交易中心开标室（具体开标室请投标人自行登录广州公共资源交易中心网查询，下同））</w:t>
            </w:r>
          </w:p>
          <w:p>
            <w:pPr>
              <w:keepNext w:val="0"/>
              <w:keepLines w:val="0"/>
              <w:numPr>
                <w:ilvl w:val="-1"/>
                <w:numId w:val="0"/>
              </w:numPr>
              <w:suppressLineNumbers w:val="0"/>
              <w:spacing w:before="0" w:beforeAutospacing="0" w:after="0" w:afterAutospacing="0" w:line="360" w:lineRule="exact"/>
              <w:ind w:left="0" w:right="0"/>
              <w:rPr>
                <w:rFonts w:hint="eastAsia"/>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rPr>
              <w:t>招标人核查投标人的信用等级，对未被列入“江门市建筑业企业信用管理信息系统”</w:t>
            </w:r>
            <w:r>
              <w:rPr>
                <w:rFonts w:hint="default"/>
                <w:highlight w:val="none"/>
              </w:rPr>
              <w:t>信用等级为</w:t>
            </w:r>
            <w:r>
              <w:rPr>
                <w:rFonts w:hint="eastAsia"/>
                <w:highlight w:val="none"/>
              </w:rPr>
              <w:t>C</w:t>
            </w:r>
            <w:r>
              <w:rPr>
                <w:rFonts w:hint="default"/>
                <w:highlight w:val="none"/>
              </w:rPr>
              <w:t>级</w:t>
            </w:r>
            <w:r>
              <w:rPr>
                <w:rFonts w:hint="eastAsia"/>
                <w:highlight w:val="none"/>
              </w:rPr>
              <w:t>或以上</w:t>
            </w:r>
            <w:r>
              <w:rPr>
                <w:rFonts w:hint="default"/>
                <w:highlight w:val="none"/>
              </w:rPr>
              <w:t>的</w:t>
            </w:r>
            <w:r>
              <w:rPr>
                <w:rFonts w:hint="eastAsia"/>
                <w:highlight w:val="none"/>
              </w:rPr>
              <w:t>投标人，招标人拒收或退回其投标文件。</w:t>
            </w:r>
          </w:p>
          <w:p>
            <w:pPr>
              <w:pStyle w:val="2"/>
              <w:keepNext w:val="0"/>
              <w:keepLines w:val="0"/>
              <w:numPr>
                <w:ilvl w:val="-1"/>
                <w:numId w:val="0"/>
              </w:numPr>
              <w:suppressLineNumbers w:val="0"/>
              <w:spacing w:before="0" w:beforeAutospacing="0" w:after="0" w:afterAutospacing="0" w:line="360" w:lineRule="exact"/>
              <w:ind w:left="0" w:right="0"/>
              <w:rPr>
                <w:rFonts w:hint="eastAsia"/>
                <w:highlight w:val="none"/>
              </w:rPr>
            </w:pPr>
            <w:r>
              <w:rPr>
                <w:rFonts w:hint="eastAsia"/>
                <w:highlight w:val="none"/>
              </w:rPr>
              <w:t>（2）发生下列情况的，开标（评标）无效、中止、或终止，恢复开标（评标）的时间视情况而定：司法机关、纪检监察等部门依法要求中止或者终止招标投标活动的；依法应当中止或终止网上招标投标活动的其他情形。</w:t>
            </w:r>
          </w:p>
          <w:p>
            <w:pPr>
              <w:pStyle w:val="2"/>
              <w:keepNext w:val="0"/>
              <w:keepLines w:val="0"/>
              <w:numPr>
                <w:ilvl w:val="-1"/>
                <w:numId w:val="0"/>
              </w:numPr>
              <w:suppressLineNumbers w:val="0"/>
              <w:spacing w:before="0" w:beforeAutospacing="0" w:after="0" w:afterAutospacing="0" w:line="360" w:lineRule="exact"/>
              <w:ind w:left="0" w:right="0"/>
              <w:rPr>
                <w:rFonts w:hint="default"/>
                <w:highlight w:val="none"/>
              </w:rPr>
            </w:pPr>
            <w:r>
              <w:rPr>
                <w:rFonts w:hint="eastAsia"/>
                <w:highlight w:val="none"/>
              </w:rPr>
              <w:t>对于另行安排时间开标评标的项目，有关评标业绩、获奖情况、银行资信证明和信用分值仍以已封存的投标文件为准，开标时，招标人（招标代理）须出具书面说明，提请评委注意有关评标业绩仍以已封存的投标文件为准。</w:t>
            </w:r>
          </w:p>
        </w:tc>
      </w:tr>
      <w:tr>
        <w:tblPrEx>
          <w:tblCellMar>
            <w:top w:w="0" w:type="dxa"/>
            <w:left w:w="108" w:type="dxa"/>
            <w:bottom w:w="0" w:type="dxa"/>
            <w:right w:w="108" w:type="dxa"/>
          </w:tblCellMar>
        </w:tblPrEx>
        <w:trPr>
          <w:jc w:val="center"/>
        </w:trPr>
        <w:tc>
          <w:tcPr>
            <w:tcW w:w="70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default" w:ascii="宋体" w:hAnsi="宋体"/>
                <w:color w:val="auto"/>
                <w:szCs w:val="21"/>
                <w:highlight w:val="none"/>
              </w:rPr>
              <w:t>25</w:t>
            </w:r>
          </w:p>
        </w:tc>
        <w:tc>
          <w:tcPr>
            <w:tcW w:w="90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default" w:ascii="宋体" w:hAnsi="宋体"/>
                <w:color w:val="auto"/>
                <w:szCs w:val="21"/>
                <w:highlight w:val="none"/>
              </w:rPr>
              <w:t>27.</w:t>
            </w:r>
            <w:r>
              <w:rPr>
                <w:rFonts w:hint="eastAsia" w:ascii="宋体" w:hAnsi="宋体"/>
                <w:color w:val="auto"/>
                <w:szCs w:val="21"/>
                <w:highlight w:val="none"/>
              </w:rPr>
              <w:t>3</w:t>
            </w:r>
          </w:p>
        </w:tc>
        <w:tc>
          <w:tcPr>
            <w:tcW w:w="1557"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eastAsia" w:ascii="宋体" w:hAnsi="宋体" w:cs="宋体"/>
                <w:color w:val="auto"/>
                <w:szCs w:val="21"/>
                <w:highlight w:val="none"/>
                <w:lang w:val="zh-CN"/>
              </w:rPr>
              <w:t>评标办法</w:t>
            </w:r>
          </w:p>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eastAsia" w:ascii="宋体" w:hAnsi="宋体" w:cs="宋体"/>
                <w:color w:val="auto"/>
                <w:szCs w:val="21"/>
                <w:highlight w:val="none"/>
                <w:lang w:val="zh-CN"/>
              </w:rPr>
              <w:t>及标准</w:t>
            </w:r>
          </w:p>
        </w:tc>
        <w:tc>
          <w:tcPr>
            <w:tcW w:w="6605"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00" w:lineRule="exact"/>
              <w:ind w:left="0" w:right="0"/>
              <w:rPr>
                <w:rFonts w:hint="default" w:ascii="宋体" w:hAnsi="宋体"/>
                <w:color w:val="auto"/>
                <w:szCs w:val="21"/>
                <w:highlight w:val="none"/>
              </w:rPr>
            </w:pPr>
            <w:r>
              <w:rPr>
                <w:rFonts w:hint="eastAsia" w:ascii="宋体" w:hAnsi="宋体"/>
                <w:color w:val="auto"/>
                <w:szCs w:val="21"/>
                <w:highlight w:val="none"/>
              </w:rPr>
              <w:t>本项目采用“综合评估法”评标办法。</w:t>
            </w:r>
          </w:p>
          <w:p>
            <w:pPr>
              <w:keepNext w:val="0"/>
              <w:keepLines w:val="0"/>
              <w:suppressLineNumbers w:val="0"/>
              <w:spacing w:before="0" w:beforeAutospacing="0" w:after="0" w:afterAutospacing="0" w:line="300" w:lineRule="exact"/>
              <w:ind w:left="0" w:right="0"/>
              <w:rPr>
                <w:rFonts w:hint="default" w:ascii="宋体" w:hAnsi="宋体"/>
                <w:color w:val="auto"/>
                <w:szCs w:val="21"/>
                <w:highlight w:val="none"/>
              </w:rPr>
            </w:pPr>
            <w:r>
              <w:rPr>
                <w:rFonts w:hint="eastAsia" w:ascii="宋体" w:hAnsi="宋体"/>
                <w:color w:val="auto"/>
                <w:szCs w:val="21"/>
                <w:highlight w:val="none"/>
              </w:rPr>
              <w:t>信用因素权重:</w:t>
            </w:r>
          </w:p>
          <w:p>
            <w:pPr>
              <w:keepNext w:val="0"/>
              <w:keepLines w:val="0"/>
              <w:suppressLineNumbers w:val="0"/>
              <w:spacing w:before="0" w:beforeAutospacing="0" w:after="0" w:afterAutospacing="0" w:line="300" w:lineRule="exact"/>
              <w:ind w:left="0" w:right="0"/>
              <w:rPr>
                <w:rFonts w:hint="default" w:ascii="宋体" w:hAnsi="宋体"/>
                <w:color w:val="auto"/>
                <w:szCs w:val="21"/>
                <w:highlight w:val="none"/>
              </w:rPr>
            </w:pPr>
            <w:r>
              <w:rPr>
                <w:rFonts w:hint="eastAsia" w:ascii="宋体" w:hAnsi="宋体"/>
                <w:color w:val="auto"/>
                <w:szCs w:val="21"/>
                <w:highlight w:val="none"/>
              </w:rPr>
              <w:t>□现场随机抽取。（在 8%，8.5%，9%，9.5%，10%共五个数值中抽取）</w:t>
            </w:r>
          </w:p>
          <w:p>
            <w:pPr>
              <w:keepNext w:val="0"/>
              <w:keepLines w:val="0"/>
              <w:suppressLineNumbers w:val="0"/>
              <w:spacing w:before="0" w:beforeAutospacing="0" w:after="0" w:afterAutospacing="0" w:line="300" w:lineRule="exact"/>
              <w:ind w:left="0" w:right="0"/>
              <w:rPr>
                <w:rFonts w:hint="default" w:ascii="宋体" w:hAnsi="宋体"/>
                <w:color w:val="auto"/>
                <w:szCs w:val="21"/>
                <w:highlight w:val="none"/>
              </w:rPr>
            </w:pPr>
            <w:r>
              <w:rPr>
                <w:rFonts w:hint="default" w:ascii="Segoe UI Symbol" w:hAnsi="Segoe UI Symbol" w:cs="Segoe UI Symbol"/>
                <w:b/>
                <w:bCs/>
                <w:color w:val="auto"/>
                <w:sz w:val="24"/>
                <w:highlight w:val="none"/>
              </w:rPr>
              <w:t>☑</w:t>
            </w:r>
            <w:r>
              <w:rPr>
                <w:rFonts w:hint="default" w:ascii="宋体" w:hAnsi="宋体"/>
                <w:b/>
                <w:bCs/>
                <w:color w:val="auto"/>
                <w:sz w:val="24"/>
                <w:highlight w:val="none"/>
              </w:rPr>
              <w:t xml:space="preserve"> </w:t>
            </w:r>
            <w:r>
              <w:rPr>
                <w:rFonts w:hint="eastAsia" w:ascii="宋体" w:hAnsi="宋体"/>
                <w:color w:val="auto"/>
                <w:szCs w:val="21"/>
                <w:highlight w:val="none"/>
              </w:rPr>
              <w:t>本项目信用因素权重为</w:t>
            </w:r>
            <w:r>
              <w:rPr>
                <w:rFonts w:hint="default" w:ascii="宋体" w:hAnsi="宋体"/>
                <w:color w:val="auto"/>
                <w:szCs w:val="21"/>
                <w:highlight w:val="none"/>
                <w:u w:val="single"/>
              </w:rPr>
              <w:t xml:space="preserve"> 8 %</w:t>
            </w:r>
            <w:r>
              <w:rPr>
                <w:rFonts w:hint="eastAsia" w:ascii="宋体" w:hAnsi="宋体"/>
                <w:color w:val="auto"/>
                <w:szCs w:val="21"/>
                <w:highlight w:val="none"/>
              </w:rPr>
              <w:t>。（在</w:t>
            </w:r>
            <w:r>
              <w:rPr>
                <w:rFonts w:hint="default" w:ascii="宋体" w:hAnsi="宋体"/>
                <w:color w:val="auto"/>
                <w:szCs w:val="21"/>
                <w:highlight w:val="none"/>
              </w:rPr>
              <w:t xml:space="preserve"> 8</w:t>
            </w:r>
            <w:r>
              <w:rPr>
                <w:rFonts w:hint="eastAsia" w:ascii="宋体" w:hAnsi="宋体"/>
                <w:color w:val="auto"/>
                <w:szCs w:val="21"/>
                <w:highlight w:val="none"/>
              </w:rPr>
              <w:t>，</w:t>
            </w:r>
            <w:r>
              <w:rPr>
                <w:rFonts w:hint="default" w:ascii="宋体" w:hAnsi="宋体"/>
                <w:color w:val="auto"/>
                <w:szCs w:val="21"/>
                <w:highlight w:val="none"/>
              </w:rPr>
              <w:t>8.5</w:t>
            </w:r>
            <w:r>
              <w:rPr>
                <w:rFonts w:hint="eastAsia" w:ascii="宋体" w:hAnsi="宋体"/>
                <w:color w:val="auto"/>
                <w:szCs w:val="21"/>
                <w:highlight w:val="none"/>
              </w:rPr>
              <w:t>，</w:t>
            </w:r>
            <w:r>
              <w:rPr>
                <w:rFonts w:hint="default" w:ascii="宋体" w:hAnsi="宋体"/>
                <w:color w:val="auto"/>
                <w:szCs w:val="21"/>
                <w:highlight w:val="none"/>
              </w:rPr>
              <w:t>9</w:t>
            </w:r>
            <w:r>
              <w:rPr>
                <w:rFonts w:hint="eastAsia" w:ascii="宋体" w:hAnsi="宋体"/>
                <w:color w:val="auto"/>
                <w:szCs w:val="21"/>
                <w:highlight w:val="none"/>
              </w:rPr>
              <w:t>，</w:t>
            </w:r>
            <w:r>
              <w:rPr>
                <w:rFonts w:hint="default" w:ascii="宋体" w:hAnsi="宋体"/>
                <w:color w:val="auto"/>
                <w:szCs w:val="21"/>
                <w:highlight w:val="none"/>
              </w:rPr>
              <w:t>9.5</w:t>
            </w:r>
            <w:r>
              <w:rPr>
                <w:rFonts w:hint="eastAsia" w:ascii="宋体" w:hAnsi="宋体"/>
                <w:color w:val="auto"/>
                <w:szCs w:val="21"/>
                <w:highlight w:val="none"/>
              </w:rPr>
              <w:t>，</w:t>
            </w:r>
            <w:r>
              <w:rPr>
                <w:rFonts w:hint="default" w:ascii="宋体" w:hAnsi="宋体"/>
                <w:color w:val="auto"/>
                <w:szCs w:val="21"/>
                <w:highlight w:val="none"/>
              </w:rPr>
              <w:t xml:space="preserve">10 </w:t>
            </w:r>
            <w:r>
              <w:rPr>
                <w:rFonts w:hint="eastAsia" w:ascii="宋体" w:hAnsi="宋体"/>
                <w:color w:val="auto"/>
                <w:szCs w:val="21"/>
                <w:highlight w:val="none"/>
              </w:rPr>
              <w:t>共五个数值中选择）</w:t>
            </w:r>
          </w:p>
          <w:p>
            <w:pPr>
              <w:keepNext w:val="0"/>
              <w:keepLines w:val="0"/>
              <w:suppressLineNumbers w:val="0"/>
              <w:spacing w:before="0" w:beforeAutospacing="0" w:after="0" w:afterAutospacing="0" w:line="300" w:lineRule="exact"/>
              <w:ind w:left="0" w:right="0"/>
              <w:rPr>
                <w:rFonts w:hint="default" w:ascii="宋体" w:hAnsi="宋体"/>
                <w:color w:val="auto"/>
                <w:szCs w:val="21"/>
                <w:highlight w:val="none"/>
              </w:rPr>
            </w:pPr>
            <w:r>
              <w:rPr>
                <w:rFonts w:hint="eastAsia" w:ascii="宋体" w:hAnsi="宋体"/>
                <w:color w:val="auto"/>
                <w:szCs w:val="21"/>
                <w:highlight w:val="none"/>
              </w:rPr>
              <w:t>评标总得分:</w:t>
            </w:r>
          </w:p>
          <w:p>
            <w:pPr>
              <w:keepNext w:val="0"/>
              <w:keepLines w:val="0"/>
              <w:suppressLineNumbers w:val="0"/>
              <w:spacing w:before="0" w:beforeAutospacing="0" w:after="0" w:afterAutospacing="0" w:line="300" w:lineRule="exact"/>
              <w:ind w:left="0" w:right="0"/>
              <w:rPr>
                <w:rFonts w:hint="default" w:ascii="宋体" w:hAnsi="宋体"/>
                <w:color w:val="auto"/>
                <w:szCs w:val="21"/>
                <w:highlight w:val="none"/>
              </w:rPr>
            </w:pPr>
            <w:r>
              <w:rPr>
                <w:rFonts w:hint="eastAsia" w:ascii="宋体" w:hAnsi="宋体"/>
                <w:color w:val="auto"/>
                <w:szCs w:val="21"/>
                <w:highlight w:val="none"/>
              </w:rPr>
              <w:t>评标总得分=报价得分×权重（22%）+监理综合评分得分×权重（70%）+信用等级分×信用因素权重（8%）。</w:t>
            </w:r>
          </w:p>
          <w:p>
            <w:pPr>
              <w:keepNext w:val="0"/>
              <w:keepLines w:val="0"/>
              <w:suppressLineNumbers w:val="0"/>
              <w:spacing w:before="0" w:beforeAutospacing="0" w:after="0" w:afterAutospacing="0" w:line="300" w:lineRule="exact"/>
              <w:ind w:left="0" w:right="0"/>
              <w:rPr>
                <w:rFonts w:hint="default" w:ascii="宋体" w:hAnsi="宋体"/>
                <w:color w:val="auto"/>
                <w:szCs w:val="21"/>
                <w:highlight w:val="none"/>
              </w:rPr>
            </w:pPr>
            <w:r>
              <w:rPr>
                <w:rFonts w:hint="eastAsia" w:ascii="宋体" w:hAnsi="宋体"/>
                <w:color w:val="auto"/>
                <w:szCs w:val="21"/>
                <w:highlight w:val="none"/>
              </w:rPr>
              <w:t>注：上述报价得分权重、监理综合评分得分权重可由招标人事先设定其中一种，如信用因素权重现场随机抽取确定的，经随机抽取信用因素权重后由招标人补充未确定的权重，提供给评标委员会。</w:t>
            </w:r>
          </w:p>
        </w:tc>
      </w:tr>
      <w:tr>
        <w:tblPrEx>
          <w:tblCellMar>
            <w:top w:w="0" w:type="dxa"/>
            <w:left w:w="108" w:type="dxa"/>
            <w:bottom w:w="0" w:type="dxa"/>
            <w:right w:w="108" w:type="dxa"/>
          </w:tblCellMar>
        </w:tblPrEx>
        <w:trPr>
          <w:gridAfter w:val="1"/>
          <w:wAfter w:w="170" w:type="dxa"/>
          <w:jc w:val="center"/>
        </w:trPr>
        <w:tc>
          <w:tcPr>
            <w:tcW w:w="70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eastAsia" w:ascii="宋体" w:hAnsi="宋体"/>
                <w:color w:val="auto"/>
                <w:szCs w:val="21"/>
                <w:highlight w:val="none"/>
              </w:rPr>
              <w:t>26</w:t>
            </w:r>
          </w:p>
        </w:tc>
        <w:tc>
          <w:tcPr>
            <w:tcW w:w="8901" w:type="dxa"/>
            <w:gridSpan w:val="3"/>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color w:val="auto"/>
                <w:szCs w:val="21"/>
                <w:highlight w:val="none"/>
              </w:rPr>
            </w:pPr>
            <w:r>
              <w:rPr>
                <w:rFonts w:hint="eastAsia" w:ascii="宋体" w:hAnsi="宋体"/>
                <w:color w:val="auto"/>
                <w:szCs w:val="21"/>
                <w:highlight w:val="none"/>
              </w:rPr>
              <w:t>需要补充的其他内容</w:t>
            </w:r>
          </w:p>
        </w:tc>
      </w:tr>
      <w:tr>
        <w:tblPrEx>
          <w:tblCellMar>
            <w:top w:w="0" w:type="dxa"/>
            <w:left w:w="108" w:type="dxa"/>
            <w:bottom w:w="0" w:type="dxa"/>
            <w:right w:w="108" w:type="dxa"/>
          </w:tblCellMar>
        </w:tblPrEx>
        <w:trPr>
          <w:jc w:val="center"/>
        </w:trPr>
        <w:tc>
          <w:tcPr>
            <w:tcW w:w="70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rPr>
                <w:rFonts w:hint="default" w:ascii="宋体" w:hAnsi="宋体"/>
                <w:color w:val="auto"/>
                <w:szCs w:val="21"/>
                <w:highlight w:val="none"/>
              </w:rPr>
            </w:pPr>
            <w:r>
              <w:rPr>
                <w:rFonts w:hint="eastAsia" w:ascii="宋体" w:hAnsi="宋体"/>
                <w:color w:val="auto"/>
                <w:szCs w:val="21"/>
                <w:highlight w:val="none"/>
              </w:rPr>
              <w:t>26.1</w:t>
            </w:r>
          </w:p>
        </w:tc>
        <w:tc>
          <w:tcPr>
            <w:tcW w:w="2466"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color w:val="auto"/>
                <w:szCs w:val="21"/>
                <w:highlight w:val="none"/>
              </w:rPr>
            </w:pPr>
            <w:r>
              <w:rPr>
                <w:rFonts w:hint="eastAsia"/>
                <w:color w:val="auto"/>
                <w:szCs w:val="21"/>
                <w:highlight w:val="none"/>
              </w:rPr>
              <w:t>解释权</w:t>
            </w:r>
          </w:p>
        </w:tc>
        <w:tc>
          <w:tcPr>
            <w:tcW w:w="6605" w:type="dxa"/>
            <w:gridSpan w:val="2"/>
            <w:tcBorders>
              <w:top w:val="single" w:color="auto" w:sz="6" w:space="0"/>
              <w:left w:val="single" w:color="auto" w:sz="6" w:space="0"/>
              <w:bottom w:val="single" w:color="auto" w:sz="6" w:space="0"/>
              <w:right w:val="single" w:color="auto" w:sz="6" w:space="0"/>
            </w:tcBorders>
            <w:vAlign w:val="center"/>
          </w:tcPr>
          <w:p>
            <w:pPr>
              <w:pStyle w:val="44"/>
              <w:keepNext w:val="0"/>
              <w:keepLines w:val="0"/>
              <w:suppressLineNumbers w:val="0"/>
              <w:spacing w:before="0" w:beforeAutospacing="0" w:after="0" w:afterAutospacing="0" w:line="360" w:lineRule="exact"/>
              <w:ind w:left="0" w:right="0"/>
              <w:jc w:val="both"/>
              <w:rPr>
                <w:rFonts w:hint="default" w:ascii="Times New Roman" w:hAnsi="Times New Roman"/>
                <w:color w:val="auto"/>
                <w:kern w:val="2"/>
                <w:sz w:val="21"/>
                <w:szCs w:val="21"/>
                <w:highlight w:val="none"/>
              </w:rPr>
            </w:pPr>
            <w:r>
              <w:rPr>
                <w:rFonts w:hint="eastAsia"/>
                <w:color w:val="auto"/>
                <w:sz w:val="21"/>
                <w:szCs w:val="21"/>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文件否决性条款摘要、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CellMar>
            <w:top w:w="0" w:type="dxa"/>
            <w:left w:w="108" w:type="dxa"/>
            <w:bottom w:w="0" w:type="dxa"/>
            <w:right w:w="108" w:type="dxa"/>
          </w:tblCellMar>
        </w:tblPrEx>
        <w:trPr>
          <w:jc w:val="center"/>
        </w:trPr>
        <w:tc>
          <w:tcPr>
            <w:tcW w:w="70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宋体" w:hAnsi="宋体"/>
                <w:color w:val="auto"/>
                <w:szCs w:val="21"/>
                <w:highlight w:val="none"/>
              </w:rPr>
            </w:pPr>
            <w:r>
              <w:rPr>
                <w:rFonts w:hint="eastAsia" w:ascii="宋体" w:hAnsi="宋体"/>
                <w:color w:val="auto"/>
                <w:szCs w:val="21"/>
                <w:highlight w:val="none"/>
              </w:rPr>
              <w:t>26.2</w:t>
            </w:r>
          </w:p>
        </w:tc>
        <w:tc>
          <w:tcPr>
            <w:tcW w:w="2466"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color w:val="auto"/>
                <w:szCs w:val="21"/>
                <w:highlight w:val="none"/>
              </w:rPr>
            </w:pPr>
            <w:r>
              <w:rPr>
                <w:rFonts w:hint="eastAsia"/>
                <w:color w:val="auto"/>
                <w:szCs w:val="21"/>
                <w:highlight w:val="none"/>
              </w:rPr>
              <w:t>信用评价结果依据</w:t>
            </w:r>
          </w:p>
        </w:tc>
        <w:tc>
          <w:tcPr>
            <w:tcW w:w="6605" w:type="dxa"/>
            <w:gridSpan w:val="2"/>
            <w:tcBorders>
              <w:top w:val="single" w:color="auto" w:sz="6" w:space="0"/>
              <w:left w:val="single" w:color="auto" w:sz="6" w:space="0"/>
              <w:bottom w:val="single" w:color="auto" w:sz="6" w:space="0"/>
              <w:right w:val="single" w:color="auto" w:sz="6" w:space="0"/>
            </w:tcBorders>
            <w:vAlign w:val="center"/>
          </w:tcPr>
          <w:p>
            <w:pPr>
              <w:pStyle w:val="44"/>
              <w:keepNext w:val="0"/>
              <w:keepLines w:val="0"/>
              <w:suppressLineNumbers w:val="0"/>
              <w:spacing w:before="0" w:beforeAutospacing="0" w:after="0" w:afterAutospacing="0" w:line="360" w:lineRule="exact"/>
              <w:ind w:left="0" w:right="0"/>
              <w:jc w:val="both"/>
              <w:rPr>
                <w:rFonts w:hint="default"/>
                <w:color w:val="auto"/>
                <w:sz w:val="21"/>
                <w:szCs w:val="21"/>
                <w:highlight w:val="none"/>
              </w:rPr>
            </w:pPr>
            <w:r>
              <w:rPr>
                <w:rFonts w:hint="eastAsia"/>
                <w:color w:val="auto"/>
                <w:sz w:val="21"/>
                <w:szCs w:val="21"/>
                <w:highlight w:val="none"/>
              </w:rPr>
              <w:t>信用评价结果以开标当天凌晨一时江门市建筑业企业信用管理信息系统公布的结果为准，其余时间不变。</w:t>
            </w:r>
          </w:p>
        </w:tc>
      </w:tr>
      <w:tr>
        <w:tblPrEx>
          <w:tblCellMar>
            <w:top w:w="0" w:type="dxa"/>
            <w:left w:w="108" w:type="dxa"/>
            <w:bottom w:w="0" w:type="dxa"/>
            <w:right w:w="108" w:type="dxa"/>
          </w:tblCellMar>
        </w:tblPrEx>
        <w:trPr>
          <w:jc w:val="center"/>
        </w:trPr>
        <w:tc>
          <w:tcPr>
            <w:tcW w:w="70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rPr>
                <w:rFonts w:hint="default" w:ascii="宋体" w:hAnsi="宋体"/>
                <w:color w:val="auto"/>
                <w:szCs w:val="21"/>
                <w:highlight w:val="none"/>
              </w:rPr>
            </w:pPr>
            <w:r>
              <w:rPr>
                <w:rFonts w:hint="eastAsia" w:ascii="宋体" w:hAnsi="宋体"/>
                <w:color w:val="auto"/>
                <w:szCs w:val="21"/>
                <w:highlight w:val="none"/>
              </w:rPr>
              <w:t>26.3</w:t>
            </w:r>
          </w:p>
        </w:tc>
        <w:tc>
          <w:tcPr>
            <w:tcW w:w="2466"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color w:val="auto"/>
                <w:szCs w:val="21"/>
                <w:highlight w:val="none"/>
              </w:rPr>
            </w:pPr>
            <w:r>
              <w:rPr>
                <w:rFonts w:hint="eastAsia" w:ascii="宋体" w:hAnsi="宋体"/>
                <w:color w:val="auto"/>
                <w:spacing w:val="6"/>
                <w:szCs w:val="21"/>
                <w:highlight w:val="none"/>
              </w:rPr>
              <w:t>正式投标人定义</w:t>
            </w:r>
          </w:p>
        </w:tc>
        <w:tc>
          <w:tcPr>
            <w:tcW w:w="6605" w:type="dxa"/>
            <w:gridSpan w:val="2"/>
            <w:tcBorders>
              <w:top w:val="single" w:color="auto" w:sz="6" w:space="0"/>
              <w:left w:val="single" w:color="auto" w:sz="6" w:space="0"/>
              <w:bottom w:val="single" w:color="auto" w:sz="6" w:space="0"/>
              <w:right w:val="single" w:color="auto" w:sz="6" w:space="0"/>
            </w:tcBorders>
            <w:vAlign w:val="center"/>
          </w:tcPr>
          <w:p>
            <w:pPr>
              <w:pStyle w:val="44"/>
              <w:keepNext w:val="0"/>
              <w:keepLines w:val="0"/>
              <w:suppressLineNumbers w:val="0"/>
              <w:spacing w:before="0" w:beforeAutospacing="0" w:after="0" w:afterAutospacing="0" w:line="360" w:lineRule="exact"/>
              <w:ind w:left="0" w:right="0"/>
              <w:jc w:val="both"/>
              <w:rPr>
                <w:rFonts w:hint="default"/>
                <w:color w:val="auto"/>
                <w:sz w:val="21"/>
                <w:szCs w:val="21"/>
                <w:highlight w:val="none"/>
              </w:rPr>
            </w:pPr>
            <w:r>
              <w:rPr>
                <w:rFonts w:hint="eastAsia"/>
                <w:color w:val="auto"/>
                <w:spacing w:val="6"/>
                <w:sz w:val="21"/>
                <w:szCs w:val="21"/>
                <w:highlight w:val="none"/>
              </w:rPr>
              <w:t>正式投标人是指不存在“投标文件否决性条款摘要”第一部分第一项“判定投标文件不予受理的情形”规定的情形的投标人。</w:t>
            </w:r>
          </w:p>
        </w:tc>
      </w:tr>
      <w:tr>
        <w:tblPrEx>
          <w:tblCellMar>
            <w:top w:w="0" w:type="dxa"/>
            <w:left w:w="108" w:type="dxa"/>
            <w:bottom w:w="0" w:type="dxa"/>
            <w:right w:w="108" w:type="dxa"/>
          </w:tblCellMar>
        </w:tblPrEx>
        <w:trPr>
          <w:jc w:val="center"/>
        </w:trPr>
        <w:tc>
          <w:tcPr>
            <w:tcW w:w="70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rPr>
                <w:rFonts w:hint="default" w:ascii="宋体" w:hAnsi="宋体"/>
                <w:color w:val="auto"/>
                <w:szCs w:val="21"/>
                <w:highlight w:val="none"/>
              </w:rPr>
            </w:pPr>
            <w:r>
              <w:rPr>
                <w:rFonts w:hint="eastAsia" w:ascii="宋体" w:hAnsi="宋体"/>
                <w:color w:val="auto"/>
                <w:szCs w:val="21"/>
                <w:highlight w:val="none"/>
              </w:rPr>
              <w:t>26.4</w:t>
            </w:r>
          </w:p>
        </w:tc>
        <w:tc>
          <w:tcPr>
            <w:tcW w:w="2466"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color w:val="auto"/>
                <w:szCs w:val="21"/>
                <w:highlight w:val="none"/>
              </w:rPr>
            </w:pPr>
            <w:r>
              <w:rPr>
                <w:rFonts w:hint="eastAsia" w:ascii="宋体" w:hAnsi="宋体"/>
                <w:color w:val="auto"/>
                <w:spacing w:val="6"/>
                <w:szCs w:val="21"/>
                <w:highlight w:val="none"/>
              </w:rPr>
              <w:t>设计人定义</w:t>
            </w:r>
          </w:p>
        </w:tc>
        <w:tc>
          <w:tcPr>
            <w:tcW w:w="6605"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380" w:lineRule="exact"/>
              <w:ind w:left="0" w:right="0"/>
              <w:rPr>
                <w:rFonts w:hint="default" w:ascii="宋体" w:hAnsi="宋体" w:cs="宋体"/>
                <w:color w:val="auto"/>
                <w:szCs w:val="21"/>
                <w:highlight w:val="none"/>
                <w:u w:val="single"/>
              </w:rPr>
            </w:pPr>
            <w:r>
              <w:rPr>
                <w:rFonts w:hint="eastAsia" w:ascii="宋体" w:hAnsi="宋体" w:cs="宋体"/>
                <w:color w:val="auto"/>
                <w:szCs w:val="21"/>
                <w:highlight w:val="none"/>
                <w:lang w:val="zh-CN"/>
              </w:rPr>
              <w:t>设计人指：</w:t>
            </w:r>
            <w:r>
              <w:rPr>
                <w:rFonts w:hint="eastAsia" w:ascii="宋体" w:hAnsi="宋体" w:cs="宋体"/>
                <w:color w:val="auto"/>
                <w:szCs w:val="21"/>
                <w:highlight w:val="none"/>
              </w:rPr>
              <w:t>/</w:t>
            </w:r>
          </w:p>
        </w:tc>
      </w:tr>
      <w:tr>
        <w:tblPrEx>
          <w:tblCellMar>
            <w:top w:w="0" w:type="dxa"/>
            <w:left w:w="108" w:type="dxa"/>
            <w:bottom w:w="0" w:type="dxa"/>
            <w:right w:w="108" w:type="dxa"/>
          </w:tblCellMar>
        </w:tblPrEx>
        <w:trPr>
          <w:jc w:val="center"/>
        </w:trPr>
        <w:tc>
          <w:tcPr>
            <w:tcW w:w="70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rPr>
                <w:rFonts w:hint="default" w:ascii="宋体" w:hAnsi="宋体"/>
                <w:color w:val="auto"/>
                <w:szCs w:val="21"/>
                <w:highlight w:val="none"/>
              </w:rPr>
            </w:pPr>
            <w:r>
              <w:rPr>
                <w:rFonts w:hint="eastAsia" w:ascii="宋体" w:hAnsi="宋体"/>
                <w:color w:val="auto"/>
                <w:szCs w:val="21"/>
                <w:highlight w:val="none"/>
              </w:rPr>
              <w:t>26.5</w:t>
            </w:r>
          </w:p>
        </w:tc>
        <w:tc>
          <w:tcPr>
            <w:tcW w:w="2466"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jc w:val="center"/>
              <w:rPr>
                <w:rFonts w:hint="default"/>
                <w:color w:val="auto"/>
                <w:szCs w:val="21"/>
                <w:highlight w:val="none"/>
              </w:rPr>
            </w:pPr>
            <w:r>
              <w:rPr>
                <w:rFonts w:hint="eastAsia"/>
                <w:color w:val="auto"/>
                <w:szCs w:val="21"/>
                <w:highlight w:val="none"/>
              </w:rPr>
              <w:t>本项目选用条款</w:t>
            </w:r>
          </w:p>
        </w:tc>
        <w:tc>
          <w:tcPr>
            <w:tcW w:w="6605" w:type="dxa"/>
            <w:gridSpan w:val="2"/>
            <w:tcBorders>
              <w:top w:val="single" w:color="auto" w:sz="6" w:space="0"/>
              <w:left w:val="single" w:color="auto" w:sz="6" w:space="0"/>
              <w:bottom w:val="single" w:color="auto" w:sz="6" w:space="0"/>
              <w:right w:val="single" w:color="auto" w:sz="6" w:space="0"/>
            </w:tcBorders>
            <w:vAlign w:val="center"/>
          </w:tcPr>
          <w:p>
            <w:pPr>
              <w:pStyle w:val="44"/>
              <w:keepNext w:val="0"/>
              <w:keepLines w:val="0"/>
              <w:suppressLineNumbers w:val="0"/>
              <w:spacing w:before="0" w:beforeAutospacing="0" w:after="0" w:afterAutospacing="0" w:line="360" w:lineRule="exact"/>
              <w:ind w:left="0" w:right="0"/>
              <w:jc w:val="both"/>
              <w:rPr>
                <w:rFonts w:hint="default"/>
                <w:color w:val="auto"/>
                <w:sz w:val="21"/>
                <w:szCs w:val="21"/>
                <w:highlight w:val="none"/>
              </w:rPr>
            </w:pPr>
            <w:r>
              <w:rPr>
                <w:rFonts w:hint="eastAsia"/>
                <w:color w:val="auto"/>
                <w:sz w:val="21"/>
                <w:szCs w:val="21"/>
                <w:highlight w:val="none"/>
              </w:rPr>
              <w:t>招标文件的选用项中，在条款前的“□”有“</w:t>
            </w:r>
            <w:r>
              <w:rPr>
                <w:rFonts w:hint="default"/>
                <w:color w:val="auto"/>
                <w:sz w:val="21"/>
                <w:szCs w:val="21"/>
                <w:highlight w:val="none"/>
              </w:rPr>
              <w:sym w:font="Wingdings 2" w:char="0050"/>
            </w:r>
            <w:r>
              <w:rPr>
                <w:rFonts w:hint="eastAsia"/>
                <w:color w:val="auto"/>
                <w:sz w:val="21"/>
                <w:szCs w:val="21"/>
                <w:highlight w:val="none"/>
              </w:rPr>
              <w:t>”的为本项目选用条款，没有“</w:t>
            </w:r>
            <w:r>
              <w:rPr>
                <w:rFonts w:hint="default"/>
                <w:color w:val="auto"/>
                <w:sz w:val="21"/>
                <w:szCs w:val="21"/>
                <w:highlight w:val="none"/>
              </w:rPr>
              <w:sym w:font="Wingdings 2" w:char="0050"/>
            </w:r>
            <w:r>
              <w:rPr>
                <w:rFonts w:hint="eastAsia"/>
                <w:color w:val="auto"/>
                <w:sz w:val="21"/>
                <w:szCs w:val="21"/>
                <w:highlight w:val="none"/>
              </w:rPr>
              <w:t>”的为本项目不选用条款。</w:t>
            </w:r>
          </w:p>
        </w:tc>
      </w:tr>
      <w:tr>
        <w:tblPrEx>
          <w:tblCellMar>
            <w:top w:w="0" w:type="dxa"/>
            <w:left w:w="108" w:type="dxa"/>
            <w:bottom w:w="0" w:type="dxa"/>
            <w:right w:w="108" w:type="dxa"/>
          </w:tblCellMar>
        </w:tblPrEx>
        <w:trPr>
          <w:jc w:val="center"/>
        </w:trPr>
        <w:tc>
          <w:tcPr>
            <w:tcW w:w="70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rPr>
                <w:rFonts w:hint="default" w:ascii="宋体" w:hAnsi="宋体"/>
                <w:color w:val="auto"/>
                <w:szCs w:val="21"/>
                <w:highlight w:val="none"/>
              </w:rPr>
            </w:pPr>
            <w:r>
              <w:rPr>
                <w:rFonts w:hint="eastAsia" w:ascii="宋体" w:hAnsi="宋体"/>
                <w:color w:val="auto"/>
                <w:szCs w:val="21"/>
                <w:highlight w:val="none"/>
              </w:rPr>
              <w:t>26.6</w:t>
            </w:r>
          </w:p>
        </w:tc>
        <w:tc>
          <w:tcPr>
            <w:tcW w:w="2466" w:type="dxa"/>
            <w:gridSpan w:val="2"/>
            <w:tcBorders>
              <w:top w:val="single" w:color="auto" w:sz="6" w:space="0"/>
              <w:left w:val="single" w:color="auto" w:sz="6" w:space="0"/>
              <w:bottom w:val="single" w:color="auto" w:sz="6" w:space="0"/>
              <w:right w:val="single" w:color="auto" w:sz="6" w:space="0"/>
            </w:tcBorders>
            <w:vAlign w:val="center"/>
          </w:tcPr>
          <w:p>
            <w:pPr>
              <w:pStyle w:val="44"/>
              <w:keepNext w:val="0"/>
              <w:keepLines w:val="0"/>
              <w:suppressLineNumbers w:val="0"/>
              <w:spacing w:before="0" w:beforeAutospacing="0" w:after="0" w:afterAutospacing="0" w:line="360" w:lineRule="exact"/>
              <w:ind w:left="0" w:right="0"/>
              <w:jc w:val="both"/>
              <w:rPr>
                <w:rFonts w:hint="default"/>
                <w:color w:val="auto"/>
                <w:sz w:val="21"/>
                <w:szCs w:val="21"/>
                <w:highlight w:val="none"/>
              </w:rPr>
            </w:pPr>
            <w:r>
              <w:rPr>
                <w:rFonts w:hint="eastAsia"/>
                <w:color w:val="auto"/>
                <w:sz w:val="21"/>
                <w:szCs w:val="21"/>
                <w:highlight w:val="none"/>
              </w:rPr>
              <w:t>履约保证金</w:t>
            </w:r>
          </w:p>
        </w:tc>
        <w:tc>
          <w:tcPr>
            <w:tcW w:w="6605" w:type="dxa"/>
            <w:gridSpan w:val="2"/>
            <w:tcBorders>
              <w:top w:val="single" w:color="auto" w:sz="6" w:space="0"/>
              <w:left w:val="single" w:color="auto" w:sz="6" w:space="0"/>
              <w:bottom w:val="single" w:color="auto" w:sz="6" w:space="0"/>
              <w:right w:val="single" w:color="auto" w:sz="6" w:space="0"/>
            </w:tcBorders>
            <w:vAlign w:val="center"/>
          </w:tcPr>
          <w:p>
            <w:pPr>
              <w:pStyle w:val="44"/>
              <w:keepNext w:val="0"/>
              <w:keepLines w:val="0"/>
              <w:suppressLineNumbers w:val="0"/>
              <w:spacing w:before="0" w:beforeAutospacing="0" w:after="0" w:afterAutospacing="0" w:line="360" w:lineRule="exact"/>
              <w:ind w:left="0" w:right="0"/>
              <w:jc w:val="both"/>
              <w:rPr>
                <w:rFonts w:hint="default"/>
                <w:color w:val="auto"/>
                <w:sz w:val="21"/>
                <w:szCs w:val="21"/>
                <w:highlight w:val="none"/>
              </w:rPr>
            </w:pPr>
            <w:r>
              <w:rPr>
                <w:rFonts w:hint="eastAsia"/>
                <w:color w:val="auto"/>
                <w:sz w:val="21"/>
                <w:szCs w:val="21"/>
                <w:highlight w:val="none"/>
              </w:rPr>
              <w:t>是否要求中标人提交履约保证金：</w:t>
            </w:r>
          </w:p>
          <w:p>
            <w:pPr>
              <w:pStyle w:val="44"/>
              <w:keepNext w:val="0"/>
              <w:keepLines w:val="0"/>
              <w:suppressLineNumbers w:val="0"/>
              <w:spacing w:before="0" w:beforeAutospacing="0" w:after="0" w:afterAutospacing="0" w:line="360" w:lineRule="exact"/>
              <w:ind w:left="0" w:right="0"/>
              <w:jc w:val="both"/>
              <w:rPr>
                <w:rFonts w:hint="default"/>
                <w:color w:val="auto"/>
                <w:sz w:val="21"/>
                <w:szCs w:val="21"/>
                <w:highlight w:val="none"/>
              </w:rPr>
            </w:pPr>
            <w:r>
              <w:rPr>
                <w:rFonts w:hint="default" w:ascii="Segoe UI Symbol" w:hAnsi="Segoe UI Symbol" w:cs="Segoe UI Symbol"/>
                <w:b/>
                <w:bCs/>
                <w:color w:val="auto"/>
                <w:sz w:val="21"/>
                <w:szCs w:val="21"/>
                <w:highlight w:val="none"/>
              </w:rPr>
              <w:t>☑</w:t>
            </w:r>
            <w:r>
              <w:rPr>
                <w:rFonts w:hint="eastAsia"/>
                <w:color w:val="auto"/>
                <w:sz w:val="21"/>
                <w:szCs w:val="21"/>
                <w:highlight w:val="none"/>
              </w:rPr>
              <w:t>要求</w:t>
            </w:r>
          </w:p>
          <w:p>
            <w:pPr>
              <w:pStyle w:val="44"/>
              <w:keepNext w:val="0"/>
              <w:keepLines w:val="0"/>
              <w:suppressLineNumbers w:val="0"/>
              <w:spacing w:before="0" w:beforeAutospacing="0" w:after="0" w:afterAutospacing="0" w:line="360" w:lineRule="exact"/>
              <w:ind w:left="0" w:right="0"/>
              <w:jc w:val="both"/>
              <w:rPr>
                <w:rFonts w:hint="default"/>
                <w:color w:val="auto"/>
                <w:sz w:val="21"/>
                <w:szCs w:val="21"/>
                <w:highlight w:val="none"/>
              </w:rPr>
            </w:pPr>
            <w:r>
              <w:rPr>
                <w:rFonts w:hint="eastAsia"/>
                <w:color w:val="auto"/>
                <w:sz w:val="21"/>
                <w:szCs w:val="21"/>
                <w:highlight w:val="none"/>
              </w:rPr>
              <w:t>履约担保的形式：银行转账、银行保函或工程保证保险。</w:t>
            </w:r>
          </w:p>
          <w:p>
            <w:pPr>
              <w:pStyle w:val="44"/>
              <w:keepNext w:val="0"/>
              <w:keepLines w:val="0"/>
              <w:suppressLineNumbers w:val="0"/>
              <w:spacing w:before="0" w:beforeAutospacing="0" w:after="0" w:afterAutospacing="0" w:line="360" w:lineRule="exact"/>
              <w:ind w:left="0" w:right="0"/>
              <w:jc w:val="both"/>
              <w:rPr>
                <w:rFonts w:hint="default"/>
                <w:color w:val="auto"/>
                <w:sz w:val="21"/>
                <w:szCs w:val="21"/>
                <w:highlight w:val="none"/>
              </w:rPr>
            </w:pPr>
            <w:r>
              <w:rPr>
                <w:rFonts w:hint="eastAsia"/>
                <w:color w:val="auto"/>
                <w:sz w:val="21"/>
                <w:szCs w:val="21"/>
                <w:highlight w:val="none"/>
              </w:rPr>
              <w:t>履约保证金的金额：监理服务合同签约酬金的 5%</w:t>
            </w:r>
          </w:p>
          <w:p>
            <w:pPr>
              <w:pStyle w:val="44"/>
              <w:keepNext w:val="0"/>
              <w:keepLines w:val="0"/>
              <w:suppressLineNumbers w:val="0"/>
              <w:spacing w:before="0" w:beforeAutospacing="0" w:after="0" w:afterAutospacing="0" w:line="360" w:lineRule="exact"/>
              <w:ind w:left="0" w:right="0"/>
              <w:jc w:val="both"/>
              <w:rPr>
                <w:rFonts w:hint="default"/>
                <w:color w:val="auto"/>
                <w:sz w:val="21"/>
                <w:szCs w:val="21"/>
                <w:highlight w:val="none"/>
              </w:rPr>
            </w:pPr>
            <w:r>
              <w:rPr>
                <w:rFonts w:hint="eastAsia"/>
                <w:color w:val="auto"/>
                <w:sz w:val="21"/>
                <w:szCs w:val="21"/>
                <w:highlight w:val="none"/>
              </w:rPr>
              <w:t>履约担保缴纳时间：合同签订后十日内</w:t>
            </w:r>
          </w:p>
          <w:p>
            <w:pPr>
              <w:pStyle w:val="44"/>
              <w:keepNext w:val="0"/>
              <w:keepLines w:val="0"/>
              <w:suppressLineNumbers w:val="0"/>
              <w:spacing w:before="0" w:beforeAutospacing="0" w:after="0" w:afterAutospacing="0" w:line="360" w:lineRule="exact"/>
              <w:ind w:left="0" w:right="0"/>
              <w:jc w:val="both"/>
              <w:rPr>
                <w:rFonts w:hint="default"/>
                <w:color w:val="auto"/>
                <w:sz w:val="21"/>
                <w:szCs w:val="21"/>
                <w:highlight w:val="none"/>
              </w:rPr>
            </w:pPr>
            <w:r>
              <w:rPr>
                <w:rFonts w:hint="eastAsia"/>
                <w:color w:val="auto"/>
                <w:sz w:val="21"/>
                <w:szCs w:val="21"/>
                <w:highlight w:val="none"/>
              </w:rPr>
              <w:t>开户银行：广东台山农村商业银行股份有限公司总行营业部</w:t>
            </w:r>
          </w:p>
          <w:p>
            <w:pPr>
              <w:pStyle w:val="44"/>
              <w:keepNext w:val="0"/>
              <w:keepLines w:val="0"/>
              <w:suppressLineNumbers w:val="0"/>
              <w:spacing w:before="0" w:beforeAutospacing="0" w:after="0" w:afterAutospacing="0" w:line="360" w:lineRule="exact"/>
              <w:ind w:left="0" w:right="0"/>
              <w:jc w:val="both"/>
              <w:rPr>
                <w:rFonts w:hint="default"/>
                <w:color w:val="auto"/>
                <w:sz w:val="21"/>
                <w:szCs w:val="21"/>
                <w:highlight w:val="none"/>
              </w:rPr>
            </w:pPr>
            <w:r>
              <w:rPr>
                <w:rFonts w:hint="eastAsia"/>
                <w:color w:val="auto"/>
                <w:sz w:val="21"/>
                <w:szCs w:val="21"/>
                <w:highlight w:val="none"/>
              </w:rPr>
              <w:t>账 户：台山市大湾物流园开发有限公司</w:t>
            </w:r>
          </w:p>
          <w:p>
            <w:pPr>
              <w:pStyle w:val="44"/>
              <w:keepNext w:val="0"/>
              <w:keepLines w:val="0"/>
              <w:suppressLineNumbers w:val="0"/>
              <w:spacing w:before="0" w:beforeAutospacing="0" w:after="0" w:afterAutospacing="0" w:line="360" w:lineRule="exact"/>
              <w:ind w:left="0" w:right="0"/>
              <w:jc w:val="both"/>
              <w:rPr>
                <w:rFonts w:hint="default"/>
                <w:color w:val="auto"/>
                <w:sz w:val="21"/>
                <w:szCs w:val="21"/>
                <w:highlight w:val="none"/>
              </w:rPr>
            </w:pPr>
            <w:r>
              <w:rPr>
                <w:rFonts w:hint="eastAsia"/>
                <w:color w:val="auto"/>
                <w:sz w:val="21"/>
                <w:szCs w:val="21"/>
                <w:highlight w:val="none"/>
              </w:rPr>
              <w:t>账 号：80020000014584311</w:t>
            </w:r>
          </w:p>
          <w:p>
            <w:pPr>
              <w:pStyle w:val="44"/>
              <w:keepNext w:val="0"/>
              <w:keepLines w:val="0"/>
              <w:suppressLineNumbers w:val="0"/>
              <w:spacing w:before="0" w:beforeAutospacing="0" w:after="0" w:afterAutospacing="0" w:line="360" w:lineRule="exact"/>
              <w:ind w:left="0" w:right="0"/>
              <w:jc w:val="both"/>
              <w:rPr>
                <w:rFonts w:hint="default"/>
                <w:color w:val="auto"/>
                <w:sz w:val="21"/>
                <w:szCs w:val="21"/>
                <w:highlight w:val="none"/>
              </w:rPr>
            </w:pPr>
            <w:r>
              <w:rPr>
                <w:rFonts w:hint="eastAsia"/>
                <w:color w:val="auto"/>
                <w:sz w:val="21"/>
                <w:szCs w:val="21"/>
                <w:highlight w:val="none"/>
              </w:rPr>
              <w:t>注：1、银行保函必须为中国境内的中国银行、建设银行、工商银行、农业银行或广东省行政区域内具有办理保函业务资格的国有控股担保公司或其他商业银行提供。</w:t>
            </w:r>
          </w:p>
          <w:p>
            <w:pPr>
              <w:pStyle w:val="44"/>
              <w:keepNext w:val="0"/>
              <w:keepLines w:val="0"/>
              <w:suppressLineNumbers w:val="0"/>
              <w:spacing w:before="0" w:beforeAutospacing="0" w:after="0" w:afterAutospacing="0" w:line="360" w:lineRule="exact"/>
              <w:ind w:left="0" w:right="0"/>
              <w:jc w:val="both"/>
              <w:rPr>
                <w:rFonts w:hint="default"/>
                <w:color w:val="auto"/>
                <w:sz w:val="21"/>
                <w:szCs w:val="21"/>
                <w:highlight w:val="none"/>
              </w:rPr>
            </w:pPr>
            <w:r>
              <w:rPr>
                <w:rFonts w:hint="eastAsia"/>
                <w:color w:val="auto"/>
                <w:sz w:val="21"/>
                <w:szCs w:val="21"/>
                <w:highlight w:val="none"/>
              </w:rPr>
              <w:t>2、招标人要求中标人提供履约保证金或其他形式履约担保的，</w:t>
            </w:r>
          </w:p>
          <w:p>
            <w:pPr>
              <w:pStyle w:val="44"/>
              <w:keepNext w:val="0"/>
              <w:keepLines w:val="0"/>
              <w:suppressLineNumbers w:val="0"/>
              <w:spacing w:before="0" w:beforeAutospacing="0" w:after="0" w:afterAutospacing="0" w:line="360" w:lineRule="exact"/>
              <w:ind w:left="0" w:right="0"/>
              <w:jc w:val="both"/>
              <w:rPr>
                <w:rFonts w:hint="default"/>
                <w:color w:val="auto"/>
                <w:sz w:val="21"/>
                <w:szCs w:val="21"/>
                <w:highlight w:val="none"/>
              </w:rPr>
            </w:pPr>
            <w:r>
              <w:rPr>
                <w:rFonts w:hint="eastAsia"/>
                <w:color w:val="auto"/>
                <w:sz w:val="21"/>
                <w:szCs w:val="21"/>
                <w:highlight w:val="none"/>
              </w:rPr>
              <w:t>招标人应当同时向中标人提供工程款支付担保。</w:t>
            </w:r>
          </w:p>
          <w:p>
            <w:pPr>
              <w:pStyle w:val="44"/>
              <w:keepNext w:val="0"/>
              <w:keepLines w:val="0"/>
              <w:suppressLineNumbers w:val="0"/>
              <w:spacing w:before="0" w:beforeAutospacing="0" w:after="0" w:afterAutospacing="0" w:line="360" w:lineRule="exact"/>
              <w:ind w:left="0" w:right="0"/>
              <w:jc w:val="both"/>
              <w:rPr>
                <w:rFonts w:hint="default"/>
                <w:color w:val="auto"/>
                <w:sz w:val="21"/>
                <w:szCs w:val="21"/>
                <w:highlight w:val="none"/>
              </w:rPr>
            </w:pPr>
            <w:r>
              <w:rPr>
                <w:rFonts w:hint="eastAsia"/>
                <w:color w:val="auto"/>
                <w:sz w:val="21"/>
                <w:szCs w:val="21"/>
                <w:highlight w:val="none"/>
              </w:rPr>
              <w:t>□不要求</w:t>
            </w:r>
          </w:p>
        </w:tc>
      </w:tr>
      <w:tr>
        <w:tblPrEx>
          <w:tblCellMar>
            <w:top w:w="0" w:type="dxa"/>
            <w:left w:w="108" w:type="dxa"/>
            <w:bottom w:w="0" w:type="dxa"/>
            <w:right w:w="108" w:type="dxa"/>
          </w:tblCellMar>
        </w:tblPrEx>
        <w:trPr>
          <w:jc w:val="center"/>
        </w:trPr>
        <w:tc>
          <w:tcPr>
            <w:tcW w:w="70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rPr>
                <w:rFonts w:hint="default" w:ascii="宋体" w:hAnsi="宋体"/>
                <w:color w:val="auto"/>
                <w:szCs w:val="21"/>
              </w:rPr>
            </w:pPr>
            <w:r>
              <w:rPr>
                <w:rFonts w:hint="eastAsia" w:ascii="宋体" w:hAnsi="宋体"/>
                <w:color w:val="auto"/>
                <w:szCs w:val="21"/>
              </w:rPr>
              <w:t>26.7</w:t>
            </w:r>
          </w:p>
        </w:tc>
        <w:tc>
          <w:tcPr>
            <w:tcW w:w="2466" w:type="dxa"/>
            <w:gridSpan w:val="2"/>
            <w:tcBorders>
              <w:top w:val="single" w:color="auto" w:sz="6" w:space="0"/>
              <w:left w:val="single" w:color="auto" w:sz="6" w:space="0"/>
              <w:bottom w:val="single" w:color="auto" w:sz="6" w:space="0"/>
              <w:right w:val="single" w:color="auto" w:sz="6" w:space="0"/>
            </w:tcBorders>
            <w:vAlign w:val="center"/>
          </w:tcPr>
          <w:p>
            <w:pPr>
              <w:pStyle w:val="44"/>
              <w:keepNext w:val="0"/>
              <w:keepLines w:val="0"/>
              <w:suppressLineNumbers w:val="0"/>
              <w:spacing w:before="0" w:beforeAutospacing="0" w:after="0" w:afterAutospacing="0" w:line="360" w:lineRule="exact"/>
              <w:ind w:left="0" w:right="0"/>
              <w:jc w:val="both"/>
              <w:rPr>
                <w:rFonts w:hint="default"/>
                <w:color w:val="auto"/>
                <w:sz w:val="21"/>
                <w:szCs w:val="21"/>
              </w:rPr>
            </w:pPr>
            <w:r>
              <w:rPr>
                <w:rFonts w:hint="eastAsia"/>
                <w:color w:val="auto"/>
                <w:sz w:val="21"/>
                <w:szCs w:val="21"/>
              </w:rPr>
              <w:t>交易服务费</w:t>
            </w:r>
          </w:p>
        </w:tc>
        <w:tc>
          <w:tcPr>
            <w:tcW w:w="6605" w:type="dxa"/>
            <w:gridSpan w:val="2"/>
            <w:tcBorders>
              <w:top w:val="single" w:color="auto" w:sz="6" w:space="0"/>
              <w:left w:val="single" w:color="auto" w:sz="6" w:space="0"/>
              <w:bottom w:val="single" w:color="auto" w:sz="6" w:space="0"/>
              <w:right w:val="single" w:color="auto" w:sz="6" w:space="0"/>
            </w:tcBorders>
            <w:vAlign w:val="center"/>
          </w:tcPr>
          <w:p>
            <w:pPr>
              <w:pStyle w:val="44"/>
              <w:keepNext w:val="0"/>
              <w:keepLines w:val="0"/>
              <w:suppressLineNumbers w:val="0"/>
              <w:spacing w:before="0" w:beforeAutospacing="0" w:after="0" w:afterAutospacing="0" w:line="360" w:lineRule="exact"/>
              <w:ind w:left="0" w:right="0"/>
              <w:jc w:val="both"/>
              <w:rPr>
                <w:rFonts w:hint="default"/>
                <w:color w:val="auto"/>
                <w:sz w:val="21"/>
                <w:szCs w:val="21"/>
              </w:rPr>
            </w:pPr>
            <w:r>
              <w:rPr>
                <w:rFonts w:hint="eastAsia"/>
                <w:color w:val="auto"/>
                <w:sz w:val="21"/>
                <w:szCs w:val="21"/>
              </w:rPr>
              <w:t>中标人须支付本项目交易服务费，费用按广州公共资源交易中心规定。</w:t>
            </w:r>
          </w:p>
          <w:p>
            <w:pPr>
              <w:pStyle w:val="44"/>
              <w:keepNext w:val="0"/>
              <w:keepLines w:val="0"/>
              <w:suppressLineNumbers w:val="0"/>
              <w:spacing w:before="0" w:beforeAutospacing="0" w:after="0" w:afterAutospacing="0" w:line="360" w:lineRule="exact"/>
              <w:ind w:left="0" w:right="0"/>
              <w:jc w:val="both"/>
              <w:rPr>
                <w:rFonts w:hint="default"/>
                <w:color w:val="auto"/>
                <w:sz w:val="21"/>
                <w:szCs w:val="21"/>
              </w:rPr>
            </w:pPr>
            <w:r>
              <w:rPr>
                <w:rFonts w:hint="eastAsia"/>
                <w:color w:val="auto"/>
                <w:sz w:val="21"/>
                <w:szCs w:val="21"/>
              </w:rPr>
              <w:t>交易服务费交至如下账户：</w:t>
            </w:r>
          </w:p>
          <w:p>
            <w:pPr>
              <w:pStyle w:val="44"/>
              <w:keepNext w:val="0"/>
              <w:keepLines w:val="0"/>
              <w:suppressLineNumbers w:val="0"/>
              <w:spacing w:before="0" w:beforeAutospacing="0" w:after="0" w:afterAutospacing="0" w:line="360" w:lineRule="exact"/>
              <w:ind w:left="0" w:right="0"/>
              <w:jc w:val="both"/>
              <w:rPr>
                <w:rFonts w:hint="default"/>
                <w:color w:val="auto"/>
                <w:sz w:val="21"/>
                <w:szCs w:val="21"/>
              </w:rPr>
            </w:pPr>
            <w:r>
              <w:rPr>
                <w:rFonts w:hint="eastAsia"/>
                <w:color w:val="auto"/>
                <w:sz w:val="21"/>
                <w:szCs w:val="21"/>
              </w:rPr>
              <w:t>收款单位：广州交易集团有限公司</w:t>
            </w:r>
          </w:p>
          <w:p>
            <w:pPr>
              <w:pStyle w:val="44"/>
              <w:keepNext w:val="0"/>
              <w:keepLines w:val="0"/>
              <w:suppressLineNumbers w:val="0"/>
              <w:spacing w:before="0" w:beforeAutospacing="0" w:after="0" w:afterAutospacing="0" w:line="360" w:lineRule="exact"/>
              <w:ind w:left="0" w:right="0"/>
              <w:jc w:val="both"/>
              <w:rPr>
                <w:rFonts w:hint="default"/>
                <w:color w:val="auto"/>
                <w:sz w:val="21"/>
                <w:szCs w:val="21"/>
              </w:rPr>
            </w:pPr>
            <w:r>
              <w:rPr>
                <w:rFonts w:hint="eastAsia"/>
                <w:color w:val="auto"/>
                <w:sz w:val="21"/>
                <w:szCs w:val="21"/>
              </w:rPr>
              <w:t>银行账号：44001583404059112025</w:t>
            </w:r>
          </w:p>
          <w:p>
            <w:pPr>
              <w:pStyle w:val="44"/>
              <w:keepNext w:val="0"/>
              <w:keepLines w:val="0"/>
              <w:suppressLineNumbers w:val="0"/>
              <w:spacing w:before="0" w:beforeAutospacing="0" w:after="0" w:afterAutospacing="0" w:line="360" w:lineRule="exact"/>
              <w:ind w:left="0" w:right="0"/>
              <w:jc w:val="both"/>
              <w:rPr>
                <w:rFonts w:hint="default"/>
                <w:color w:val="auto"/>
                <w:sz w:val="21"/>
                <w:szCs w:val="21"/>
              </w:rPr>
            </w:pPr>
            <w:r>
              <w:rPr>
                <w:rFonts w:hint="eastAsia"/>
                <w:color w:val="auto"/>
                <w:sz w:val="21"/>
                <w:szCs w:val="21"/>
              </w:rPr>
              <w:t>开户银行：中国建设银行广州市天润路支行</w:t>
            </w:r>
          </w:p>
        </w:tc>
      </w:tr>
      <w:tr>
        <w:tblPrEx>
          <w:tblCellMar>
            <w:top w:w="0" w:type="dxa"/>
            <w:left w:w="108" w:type="dxa"/>
            <w:bottom w:w="0" w:type="dxa"/>
            <w:right w:w="108" w:type="dxa"/>
          </w:tblCellMar>
        </w:tblPrEx>
        <w:trPr>
          <w:jc w:val="center"/>
        </w:trPr>
        <w:tc>
          <w:tcPr>
            <w:tcW w:w="70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88" w:lineRule="auto"/>
              <w:ind w:left="0" w:right="0"/>
              <w:rPr>
                <w:rFonts w:hint="default" w:ascii="宋体" w:hAnsi="宋体"/>
                <w:color w:val="auto"/>
                <w:szCs w:val="21"/>
              </w:rPr>
            </w:pPr>
            <w:r>
              <w:rPr>
                <w:rFonts w:hint="eastAsia" w:ascii="宋体" w:hAnsi="宋体"/>
                <w:color w:val="auto"/>
                <w:szCs w:val="21"/>
              </w:rPr>
              <w:t>26.8</w:t>
            </w:r>
          </w:p>
        </w:tc>
        <w:tc>
          <w:tcPr>
            <w:tcW w:w="2466" w:type="dxa"/>
            <w:gridSpan w:val="2"/>
            <w:tcBorders>
              <w:top w:val="single" w:color="auto" w:sz="6" w:space="0"/>
              <w:left w:val="single" w:color="auto" w:sz="6" w:space="0"/>
              <w:bottom w:val="single" w:color="auto" w:sz="6" w:space="0"/>
              <w:right w:val="single" w:color="auto" w:sz="6" w:space="0"/>
            </w:tcBorders>
            <w:vAlign w:val="center"/>
          </w:tcPr>
          <w:p>
            <w:pPr>
              <w:pStyle w:val="44"/>
              <w:keepNext w:val="0"/>
              <w:keepLines w:val="0"/>
              <w:suppressLineNumbers w:val="0"/>
              <w:spacing w:before="0" w:beforeAutospacing="0" w:after="0" w:afterAutospacing="0" w:line="360" w:lineRule="exact"/>
              <w:ind w:left="0" w:right="0"/>
              <w:jc w:val="both"/>
              <w:rPr>
                <w:rFonts w:hint="default"/>
                <w:color w:val="auto"/>
                <w:sz w:val="21"/>
                <w:szCs w:val="21"/>
              </w:rPr>
            </w:pPr>
            <w:r>
              <w:rPr>
                <w:rFonts w:hint="eastAsia"/>
                <w:color w:val="auto"/>
                <w:sz w:val="21"/>
                <w:szCs w:val="21"/>
              </w:rPr>
              <w:t>招标代理服务费</w:t>
            </w:r>
          </w:p>
        </w:tc>
        <w:tc>
          <w:tcPr>
            <w:tcW w:w="6605" w:type="dxa"/>
            <w:gridSpan w:val="2"/>
            <w:tcBorders>
              <w:top w:val="single" w:color="auto" w:sz="6" w:space="0"/>
              <w:left w:val="single" w:color="auto" w:sz="6" w:space="0"/>
              <w:bottom w:val="single" w:color="auto" w:sz="6" w:space="0"/>
              <w:right w:val="single" w:color="auto" w:sz="6" w:space="0"/>
            </w:tcBorders>
            <w:vAlign w:val="center"/>
          </w:tcPr>
          <w:p>
            <w:pPr>
              <w:pStyle w:val="44"/>
              <w:keepNext w:val="0"/>
              <w:keepLines w:val="0"/>
              <w:suppressLineNumbers w:val="0"/>
              <w:spacing w:before="0" w:beforeAutospacing="0" w:after="0" w:afterAutospacing="0" w:line="360" w:lineRule="exact"/>
              <w:ind w:left="0" w:right="0"/>
              <w:jc w:val="both"/>
              <w:rPr>
                <w:rFonts w:hint="default"/>
                <w:color w:val="auto"/>
                <w:sz w:val="21"/>
                <w:szCs w:val="21"/>
              </w:rPr>
            </w:pPr>
            <w:r>
              <w:rPr>
                <w:rFonts w:hint="eastAsia"/>
                <w:color w:val="auto"/>
                <w:sz w:val="21"/>
                <w:szCs w:val="21"/>
              </w:rPr>
              <w:t>本项目的招标代理费由中标人支付。</w:t>
            </w:r>
          </w:p>
          <w:p>
            <w:pPr>
              <w:pStyle w:val="44"/>
              <w:keepNext w:val="0"/>
              <w:keepLines w:val="0"/>
              <w:suppressLineNumbers w:val="0"/>
              <w:spacing w:before="0" w:beforeAutospacing="0" w:after="0" w:afterAutospacing="0" w:line="360" w:lineRule="exact"/>
              <w:ind w:left="0" w:right="0"/>
              <w:jc w:val="both"/>
              <w:rPr>
                <w:rFonts w:hint="default"/>
                <w:color w:val="auto"/>
                <w:sz w:val="21"/>
                <w:szCs w:val="21"/>
              </w:rPr>
            </w:pPr>
            <w:r>
              <w:rPr>
                <w:rFonts w:hint="eastAsia"/>
                <w:color w:val="auto"/>
                <w:sz w:val="21"/>
                <w:szCs w:val="21"/>
              </w:rPr>
              <w:t>收费标准：以中标通知书中的中标金额作为招标代理服务费的计算基数。参照中华人民共和国国家发展计划委员会颁发的计价格〔2002〕1980 号、发改办价格〔2003〕857 号及发改价格〔2011〕534 号文规定的“服务类”计费标准的7.5折计算，招标代理费包含招标代理服务收费和评标费用。</w:t>
            </w:r>
          </w:p>
          <w:p>
            <w:pPr>
              <w:pStyle w:val="44"/>
              <w:keepNext w:val="0"/>
              <w:keepLines w:val="0"/>
              <w:suppressLineNumbers w:val="0"/>
              <w:spacing w:before="0" w:beforeAutospacing="0" w:after="0" w:afterAutospacing="0" w:line="360" w:lineRule="exact"/>
              <w:ind w:left="0" w:right="0"/>
              <w:jc w:val="both"/>
              <w:rPr>
                <w:rFonts w:hint="default"/>
                <w:color w:val="auto"/>
                <w:sz w:val="21"/>
                <w:szCs w:val="21"/>
              </w:rPr>
            </w:pPr>
            <w:r>
              <w:rPr>
                <w:rFonts w:hint="eastAsia"/>
                <w:color w:val="auto"/>
                <w:sz w:val="21"/>
                <w:szCs w:val="21"/>
              </w:rPr>
              <w:t>支付方式及时间：银行转账，中标人在中标后五个工作日内向招标代理机构一次性交纳招标代理费。</w:t>
            </w:r>
          </w:p>
          <w:p>
            <w:pPr>
              <w:pStyle w:val="44"/>
              <w:keepNext w:val="0"/>
              <w:keepLines w:val="0"/>
              <w:suppressLineNumbers w:val="0"/>
              <w:spacing w:before="0" w:beforeAutospacing="0" w:after="0" w:afterAutospacing="0" w:line="360" w:lineRule="exact"/>
              <w:ind w:left="0" w:right="0"/>
              <w:jc w:val="both"/>
              <w:rPr>
                <w:rFonts w:hint="default"/>
                <w:color w:val="auto"/>
                <w:sz w:val="21"/>
                <w:szCs w:val="21"/>
              </w:rPr>
            </w:pPr>
            <w:r>
              <w:rPr>
                <w:rFonts w:hint="eastAsia"/>
                <w:color w:val="auto"/>
                <w:sz w:val="21"/>
                <w:szCs w:val="21"/>
              </w:rPr>
              <w:t>招标代理费收取账户：</w:t>
            </w:r>
          </w:p>
          <w:p>
            <w:pPr>
              <w:pStyle w:val="44"/>
              <w:keepNext w:val="0"/>
              <w:keepLines w:val="0"/>
              <w:suppressLineNumbers w:val="0"/>
              <w:spacing w:before="0" w:beforeAutospacing="0" w:after="0" w:afterAutospacing="0" w:line="360" w:lineRule="exact"/>
              <w:ind w:left="0" w:right="0"/>
              <w:jc w:val="both"/>
              <w:rPr>
                <w:rFonts w:hint="default"/>
                <w:color w:val="auto"/>
                <w:sz w:val="21"/>
                <w:szCs w:val="21"/>
              </w:rPr>
            </w:pPr>
            <w:r>
              <w:rPr>
                <w:rFonts w:hint="eastAsia"/>
                <w:color w:val="auto"/>
                <w:sz w:val="21"/>
                <w:szCs w:val="21"/>
              </w:rPr>
              <w:t>账户：中资国际工程咨询集团有限责任公司广东分公司</w:t>
            </w:r>
          </w:p>
          <w:p>
            <w:pPr>
              <w:pStyle w:val="44"/>
              <w:keepNext w:val="0"/>
              <w:keepLines w:val="0"/>
              <w:suppressLineNumbers w:val="0"/>
              <w:spacing w:before="0" w:beforeAutospacing="0" w:after="0" w:afterAutospacing="0" w:line="360" w:lineRule="exact"/>
              <w:ind w:left="0" w:right="0"/>
              <w:jc w:val="both"/>
              <w:rPr>
                <w:rFonts w:hint="default"/>
                <w:color w:val="auto"/>
                <w:sz w:val="21"/>
                <w:szCs w:val="21"/>
              </w:rPr>
            </w:pPr>
            <w:r>
              <w:rPr>
                <w:rFonts w:hint="eastAsia"/>
                <w:color w:val="auto"/>
                <w:sz w:val="21"/>
                <w:szCs w:val="21"/>
              </w:rPr>
              <w:t>开户银行：中国银行广州东山支行</w:t>
            </w:r>
          </w:p>
          <w:p>
            <w:pPr>
              <w:pStyle w:val="44"/>
              <w:keepNext w:val="0"/>
              <w:keepLines w:val="0"/>
              <w:suppressLineNumbers w:val="0"/>
              <w:spacing w:before="0" w:beforeAutospacing="0" w:after="0" w:afterAutospacing="0" w:line="360" w:lineRule="exact"/>
              <w:ind w:left="0" w:right="0"/>
              <w:jc w:val="both"/>
              <w:rPr>
                <w:rFonts w:hint="default"/>
                <w:color w:val="auto"/>
                <w:sz w:val="21"/>
                <w:szCs w:val="21"/>
              </w:rPr>
            </w:pPr>
            <w:r>
              <w:rPr>
                <w:rFonts w:hint="eastAsia"/>
                <w:color w:val="auto"/>
                <w:sz w:val="21"/>
                <w:szCs w:val="21"/>
              </w:rPr>
              <w:t>账号：699067871041</w:t>
            </w:r>
          </w:p>
          <w:p>
            <w:pPr>
              <w:pStyle w:val="44"/>
              <w:keepNext w:val="0"/>
              <w:keepLines w:val="0"/>
              <w:suppressLineNumbers w:val="0"/>
              <w:spacing w:before="0" w:beforeAutospacing="0" w:after="0" w:afterAutospacing="0" w:line="360" w:lineRule="exact"/>
              <w:ind w:left="0" w:right="0"/>
              <w:jc w:val="both"/>
              <w:rPr>
                <w:rFonts w:hint="default"/>
                <w:color w:val="auto"/>
                <w:sz w:val="21"/>
                <w:szCs w:val="21"/>
              </w:rPr>
            </w:pPr>
            <w:r>
              <w:rPr>
                <w:rFonts w:hint="eastAsia"/>
                <w:color w:val="auto"/>
                <w:sz w:val="21"/>
                <w:szCs w:val="21"/>
              </w:rPr>
              <w:t>备注：项目名称简称+招标代理服务费</w:t>
            </w:r>
          </w:p>
        </w:tc>
      </w:tr>
    </w:tbl>
    <w:p>
      <w:pPr>
        <w:keepNext/>
        <w:keepLines/>
        <w:autoSpaceDE w:val="0"/>
        <w:autoSpaceDN w:val="0"/>
        <w:adjustRightInd w:val="0"/>
        <w:spacing w:before="120" w:after="120" w:line="20" w:lineRule="exact"/>
        <w:rPr>
          <w:rFonts w:ascii="宋体" w:hAnsi="宋体"/>
          <w:color w:val="auto"/>
          <w:kern w:val="24"/>
          <w:sz w:val="28"/>
          <w:szCs w:val="28"/>
        </w:rPr>
      </w:pPr>
    </w:p>
    <w:p>
      <w:pPr>
        <w:widowControl/>
        <w:jc w:val="left"/>
        <w:rPr>
          <w:rFonts w:ascii="宋体" w:hAnsi="宋体" w:cs="黑体"/>
          <w:color w:val="auto"/>
          <w:sz w:val="36"/>
          <w:szCs w:val="36"/>
          <w:lang w:val="zh-CN"/>
        </w:rPr>
      </w:pPr>
      <w:r>
        <w:rPr>
          <w:rFonts w:ascii="宋体" w:hAnsi="宋体" w:cs="黑体"/>
          <w:color w:val="auto"/>
          <w:sz w:val="36"/>
          <w:szCs w:val="36"/>
          <w:lang w:val="zh-CN"/>
        </w:rPr>
        <w:br w:type="page"/>
      </w:r>
    </w:p>
    <w:bookmarkEnd w:id="5"/>
    <w:p>
      <w:pPr>
        <w:autoSpaceDE w:val="0"/>
        <w:autoSpaceDN w:val="0"/>
        <w:adjustRightInd w:val="0"/>
        <w:spacing w:line="300" w:lineRule="auto"/>
        <w:outlineLvl w:val="1"/>
        <w:rPr>
          <w:rFonts w:ascii="宋体" w:hAnsi="宋体" w:cs="黑体"/>
          <w:color w:val="auto"/>
          <w:sz w:val="36"/>
          <w:szCs w:val="36"/>
          <w:lang w:val="zh-CN"/>
        </w:rPr>
      </w:pPr>
      <w:bookmarkStart w:id="6" w:name="_Hlk130498332"/>
      <w:r>
        <w:rPr>
          <w:rFonts w:hint="eastAsia" w:ascii="宋体" w:hAnsi="宋体" w:cs="黑体"/>
          <w:color w:val="auto"/>
          <w:sz w:val="36"/>
          <w:szCs w:val="36"/>
          <w:lang w:val="zh-CN"/>
        </w:rPr>
        <w:t>二、投标人须知（正文部分）</w:t>
      </w:r>
    </w:p>
    <w:p>
      <w:pPr>
        <w:autoSpaceDE w:val="0"/>
        <w:autoSpaceDN w:val="0"/>
        <w:adjustRightInd w:val="0"/>
        <w:spacing w:before="120" w:line="360" w:lineRule="auto"/>
        <w:ind w:firstLine="480"/>
        <w:rPr>
          <w:rFonts w:ascii="宋体" w:hAnsi="宋体" w:cs="宋体"/>
          <w:b/>
          <w:bCs/>
          <w:color w:val="auto"/>
          <w:sz w:val="24"/>
          <w:lang w:val="zh-CN"/>
        </w:rPr>
      </w:pPr>
      <w:r>
        <w:rPr>
          <w:rFonts w:hint="eastAsia" w:ascii="宋体" w:hAnsi="宋体" w:cs="宋体"/>
          <w:b/>
          <w:bCs/>
          <w:color w:val="auto"/>
          <w:sz w:val="24"/>
          <w:lang w:val="zh-CN"/>
        </w:rPr>
        <w:t>（一）总则</w:t>
      </w:r>
    </w:p>
    <w:p>
      <w:pPr>
        <w:autoSpaceDE w:val="0"/>
        <w:autoSpaceDN w:val="0"/>
        <w:adjustRightInd w:val="0"/>
        <w:spacing w:before="120" w:line="360" w:lineRule="auto"/>
        <w:ind w:firstLine="480"/>
        <w:rPr>
          <w:rFonts w:ascii="宋体" w:hAnsi="宋体" w:cs="宋体"/>
          <w:b/>
          <w:bCs/>
          <w:color w:val="auto"/>
          <w:sz w:val="24"/>
          <w:lang w:val="zh-CN"/>
        </w:rPr>
      </w:pPr>
      <w:r>
        <w:rPr>
          <w:rFonts w:ascii="宋体" w:hAnsi="宋体" w:cs="宋体"/>
          <w:b/>
          <w:bCs/>
          <w:color w:val="auto"/>
          <w:sz w:val="24"/>
          <w:lang w:val="zh-CN"/>
        </w:rPr>
        <w:t>1</w:t>
      </w:r>
      <w:r>
        <w:rPr>
          <w:rFonts w:hint="eastAsia" w:ascii="宋体" w:hAnsi="宋体" w:cs="宋体"/>
          <w:b/>
          <w:bCs/>
          <w:color w:val="auto"/>
          <w:sz w:val="24"/>
          <w:lang w:val="zh-CN"/>
        </w:rPr>
        <w:t>、定义</w:t>
      </w:r>
    </w:p>
    <w:p>
      <w:pPr>
        <w:autoSpaceDE w:val="0"/>
        <w:autoSpaceDN w:val="0"/>
        <w:adjustRightInd w:val="0"/>
        <w:spacing w:line="360" w:lineRule="auto"/>
        <w:ind w:left="-1" w:firstLine="480"/>
        <w:rPr>
          <w:rFonts w:ascii="宋体" w:hAnsi="宋体" w:cs="宋体"/>
          <w:b/>
          <w:bCs/>
          <w:color w:val="auto"/>
          <w:sz w:val="24"/>
          <w:lang w:val="zh-CN"/>
        </w:rPr>
      </w:pPr>
      <w:r>
        <w:rPr>
          <w:rFonts w:hint="eastAsia" w:ascii="宋体" w:hAnsi="宋体" w:cs="宋体"/>
          <w:color w:val="auto"/>
          <w:sz w:val="24"/>
          <w:lang w:val="zh-CN"/>
        </w:rPr>
        <w:t>本招标文件使用的下列词语具有如下规定的意义：</w:t>
      </w:r>
    </w:p>
    <w:p>
      <w:pPr>
        <w:autoSpaceDE w:val="0"/>
        <w:autoSpaceDN w:val="0"/>
        <w:adjustRightInd w:val="0"/>
        <w:spacing w:line="360" w:lineRule="auto"/>
        <w:ind w:left="-1" w:firstLine="480"/>
        <w:rPr>
          <w:rFonts w:ascii="宋体" w:hAnsi="宋体" w:cs="宋体"/>
          <w:b/>
          <w:bCs/>
          <w:color w:val="auto"/>
          <w:sz w:val="24"/>
          <w:u w:val="single"/>
          <w:lang w:val="zh-CN"/>
        </w:rPr>
      </w:pPr>
      <w:r>
        <w:rPr>
          <w:rFonts w:ascii="宋体" w:hAnsi="宋体" w:cs="宋体"/>
          <w:color w:val="auto"/>
          <w:sz w:val="24"/>
          <w:lang w:val="zh-CN"/>
        </w:rPr>
        <w:t>1.1“</w:t>
      </w:r>
      <w:r>
        <w:rPr>
          <w:rFonts w:hint="eastAsia" w:ascii="宋体" w:hAnsi="宋体" w:cs="宋体"/>
          <w:color w:val="auto"/>
          <w:sz w:val="24"/>
          <w:lang w:val="zh-CN"/>
        </w:rPr>
        <w:t>招标人</w:t>
      </w:r>
      <w:r>
        <w:rPr>
          <w:rFonts w:ascii="宋体" w:hAnsi="宋体" w:cs="宋体"/>
          <w:color w:val="auto"/>
          <w:sz w:val="24"/>
          <w:lang w:val="zh-CN"/>
        </w:rPr>
        <w:t>”</w:t>
      </w:r>
      <w:r>
        <w:rPr>
          <w:rFonts w:hint="eastAsia" w:ascii="宋体" w:hAnsi="宋体" w:cs="宋体"/>
          <w:color w:val="auto"/>
          <w:sz w:val="24"/>
          <w:lang w:val="zh-CN"/>
        </w:rPr>
        <w:t>（即委托人）：见投标人须知前附表第</w:t>
      </w:r>
      <w:r>
        <w:rPr>
          <w:rFonts w:ascii="宋体" w:hAnsi="宋体" w:cs="宋体"/>
          <w:color w:val="auto"/>
          <w:sz w:val="24"/>
          <w:lang w:val="zh-CN"/>
        </w:rPr>
        <w:t>1</w:t>
      </w:r>
      <w:r>
        <w:rPr>
          <w:rFonts w:hint="eastAsia" w:ascii="宋体" w:hAnsi="宋体" w:cs="宋体"/>
          <w:color w:val="auto"/>
          <w:sz w:val="24"/>
          <w:lang w:val="zh-CN"/>
        </w:rPr>
        <w:t>项。</w:t>
      </w:r>
    </w:p>
    <w:p>
      <w:pPr>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1.2“</w:t>
      </w:r>
      <w:r>
        <w:rPr>
          <w:rFonts w:hint="eastAsia" w:ascii="宋体" w:hAnsi="宋体" w:cs="宋体"/>
          <w:color w:val="auto"/>
          <w:sz w:val="24"/>
          <w:lang w:val="zh-CN"/>
        </w:rPr>
        <w:t>投标人</w:t>
      </w:r>
      <w:r>
        <w:rPr>
          <w:rFonts w:ascii="宋体" w:hAnsi="宋体" w:cs="宋体"/>
          <w:color w:val="auto"/>
          <w:sz w:val="24"/>
          <w:lang w:val="zh-CN"/>
        </w:rPr>
        <w:t>”</w:t>
      </w:r>
      <w:r>
        <w:rPr>
          <w:rFonts w:hint="eastAsia" w:ascii="宋体" w:hAnsi="宋体" w:cs="宋体"/>
          <w:color w:val="auto"/>
          <w:sz w:val="24"/>
          <w:lang w:val="zh-CN"/>
        </w:rPr>
        <w:t>指向招标人提交投标文件的当事人。</w:t>
      </w:r>
    </w:p>
    <w:p>
      <w:pPr>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1.3“</w:t>
      </w:r>
      <w:r>
        <w:rPr>
          <w:rFonts w:hint="eastAsia" w:ascii="宋体" w:hAnsi="宋体" w:cs="宋体"/>
          <w:color w:val="auto"/>
          <w:sz w:val="24"/>
          <w:lang w:val="zh-CN"/>
        </w:rPr>
        <w:t>承包商</w:t>
      </w:r>
      <w:r>
        <w:rPr>
          <w:rFonts w:ascii="宋体" w:hAnsi="宋体" w:cs="宋体"/>
          <w:color w:val="auto"/>
          <w:sz w:val="24"/>
          <w:lang w:val="zh-CN"/>
        </w:rPr>
        <w:t>”</w:t>
      </w:r>
      <w:r>
        <w:rPr>
          <w:rFonts w:hint="eastAsia" w:ascii="宋体" w:hAnsi="宋体" w:cs="宋体"/>
          <w:color w:val="auto"/>
          <w:sz w:val="24"/>
          <w:lang w:val="zh-CN"/>
        </w:rPr>
        <w:t>指被招标人接受并与其签订工程承包合同的当事人。</w:t>
      </w:r>
    </w:p>
    <w:p>
      <w:pPr>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1.4“</w:t>
      </w:r>
      <w:r>
        <w:rPr>
          <w:rFonts w:hint="eastAsia" w:ascii="宋体" w:hAnsi="宋体" w:cs="宋体"/>
          <w:color w:val="auto"/>
          <w:sz w:val="24"/>
          <w:lang w:val="zh-CN"/>
        </w:rPr>
        <w:t>招标代理机构</w:t>
      </w:r>
      <w:r>
        <w:rPr>
          <w:rFonts w:ascii="宋体" w:hAnsi="宋体" w:cs="宋体"/>
          <w:color w:val="auto"/>
          <w:sz w:val="24"/>
          <w:lang w:val="zh-CN"/>
        </w:rPr>
        <w:t>”</w:t>
      </w:r>
      <w:r>
        <w:rPr>
          <w:rFonts w:hint="eastAsia" w:ascii="宋体" w:hAnsi="宋体" w:cs="宋体"/>
          <w:color w:val="auto"/>
          <w:sz w:val="24"/>
          <w:lang w:val="zh-CN"/>
        </w:rPr>
        <w:t>：见投标人须知前附表第2项。</w:t>
      </w:r>
    </w:p>
    <w:p>
      <w:pPr>
        <w:autoSpaceDE w:val="0"/>
        <w:autoSpaceDN w:val="0"/>
        <w:adjustRightInd w:val="0"/>
        <w:spacing w:line="360" w:lineRule="auto"/>
        <w:ind w:left="-1" w:right="56" w:firstLine="480"/>
        <w:rPr>
          <w:rFonts w:ascii="宋体" w:hAnsi="宋体" w:cs="宋体"/>
          <w:color w:val="auto"/>
          <w:sz w:val="24"/>
          <w:lang w:val="zh-CN"/>
        </w:rPr>
      </w:pPr>
      <w:r>
        <w:rPr>
          <w:rFonts w:ascii="宋体" w:hAnsi="宋体" w:cs="宋体"/>
          <w:color w:val="auto"/>
          <w:sz w:val="24"/>
          <w:lang w:val="zh-CN"/>
        </w:rPr>
        <w:t>1.</w:t>
      </w:r>
      <w:r>
        <w:rPr>
          <w:rFonts w:hint="eastAsia" w:ascii="宋体" w:hAnsi="宋体" w:cs="宋体"/>
          <w:color w:val="auto"/>
          <w:sz w:val="24"/>
          <w:lang w:val="zh-CN"/>
        </w:rPr>
        <w:t>5</w:t>
      </w:r>
      <w:r>
        <w:rPr>
          <w:rFonts w:ascii="宋体" w:hAnsi="宋体" w:cs="宋体"/>
          <w:color w:val="auto"/>
          <w:sz w:val="24"/>
          <w:lang w:val="zh-CN"/>
        </w:rPr>
        <w:t>“</w:t>
      </w:r>
      <w:r>
        <w:rPr>
          <w:rFonts w:hint="eastAsia" w:ascii="宋体" w:hAnsi="宋体" w:cs="宋体"/>
          <w:color w:val="auto"/>
          <w:sz w:val="24"/>
          <w:lang w:val="zh-CN"/>
        </w:rPr>
        <w:t>招标文件</w:t>
      </w:r>
      <w:r>
        <w:rPr>
          <w:rFonts w:ascii="宋体" w:hAnsi="宋体" w:cs="宋体"/>
          <w:color w:val="auto"/>
          <w:sz w:val="24"/>
          <w:lang w:val="zh-CN"/>
        </w:rPr>
        <w:t>”</w:t>
      </w:r>
      <w:r>
        <w:rPr>
          <w:rFonts w:hint="eastAsia" w:ascii="宋体" w:hAnsi="宋体" w:cs="宋体"/>
          <w:color w:val="auto"/>
          <w:sz w:val="24"/>
          <w:lang w:val="zh-CN"/>
        </w:rPr>
        <w:t>指由招标代理发出的本文件（包括全部章节、附件）及澄清补充文件。</w:t>
      </w:r>
    </w:p>
    <w:p>
      <w:pPr>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1.</w:t>
      </w:r>
      <w:r>
        <w:rPr>
          <w:rFonts w:hint="eastAsia" w:ascii="宋体" w:hAnsi="宋体" w:cs="宋体"/>
          <w:color w:val="auto"/>
          <w:sz w:val="24"/>
          <w:lang w:val="zh-CN"/>
        </w:rPr>
        <w:t>6</w:t>
      </w:r>
      <w:r>
        <w:rPr>
          <w:rFonts w:ascii="宋体" w:hAnsi="宋体" w:cs="宋体"/>
          <w:color w:val="auto"/>
          <w:sz w:val="24"/>
          <w:lang w:val="zh-CN"/>
        </w:rPr>
        <w:t>“</w:t>
      </w:r>
      <w:r>
        <w:rPr>
          <w:rFonts w:hint="eastAsia" w:ascii="宋体" w:hAnsi="宋体" w:cs="宋体"/>
          <w:color w:val="auto"/>
          <w:sz w:val="24"/>
          <w:lang w:val="zh-CN"/>
        </w:rPr>
        <w:t>投标文件</w:t>
      </w:r>
      <w:r>
        <w:rPr>
          <w:rFonts w:ascii="宋体" w:hAnsi="宋体" w:cs="宋体"/>
          <w:color w:val="auto"/>
          <w:sz w:val="24"/>
          <w:lang w:val="zh-CN"/>
        </w:rPr>
        <w:t>”</w:t>
      </w:r>
      <w:r>
        <w:rPr>
          <w:rFonts w:hint="eastAsia" w:ascii="宋体" w:hAnsi="宋体" w:cs="宋体"/>
          <w:color w:val="auto"/>
          <w:sz w:val="24"/>
          <w:lang w:val="zh-CN"/>
        </w:rPr>
        <w:t>指投标人根据本招标文件向招标人提交的全部文件。</w:t>
      </w:r>
    </w:p>
    <w:p>
      <w:pPr>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1.</w:t>
      </w:r>
      <w:r>
        <w:rPr>
          <w:rFonts w:hint="eastAsia" w:ascii="宋体" w:hAnsi="宋体" w:cs="宋体"/>
          <w:color w:val="auto"/>
          <w:sz w:val="24"/>
          <w:lang w:val="zh-CN"/>
        </w:rPr>
        <w:t>7</w:t>
      </w:r>
      <w:r>
        <w:rPr>
          <w:rFonts w:ascii="宋体" w:hAnsi="宋体" w:cs="宋体"/>
          <w:color w:val="auto"/>
          <w:sz w:val="24"/>
          <w:lang w:val="zh-CN"/>
        </w:rPr>
        <w:t>“</w:t>
      </w:r>
      <w:r>
        <w:rPr>
          <w:rFonts w:hint="eastAsia" w:ascii="宋体" w:hAnsi="宋体" w:cs="宋体"/>
          <w:color w:val="auto"/>
          <w:sz w:val="24"/>
          <w:lang w:val="zh-CN"/>
        </w:rPr>
        <w:t>书面函件</w:t>
      </w:r>
      <w:r>
        <w:rPr>
          <w:rFonts w:ascii="宋体" w:hAnsi="宋体" w:cs="宋体"/>
          <w:color w:val="auto"/>
          <w:sz w:val="24"/>
          <w:lang w:val="zh-CN"/>
        </w:rPr>
        <w:t>”</w:t>
      </w:r>
      <w:r>
        <w:rPr>
          <w:rFonts w:hint="eastAsia" w:ascii="宋体" w:hAnsi="宋体" w:cs="宋体"/>
          <w:color w:val="auto"/>
          <w:sz w:val="24"/>
          <w:lang w:val="zh-CN"/>
        </w:rPr>
        <w:t>指打字或印刷的函件，包括电传、电报和传真。</w:t>
      </w:r>
    </w:p>
    <w:p>
      <w:pPr>
        <w:autoSpaceDE w:val="0"/>
        <w:autoSpaceDN w:val="0"/>
        <w:adjustRightInd w:val="0"/>
        <w:spacing w:before="120" w:line="360" w:lineRule="auto"/>
        <w:ind w:firstLine="480"/>
        <w:rPr>
          <w:rFonts w:ascii="宋体" w:hAnsi="宋体" w:cs="宋体"/>
          <w:b/>
          <w:bCs/>
          <w:color w:val="auto"/>
          <w:sz w:val="24"/>
          <w:lang w:val="zh-CN"/>
        </w:rPr>
      </w:pPr>
      <w:r>
        <w:rPr>
          <w:rFonts w:ascii="宋体" w:hAnsi="宋体" w:cs="宋体"/>
          <w:b/>
          <w:bCs/>
          <w:color w:val="auto"/>
          <w:sz w:val="24"/>
          <w:lang w:val="zh-CN"/>
        </w:rPr>
        <w:t>2</w:t>
      </w:r>
      <w:r>
        <w:rPr>
          <w:rFonts w:hint="eastAsia" w:ascii="宋体" w:hAnsi="宋体" w:cs="宋体"/>
          <w:b/>
          <w:bCs/>
          <w:color w:val="auto"/>
          <w:sz w:val="24"/>
          <w:lang w:val="zh-CN"/>
        </w:rPr>
        <w:t>、招标说明</w:t>
      </w:r>
    </w:p>
    <w:p>
      <w:pPr>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2.1</w:t>
      </w:r>
      <w:r>
        <w:rPr>
          <w:rFonts w:hint="eastAsia" w:ascii="宋体" w:hAnsi="宋体" w:cs="宋体"/>
          <w:color w:val="auto"/>
          <w:sz w:val="24"/>
          <w:lang w:val="zh-CN"/>
        </w:rPr>
        <w:t xml:space="preserve"> 本招标工程项目按照《中华人民共和国招标投标法》等有关法律、行政法规和部门规章，采取公开招标的办法，以便能选择有经验、有实力、社会信誉好的监理单位承担监理服务，确保本工程能按期、优质、经济地建成。</w:t>
      </w:r>
    </w:p>
    <w:p>
      <w:pPr>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2.2</w:t>
      </w:r>
      <w:r>
        <w:rPr>
          <w:rFonts w:hint="eastAsia" w:ascii="宋体" w:hAnsi="宋体" w:cs="宋体"/>
          <w:color w:val="auto"/>
          <w:sz w:val="24"/>
          <w:lang w:val="zh-CN"/>
        </w:rPr>
        <w:t xml:space="preserve"> 工程概况</w:t>
      </w:r>
    </w:p>
    <w:p>
      <w:pPr>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2.2.1</w:t>
      </w:r>
      <w:r>
        <w:rPr>
          <w:rFonts w:hint="eastAsia" w:ascii="宋体" w:hAnsi="宋体" w:cs="宋体"/>
          <w:color w:val="auto"/>
          <w:sz w:val="24"/>
          <w:lang w:val="zh-CN"/>
        </w:rPr>
        <w:t xml:space="preserve"> 工程名称：见投标人须知前附表第3项。</w:t>
      </w:r>
    </w:p>
    <w:p>
      <w:pPr>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2.2.2</w:t>
      </w:r>
      <w:r>
        <w:rPr>
          <w:rFonts w:hint="eastAsia" w:ascii="宋体" w:hAnsi="宋体" w:cs="宋体"/>
          <w:color w:val="auto"/>
          <w:sz w:val="24"/>
          <w:lang w:val="zh-CN"/>
        </w:rPr>
        <w:t xml:space="preserve"> 建设地点：见投标人须知前附表第4项。</w:t>
      </w:r>
    </w:p>
    <w:p>
      <w:pPr>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2.2.3</w:t>
      </w:r>
      <w:r>
        <w:rPr>
          <w:rFonts w:hint="eastAsia" w:ascii="宋体" w:hAnsi="宋体" w:cs="宋体"/>
          <w:color w:val="auto"/>
          <w:sz w:val="24"/>
          <w:lang w:val="zh-CN"/>
        </w:rPr>
        <w:t xml:space="preserve"> 建设规模：见投标人须知前附表第5项。</w:t>
      </w:r>
    </w:p>
    <w:p>
      <w:pPr>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2.2.4</w:t>
      </w:r>
      <w:r>
        <w:rPr>
          <w:rFonts w:hint="eastAsia" w:ascii="宋体" w:hAnsi="宋体" w:cs="宋体"/>
          <w:color w:val="auto"/>
          <w:sz w:val="24"/>
          <w:lang w:val="zh-CN"/>
        </w:rPr>
        <w:t xml:space="preserve"> 工程概算：见投标人须知前附表第6项。</w:t>
      </w:r>
    </w:p>
    <w:p>
      <w:pPr>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2.2.5</w:t>
      </w:r>
      <w:r>
        <w:rPr>
          <w:rFonts w:hint="eastAsia" w:ascii="宋体" w:hAnsi="宋体" w:cs="宋体"/>
          <w:color w:val="auto"/>
          <w:sz w:val="24"/>
          <w:lang w:val="zh-CN"/>
        </w:rPr>
        <w:t xml:space="preserve"> 监理目标：见投标人须知前附表第7项。</w:t>
      </w:r>
    </w:p>
    <w:p>
      <w:pPr>
        <w:tabs>
          <w:tab w:val="left" w:pos="105"/>
        </w:tabs>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2.3</w:t>
      </w:r>
      <w:r>
        <w:rPr>
          <w:rFonts w:hint="eastAsia" w:ascii="宋体" w:hAnsi="宋体" w:cs="宋体"/>
          <w:color w:val="auto"/>
          <w:sz w:val="24"/>
          <w:lang w:val="zh-CN"/>
        </w:rPr>
        <w:t xml:space="preserve"> 招标范围及监理服务期及监理专业配套要求</w:t>
      </w:r>
    </w:p>
    <w:p>
      <w:pPr>
        <w:tabs>
          <w:tab w:val="left" w:pos="105"/>
        </w:tabs>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 xml:space="preserve">2.3.1 </w:t>
      </w:r>
      <w:r>
        <w:rPr>
          <w:rFonts w:hint="eastAsia" w:ascii="宋体" w:hAnsi="宋体" w:cs="宋体"/>
          <w:color w:val="auto"/>
          <w:sz w:val="24"/>
          <w:lang w:val="zh-CN"/>
        </w:rPr>
        <w:t>本招标项目的监理范围：见投标人须知前附表第8项。</w:t>
      </w:r>
    </w:p>
    <w:p>
      <w:pPr>
        <w:tabs>
          <w:tab w:val="left" w:pos="105"/>
        </w:tabs>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 xml:space="preserve">2.3.2 </w:t>
      </w:r>
      <w:r>
        <w:rPr>
          <w:rFonts w:hint="eastAsia" w:ascii="宋体" w:hAnsi="宋体" w:cs="宋体"/>
          <w:color w:val="auto"/>
          <w:sz w:val="24"/>
          <w:lang w:val="zh-CN"/>
        </w:rPr>
        <w:t>本招标项目的监理服务期要求：见投标人须知前附表第9项。</w:t>
      </w:r>
    </w:p>
    <w:p>
      <w:pPr>
        <w:tabs>
          <w:tab w:val="left" w:pos="105"/>
        </w:tabs>
        <w:autoSpaceDE w:val="0"/>
        <w:autoSpaceDN w:val="0"/>
        <w:adjustRightInd w:val="0"/>
        <w:spacing w:before="120" w:line="360" w:lineRule="auto"/>
        <w:ind w:firstLine="480"/>
        <w:rPr>
          <w:rFonts w:ascii="宋体" w:hAnsi="宋体" w:cs="宋体"/>
          <w:b/>
          <w:bCs/>
          <w:color w:val="auto"/>
          <w:sz w:val="24"/>
          <w:lang w:val="zh-CN"/>
        </w:rPr>
      </w:pPr>
      <w:r>
        <w:rPr>
          <w:rFonts w:ascii="宋体" w:hAnsi="宋体" w:cs="宋体"/>
          <w:b/>
          <w:bCs/>
          <w:color w:val="auto"/>
          <w:sz w:val="24"/>
          <w:lang w:val="zh-CN"/>
        </w:rPr>
        <w:t>3</w:t>
      </w:r>
      <w:r>
        <w:rPr>
          <w:rFonts w:hint="eastAsia" w:ascii="宋体" w:hAnsi="宋体" w:cs="宋体"/>
          <w:b/>
          <w:bCs/>
          <w:color w:val="auto"/>
          <w:sz w:val="24"/>
          <w:lang w:val="zh-CN"/>
        </w:rPr>
        <w:t>．资金来源</w:t>
      </w:r>
    </w:p>
    <w:p>
      <w:pPr>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 xml:space="preserve">3.1 </w:t>
      </w:r>
      <w:r>
        <w:rPr>
          <w:rFonts w:hint="eastAsia" w:ascii="宋体" w:hAnsi="宋体" w:cs="宋体"/>
          <w:color w:val="auto"/>
          <w:sz w:val="24"/>
          <w:lang w:val="zh-CN"/>
        </w:rPr>
        <w:t>本招标工程项目资金来源见投标人须知前附表第10项，其中部分资金用于本工程项目监理合同项下的合格支付。</w:t>
      </w:r>
    </w:p>
    <w:p>
      <w:pPr>
        <w:tabs>
          <w:tab w:val="left" w:pos="105"/>
        </w:tabs>
        <w:autoSpaceDE w:val="0"/>
        <w:autoSpaceDN w:val="0"/>
        <w:adjustRightInd w:val="0"/>
        <w:spacing w:before="120" w:line="360" w:lineRule="auto"/>
        <w:ind w:firstLine="480"/>
        <w:rPr>
          <w:rFonts w:ascii="宋体" w:hAnsi="宋体" w:cs="宋体"/>
          <w:b/>
          <w:bCs/>
          <w:color w:val="auto"/>
          <w:sz w:val="24"/>
          <w:lang w:val="zh-CN"/>
        </w:rPr>
      </w:pPr>
      <w:r>
        <w:rPr>
          <w:rFonts w:ascii="宋体" w:hAnsi="宋体" w:cs="宋体"/>
          <w:b/>
          <w:bCs/>
          <w:color w:val="auto"/>
          <w:sz w:val="24"/>
          <w:lang w:val="zh-CN"/>
        </w:rPr>
        <w:t>4</w:t>
      </w:r>
      <w:r>
        <w:rPr>
          <w:rFonts w:hint="eastAsia" w:ascii="宋体" w:hAnsi="宋体" w:cs="宋体"/>
          <w:b/>
          <w:bCs/>
          <w:color w:val="auto"/>
          <w:sz w:val="24"/>
          <w:lang w:val="zh-CN"/>
        </w:rPr>
        <w:t>．合格的投标人</w:t>
      </w:r>
    </w:p>
    <w:p>
      <w:pPr>
        <w:autoSpaceDE w:val="0"/>
        <w:autoSpaceDN w:val="0"/>
        <w:adjustRightInd w:val="0"/>
        <w:spacing w:line="360" w:lineRule="auto"/>
        <w:ind w:left="-1" w:firstLine="482"/>
        <w:rPr>
          <w:rFonts w:ascii="宋体" w:hAnsi="宋体"/>
          <w:color w:val="auto"/>
          <w:sz w:val="24"/>
          <w:lang w:val="zh-CN"/>
        </w:rPr>
      </w:pPr>
      <w:r>
        <w:rPr>
          <w:rFonts w:ascii="宋体" w:hAnsi="宋体" w:cs="宋体"/>
          <w:color w:val="auto"/>
          <w:sz w:val="24"/>
          <w:lang w:val="zh-CN"/>
        </w:rPr>
        <w:t xml:space="preserve">4.1 </w:t>
      </w:r>
      <w:r>
        <w:rPr>
          <w:rFonts w:hint="eastAsia" w:ascii="宋体" w:hAnsi="宋体" w:cs="宋体"/>
          <w:color w:val="auto"/>
          <w:sz w:val="24"/>
          <w:lang w:val="zh-CN"/>
        </w:rPr>
        <w:t>投标人必须是一个财务自主、独立核算的独立法人企业，具有独立的经营权和决策权。</w:t>
      </w:r>
    </w:p>
    <w:p>
      <w:pPr>
        <w:autoSpaceDE w:val="0"/>
        <w:autoSpaceDN w:val="0"/>
        <w:adjustRightInd w:val="0"/>
        <w:spacing w:line="360" w:lineRule="auto"/>
        <w:ind w:left="-1" w:firstLine="482"/>
        <w:rPr>
          <w:rFonts w:ascii="宋体" w:hAnsi="宋体"/>
          <w:color w:val="auto"/>
          <w:sz w:val="24"/>
          <w:lang w:val="zh-CN"/>
        </w:rPr>
      </w:pPr>
      <w:r>
        <w:rPr>
          <w:rFonts w:ascii="宋体" w:hAnsi="宋体" w:cs="宋体"/>
          <w:color w:val="auto"/>
          <w:sz w:val="24"/>
          <w:lang w:val="zh-CN"/>
        </w:rPr>
        <w:t xml:space="preserve">4.2 </w:t>
      </w:r>
      <w:r>
        <w:rPr>
          <w:rFonts w:hint="eastAsia" w:ascii="宋体" w:hAnsi="宋体" w:cs="宋体"/>
          <w:color w:val="auto"/>
          <w:sz w:val="24"/>
          <w:lang w:val="zh-CN"/>
        </w:rPr>
        <w:t>投标人资质等级要求：符合本工程项目类别相应资质的企业且具备承担招标工程项目监理条件的企业，见本须知前附表第11项。</w:t>
      </w:r>
    </w:p>
    <w:p>
      <w:pPr>
        <w:autoSpaceDE w:val="0"/>
        <w:autoSpaceDN w:val="0"/>
        <w:adjustRightInd w:val="0"/>
        <w:spacing w:line="360" w:lineRule="auto"/>
        <w:ind w:left="-1" w:firstLine="482"/>
        <w:rPr>
          <w:rFonts w:ascii="宋体" w:hAnsi="宋体" w:cs="宋体"/>
          <w:color w:val="auto"/>
          <w:sz w:val="24"/>
          <w:lang w:val="zh-CN"/>
        </w:rPr>
      </w:pPr>
      <w:r>
        <w:rPr>
          <w:rFonts w:ascii="宋体" w:hAnsi="宋体" w:cs="宋体"/>
          <w:color w:val="auto"/>
          <w:sz w:val="24"/>
          <w:lang w:val="zh-CN"/>
        </w:rPr>
        <w:t>4.3</w:t>
      </w:r>
      <w:r>
        <w:rPr>
          <w:rFonts w:hint="eastAsia" w:ascii="宋体" w:hAnsi="宋体" w:cs="宋体"/>
          <w:color w:val="auto"/>
          <w:sz w:val="24"/>
          <w:lang w:val="zh-CN"/>
        </w:rPr>
        <w:t xml:space="preserve"> 投标人监理人员专业配套要求：见投标人须知前附表第12项。</w:t>
      </w:r>
    </w:p>
    <w:p>
      <w:pPr>
        <w:autoSpaceDE w:val="0"/>
        <w:autoSpaceDN w:val="0"/>
        <w:adjustRightInd w:val="0"/>
        <w:spacing w:line="360" w:lineRule="auto"/>
        <w:ind w:left="-1" w:firstLine="482"/>
        <w:rPr>
          <w:rFonts w:ascii="宋体" w:hAnsi="宋体"/>
          <w:color w:val="auto"/>
          <w:sz w:val="24"/>
          <w:lang w:val="zh-CN"/>
        </w:rPr>
      </w:pPr>
      <w:r>
        <w:rPr>
          <w:rFonts w:ascii="宋体" w:hAnsi="宋体" w:cs="宋体"/>
          <w:color w:val="auto"/>
          <w:sz w:val="24"/>
          <w:lang w:val="zh-CN"/>
        </w:rPr>
        <w:t>4.</w:t>
      </w:r>
      <w:r>
        <w:rPr>
          <w:rFonts w:hint="eastAsia" w:ascii="宋体" w:hAnsi="宋体" w:cs="宋体"/>
          <w:color w:val="auto"/>
          <w:sz w:val="24"/>
          <w:lang w:val="zh-CN"/>
        </w:rPr>
        <w:t>4</w:t>
      </w:r>
      <w:r>
        <w:rPr>
          <w:rFonts w:ascii="宋体" w:hAnsi="宋体" w:cs="宋体"/>
          <w:color w:val="auto"/>
          <w:sz w:val="24"/>
          <w:lang w:val="zh-CN"/>
        </w:rPr>
        <w:t xml:space="preserve"> </w:t>
      </w:r>
      <w:r>
        <w:rPr>
          <w:rFonts w:hint="eastAsia" w:ascii="宋体" w:hAnsi="宋体" w:cs="宋体"/>
          <w:color w:val="auto"/>
          <w:sz w:val="24"/>
          <w:lang w:val="zh-CN"/>
        </w:rPr>
        <w:t>投标人合格条件详见本招标工程监理招标公告或投标邀请函。</w:t>
      </w:r>
    </w:p>
    <w:p>
      <w:pPr>
        <w:tabs>
          <w:tab w:val="left" w:pos="105"/>
        </w:tabs>
        <w:autoSpaceDE w:val="0"/>
        <w:autoSpaceDN w:val="0"/>
        <w:adjustRightInd w:val="0"/>
        <w:spacing w:line="360" w:lineRule="auto"/>
        <w:ind w:left="-1" w:firstLine="482"/>
        <w:rPr>
          <w:rFonts w:ascii="宋体" w:hAnsi="宋体"/>
          <w:color w:val="auto"/>
          <w:sz w:val="24"/>
          <w:lang w:val="zh-CN"/>
        </w:rPr>
      </w:pPr>
      <w:r>
        <w:rPr>
          <w:rFonts w:ascii="宋体" w:hAnsi="宋体" w:cs="宋体"/>
          <w:color w:val="auto"/>
          <w:sz w:val="24"/>
          <w:lang w:val="zh-CN"/>
        </w:rPr>
        <w:t>4.</w:t>
      </w:r>
      <w:r>
        <w:rPr>
          <w:rFonts w:hint="eastAsia" w:ascii="宋体" w:hAnsi="宋体" w:cs="宋体"/>
          <w:color w:val="auto"/>
          <w:sz w:val="24"/>
          <w:lang w:val="zh-CN"/>
        </w:rPr>
        <w:t>5</w:t>
      </w:r>
      <w:r>
        <w:rPr>
          <w:rFonts w:ascii="宋体" w:hAnsi="宋体" w:cs="宋体"/>
          <w:color w:val="auto"/>
          <w:sz w:val="24"/>
          <w:lang w:val="zh-CN"/>
        </w:rPr>
        <w:t xml:space="preserve"> </w:t>
      </w:r>
      <w:r>
        <w:rPr>
          <w:rFonts w:hint="eastAsia" w:ascii="宋体" w:hAnsi="宋体" w:cs="宋体"/>
          <w:color w:val="auto"/>
          <w:sz w:val="24"/>
          <w:lang w:val="zh-CN"/>
        </w:rPr>
        <w:t>本招标工程项目采用本须知前附表第</w:t>
      </w:r>
      <w:r>
        <w:rPr>
          <w:rFonts w:ascii="宋体" w:hAnsi="宋体" w:cs="宋体"/>
          <w:color w:val="auto"/>
          <w:sz w:val="24"/>
          <w:lang w:val="zh-CN"/>
        </w:rPr>
        <w:t>1</w:t>
      </w:r>
      <w:r>
        <w:rPr>
          <w:rFonts w:hint="eastAsia" w:ascii="宋体" w:hAnsi="宋体" w:cs="宋体"/>
          <w:color w:val="auto"/>
          <w:sz w:val="24"/>
          <w:lang w:val="zh-CN"/>
        </w:rPr>
        <w:t>3项所述的资格审查方式确定合格投标人。</w:t>
      </w:r>
    </w:p>
    <w:p>
      <w:pPr>
        <w:autoSpaceDE w:val="0"/>
        <w:autoSpaceDN w:val="0"/>
        <w:adjustRightInd w:val="0"/>
        <w:spacing w:line="360" w:lineRule="auto"/>
        <w:ind w:left="-1" w:firstLine="482"/>
        <w:rPr>
          <w:rFonts w:ascii="宋体" w:hAnsi="宋体"/>
          <w:color w:val="auto"/>
          <w:sz w:val="24"/>
          <w:lang w:val="zh-CN"/>
        </w:rPr>
      </w:pPr>
      <w:r>
        <w:rPr>
          <w:rFonts w:ascii="宋体" w:hAnsi="宋体" w:cs="宋体"/>
          <w:color w:val="auto"/>
          <w:sz w:val="24"/>
          <w:lang w:val="zh-CN"/>
        </w:rPr>
        <w:t>4.</w:t>
      </w:r>
      <w:r>
        <w:rPr>
          <w:rFonts w:hint="eastAsia" w:ascii="宋体" w:hAnsi="宋体" w:cs="宋体"/>
          <w:color w:val="auto"/>
          <w:sz w:val="24"/>
          <w:lang w:val="zh-CN"/>
        </w:rPr>
        <w:t>6 投标人不允许有挂靠或转包的行为，招标人或评标委员会在任何时候发现投标人是挂靠或转包的，该投标人的投标作无效处理，招标人有权取消其投标资格并没收投标保证金，已签订合同的，终止合同，并追究该投标人的有关法律责任。</w:t>
      </w:r>
    </w:p>
    <w:p>
      <w:pPr>
        <w:tabs>
          <w:tab w:val="left" w:pos="105"/>
        </w:tabs>
        <w:autoSpaceDE w:val="0"/>
        <w:autoSpaceDN w:val="0"/>
        <w:adjustRightInd w:val="0"/>
        <w:spacing w:line="360" w:lineRule="auto"/>
        <w:ind w:left="-1" w:firstLine="482"/>
        <w:rPr>
          <w:rFonts w:ascii="宋体" w:hAnsi="宋体" w:cs="宋体"/>
          <w:color w:val="auto"/>
          <w:sz w:val="24"/>
          <w:lang w:val="zh-CN"/>
        </w:rPr>
      </w:pPr>
      <w:r>
        <w:rPr>
          <w:rFonts w:ascii="宋体" w:hAnsi="宋体" w:cs="宋体"/>
          <w:color w:val="auto"/>
          <w:sz w:val="24"/>
          <w:lang w:val="zh-CN"/>
        </w:rPr>
        <w:t>4.</w:t>
      </w:r>
      <w:r>
        <w:rPr>
          <w:rFonts w:hint="eastAsia" w:ascii="宋体" w:hAnsi="宋体" w:cs="宋体"/>
          <w:color w:val="auto"/>
          <w:sz w:val="24"/>
          <w:lang w:val="zh-CN"/>
        </w:rPr>
        <w:t>7 招标人是否接受投标人以组成联合体的形式联合投标，见本须知前附表第14项。</w:t>
      </w:r>
    </w:p>
    <w:p>
      <w:pPr>
        <w:tabs>
          <w:tab w:val="left" w:pos="105"/>
        </w:tabs>
        <w:autoSpaceDE w:val="0"/>
        <w:autoSpaceDN w:val="0"/>
        <w:adjustRightInd w:val="0"/>
        <w:spacing w:line="360" w:lineRule="auto"/>
        <w:ind w:left="-1" w:firstLine="482"/>
        <w:rPr>
          <w:rFonts w:ascii="宋体" w:hAnsi="宋体" w:cs="宋体"/>
          <w:color w:val="auto"/>
          <w:sz w:val="24"/>
          <w:lang w:val="zh-CN"/>
        </w:rPr>
      </w:pPr>
      <w:r>
        <w:rPr>
          <w:rFonts w:hint="eastAsia" w:ascii="宋体" w:hAnsi="宋体" w:cs="宋体"/>
          <w:color w:val="auto"/>
          <w:sz w:val="24"/>
          <w:lang w:val="zh-CN"/>
        </w:rPr>
        <w:t>4.8</w:t>
      </w:r>
      <w:r>
        <w:rPr>
          <w:rFonts w:hint="eastAsia" w:ascii="宋体" w:hAnsi="宋体" w:cs="宋体"/>
          <w:color w:val="auto"/>
          <w:sz w:val="24"/>
        </w:rPr>
        <w:t xml:space="preserve"> </w:t>
      </w:r>
      <w:r>
        <w:rPr>
          <w:rFonts w:hint="eastAsia" w:ascii="宋体" w:hAnsi="宋体" w:cs="宋体"/>
          <w:color w:val="auto"/>
          <w:sz w:val="24"/>
          <w:lang w:val="zh-CN"/>
        </w:rPr>
        <w:t>投标人不得存在下列情形之一：</w:t>
      </w:r>
    </w:p>
    <w:p>
      <w:pPr>
        <w:spacing w:line="360" w:lineRule="auto"/>
        <w:ind w:firstLine="840" w:firstLineChars="350"/>
        <w:rPr>
          <w:rFonts w:ascii="宋体" w:hAnsi="宋体"/>
          <w:color w:val="auto"/>
          <w:sz w:val="24"/>
        </w:rPr>
      </w:pPr>
      <w:r>
        <w:rPr>
          <w:rFonts w:hint="eastAsia" w:ascii="宋体" w:hAnsi="宋体"/>
          <w:color w:val="auto"/>
          <w:sz w:val="24"/>
        </w:rPr>
        <w:t xml:space="preserve">(l）为招标人不具有独立法人资格的附属机构（单位）; </w:t>
      </w:r>
    </w:p>
    <w:p>
      <w:pPr>
        <w:spacing w:line="360" w:lineRule="auto"/>
        <w:ind w:firstLine="840" w:firstLineChars="350"/>
        <w:rPr>
          <w:rFonts w:ascii="宋体" w:hAnsi="宋体"/>
          <w:color w:val="auto"/>
          <w:sz w:val="24"/>
        </w:rPr>
      </w:pPr>
      <w:r>
        <w:rPr>
          <w:rFonts w:hint="eastAsia" w:ascii="宋体" w:hAnsi="宋体"/>
          <w:color w:val="auto"/>
          <w:sz w:val="24"/>
        </w:rPr>
        <w:t>(2）为本标段的代建人；</w:t>
      </w:r>
    </w:p>
    <w:p>
      <w:pPr>
        <w:spacing w:line="360" w:lineRule="auto"/>
        <w:ind w:firstLine="840" w:firstLineChars="350"/>
        <w:rPr>
          <w:rFonts w:ascii="宋体" w:hAnsi="宋体"/>
          <w:color w:val="auto"/>
          <w:sz w:val="24"/>
        </w:rPr>
      </w:pPr>
      <w:r>
        <w:rPr>
          <w:rFonts w:hint="eastAsia" w:ascii="宋体" w:hAnsi="宋体"/>
          <w:color w:val="auto"/>
          <w:sz w:val="24"/>
        </w:rPr>
        <w:t>(3）为本标段提供工程监理招标代理服务的；</w:t>
      </w:r>
    </w:p>
    <w:p>
      <w:pPr>
        <w:spacing w:line="360" w:lineRule="auto"/>
        <w:ind w:firstLine="840" w:firstLineChars="350"/>
        <w:rPr>
          <w:rFonts w:ascii="宋体" w:hAnsi="宋体"/>
          <w:color w:val="auto"/>
          <w:sz w:val="24"/>
        </w:rPr>
      </w:pPr>
      <w:r>
        <w:rPr>
          <w:rFonts w:hint="eastAsia" w:ascii="宋体" w:hAnsi="宋体"/>
          <w:color w:val="auto"/>
          <w:sz w:val="24"/>
        </w:rPr>
        <w:t>(4）与本标段的施工单位或代建人或工程监理招标代理机构同为一个法定代表人的；</w:t>
      </w:r>
    </w:p>
    <w:p>
      <w:pPr>
        <w:spacing w:line="360" w:lineRule="auto"/>
        <w:ind w:firstLine="840" w:firstLineChars="350"/>
        <w:rPr>
          <w:rFonts w:ascii="宋体" w:hAnsi="宋体"/>
          <w:color w:val="auto"/>
          <w:sz w:val="24"/>
        </w:rPr>
      </w:pPr>
      <w:r>
        <w:rPr>
          <w:rFonts w:hint="eastAsia" w:ascii="宋体" w:hAnsi="宋体"/>
          <w:color w:val="auto"/>
          <w:sz w:val="24"/>
        </w:rPr>
        <w:t>(5）与本标段的施工单位或代建人或工程监理招标代理机构相互控股或参股的；</w:t>
      </w:r>
    </w:p>
    <w:p>
      <w:pPr>
        <w:spacing w:line="360" w:lineRule="auto"/>
        <w:ind w:firstLine="840" w:firstLineChars="350"/>
        <w:rPr>
          <w:rFonts w:ascii="宋体" w:hAnsi="宋体"/>
          <w:color w:val="auto"/>
          <w:sz w:val="24"/>
        </w:rPr>
      </w:pPr>
      <w:r>
        <w:rPr>
          <w:rFonts w:hint="eastAsia" w:ascii="宋体" w:hAnsi="宋体"/>
          <w:color w:val="auto"/>
          <w:sz w:val="24"/>
        </w:rPr>
        <w:t>(6）与本标段的施工单位或代建人或工程监理招标代理机构相互任职或工作的；</w:t>
      </w:r>
    </w:p>
    <w:p>
      <w:pPr>
        <w:spacing w:line="360" w:lineRule="auto"/>
        <w:ind w:firstLine="840" w:firstLineChars="350"/>
        <w:rPr>
          <w:rFonts w:ascii="宋体" w:hAnsi="宋体"/>
          <w:color w:val="auto"/>
          <w:sz w:val="24"/>
        </w:rPr>
      </w:pPr>
      <w:r>
        <w:rPr>
          <w:rFonts w:hint="eastAsia" w:ascii="宋体" w:hAnsi="宋体"/>
          <w:color w:val="auto"/>
          <w:sz w:val="24"/>
        </w:rPr>
        <w:t>(7）被责令停业的；</w:t>
      </w:r>
    </w:p>
    <w:p>
      <w:pPr>
        <w:spacing w:line="360" w:lineRule="auto"/>
        <w:ind w:firstLine="840" w:firstLineChars="350"/>
        <w:rPr>
          <w:rFonts w:ascii="宋体" w:hAnsi="宋体"/>
          <w:color w:val="auto"/>
          <w:sz w:val="24"/>
        </w:rPr>
      </w:pPr>
      <w:r>
        <w:rPr>
          <w:rFonts w:hint="eastAsia" w:ascii="宋体" w:hAnsi="宋体"/>
          <w:color w:val="auto"/>
          <w:sz w:val="24"/>
        </w:rPr>
        <w:t>(8）被暂停或取消投标资格的；</w:t>
      </w:r>
    </w:p>
    <w:p>
      <w:pPr>
        <w:spacing w:line="360" w:lineRule="auto"/>
        <w:ind w:firstLine="840" w:firstLineChars="350"/>
        <w:rPr>
          <w:rFonts w:ascii="宋体" w:hAnsi="宋体"/>
          <w:color w:val="auto"/>
          <w:sz w:val="24"/>
        </w:rPr>
      </w:pPr>
      <w:r>
        <w:rPr>
          <w:rFonts w:hint="eastAsia" w:ascii="宋体" w:hAnsi="宋体"/>
          <w:color w:val="auto"/>
          <w:sz w:val="24"/>
        </w:rPr>
        <w:t>(9）财产被接管或冻结的；</w:t>
      </w:r>
    </w:p>
    <w:p>
      <w:pPr>
        <w:spacing w:line="360" w:lineRule="auto"/>
        <w:ind w:firstLine="840" w:firstLineChars="350"/>
        <w:rPr>
          <w:rFonts w:ascii="宋体" w:hAnsi="宋体"/>
          <w:color w:val="auto"/>
          <w:sz w:val="24"/>
        </w:rPr>
      </w:pPr>
      <w:r>
        <w:rPr>
          <w:rFonts w:hint="eastAsia" w:ascii="宋体" w:hAnsi="宋体"/>
          <w:color w:val="auto"/>
          <w:sz w:val="24"/>
        </w:rPr>
        <w:t>(10）在最近三年（从本项目招标公告发出之日起计）内有骗取中标或严重违约的；</w:t>
      </w:r>
    </w:p>
    <w:p>
      <w:pPr>
        <w:spacing w:line="360" w:lineRule="auto"/>
        <w:ind w:firstLine="720" w:firstLineChars="300"/>
        <w:rPr>
          <w:rFonts w:ascii="宋体" w:hAnsi="宋体"/>
          <w:color w:val="auto"/>
          <w:sz w:val="24"/>
        </w:rPr>
      </w:pPr>
      <w:r>
        <w:rPr>
          <w:rFonts w:hint="eastAsia" w:ascii="宋体" w:hAnsi="宋体"/>
          <w:color w:val="auto"/>
          <w:sz w:val="24"/>
        </w:rPr>
        <w:t>（11）投标人（包括联合体所有成员）被列入各县级以上住房城乡建设主管部门建筑市场主体“黑名单”；</w:t>
      </w:r>
    </w:p>
    <w:p>
      <w:pPr>
        <w:spacing w:line="360" w:lineRule="auto"/>
        <w:ind w:firstLine="720" w:firstLineChars="300"/>
        <w:rPr>
          <w:rFonts w:ascii="宋体" w:hAnsi="宋体"/>
          <w:color w:val="auto"/>
          <w:sz w:val="24"/>
        </w:rPr>
      </w:pPr>
      <w:r>
        <w:rPr>
          <w:rFonts w:hint="eastAsia" w:ascii="宋体" w:hAnsi="宋体"/>
          <w:color w:val="auto"/>
          <w:sz w:val="24"/>
        </w:rPr>
        <w:t>（12）本公司（包括联合体所有成员）、本公司（包括联合体所有成员）</w:t>
      </w:r>
      <w:r>
        <w:rPr>
          <w:rFonts w:ascii="宋体" w:hAnsi="宋体"/>
          <w:color w:val="auto"/>
          <w:sz w:val="24"/>
        </w:rPr>
        <w:t>法定代表人及本工程</w:t>
      </w:r>
      <w:r>
        <w:rPr>
          <w:rFonts w:hint="eastAsia" w:ascii="宋体" w:hAnsi="宋体"/>
          <w:color w:val="auto"/>
          <w:sz w:val="24"/>
        </w:rPr>
        <w:t>总监理工程师此前（从项目招标公告发出之日起计）三年内有</w:t>
      </w:r>
      <w:r>
        <w:rPr>
          <w:rFonts w:ascii="宋体" w:hAnsi="宋体"/>
          <w:color w:val="auto"/>
          <w:sz w:val="24"/>
        </w:rPr>
        <w:t>行贿犯罪</w:t>
      </w:r>
      <w:r>
        <w:rPr>
          <w:rFonts w:hint="eastAsia" w:ascii="宋体" w:hAnsi="宋体"/>
          <w:color w:val="auto"/>
          <w:sz w:val="24"/>
        </w:rPr>
        <w:t>行为。</w:t>
      </w:r>
    </w:p>
    <w:p>
      <w:pPr>
        <w:tabs>
          <w:tab w:val="left" w:pos="105"/>
        </w:tabs>
        <w:autoSpaceDE w:val="0"/>
        <w:autoSpaceDN w:val="0"/>
        <w:adjustRightInd w:val="0"/>
        <w:spacing w:before="120" w:line="360" w:lineRule="auto"/>
        <w:ind w:firstLine="480"/>
        <w:rPr>
          <w:rFonts w:ascii="宋体" w:hAnsi="宋体" w:cs="宋体"/>
          <w:b/>
          <w:bCs/>
          <w:color w:val="auto"/>
          <w:sz w:val="24"/>
          <w:lang w:val="zh-CN"/>
        </w:rPr>
      </w:pPr>
      <w:r>
        <w:rPr>
          <w:rFonts w:ascii="宋体" w:hAnsi="宋体" w:cs="宋体"/>
          <w:b/>
          <w:bCs/>
          <w:color w:val="auto"/>
          <w:sz w:val="24"/>
          <w:lang w:val="zh-CN"/>
        </w:rPr>
        <w:t>5</w:t>
      </w:r>
      <w:r>
        <w:rPr>
          <w:rFonts w:hint="eastAsia" w:ascii="宋体" w:hAnsi="宋体" w:cs="宋体"/>
          <w:b/>
          <w:bCs/>
          <w:color w:val="auto"/>
          <w:sz w:val="24"/>
          <w:lang w:val="zh-CN"/>
        </w:rPr>
        <w:t>．踏勘现场</w:t>
      </w:r>
    </w:p>
    <w:p>
      <w:pPr>
        <w:autoSpaceDE w:val="0"/>
        <w:autoSpaceDN w:val="0"/>
        <w:adjustRightInd w:val="0"/>
        <w:spacing w:line="360" w:lineRule="auto"/>
        <w:ind w:left="-1" w:firstLine="480"/>
        <w:rPr>
          <w:rFonts w:ascii="宋体" w:hAnsi="宋体" w:cs="宋体"/>
          <w:color w:val="auto"/>
          <w:sz w:val="24"/>
          <w:u w:val="single"/>
          <w:lang w:val="zh-CN"/>
        </w:rPr>
      </w:pPr>
      <w:r>
        <w:rPr>
          <w:rFonts w:ascii="宋体" w:hAnsi="宋体" w:cs="宋体"/>
          <w:color w:val="auto"/>
          <w:sz w:val="24"/>
          <w:lang w:val="zh-CN"/>
        </w:rPr>
        <w:t xml:space="preserve">5.1 </w:t>
      </w:r>
      <w:r>
        <w:rPr>
          <w:rFonts w:hint="eastAsia" w:ascii="宋体" w:hAnsi="宋体" w:cs="宋体"/>
          <w:color w:val="auto"/>
          <w:sz w:val="24"/>
          <w:lang w:val="zh-CN"/>
        </w:rPr>
        <w:t>投标人应按投标人须知前附表</w:t>
      </w:r>
      <w:r>
        <w:rPr>
          <w:rFonts w:hint="eastAsia" w:ascii="宋体" w:hAnsi="宋体" w:cs="宋体"/>
          <w:color w:val="auto"/>
          <w:sz w:val="24"/>
          <w:highlight w:val="none"/>
          <w:lang w:val="zh-CN"/>
        </w:rPr>
        <w:t>第</w:t>
      </w:r>
      <w:r>
        <w:rPr>
          <w:rFonts w:hint="eastAsia" w:ascii="宋体" w:hAnsi="宋体" w:cs="宋体"/>
          <w:color w:val="auto"/>
          <w:sz w:val="24"/>
          <w:highlight w:val="none"/>
          <w:lang w:val="en-US" w:eastAsia="zh-CN"/>
        </w:rPr>
        <w:t>19</w:t>
      </w:r>
      <w:r>
        <w:rPr>
          <w:rFonts w:hint="eastAsia" w:ascii="宋体" w:hAnsi="宋体" w:cs="宋体"/>
          <w:color w:val="auto"/>
          <w:sz w:val="24"/>
          <w:highlight w:val="none"/>
          <w:lang w:val="zh-CN"/>
        </w:rPr>
        <w:t>项</w:t>
      </w:r>
      <w:r>
        <w:rPr>
          <w:rFonts w:hint="eastAsia" w:ascii="宋体" w:hAnsi="宋体" w:cs="宋体"/>
          <w:color w:val="auto"/>
          <w:sz w:val="24"/>
          <w:lang w:val="zh-CN"/>
        </w:rPr>
        <w:t>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pPr>
        <w:tabs>
          <w:tab w:val="left" w:pos="105"/>
        </w:tabs>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 xml:space="preserve">5.2 </w:t>
      </w:r>
      <w:r>
        <w:rPr>
          <w:rFonts w:hint="eastAsia" w:ascii="宋体" w:hAnsi="宋体" w:cs="宋体"/>
          <w:color w:val="auto"/>
          <w:sz w:val="24"/>
          <w:lang w:val="zh-CN"/>
        </w:rPr>
        <w:t>招标人向投标人提供的有关现场的数据和资料，是招标人现有的能被投标人利用的资料，招标人对投标人做出的任何推论、理解和结论均不负责任。</w:t>
      </w:r>
    </w:p>
    <w:p>
      <w:pPr>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 xml:space="preserve">5.3 </w:t>
      </w:r>
      <w:r>
        <w:rPr>
          <w:rFonts w:hint="eastAsia" w:ascii="宋体" w:hAnsi="宋体" w:cs="宋体"/>
          <w:color w:val="auto"/>
          <w:sz w:val="24"/>
          <w:lang w:val="zh-CN"/>
        </w:rPr>
        <w:t>经招标人允许，投标人可为踏勘目的进入招标人的项目现场，投标人及其代表必须承担那些进入现场后，由于他们的行为所造成的人身伤害（不管是否致命）、财产损失或损坏，以及其他任何原因造成的损失、损坏或费用。招标人在投标人及其代表考察过程中不负任何责任。但投标人不得因此使招标人承担有关的责任和蒙受损失。投标人应承担踏勘现场的责任和风险。</w:t>
      </w:r>
    </w:p>
    <w:p>
      <w:pPr>
        <w:tabs>
          <w:tab w:val="left" w:pos="105"/>
        </w:tabs>
        <w:autoSpaceDE w:val="0"/>
        <w:autoSpaceDN w:val="0"/>
        <w:adjustRightInd w:val="0"/>
        <w:spacing w:before="120" w:line="360" w:lineRule="auto"/>
        <w:ind w:firstLine="480"/>
        <w:rPr>
          <w:rFonts w:ascii="宋体" w:hAnsi="宋体" w:cs="宋体"/>
          <w:b/>
          <w:bCs/>
          <w:color w:val="auto"/>
          <w:sz w:val="24"/>
          <w:lang w:val="zh-CN"/>
        </w:rPr>
      </w:pPr>
      <w:r>
        <w:rPr>
          <w:rFonts w:ascii="宋体" w:hAnsi="宋体" w:cs="宋体"/>
          <w:b/>
          <w:bCs/>
          <w:color w:val="auto"/>
          <w:sz w:val="24"/>
          <w:lang w:val="zh-CN"/>
        </w:rPr>
        <w:t>6</w:t>
      </w:r>
      <w:r>
        <w:rPr>
          <w:rFonts w:hint="eastAsia" w:ascii="宋体" w:hAnsi="宋体" w:cs="宋体"/>
          <w:b/>
          <w:bCs/>
          <w:color w:val="auto"/>
          <w:sz w:val="24"/>
          <w:lang w:val="zh-CN"/>
        </w:rPr>
        <w:t>．投标费用</w:t>
      </w:r>
    </w:p>
    <w:p>
      <w:pPr>
        <w:tabs>
          <w:tab w:val="left" w:pos="105"/>
        </w:tabs>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6.1</w:t>
      </w:r>
      <w:r>
        <w:rPr>
          <w:rFonts w:hint="eastAsia" w:ascii="宋体" w:hAnsi="宋体" w:cs="宋体"/>
          <w:color w:val="auto"/>
          <w:sz w:val="24"/>
          <w:lang w:val="zh-CN"/>
        </w:rPr>
        <w:t xml:space="preserve"> 不论投标结果如何，投标人应承担获取招标文件等相关资料及其投标文件编制与递交所涉及的一切费用。</w:t>
      </w:r>
    </w:p>
    <w:p>
      <w:pPr>
        <w:tabs>
          <w:tab w:val="left" w:pos="105"/>
        </w:tabs>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 xml:space="preserve">6.2 </w:t>
      </w:r>
      <w:r>
        <w:rPr>
          <w:rFonts w:hint="eastAsia" w:ascii="宋体" w:hAnsi="宋体" w:cs="宋体"/>
          <w:color w:val="auto"/>
          <w:sz w:val="24"/>
          <w:lang w:val="zh-CN"/>
        </w:rPr>
        <w:t>投标人应承担其参加本招标活动自身所发生的其他一切费用，招标人对上述费用均不负任何责任。</w:t>
      </w:r>
    </w:p>
    <w:p>
      <w:pPr>
        <w:tabs>
          <w:tab w:val="left" w:pos="105"/>
        </w:tabs>
        <w:autoSpaceDE w:val="0"/>
        <w:autoSpaceDN w:val="0"/>
        <w:adjustRightInd w:val="0"/>
        <w:spacing w:before="240" w:line="360" w:lineRule="auto"/>
        <w:rPr>
          <w:rFonts w:ascii="宋体" w:hAnsi="宋体" w:cs="宋体"/>
          <w:b/>
          <w:bCs/>
          <w:color w:val="auto"/>
          <w:sz w:val="24"/>
          <w:lang w:val="zh-CN"/>
        </w:rPr>
      </w:pPr>
      <w:r>
        <w:rPr>
          <w:rFonts w:ascii="宋体" w:hAnsi="宋体" w:cs="宋体"/>
          <w:color w:val="auto"/>
          <w:sz w:val="24"/>
          <w:lang w:val="zh-CN"/>
        </w:rPr>
        <w:t xml:space="preserve">    </w:t>
      </w:r>
      <w:r>
        <w:rPr>
          <w:rFonts w:hint="eastAsia" w:ascii="宋体" w:hAnsi="宋体" w:cs="宋体"/>
          <w:color w:val="auto"/>
          <w:sz w:val="24"/>
          <w:lang w:val="zh-CN"/>
        </w:rPr>
        <w:t>（</w:t>
      </w:r>
      <w:r>
        <w:rPr>
          <w:rFonts w:hint="eastAsia" w:ascii="宋体" w:hAnsi="宋体" w:cs="宋体"/>
          <w:b/>
          <w:bCs/>
          <w:color w:val="auto"/>
          <w:sz w:val="24"/>
          <w:lang w:val="zh-CN"/>
        </w:rPr>
        <w:t>二）招标文件</w:t>
      </w:r>
    </w:p>
    <w:p>
      <w:pPr>
        <w:tabs>
          <w:tab w:val="left" w:pos="105"/>
        </w:tabs>
        <w:autoSpaceDE w:val="0"/>
        <w:autoSpaceDN w:val="0"/>
        <w:adjustRightInd w:val="0"/>
        <w:spacing w:before="120" w:line="360" w:lineRule="auto"/>
        <w:ind w:firstLine="480"/>
        <w:rPr>
          <w:rFonts w:ascii="宋体" w:hAnsi="宋体" w:cs="宋体"/>
          <w:b/>
          <w:bCs/>
          <w:color w:val="auto"/>
          <w:sz w:val="24"/>
          <w:lang w:val="zh-CN"/>
        </w:rPr>
      </w:pPr>
      <w:r>
        <w:rPr>
          <w:rFonts w:ascii="宋体" w:hAnsi="宋体" w:cs="宋体"/>
          <w:b/>
          <w:bCs/>
          <w:color w:val="auto"/>
          <w:sz w:val="24"/>
          <w:lang w:val="zh-CN"/>
        </w:rPr>
        <w:t>7.</w:t>
      </w:r>
      <w:r>
        <w:rPr>
          <w:rFonts w:hint="eastAsia" w:ascii="宋体" w:hAnsi="宋体" w:cs="宋体"/>
          <w:b/>
          <w:bCs/>
          <w:color w:val="auto"/>
          <w:sz w:val="24"/>
          <w:lang w:val="zh-CN"/>
        </w:rPr>
        <w:t>招标文件的组成</w:t>
      </w:r>
    </w:p>
    <w:p>
      <w:pPr>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7.1</w:t>
      </w:r>
      <w:r>
        <w:rPr>
          <w:rFonts w:hint="eastAsia" w:ascii="宋体" w:hAnsi="宋体" w:cs="宋体"/>
          <w:color w:val="auto"/>
          <w:sz w:val="24"/>
          <w:lang w:val="zh-CN"/>
        </w:rPr>
        <w:t>本招标文件包括下列文件，以及所有按投标人须知第</w:t>
      </w:r>
      <w:r>
        <w:rPr>
          <w:rFonts w:ascii="宋体" w:hAnsi="宋体" w:cs="宋体"/>
          <w:color w:val="auto"/>
          <w:sz w:val="24"/>
          <w:lang w:val="zh-CN"/>
        </w:rPr>
        <w:t>9</w:t>
      </w:r>
      <w:r>
        <w:rPr>
          <w:rFonts w:hint="eastAsia" w:ascii="宋体" w:hAnsi="宋体" w:cs="宋体"/>
          <w:color w:val="auto"/>
          <w:sz w:val="24"/>
          <w:lang w:val="zh-CN"/>
        </w:rPr>
        <w:t>条发出的补充通知：</w:t>
      </w:r>
    </w:p>
    <w:p>
      <w:pPr>
        <w:autoSpaceDE w:val="0"/>
        <w:autoSpaceDN w:val="0"/>
        <w:adjustRightInd w:val="0"/>
        <w:spacing w:line="360" w:lineRule="auto"/>
        <w:ind w:firstLine="960"/>
        <w:rPr>
          <w:rFonts w:ascii="宋体" w:hAnsi="宋体" w:cs="宋体"/>
          <w:color w:val="auto"/>
          <w:sz w:val="24"/>
          <w:lang w:val="zh-CN"/>
        </w:rPr>
      </w:pPr>
      <w:r>
        <w:rPr>
          <w:rFonts w:hint="eastAsia" w:ascii="宋体" w:hAnsi="宋体" w:cs="宋体"/>
          <w:color w:val="auto"/>
          <w:sz w:val="24"/>
          <w:lang w:val="zh-CN"/>
        </w:rPr>
        <w:t>第一章</w:t>
      </w:r>
      <w:r>
        <w:rPr>
          <w:rFonts w:ascii="宋体" w:hAnsi="宋体" w:cs="宋体"/>
          <w:color w:val="auto"/>
          <w:sz w:val="24"/>
          <w:lang w:val="zh-CN"/>
        </w:rPr>
        <w:t xml:space="preserve">  </w:t>
      </w:r>
      <w:r>
        <w:rPr>
          <w:rFonts w:hint="eastAsia" w:ascii="宋体" w:hAnsi="宋体" w:cs="宋体"/>
          <w:color w:val="auto"/>
          <w:sz w:val="24"/>
          <w:lang w:val="zh-CN"/>
        </w:rPr>
        <w:t>招标公告/投标邀请函</w:t>
      </w:r>
    </w:p>
    <w:p>
      <w:pPr>
        <w:autoSpaceDE w:val="0"/>
        <w:autoSpaceDN w:val="0"/>
        <w:adjustRightInd w:val="0"/>
        <w:spacing w:line="360" w:lineRule="auto"/>
        <w:ind w:firstLine="960"/>
        <w:rPr>
          <w:rFonts w:ascii="宋体" w:hAnsi="宋体" w:cs="宋体"/>
          <w:color w:val="auto"/>
          <w:sz w:val="24"/>
          <w:lang w:val="zh-CN"/>
        </w:rPr>
      </w:pPr>
      <w:r>
        <w:rPr>
          <w:rFonts w:hint="eastAsia" w:ascii="宋体" w:hAnsi="宋体" w:cs="宋体"/>
          <w:color w:val="auto"/>
          <w:sz w:val="24"/>
          <w:lang w:val="zh-CN"/>
        </w:rPr>
        <w:t>第二章</w:t>
      </w:r>
      <w:r>
        <w:rPr>
          <w:rFonts w:ascii="宋体" w:hAnsi="宋体" w:cs="宋体"/>
          <w:color w:val="auto"/>
          <w:sz w:val="24"/>
          <w:lang w:val="zh-CN"/>
        </w:rPr>
        <w:t xml:space="preserve">  </w:t>
      </w:r>
      <w:r>
        <w:rPr>
          <w:rFonts w:hint="eastAsia" w:ascii="宋体" w:hAnsi="宋体" w:cs="宋体"/>
          <w:color w:val="auto"/>
          <w:sz w:val="24"/>
          <w:lang w:val="zh-CN"/>
        </w:rPr>
        <w:t>投标人须知及前附表</w:t>
      </w:r>
    </w:p>
    <w:p>
      <w:pPr>
        <w:autoSpaceDE w:val="0"/>
        <w:autoSpaceDN w:val="0"/>
        <w:adjustRightInd w:val="0"/>
        <w:spacing w:line="360" w:lineRule="auto"/>
        <w:ind w:firstLine="960"/>
        <w:rPr>
          <w:rFonts w:ascii="宋体" w:hAnsi="宋体" w:cs="宋体"/>
          <w:color w:val="auto"/>
          <w:sz w:val="24"/>
          <w:lang w:val="zh-CN"/>
        </w:rPr>
      </w:pPr>
      <w:r>
        <w:rPr>
          <w:rFonts w:hint="eastAsia" w:ascii="宋体" w:hAnsi="宋体" w:cs="宋体"/>
          <w:color w:val="auto"/>
          <w:sz w:val="24"/>
          <w:lang w:val="zh-CN"/>
        </w:rPr>
        <w:t>第三章</w:t>
      </w:r>
      <w:r>
        <w:rPr>
          <w:rFonts w:ascii="宋体" w:hAnsi="宋体" w:cs="宋体"/>
          <w:color w:val="auto"/>
          <w:sz w:val="24"/>
          <w:lang w:val="zh-CN"/>
        </w:rPr>
        <w:t xml:space="preserve">  </w:t>
      </w:r>
      <w:r>
        <w:rPr>
          <w:rFonts w:hint="eastAsia" w:ascii="宋体" w:hAnsi="宋体" w:cs="宋体"/>
          <w:color w:val="auto"/>
          <w:sz w:val="24"/>
          <w:lang w:val="zh-CN"/>
        </w:rPr>
        <w:t>监理合同</w:t>
      </w:r>
    </w:p>
    <w:p>
      <w:pPr>
        <w:autoSpaceDE w:val="0"/>
        <w:autoSpaceDN w:val="0"/>
        <w:adjustRightInd w:val="0"/>
        <w:spacing w:line="360" w:lineRule="auto"/>
        <w:ind w:firstLine="960"/>
        <w:rPr>
          <w:rFonts w:ascii="宋体" w:hAnsi="宋体" w:cs="宋体"/>
          <w:color w:val="auto"/>
          <w:sz w:val="24"/>
          <w:lang w:val="zh-CN"/>
        </w:rPr>
      </w:pPr>
      <w:r>
        <w:rPr>
          <w:rFonts w:hint="eastAsia" w:ascii="宋体" w:hAnsi="宋体" w:cs="宋体"/>
          <w:color w:val="auto"/>
          <w:sz w:val="24"/>
          <w:lang w:val="zh-CN"/>
        </w:rPr>
        <w:t>第四章</w:t>
      </w:r>
      <w:r>
        <w:rPr>
          <w:rFonts w:ascii="宋体" w:hAnsi="宋体" w:cs="宋体"/>
          <w:color w:val="auto"/>
          <w:sz w:val="24"/>
          <w:lang w:val="zh-CN"/>
        </w:rPr>
        <w:t xml:space="preserve">  </w:t>
      </w:r>
      <w:r>
        <w:rPr>
          <w:rFonts w:hint="eastAsia" w:ascii="宋体" w:hAnsi="宋体" w:cs="宋体"/>
          <w:color w:val="auto"/>
          <w:sz w:val="24"/>
          <w:lang w:val="zh-CN"/>
        </w:rPr>
        <w:t>投标格式文件</w:t>
      </w:r>
    </w:p>
    <w:p>
      <w:pPr>
        <w:autoSpaceDE w:val="0"/>
        <w:autoSpaceDN w:val="0"/>
        <w:adjustRightInd w:val="0"/>
        <w:spacing w:line="360" w:lineRule="auto"/>
        <w:ind w:firstLine="960"/>
        <w:rPr>
          <w:rFonts w:ascii="宋体" w:hAnsi="宋体" w:cs="宋体"/>
          <w:color w:val="auto"/>
          <w:sz w:val="24"/>
          <w:lang w:val="zh-CN"/>
        </w:rPr>
      </w:pPr>
      <w:r>
        <w:rPr>
          <w:rFonts w:hint="eastAsia" w:ascii="宋体" w:hAnsi="宋体" w:cs="宋体"/>
          <w:color w:val="auto"/>
          <w:sz w:val="24"/>
          <w:lang w:val="zh-CN"/>
        </w:rPr>
        <w:t>第五章</w:t>
      </w:r>
      <w:r>
        <w:rPr>
          <w:rFonts w:ascii="宋体" w:hAnsi="宋体" w:cs="宋体"/>
          <w:color w:val="auto"/>
          <w:sz w:val="24"/>
          <w:lang w:val="zh-CN"/>
        </w:rPr>
        <w:t xml:space="preserve">  </w:t>
      </w:r>
      <w:r>
        <w:rPr>
          <w:rFonts w:hint="eastAsia" w:ascii="宋体" w:hAnsi="宋体" w:cs="宋体"/>
          <w:color w:val="auto"/>
          <w:sz w:val="24"/>
          <w:lang w:val="zh-CN"/>
        </w:rPr>
        <w:t>评标办法</w:t>
      </w:r>
    </w:p>
    <w:p>
      <w:pPr>
        <w:autoSpaceDE w:val="0"/>
        <w:autoSpaceDN w:val="0"/>
        <w:adjustRightInd w:val="0"/>
        <w:spacing w:line="360" w:lineRule="auto"/>
        <w:ind w:firstLine="480"/>
        <w:rPr>
          <w:rFonts w:ascii="宋体" w:hAnsi="宋体" w:cs="宋体"/>
          <w:color w:val="auto"/>
          <w:sz w:val="24"/>
          <w:lang w:val="zh-CN"/>
        </w:rPr>
      </w:pPr>
      <w:r>
        <w:rPr>
          <w:rFonts w:ascii="宋体" w:hAnsi="宋体" w:cs="宋体"/>
          <w:color w:val="auto"/>
          <w:sz w:val="24"/>
          <w:lang w:val="zh-CN"/>
        </w:rPr>
        <w:t xml:space="preserve">7.2 </w:t>
      </w:r>
      <w:r>
        <w:rPr>
          <w:rFonts w:hint="eastAsia" w:ascii="宋体" w:hAnsi="宋体" w:cs="宋体"/>
          <w:color w:val="auto"/>
          <w:sz w:val="24"/>
          <w:lang w:val="zh-CN"/>
        </w:rPr>
        <w:t>除</w:t>
      </w:r>
      <w:r>
        <w:rPr>
          <w:rFonts w:ascii="宋体" w:hAnsi="宋体" w:cs="宋体"/>
          <w:color w:val="auto"/>
          <w:sz w:val="24"/>
          <w:lang w:val="zh-CN"/>
        </w:rPr>
        <w:t>7.1</w:t>
      </w:r>
      <w:r>
        <w:rPr>
          <w:rFonts w:hint="eastAsia" w:ascii="宋体" w:hAnsi="宋体" w:cs="宋体"/>
          <w:color w:val="auto"/>
          <w:sz w:val="24"/>
          <w:lang w:val="zh-CN"/>
        </w:rPr>
        <w:t>内容外，招标人在提交投标文件截止时间</w:t>
      </w:r>
      <w:r>
        <w:rPr>
          <w:rFonts w:hint="eastAsia" w:ascii="宋体" w:hAnsi="宋体" w:cs="宋体"/>
          <w:color w:val="auto"/>
          <w:sz w:val="24"/>
          <w:u w:val="single"/>
          <w:lang w:val="zh-CN"/>
        </w:rPr>
        <w:t xml:space="preserve"> </w:t>
      </w:r>
      <w:r>
        <w:rPr>
          <w:rFonts w:hint="eastAsia" w:ascii="宋体" w:hAnsi="宋体" w:cs="宋体"/>
          <w:b/>
          <w:bCs/>
          <w:color w:val="auto"/>
          <w:sz w:val="24"/>
          <w:u w:val="single"/>
          <w:lang w:val="zh-CN"/>
        </w:rPr>
        <w:t xml:space="preserve">15 </w:t>
      </w:r>
      <w:r>
        <w:rPr>
          <w:rFonts w:hint="eastAsia" w:ascii="宋体" w:hAnsi="宋体" w:cs="宋体"/>
          <w:color w:val="auto"/>
          <w:sz w:val="24"/>
          <w:lang w:val="zh-CN"/>
        </w:rPr>
        <w:t>天前，在本项目</w:t>
      </w:r>
      <w:r>
        <w:rPr>
          <w:rFonts w:hint="eastAsia" w:ascii="宋体" w:hAnsi="宋体" w:cs="宋体"/>
          <w:color w:val="auto"/>
          <w:sz w:val="24"/>
        </w:rPr>
        <w:t>发布招标文件所在的电子招标投标交易平台</w:t>
      </w:r>
      <w:r>
        <w:rPr>
          <w:rFonts w:hint="eastAsia" w:ascii="宋体" w:hAnsi="宋体" w:cs="宋体"/>
          <w:color w:val="auto"/>
          <w:sz w:val="24"/>
          <w:lang w:val="zh-CN"/>
        </w:rPr>
        <w:t>以公开形式发布的对招标文件的澄清或修改内容，均为招标文件的组成部分，对招标人和投标人起约束作用。</w:t>
      </w:r>
    </w:p>
    <w:p>
      <w:pPr>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 xml:space="preserve">7.3 </w:t>
      </w:r>
      <w:r>
        <w:rPr>
          <w:rFonts w:hint="eastAsia" w:ascii="宋体" w:hAnsi="宋体" w:cs="宋体"/>
          <w:color w:val="auto"/>
          <w:sz w:val="24"/>
          <w:lang w:val="zh-CN"/>
        </w:rPr>
        <w:t>投标人获取招标文件后，应仔细检查招标文件的所有内容，如有残缺等问题应在获得招标文件</w:t>
      </w:r>
      <w:r>
        <w:rPr>
          <w:rFonts w:ascii="宋体" w:hAnsi="宋体" w:cs="宋体"/>
          <w:color w:val="auto"/>
          <w:sz w:val="24"/>
          <w:lang w:val="zh-CN"/>
        </w:rPr>
        <w:t>3</w:t>
      </w:r>
      <w:r>
        <w:rPr>
          <w:rFonts w:hint="eastAsia" w:ascii="宋体" w:hAnsi="宋体" w:cs="宋体"/>
          <w:color w:val="auto"/>
          <w:sz w:val="24"/>
          <w:lang w:val="zh-CN"/>
        </w:rPr>
        <w:t>日内向招标人提出，否则，由此引起的损失由投标人自己承担。投标人同时应认真审阅招标文件中所有的事项、格式、条款和规范要求等，若投标人的投标文件没有按招标文件要求提交全部资料，或投标文件实质上没有响应招标文件的要求，招标人将有权予以拒绝，并且不允许投标人通过修改或撤消其不符合要求的差异或保留使之成为具有响应性的投标文件。</w:t>
      </w:r>
    </w:p>
    <w:p>
      <w:pPr>
        <w:autoSpaceDE w:val="0"/>
        <w:autoSpaceDN w:val="0"/>
        <w:adjustRightInd w:val="0"/>
        <w:spacing w:before="120" w:line="360" w:lineRule="auto"/>
        <w:ind w:firstLine="480"/>
        <w:rPr>
          <w:rFonts w:ascii="宋体" w:hAnsi="宋体" w:cs="宋体"/>
          <w:b/>
          <w:bCs/>
          <w:color w:val="auto"/>
          <w:sz w:val="24"/>
          <w:lang w:val="zh-CN"/>
        </w:rPr>
      </w:pPr>
      <w:r>
        <w:rPr>
          <w:rFonts w:ascii="宋体" w:hAnsi="宋体" w:cs="宋体"/>
          <w:b/>
          <w:bCs/>
          <w:color w:val="auto"/>
          <w:sz w:val="24"/>
          <w:lang w:val="zh-CN"/>
        </w:rPr>
        <w:t>8</w:t>
      </w:r>
      <w:r>
        <w:rPr>
          <w:rFonts w:hint="eastAsia" w:ascii="宋体" w:hAnsi="宋体" w:cs="宋体"/>
          <w:b/>
          <w:bCs/>
          <w:color w:val="auto"/>
          <w:sz w:val="24"/>
          <w:lang w:val="zh-CN"/>
        </w:rPr>
        <w:t>．招标答疑</w:t>
      </w:r>
    </w:p>
    <w:p>
      <w:pPr>
        <w:autoSpaceDE w:val="0"/>
        <w:autoSpaceDN w:val="0"/>
        <w:adjustRightInd w:val="0"/>
        <w:spacing w:line="360" w:lineRule="auto"/>
        <w:ind w:firstLine="480" w:firstLineChars="200"/>
        <w:rPr>
          <w:rFonts w:ascii="宋体" w:hAnsi="宋体" w:cs="宋体"/>
          <w:color w:val="auto"/>
          <w:sz w:val="24"/>
          <w:lang w:val="zh-CN"/>
        </w:rPr>
      </w:pPr>
      <w:r>
        <w:rPr>
          <w:rFonts w:ascii="宋体" w:hAnsi="宋体" w:cs="宋体"/>
          <w:color w:val="auto"/>
          <w:sz w:val="24"/>
          <w:lang w:val="zh-CN"/>
        </w:rPr>
        <w:t xml:space="preserve">8.1 </w:t>
      </w:r>
      <w:r>
        <w:rPr>
          <w:rFonts w:hint="eastAsia" w:ascii="宋体" w:hAnsi="宋体" w:cs="宋体"/>
          <w:color w:val="auto"/>
          <w:sz w:val="24"/>
          <w:lang w:val="zh-CN"/>
        </w:rPr>
        <w:t>投标人若对招标文件（包括招标图纸）中有疑问，可</w:t>
      </w:r>
      <w:r>
        <w:rPr>
          <w:rFonts w:hint="eastAsia" w:ascii="宋体" w:hAnsi="宋体" w:cs="宋体"/>
          <w:color w:val="auto"/>
          <w:sz w:val="24"/>
        </w:rPr>
        <w:t>通过发布招标文件所在的电子招标投标交易平台发送</w:t>
      </w:r>
      <w:r>
        <w:rPr>
          <w:rFonts w:hint="eastAsia" w:ascii="宋体" w:hAnsi="宋体" w:cs="宋体"/>
          <w:color w:val="auto"/>
          <w:sz w:val="24"/>
          <w:lang w:val="zh-CN"/>
        </w:rPr>
        <w:t>提交给招标人或招标代理人，提交截止时间见投标人须知前附表第20项要求。招标人或招标代理人将于投标人须知前附表第20项指定的平台对疑问进行答复。</w:t>
      </w:r>
    </w:p>
    <w:p>
      <w:pPr>
        <w:autoSpaceDE w:val="0"/>
        <w:autoSpaceDN w:val="0"/>
        <w:adjustRightInd w:val="0"/>
        <w:spacing w:line="360" w:lineRule="auto"/>
        <w:ind w:firstLine="480" w:firstLineChars="200"/>
        <w:rPr>
          <w:rFonts w:ascii="宋体" w:hAnsi="宋体" w:cs="宋体"/>
          <w:color w:val="auto"/>
          <w:sz w:val="24"/>
          <w:lang w:val="zh-CN"/>
        </w:rPr>
      </w:pPr>
      <w:r>
        <w:rPr>
          <w:rFonts w:ascii="宋体" w:hAnsi="宋体" w:cs="宋体"/>
          <w:color w:val="auto"/>
          <w:sz w:val="24"/>
          <w:lang w:val="zh-CN"/>
        </w:rPr>
        <w:t xml:space="preserve">8.2 </w:t>
      </w:r>
      <w:r>
        <w:rPr>
          <w:rFonts w:hint="eastAsia" w:ascii="宋体" w:hAnsi="宋体" w:cs="宋体"/>
          <w:color w:val="auto"/>
          <w:sz w:val="24"/>
          <w:lang w:val="zh-CN"/>
        </w:rPr>
        <w:t>招标答疑文件将在本项目</w:t>
      </w:r>
      <w:r>
        <w:rPr>
          <w:rFonts w:hint="eastAsia" w:ascii="宋体" w:hAnsi="宋体" w:cs="宋体"/>
          <w:color w:val="auto"/>
          <w:sz w:val="24"/>
        </w:rPr>
        <w:t>发布招标文件所在的电子招标投标交易平台</w:t>
      </w:r>
      <w:r>
        <w:rPr>
          <w:rFonts w:hint="eastAsia" w:ascii="宋体" w:hAnsi="宋体" w:cs="宋体"/>
          <w:color w:val="auto"/>
          <w:sz w:val="24"/>
          <w:lang w:val="zh-CN"/>
        </w:rPr>
        <w:t>以公开形式答复给所有投标人，投标人应随时关注本项目</w:t>
      </w:r>
      <w:r>
        <w:rPr>
          <w:rFonts w:hint="eastAsia" w:ascii="宋体" w:hAnsi="宋体" w:cs="宋体"/>
          <w:color w:val="auto"/>
          <w:sz w:val="24"/>
        </w:rPr>
        <w:t>发布招标文件所在的电子招标投标交易平台，以便及时收到</w:t>
      </w:r>
      <w:r>
        <w:rPr>
          <w:rFonts w:hint="eastAsia" w:ascii="宋体" w:hAnsi="宋体" w:cs="宋体"/>
          <w:color w:val="auto"/>
          <w:sz w:val="24"/>
          <w:lang w:val="zh-CN"/>
        </w:rPr>
        <w:t>答疑信息。答疑文件将作为招标文件的一部分，视为签订合同和结算的依据。</w:t>
      </w:r>
    </w:p>
    <w:p>
      <w:pPr>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 xml:space="preserve">8.3 </w:t>
      </w:r>
      <w:r>
        <w:rPr>
          <w:rFonts w:hint="eastAsia" w:ascii="宋体" w:hAnsi="宋体" w:cs="宋体"/>
          <w:color w:val="auto"/>
          <w:sz w:val="24"/>
          <w:lang w:val="zh-CN"/>
        </w:rPr>
        <w:t>若招标答疑文件与招标文件有矛盾，以最后在本项目</w:t>
      </w:r>
      <w:r>
        <w:rPr>
          <w:rFonts w:hint="eastAsia" w:ascii="宋体" w:hAnsi="宋体" w:cs="宋体"/>
          <w:color w:val="auto"/>
          <w:sz w:val="24"/>
        </w:rPr>
        <w:t>发布招标文件所在的电子招标投标交易平台</w:t>
      </w:r>
      <w:r>
        <w:rPr>
          <w:rFonts w:hint="eastAsia" w:ascii="宋体" w:hAnsi="宋体" w:cs="宋体"/>
          <w:color w:val="auto"/>
          <w:sz w:val="24"/>
          <w:lang w:val="zh-CN"/>
        </w:rPr>
        <w:t>以公开形式发出的答疑文件为准。</w:t>
      </w:r>
    </w:p>
    <w:p>
      <w:pPr>
        <w:autoSpaceDE w:val="0"/>
        <w:autoSpaceDN w:val="0"/>
        <w:adjustRightInd w:val="0"/>
        <w:spacing w:line="360" w:lineRule="auto"/>
        <w:ind w:left="-1" w:firstLine="480"/>
        <w:rPr>
          <w:rFonts w:ascii="宋体" w:hAnsi="宋体" w:cs="宋体"/>
          <w:color w:val="auto"/>
          <w:sz w:val="24"/>
          <w:lang w:val="zh-CN"/>
        </w:rPr>
      </w:pPr>
      <w:r>
        <w:rPr>
          <w:rFonts w:hint="eastAsia" w:ascii="宋体" w:hAnsi="宋体" w:cs="宋体"/>
          <w:color w:val="auto"/>
          <w:sz w:val="24"/>
          <w:lang w:val="zh-CN"/>
        </w:rPr>
        <w:t>8.4投标人提出</w:t>
      </w:r>
      <w:r>
        <w:rPr>
          <w:rFonts w:hint="eastAsia" w:ascii="宋体" w:hAnsi="宋体"/>
          <w:color w:val="auto"/>
          <w:sz w:val="24"/>
        </w:rPr>
        <w:t>问题（质疑、异议）、要求澄清</w:t>
      </w:r>
      <w:r>
        <w:rPr>
          <w:rFonts w:hint="eastAsia" w:ascii="宋体" w:hAnsi="宋体" w:cs="宋体"/>
          <w:color w:val="auto"/>
          <w:sz w:val="24"/>
          <w:lang w:val="zh-CN"/>
        </w:rPr>
        <w:t>截止时间后，招标人不再接受投标人提出的</w:t>
      </w:r>
      <w:r>
        <w:rPr>
          <w:rFonts w:hint="eastAsia" w:ascii="宋体" w:hAnsi="宋体"/>
          <w:color w:val="auto"/>
          <w:sz w:val="24"/>
        </w:rPr>
        <w:t>问题（质疑、异议）、要求澄清的要求</w:t>
      </w:r>
      <w:r>
        <w:rPr>
          <w:rFonts w:hint="eastAsia" w:ascii="宋体" w:hAnsi="宋体" w:cs="宋体"/>
          <w:color w:val="auto"/>
          <w:sz w:val="24"/>
          <w:lang w:val="zh-CN"/>
        </w:rPr>
        <w:t>。</w:t>
      </w:r>
    </w:p>
    <w:p>
      <w:pPr>
        <w:autoSpaceDE w:val="0"/>
        <w:autoSpaceDN w:val="0"/>
        <w:adjustRightInd w:val="0"/>
        <w:spacing w:before="120" w:line="360" w:lineRule="auto"/>
        <w:ind w:firstLine="480"/>
        <w:rPr>
          <w:rFonts w:ascii="宋体" w:hAnsi="宋体" w:cs="宋体"/>
          <w:b/>
          <w:bCs/>
          <w:color w:val="auto"/>
          <w:sz w:val="24"/>
          <w:lang w:val="zh-CN"/>
        </w:rPr>
      </w:pPr>
      <w:r>
        <w:rPr>
          <w:rFonts w:ascii="宋体" w:hAnsi="宋体" w:cs="宋体"/>
          <w:b/>
          <w:bCs/>
          <w:color w:val="auto"/>
          <w:sz w:val="24"/>
          <w:lang w:val="zh-CN"/>
        </w:rPr>
        <w:t>9.</w:t>
      </w:r>
      <w:r>
        <w:rPr>
          <w:rFonts w:hint="eastAsia" w:ascii="宋体" w:hAnsi="宋体" w:cs="宋体"/>
          <w:b/>
          <w:bCs/>
          <w:color w:val="auto"/>
          <w:sz w:val="24"/>
          <w:lang w:val="zh-CN"/>
        </w:rPr>
        <w:t>招标文件的澄清与修改</w:t>
      </w:r>
    </w:p>
    <w:p>
      <w:pPr>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9.1</w:t>
      </w:r>
      <w:r>
        <w:rPr>
          <w:rFonts w:hint="eastAsia" w:ascii="宋体" w:hAnsi="宋体" w:cs="宋体"/>
          <w:color w:val="auto"/>
          <w:sz w:val="24"/>
          <w:lang w:val="zh-CN"/>
        </w:rPr>
        <w:t xml:space="preserve"> 招标文件发出后</w:t>
      </w:r>
      <w:r>
        <w:rPr>
          <w:rFonts w:ascii="宋体" w:hAnsi="宋体" w:cs="宋体"/>
          <w:color w:val="auto"/>
          <w:sz w:val="24"/>
          <w:lang w:val="zh-CN"/>
        </w:rPr>
        <w:t>,</w:t>
      </w:r>
      <w:r>
        <w:rPr>
          <w:rFonts w:hint="eastAsia" w:ascii="宋体" w:hAnsi="宋体" w:cs="宋体"/>
          <w:color w:val="auto"/>
          <w:sz w:val="24"/>
          <w:lang w:val="zh-CN"/>
        </w:rPr>
        <w:t>在提交投标文件截止时间</w:t>
      </w:r>
      <w:r>
        <w:rPr>
          <w:rFonts w:ascii="宋体" w:hAnsi="宋体" w:cs="宋体"/>
          <w:b/>
          <w:bCs/>
          <w:color w:val="auto"/>
          <w:sz w:val="24"/>
          <w:u w:val="single"/>
          <w:lang w:val="zh-CN"/>
        </w:rPr>
        <w:t xml:space="preserve"> </w:t>
      </w:r>
      <w:r>
        <w:rPr>
          <w:rFonts w:hint="eastAsia" w:ascii="宋体" w:hAnsi="宋体" w:cs="宋体"/>
          <w:b/>
          <w:bCs/>
          <w:color w:val="auto"/>
          <w:sz w:val="24"/>
          <w:u w:val="single"/>
          <w:lang w:val="zh-CN"/>
        </w:rPr>
        <w:t xml:space="preserve">15 </w:t>
      </w:r>
      <w:r>
        <w:rPr>
          <w:rFonts w:hint="eastAsia" w:ascii="宋体" w:hAnsi="宋体" w:cs="宋体"/>
          <w:color w:val="auto"/>
          <w:sz w:val="24"/>
          <w:lang w:val="zh-CN"/>
        </w:rPr>
        <w:t>日前，招标人可对招标文件进行必要的澄清或修改。</w:t>
      </w:r>
    </w:p>
    <w:p>
      <w:pPr>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9.2</w:t>
      </w:r>
      <w:r>
        <w:rPr>
          <w:rFonts w:hint="eastAsia" w:ascii="宋体" w:hAnsi="宋体" w:cs="宋体"/>
          <w:color w:val="auto"/>
          <w:sz w:val="24"/>
          <w:lang w:val="zh-CN"/>
        </w:rPr>
        <w:t xml:space="preserve"> 招标文件的修改将以公开形式在本项目</w:t>
      </w:r>
      <w:r>
        <w:rPr>
          <w:rFonts w:hint="eastAsia" w:ascii="宋体" w:hAnsi="宋体" w:cs="宋体"/>
          <w:color w:val="auto"/>
          <w:sz w:val="24"/>
        </w:rPr>
        <w:t>发布招标文件所在的电子招标投标交易平台</w:t>
      </w:r>
      <w:r>
        <w:rPr>
          <w:rFonts w:hint="eastAsia" w:ascii="宋体" w:hAnsi="宋体" w:cs="宋体"/>
          <w:color w:val="auto"/>
          <w:sz w:val="24"/>
          <w:lang w:val="zh-CN"/>
        </w:rPr>
        <w:t>发布，投标人应随时关注本项目</w:t>
      </w:r>
      <w:r>
        <w:rPr>
          <w:rFonts w:hint="eastAsia" w:ascii="宋体" w:hAnsi="宋体" w:cs="宋体"/>
          <w:color w:val="auto"/>
          <w:sz w:val="24"/>
        </w:rPr>
        <w:t>发布招标文件所在的电子招标投标交易平台，以便及时收到</w:t>
      </w:r>
      <w:r>
        <w:rPr>
          <w:rFonts w:hint="eastAsia" w:ascii="宋体" w:hAnsi="宋体" w:cs="宋体"/>
          <w:color w:val="auto"/>
          <w:sz w:val="24"/>
          <w:lang w:val="zh-CN"/>
        </w:rPr>
        <w:t>招标文件修改信息，招标文件的修改内容作为招标文件的组成部分，具有约束作用。</w:t>
      </w:r>
    </w:p>
    <w:p>
      <w:pPr>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 xml:space="preserve">9.3 </w:t>
      </w:r>
      <w:r>
        <w:rPr>
          <w:rFonts w:hint="eastAsia" w:ascii="宋体" w:hAnsi="宋体" w:cs="宋体"/>
          <w:color w:val="auto"/>
          <w:sz w:val="24"/>
          <w:lang w:val="zh-CN"/>
        </w:rPr>
        <w:t>招标文件的澄清、修改、补充等内容均以在本项目</w:t>
      </w:r>
      <w:r>
        <w:rPr>
          <w:rFonts w:hint="eastAsia" w:ascii="宋体" w:hAnsi="宋体" w:cs="宋体"/>
          <w:color w:val="auto"/>
          <w:sz w:val="24"/>
        </w:rPr>
        <w:t>发布招标文件所在的电子招标投标平台交易公开</w:t>
      </w:r>
      <w:r>
        <w:rPr>
          <w:rFonts w:hint="eastAsia" w:ascii="宋体" w:hAnsi="宋体" w:cs="宋体"/>
          <w:color w:val="auto"/>
          <w:sz w:val="24"/>
          <w:lang w:val="zh-CN"/>
        </w:rPr>
        <w:t>发布形式明确的内容为准。当招标文件的澄清、修改、补充等在同一内容的表述不一致时，以最后发出的文件为准。</w:t>
      </w:r>
    </w:p>
    <w:p>
      <w:pPr>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9.4</w:t>
      </w:r>
      <w:r>
        <w:rPr>
          <w:rFonts w:hint="eastAsia" w:ascii="宋体" w:hAnsi="宋体" w:cs="宋体"/>
          <w:color w:val="auto"/>
          <w:sz w:val="24"/>
          <w:lang w:val="zh-CN"/>
        </w:rPr>
        <w:t>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pPr>
        <w:autoSpaceDE w:val="0"/>
        <w:autoSpaceDN w:val="0"/>
        <w:adjustRightInd w:val="0"/>
        <w:spacing w:before="240" w:line="360" w:lineRule="auto"/>
        <w:ind w:firstLine="472" w:firstLineChars="196"/>
        <w:rPr>
          <w:rFonts w:ascii="宋体" w:hAnsi="宋体" w:cs="宋体"/>
          <w:b/>
          <w:bCs/>
          <w:color w:val="auto"/>
          <w:sz w:val="24"/>
          <w:lang w:val="zh-CN"/>
        </w:rPr>
      </w:pPr>
      <w:r>
        <w:rPr>
          <w:rFonts w:hint="eastAsia" w:ascii="宋体" w:hAnsi="宋体" w:cs="宋体"/>
          <w:b/>
          <w:bCs/>
          <w:color w:val="auto"/>
          <w:sz w:val="24"/>
          <w:lang w:val="zh-CN"/>
        </w:rPr>
        <w:t>（三）投标文件的编制</w:t>
      </w:r>
    </w:p>
    <w:p>
      <w:pPr>
        <w:autoSpaceDE w:val="0"/>
        <w:autoSpaceDN w:val="0"/>
        <w:adjustRightInd w:val="0"/>
        <w:spacing w:line="360" w:lineRule="auto"/>
        <w:ind w:firstLine="480"/>
        <w:rPr>
          <w:rFonts w:ascii="宋体" w:hAnsi="宋体" w:cs="宋体"/>
          <w:b/>
          <w:bCs/>
          <w:color w:val="auto"/>
          <w:sz w:val="24"/>
          <w:lang w:val="zh-CN"/>
        </w:rPr>
      </w:pPr>
      <w:r>
        <w:rPr>
          <w:rFonts w:ascii="宋体" w:hAnsi="宋体" w:cs="宋体"/>
          <w:b/>
          <w:bCs/>
          <w:color w:val="auto"/>
          <w:sz w:val="24"/>
          <w:lang w:val="zh-CN"/>
        </w:rPr>
        <w:t>10</w:t>
      </w:r>
      <w:r>
        <w:rPr>
          <w:rFonts w:hint="eastAsia" w:ascii="宋体" w:hAnsi="宋体" w:cs="宋体"/>
          <w:b/>
          <w:bCs/>
          <w:color w:val="auto"/>
          <w:sz w:val="24"/>
          <w:lang w:val="zh-CN"/>
        </w:rPr>
        <w:t>．投标文件的语言及度量衡单位</w:t>
      </w:r>
    </w:p>
    <w:p>
      <w:pPr>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 xml:space="preserve">10.1 </w:t>
      </w:r>
      <w:r>
        <w:rPr>
          <w:rFonts w:hint="eastAsia" w:ascii="宋体" w:hAnsi="宋体" w:cs="宋体"/>
          <w:color w:val="auto"/>
          <w:sz w:val="24"/>
          <w:lang w:val="zh-CN"/>
        </w:rPr>
        <w:t>投标文件和与投标有关的所有文件均应使用</w:t>
      </w:r>
      <w:r>
        <w:rPr>
          <w:rFonts w:hint="eastAsia" w:ascii="宋体" w:hAnsi="宋体" w:cs="宋体"/>
          <w:color w:val="auto"/>
          <w:sz w:val="24"/>
          <w:u w:val="single"/>
          <w:lang w:val="zh-CN"/>
        </w:rPr>
        <w:t>　汉语　</w:t>
      </w:r>
      <w:r>
        <w:rPr>
          <w:rFonts w:hint="eastAsia" w:ascii="宋体" w:hAnsi="宋体" w:cs="宋体"/>
          <w:color w:val="auto"/>
          <w:sz w:val="24"/>
          <w:lang w:val="zh-CN"/>
        </w:rPr>
        <w:t>。</w:t>
      </w:r>
    </w:p>
    <w:p>
      <w:pPr>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 xml:space="preserve">10.2 </w:t>
      </w:r>
      <w:r>
        <w:rPr>
          <w:rFonts w:hint="eastAsia" w:ascii="宋体" w:hAnsi="宋体" w:cs="宋体"/>
          <w:color w:val="auto"/>
          <w:sz w:val="24"/>
          <w:lang w:val="zh-CN"/>
        </w:rPr>
        <w:t>除工程规范另有规定外，投标文件使用的度量衡单位，均采用中华人民共和国法定计量单位。</w:t>
      </w:r>
    </w:p>
    <w:p>
      <w:pPr>
        <w:autoSpaceDE w:val="0"/>
        <w:autoSpaceDN w:val="0"/>
        <w:adjustRightInd w:val="0"/>
        <w:spacing w:before="120" w:line="360" w:lineRule="auto"/>
        <w:ind w:firstLine="480"/>
        <w:rPr>
          <w:rFonts w:ascii="宋体" w:hAnsi="宋体" w:cs="宋体"/>
          <w:b/>
          <w:bCs/>
          <w:color w:val="auto"/>
          <w:sz w:val="24"/>
          <w:lang w:val="zh-CN"/>
        </w:rPr>
      </w:pPr>
      <w:r>
        <w:rPr>
          <w:rFonts w:ascii="宋体" w:hAnsi="宋体" w:cs="宋体"/>
          <w:b/>
          <w:bCs/>
          <w:color w:val="auto"/>
          <w:sz w:val="24"/>
          <w:lang w:val="zh-CN"/>
        </w:rPr>
        <w:t>11</w:t>
      </w:r>
      <w:r>
        <w:rPr>
          <w:rFonts w:hint="eastAsia" w:ascii="宋体" w:hAnsi="宋体" w:cs="宋体"/>
          <w:b/>
          <w:bCs/>
          <w:color w:val="auto"/>
          <w:sz w:val="24"/>
          <w:lang w:val="zh-CN"/>
        </w:rPr>
        <w:t>．投标文件的组成</w:t>
      </w:r>
    </w:p>
    <w:p>
      <w:pPr>
        <w:autoSpaceDE w:val="0"/>
        <w:autoSpaceDN w:val="0"/>
        <w:adjustRightInd w:val="0"/>
        <w:spacing w:line="360" w:lineRule="auto"/>
        <w:ind w:firstLine="482"/>
        <w:rPr>
          <w:rFonts w:ascii="宋体" w:hAnsi="宋体"/>
          <w:color w:val="auto"/>
          <w:sz w:val="24"/>
          <w:lang w:val="zh-CN"/>
        </w:rPr>
      </w:pPr>
      <w:r>
        <w:rPr>
          <w:rFonts w:ascii="宋体" w:hAnsi="宋体" w:cs="宋体"/>
          <w:color w:val="auto"/>
          <w:sz w:val="24"/>
          <w:lang w:val="zh-CN"/>
        </w:rPr>
        <w:t xml:space="preserve">11.1 </w:t>
      </w:r>
      <w:r>
        <w:rPr>
          <w:rFonts w:hint="eastAsia" w:ascii="宋体" w:hAnsi="宋体" w:cs="宋体"/>
          <w:color w:val="auto"/>
          <w:sz w:val="24"/>
          <w:lang w:val="zh-CN"/>
        </w:rPr>
        <w:t>封面。</w:t>
      </w:r>
    </w:p>
    <w:p>
      <w:pPr>
        <w:autoSpaceDE w:val="0"/>
        <w:autoSpaceDN w:val="0"/>
        <w:adjustRightInd w:val="0"/>
        <w:spacing w:line="360" w:lineRule="auto"/>
        <w:ind w:firstLine="482"/>
        <w:rPr>
          <w:rFonts w:ascii="宋体" w:hAnsi="宋体" w:cs="宋体"/>
          <w:color w:val="auto"/>
          <w:sz w:val="24"/>
          <w:lang w:val="zh-CN"/>
        </w:rPr>
      </w:pPr>
      <w:r>
        <w:rPr>
          <w:rFonts w:ascii="宋体" w:hAnsi="宋体" w:cs="宋体"/>
          <w:color w:val="auto"/>
          <w:sz w:val="24"/>
          <w:lang w:val="zh-CN"/>
        </w:rPr>
        <w:t>11.2</w:t>
      </w:r>
      <w:r>
        <w:rPr>
          <w:rFonts w:hint="eastAsia" w:ascii="宋体" w:hAnsi="宋体" w:cs="宋体"/>
          <w:color w:val="auto"/>
          <w:sz w:val="24"/>
          <w:lang w:val="zh-CN"/>
        </w:rPr>
        <w:t xml:space="preserve"> 目录。</w:t>
      </w:r>
    </w:p>
    <w:p>
      <w:pPr>
        <w:autoSpaceDE w:val="0"/>
        <w:autoSpaceDN w:val="0"/>
        <w:adjustRightInd w:val="0"/>
        <w:spacing w:line="360" w:lineRule="auto"/>
        <w:ind w:firstLine="482"/>
        <w:rPr>
          <w:rFonts w:ascii="宋体" w:hAnsi="宋体"/>
          <w:color w:val="auto"/>
          <w:sz w:val="24"/>
          <w:lang w:val="zh-CN"/>
        </w:rPr>
      </w:pPr>
      <w:r>
        <w:rPr>
          <w:rFonts w:ascii="宋体" w:hAnsi="宋体" w:cs="宋体"/>
          <w:color w:val="auto"/>
          <w:sz w:val="24"/>
          <w:lang w:val="zh-CN"/>
        </w:rPr>
        <w:t>11.3</w:t>
      </w:r>
      <w:r>
        <w:rPr>
          <w:rFonts w:hint="eastAsia" w:ascii="宋体" w:hAnsi="宋体" w:cs="宋体"/>
          <w:color w:val="auto"/>
          <w:sz w:val="24"/>
          <w:lang w:val="zh-CN"/>
        </w:rPr>
        <w:t xml:space="preserve"> 投标函。</w:t>
      </w:r>
    </w:p>
    <w:p>
      <w:pPr>
        <w:autoSpaceDE w:val="0"/>
        <w:autoSpaceDN w:val="0"/>
        <w:adjustRightInd w:val="0"/>
        <w:spacing w:line="360" w:lineRule="auto"/>
        <w:ind w:firstLine="482"/>
        <w:rPr>
          <w:rFonts w:ascii="宋体" w:hAnsi="宋体"/>
          <w:color w:val="auto"/>
          <w:sz w:val="24"/>
          <w:lang w:val="zh-CN"/>
        </w:rPr>
      </w:pPr>
      <w:r>
        <w:rPr>
          <w:rFonts w:ascii="宋体" w:hAnsi="宋体" w:cs="宋体"/>
          <w:color w:val="auto"/>
          <w:sz w:val="24"/>
          <w:lang w:val="zh-CN"/>
        </w:rPr>
        <w:t>11.</w:t>
      </w:r>
      <w:r>
        <w:rPr>
          <w:rFonts w:hint="eastAsia" w:ascii="宋体" w:hAnsi="宋体" w:cs="宋体"/>
          <w:color w:val="auto"/>
          <w:sz w:val="24"/>
          <w:lang w:val="zh-CN"/>
        </w:rPr>
        <w:t>4</w:t>
      </w:r>
      <w:r>
        <w:rPr>
          <w:rFonts w:ascii="宋体" w:hAnsi="宋体" w:cs="宋体"/>
          <w:color w:val="auto"/>
          <w:sz w:val="24"/>
          <w:lang w:val="zh-CN"/>
        </w:rPr>
        <w:t xml:space="preserve"> </w:t>
      </w:r>
      <w:r>
        <w:rPr>
          <w:rFonts w:hint="eastAsia" w:ascii="宋体" w:hAnsi="宋体" w:cs="宋体"/>
          <w:color w:val="auto"/>
          <w:sz w:val="24"/>
          <w:lang w:val="zh-CN"/>
        </w:rPr>
        <w:t>企业法定代表人证明书及法人授权委托证明书。</w:t>
      </w:r>
    </w:p>
    <w:p>
      <w:pPr>
        <w:autoSpaceDE w:val="0"/>
        <w:autoSpaceDN w:val="0"/>
        <w:adjustRightInd w:val="0"/>
        <w:spacing w:line="360" w:lineRule="auto"/>
        <w:ind w:firstLine="482"/>
        <w:rPr>
          <w:rFonts w:ascii="宋体" w:hAnsi="宋体"/>
          <w:color w:val="auto"/>
          <w:sz w:val="24"/>
          <w:lang w:val="zh-CN"/>
        </w:rPr>
      </w:pPr>
      <w:r>
        <w:rPr>
          <w:rFonts w:ascii="宋体" w:hAnsi="宋体" w:cs="宋体"/>
          <w:color w:val="auto"/>
          <w:sz w:val="24"/>
          <w:lang w:val="zh-CN"/>
        </w:rPr>
        <w:t>11.</w:t>
      </w:r>
      <w:r>
        <w:rPr>
          <w:rFonts w:hint="eastAsia" w:ascii="宋体" w:hAnsi="宋体" w:cs="宋体"/>
          <w:color w:val="auto"/>
          <w:sz w:val="24"/>
          <w:lang w:val="zh-CN"/>
        </w:rPr>
        <w:t>5 联合体投标协议书（若有）。</w:t>
      </w:r>
    </w:p>
    <w:p>
      <w:pPr>
        <w:autoSpaceDE w:val="0"/>
        <w:autoSpaceDN w:val="0"/>
        <w:adjustRightInd w:val="0"/>
        <w:spacing w:line="360" w:lineRule="auto"/>
        <w:ind w:firstLine="482"/>
        <w:rPr>
          <w:rFonts w:ascii="宋体" w:hAnsi="宋体" w:cs="宋体"/>
          <w:color w:val="auto"/>
          <w:sz w:val="24"/>
          <w:lang w:val="zh-CN"/>
        </w:rPr>
      </w:pPr>
      <w:r>
        <w:rPr>
          <w:rFonts w:ascii="宋体" w:hAnsi="宋体" w:cs="宋体"/>
          <w:color w:val="auto"/>
          <w:sz w:val="24"/>
          <w:lang w:val="zh-CN"/>
        </w:rPr>
        <w:t>11.</w:t>
      </w:r>
      <w:r>
        <w:rPr>
          <w:rFonts w:hint="eastAsia" w:ascii="宋体" w:hAnsi="宋体" w:cs="宋体"/>
          <w:color w:val="auto"/>
          <w:sz w:val="24"/>
          <w:lang w:val="zh-CN"/>
        </w:rPr>
        <w:t>6 投标保证金证明文件复印件。</w:t>
      </w:r>
    </w:p>
    <w:p>
      <w:pPr>
        <w:autoSpaceDE w:val="0"/>
        <w:autoSpaceDN w:val="0"/>
        <w:adjustRightInd w:val="0"/>
        <w:spacing w:line="360" w:lineRule="auto"/>
        <w:ind w:firstLine="482"/>
        <w:rPr>
          <w:rFonts w:ascii="宋体" w:hAnsi="宋体" w:cs="宋体"/>
          <w:color w:val="auto"/>
          <w:sz w:val="24"/>
          <w:lang w:val="zh-CN"/>
        </w:rPr>
      </w:pPr>
      <w:r>
        <w:rPr>
          <w:rFonts w:hint="eastAsia" w:ascii="宋体" w:hAnsi="宋体" w:cs="宋体"/>
          <w:color w:val="auto"/>
          <w:sz w:val="24"/>
          <w:lang w:val="zh-CN"/>
        </w:rPr>
        <w:t>11.7 企业的营业执照副本、资质证书副本复印件。</w:t>
      </w:r>
    </w:p>
    <w:p>
      <w:pPr>
        <w:autoSpaceDE w:val="0"/>
        <w:autoSpaceDN w:val="0"/>
        <w:adjustRightInd w:val="0"/>
        <w:spacing w:line="360" w:lineRule="auto"/>
        <w:ind w:firstLine="482"/>
        <w:rPr>
          <w:rFonts w:ascii="宋体" w:hAnsi="宋体" w:cs="宋体"/>
          <w:color w:val="auto"/>
          <w:sz w:val="24"/>
          <w:lang w:val="zh-CN"/>
        </w:rPr>
      </w:pPr>
      <w:r>
        <w:rPr>
          <w:rFonts w:hint="eastAsia" w:ascii="宋体" w:hAnsi="宋体" w:cs="宋体"/>
          <w:color w:val="auto"/>
          <w:sz w:val="24"/>
          <w:lang w:val="zh-CN"/>
        </w:rPr>
        <w:t>11.8 监理工作大纲。</w:t>
      </w:r>
    </w:p>
    <w:p>
      <w:pPr>
        <w:autoSpaceDE w:val="0"/>
        <w:autoSpaceDN w:val="0"/>
        <w:adjustRightInd w:val="0"/>
        <w:spacing w:line="360" w:lineRule="auto"/>
        <w:ind w:firstLine="482"/>
        <w:rPr>
          <w:rFonts w:ascii="宋体" w:hAnsi="宋体" w:cs="宋体"/>
          <w:color w:val="auto"/>
          <w:sz w:val="24"/>
          <w:lang w:val="zh-CN"/>
        </w:rPr>
      </w:pPr>
      <w:r>
        <w:rPr>
          <w:rFonts w:ascii="宋体" w:hAnsi="宋体" w:cs="宋体"/>
          <w:color w:val="auto"/>
          <w:sz w:val="24"/>
          <w:lang w:val="zh-CN"/>
        </w:rPr>
        <w:t>11.</w:t>
      </w:r>
      <w:r>
        <w:rPr>
          <w:rFonts w:hint="eastAsia" w:ascii="宋体" w:hAnsi="宋体" w:cs="宋体"/>
          <w:color w:val="auto"/>
          <w:sz w:val="24"/>
          <w:lang w:val="zh-CN"/>
        </w:rPr>
        <w:t>9</w:t>
      </w:r>
      <w:r>
        <w:rPr>
          <w:rFonts w:ascii="宋体" w:hAnsi="宋体" w:cs="宋体"/>
          <w:color w:val="auto"/>
          <w:sz w:val="24"/>
          <w:lang w:val="zh-CN"/>
        </w:rPr>
        <w:t xml:space="preserve"> </w:t>
      </w:r>
      <w:r>
        <w:rPr>
          <w:rFonts w:hint="eastAsia" w:ascii="宋体" w:hAnsi="宋体" w:cs="宋体"/>
          <w:color w:val="auto"/>
          <w:sz w:val="24"/>
          <w:lang w:val="zh-CN"/>
        </w:rPr>
        <w:t>辅助资料表。</w:t>
      </w:r>
    </w:p>
    <w:p>
      <w:pPr>
        <w:autoSpaceDE w:val="0"/>
        <w:autoSpaceDN w:val="0"/>
        <w:adjustRightInd w:val="0"/>
        <w:spacing w:line="360" w:lineRule="auto"/>
        <w:ind w:firstLine="482"/>
        <w:rPr>
          <w:rFonts w:ascii="宋体" w:hAnsi="宋体" w:cs="宋体"/>
          <w:color w:val="auto"/>
          <w:sz w:val="24"/>
          <w:lang w:val="zh-CN"/>
        </w:rPr>
      </w:pPr>
      <w:r>
        <w:rPr>
          <w:rFonts w:hint="eastAsia" w:ascii="宋体" w:hAnsi="宋体" w:cs="宋体"/>
          <w:color w:val="auto"/>
          <w:sz w:val="24"/>
          <w:lang w:val="zh-CN"/>
        </w:rPr>
        <w:t>11.10 省外建设工程企业</w:t>
      </w:r>
      <w:r>
        <w:rPr>
          <w:rFonts w:hint="eastAsia" w:ascii="宋体" w:hAnsi="宋体" w:cs="宋体"/>
          <w:color w:val="auto"/>
          <w:kern w:val="0"/>
          <w:sz w:val="24"/>
        </w:rPr>
        <w:t>提供企业基本信息、资质情况和驻粤技术管理人员情况信息（网上公开信息打印件）</w:t>
      </w:r>
      <w:r>
        <w:rPr>
          <w:rFonts w:hint="eastAsia" w:ascii="宋体" w:hAnsi="宋体" w:cs="宋体"/>
          <w:color w:val="auto"/>
          <w:sz w:val="24"/>
          <w:lang w:val="zh-CN"/>
        </w:rPr>
        <w:t>。</w:t>
      </w:r>
    </w:p>
    <w:p>
      <w:pPr>
        <w:autoSpaceDE w:val="0"/>
        <w:autoSpaceDN w:val="0"/>
        <w:adjustRightInd w:val="0"/>
        <w:spacing w:line="360" w:lineRule="auto"/>
        <w:ind w:firstLine="482"/>
        <w:rPr>
          <w:rFonts w:ascii="宋体" w:hAnsi="宋体" w:cs="宋体"/>
          <w:color w:val="auto"/>
          <w:sz w:val="24"/>
          <w:lang w:val="zh-CN"/>
        </w:rPr>
      </w:pPr>
      <w:r>
        <w:rPr>
          <w:rFonts w:hint="eastAsia" w:ascii="宋体" w:hAnsi="宋体" w:cs="宋体"/>
          <w:color w:val="auto"/>
          <w:sz w:val="24"/>
          <w:lang w:val="zh-CN"/>
        </w:rPr>
        <w:t>11.11主要监理人员到位承诺。</w:t>
      </w:r>
    </w:p>
    <w:p>
      <w:pPr>
        <w:autoSpaceDE w:val="0"/>
        <w:autoSpaceDN w:val="0"/>
        <w:adjustRightInd w:val="0"/>
        <w:spacing w:line="360" w:lineRule="auto"/>
        <w:ind w:firstLine="482"/>
        <w:rPr>
          <w:rFonts w:ascii="宋体" w:hAnsi="宋体" w:cs="宋体"/>
          <w:color w:val="auto"/>
          <w:sz w:val="24"/>
          <w:lang w:val="zh-CN"/>
        </w:rPr>
      </w:pPr>
      <w:r>
        <w:rPr>
          <w:rFonts w:hint="eastAsia" w:ascii="宋体" w:hAnsi="宋体" w:cs="宋体"/>
          <w:color w:val="auto"/>
          <w:sz w:val="24"/>
          <w:lang w:val="zh-CN"/>
        </w:rPr>
        <w:t>11.12投标报价承</w:t>
      </w:r>
      <w:r>
        <w:rPr>
          <w:rFonts w:hint="eastAsia" w:ascii="宋体" w:hAnsi="宋体" w:cs="宋体"/>
          <w:color w:val="auto"/>
          <w:sz w:val="24"/>
          <w:highlight w:val="none"/>
          <w:lang w:val="zh-CN"/>
        </w:rPr>
        <w:t>诺书（</w:t>
      </w:r>
      <w:r>
        <w:rPr>
          <w:rFonts w:hint="eastAsia" w:ascii="宋体" w:hAnsi="宋体" w:cs="宋体"/>
          <w:color w:val="auto"/>
          <w:sz w:val="24"/>
          <w:highlight w:val="none"/>
          <w:lang w:val="en-US" w:eastAsia="zh-CN"/>
        </w:rPr>
        <w:t>如有</w:t>
      </w:r>
      <w:r>
        <w:rPr>
          <w:rFonts w:hint="eastAsia" w:ascii="宋体" w:hAnsi="宋体" w:cs="宋体"/>
          <w:color w:val="auto"/>
          <w:sz w:val="24"/>
          <w:highlight w:val="none"/>
          <w:lang w:val="zh-CN"/>
        </w:rPr>
        <w:t>）。</w:t>
      </w:r>
    </w:p>
    <w:p>
      <w:pPr>
        <w:tabs>
          <w:tab w:val="left" w:pos="6700"/>
        </w:tabs>
        <w:spacing w:line="360" w:lineRule="auto"/>
        <w:ind w:firstLine="480" w:firstLineChars="200"/>
        <w:jc w:val="left"/>
        <w:rPr>
          <w:rFonts w:ascii="宋体" w:hAnsi="宋体" w:cs="宋体"/>
          <w:color w:val="auto"/>
          <w:sz w:val="24"/>
          <w:lang w:val="zh-CN"/>
        </w:rPr>
      </w:pPr>
      <w:r>
        <w:rPr>
          <w:rFonts w:hint="eastAsia" w:ascii="宋体" w:hAnsi="宋体" w:cs="宋体"/>
          <w:color w:val="auto"/>
          <w:sz w:val="24"/>
          <w:lang w:val="zh-CN"/>
        </w:rPr>
        <w:t>11.13在投标文件正本中提供拟进场的监理人员自（从本项目招标公告发出之月起计）</w:t>
      </w:r>
      <w:r>
        <w:rPr>
          <w:rFonts w:hint="eastAsia" w:ascii="宋体" w:hAnsi="宋体" w:cs="宋体"/>
          <w:color w:val="auto"/>
          <w:sz w:val="24"/>
        </w:rPr>
        <w:t>前3个月</w:t>
      </w:r>
      <w:r>
        <w:rPr>
          <w:rFonts w:hint="eastAsia" w:ascii="宋体" w:hAnsi="宋体" w:cs="宋体"/>
          <w:color w:val="auto"/>
          <w:sz w:val="24"/>
          <w:lang w:val="zh-CN"/>
        </w:rPr>
        <w:t>在本企业（含分支机构）购买的养老保险证明材料。</w:t>
      </w:r>
    </w:p>
    <w:p>
      <w:pPr>
        <w:autoSpaceDE w:val="0"/>
        <w:autoSpaceDN w:val="0"/>
        <w:adjustRightInd w:val="0"/>
        <w:spacing w:line="360" w:lineRule="auto"/>
        <w:ind w:firstLine="480" w:firstLineChars="200"/>
        <w:rPr>
          <w:rFonts w:ascii="宋体" w:hAnsi="宋体" w:cs="宋体"/>
          <w:color w:val="auto"/>
          <w:sz w:val="24"/>
        </w:rPr>
      </w:pPr>
      <w:r>
        <w:rPr>
          <w:rFonts w:hint="eastAsia" w:ascii="宋体" w:hAnsi="宋体" w:cs="宋体"/>
          <w:color w:val="auto"/>
          <w:sz w:val="24"/>
          <w:lang w:val="zh-CN"/>
        </w:rPr>
        <w:t>11.14 招标文件要求投标人提交的其他资料。</w:t>
      </w:r>
    </w:p>
    <w:p>
      <w:pPr>
        <w:autoSpaceDE w:val="0"/>
        <w:autoSpaceDN w:val="0"/>
        <w:adjustRightInd w:val="0"/>
        <w:spacing w:before="120" w:line="360" w:lineRule="auto"/>
        <w:ind w:firstLine="482"/>
        <w:rPr>
          <w:rFonts w:ascii="宋体" w:hAnsi="宋体" w:cs="宋体"/>
          <w:b/>
          <w:bCs/>
          <w:color w:val="auto"/>
          <w:sz w:val="24"/>
          <w:lang w:val="zh-CN"/>
        </w:rPr>
      </w:pPr>
      <w:r>
        <w:rPr>
          <w:rFonts w:ascii="宋体" w:hAnsi="宋体" w:cs="宋体"/>
          <w:b/>
          <w:bCs/>
          <w:color w:val="auto"/>
          <w:sz w:val="24"/>
          <w:lang w:val="zh-CN"/>
        </w:rPr>
        <w:t>12</w:t>
      </w:r>
      <w:r>
        <w:rPr>
          <w:rFonts w:hint="eastAsia" w:ascii="宋体" w:hAnsi="宋体" w:cs="宋体"/>
          <w:b/>
          <w:bCs/>
          <w:color w:val="auto"/>
          <w:sz w:val="24"/>
          <w:lang w:val="zh-CN"/>
        </w:rPr>
        <w:t>．投标文件格式</w:t>
      </w:r>
    </w:p>
    <w:p>
      <w:pPr>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 xml:space="preserve">12.1 </w:t>
      </w:r>
      <w:r>
        <w:rPr>
          <w:rFonts w:hint="eastAsia" w:ascii="宋体" w:hAnsi="宋体" w:cs="宋体"/>
          <w:color w:val="auto"/>
          <w:sz w:val="24"/>
          <w:lang w:val="zh-CN"/>
        </w:rPr>
        <w:t>投标文件包括本须知第</w:t>
      </w:r>
      <w:r>
        <w:rPr>
          <w:rFonts w:ascii="宋体" w:hAnsi="宋体" w:cs="宋体"/>
          <w:color w:val="auto"/>
          <w:sz w:val="24"/>
          <w:lang w:val="zh-CN"/>
        </w:rPr>
        <w:t>11</w:t>
      </w:r>
      <w:r>
        <w:rPr>
          <w:rFonts w:hint="eastAsia" w:ascii="宋体" w:hAnsi="宋体" w:cs="宋体"/>
          <w:color w:val="auto"/>
          <w:sz w:val="24"/>
          <w:lang w:val="zh-CN"/>
        </w:rPr>
        <w:t>条中规定的内容，投标人提交的投标文件应当使用招标文件所提供的投标格式文件的格式（表格可以按同样格式扩展）。投标文件的编制应简洁清晰。</w:t>
      </w:r>
    </w:p>
    <w:p>
      <w:pPr>
        <w:autoSpaceDE w:val="0"/>
        <w:autoSpaceDN w:val="0"/>
        <w:adjustRightInd w:val="0"/>
        <w:spacing w:before="120" w:line="360" w:lineRule="auto"/>
        <w:ind w:firstLine="480"/>
        <w:rPr>
          <w:rFonts w:ascii="宋体" w:hAnsi="宋体" w:cs="宋体"/>
          <w:b/>
          <w:bCs/>
          <w:color w:val="auto"/>
          <w:sz w:val="24"/>
          <w:lang w:val="zh-CN"/>
        </w:rPr>
      </w:pPr>
      <w:r>
        <w:rPr>
          <w:rFonts w:ascii="宋体" w:hAnsi="宋体" w:cs="宋体"/>
          <w:b/>
          <w:bCs/>
          <w:color w:val="auto"/>
          <w:sz w:val="24"/>
          <w:lang w:val="zh-CN"/>
        </w:rPr>
        <w:t>13</w:t>
      </w:r>
      <w:r>
        <w:rPr>
          <w:rFonts w:hint="eastAsia" w:ascii="宋体" w:hAnsi="宋体" w:cs="宋体"/>
          <w:b/>
          <w:bCs/>
          <w:color w:val="auto"/>
          <w:sz w:val="24"/>
          <w:lang w:val="zh-CN"/>
        </w:rPr>
        <w:t>．投标报价</w:t>
      </w:r>
    </w:p>
    <w:p>
      <w:pPr>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 xml:space="preserve">13.1 </w:t>
      </w:r>
      <w:r>
        <w:rPr>
          <w:rFonts w:hint="eastAsia" w:ascii="宋体" w:hAnsi="宋体" w:cs="宋体"/>
          <w:color w:val="auto"/>
          <w:sz w:val="24"/>
          <w:lang w:val="zh-CN"/>
        </w:rPr>
        <w:t>本工程的投标报价采用投标人须知前附表第</w:t>
      </w:r>
      <w:r>
        <w:rPr>
          <w:rFonts w:ascii="宋体" w:hAnsi="宋体" w:cs="宋体"/>
          <w:color w:val="auto"/>
          <w:sz w:val="24"/>
          <w:lang w:val="zh-CN"/>
        </w:rPr>
        <w:t>1</w:t>
      </w:r>
      <w:r>
        <w:rPr>
          <w:rFonts w:hint="eastAsia" w:ascii="宋体" w:hAnsi="宋体" w:cs="宋体"/>
          <w:color w:val="auto"/>
          <w:sz w:val="24"/>
          <w:lang w:val="zh-CN"/>
        </w:rPr>
        <w:t>5项所规定的方式。</w:t>
      </w:r>
    </w:p>
    <w:p>
      <w:pPr>
        <w:autoSpaceDE w:val="0"/>
        <w:autoSpaceDN w:val="0"/>
        <w:adjustRightInd w:val="0"/>
        <w:spacing w:line="360" w:lineRule="auto"/>
        <w:ind w:left="-1" w:firstLine="480"/>
        <w:rPr>
          <w:rFonts w:ascii="宋体" w:hAnsi="宋体" w:cs="宋体"/>
          <w:color w:val="auto"/>
          <w:sz w:val="24"/>
          <w:lang w:val="zh-CN"/>
        </w:rPr>
      </w:pPr>
      <w:r>
        <w:rPr>
          <w:rFonts w:ascii="宋体" w:hAnsi="宋体" w:cs="黑体"/>
          <w:color w:val="auto"/>
          <w:sz w:val="24"/>
          <w:lang w:val="zh-CN"/>
        </w:rPr>
        <w:t xml:space="preserve">13.2 </w:t>
      </w:r>
      <w:r>
        <w:rPr>
          <w:rFonts w:hint="eastAsia" w:ascii="宋体" w:hAnsi="宋体" w:cs="宋体"/>
          <w:color w:val="auto"/>
          <w:sz w:val="24"/>
          <w:lang w:val="zh-CN"/>
        </w:rPr>
        <w:t>投标人的投标报价，应是完成本须知第</w:t>
      </w:r>
      <w:r>
        <w:rPr>
          <w:rFonts w:ascii="宋体" w:hAnsi="宋体" w:cs="宋体"/>
          <w:color w:val="auto"/>
          <w:sz w:val="24"/>
          <w:lang w:val="zh-CN"/>
        </w:rPr>
        <w:t>2.3</w:t>
      </w:r>
      <w:r>
        <w:rPr>
          <w:rFonts w:hint="eastAsia" w:ascii="宋体" w:hAnsi="宋体" w:cs="宋体"/>
          <w:color w:val="auto"/>
          <w:sz w:val="24"/>
          <w:lang w:val="zh-CN"/>
        </w:rPr>
        <w:t>款和合同条款所列招标项目监理范围及工期的全部内容为计算投标报价基础。其监理结算费用将根据中标单位投标时所报下浮率和经审定的结算建安工程费用作为监理服务收费计费额进行调整。</w:t>
      </w:r>
    </w:p>
    <w:p>
      <w:pPr>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13.3</w:t>
      </w:r>
      <w:r>
        <w:rPr>
          <w:rFonts w:hint="eastAsia" w:ascii="宋体" w:hAnsi="宋体" w:cs="宋体"/>
          <w:color w:val="auto"/>
          <w:sz w:val="24"/>
          <w:lang w:val="zh-CN"/>
        </w:rPr>
        <w:t xml:space="preserve"> 投标报价方式：参照国家发改委、建设部《关于印发&lt;建设工程监理与相关服务收费管理规定&gt;的通知》（发改价格[2007]670号）计算</w:t>
      </w:r>
      <w:r>
        <w:rPr>
          <w:rFonts w:hint="eastAsia" w:ascii="宋体" w:hAnsi="宋体"/>
          <w:color w:val="auto"/>
          <w:sz w:val="24"/>
        </w:rPr>
        <w:t>并下浮，具体</w:t>
      </w:r>
      <w:r>
        <w:rPr>
          <w:rFonts w:hint="eastAsia" w:ascii="宋体" w:hAnsi="宋体" w:cs="宋体"/>
          <w:color w:val="auto"/>
          <w:sz w:val="24"/>
          <w:lang w:val="zh-CN"/>
        </w:rPr>
        <w:t>下浮范围由招标人自行确定,</w:t>
      </w:r>
      <w:r>
        <w:rPr>
          <w:rFonts w:hint="eastAsia" w:ascii="宋体" w:hAnsi="宋体"/>
          <w:color w:val="auto"/>
          <w:sz w:val="24"/>
        </w:rPr>
        <w:t xml:space="preserve"> 具体</w:t>
      </w:r>
      <w:r>
        <w:rPr>
          <w:rFonts w:hint="eastAsia" w:ascii="宋体" w:hAnsi="宋体" w:cs="宋体"/>
          <w:color w:val="auto"/>
          <w:sz w:val="24"/>
          <w:lang w:val="zh-CN"/>
        </w:rPr>
        <w:t>下浮率见投标人须知前附表第</w:t>
      </w:r>
      <w:r>
        <w:rPr>
          <w:rFonts w:ascii="宋体" w:hAnsi="宋体" w:cs="宋体"/>
          <w:color w:val="auto"/>
          <w:sz w:val="24"/>
          <w:lang w:val="zh-CN"/>
        </w:rPr>
        <w:t>1</w:t>
      </w:r>
      <w:r>
        <w:rPr>
          <w:rFonts w:hint="eastAsia" w:ascii="宋体" w:hAnsi="宋体" w:cs="宋体"/>
          <w:color w:val="auto"/>
          <w:sz w:val="24"/>
          <w:lang w:val="zh-CN"/>
        </w:rPr>
        <w:t>5项</w:t>
      </w:r>
      <w:r>
        <w:rPr>
          <w:rFonts w:hint="eastAsia" w:ascii="宋体" w:hAnsi="宋体"/>
          <w:color w:val="auto"/>
          <w:sz w:val="24"/>
        </w:rPr>
        <w:t>。</w:t>
      </w:r>
    </w:p>
    <w:p>
      <w:pPr>
        <w:autoSpaceDE w:val="0"/>
        <w:autoSpaceDN w:val="0"/>
        <w:adjustRightInd w:val="0"/>
        <w:spacing w:before="120" w:line="360" w:lineRule="auto"/>
        <w:ind w:firstLine="480"/>
        <w:rPr>
          <w:rFonts w:ascii="宋体" w:hAnsi="宋体" w:cs="宋体"/>
          <w:b/>
          <w:bCs/>
          <w:color w:val="auto"/>
          <w:sz w:val="24"/>
          <w:lang w:val="zh-CN"/>
        </w:rPr>
      </w:pPr>
      <w:r>
        <w:rPr>
          <w:rFonts w:ascii="宋体" w:hAnsi="宋体" w:cs="宋体"/>
          <w:b/>
          <w:bCs/>
          <w:color w:val="auto"/>
          <w:sz w:val="24"/>
          <w:lang w:val="zh-CN"/>
        </w:rPr>
        <w:t>14</w:t>
      </w:r>
      <w:r>
        <w:rPr>
          <w:rFonts w:hint="eastAsia" w:ascii="宋体" w:hAnsi="宋体" w:cs="宋体"/>
          <w:b/>
          <w:bCs/>
          <w:color w:val="auto"/>
          <w:sz w:val="24"/>
          <w:lang w:val="zh-CN"/>
        </w:rPr>
        <w:t>．投标货币</w:t>
      </w:r>
    </w:p>
    <w:p>
      <w:pPr>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 xml:space="preserve">14.1 </w:t>
      </w:r>
      <w:r>
        <w:rPr>
          <w:rFonts w:hint="eastAsia" w:ascii="宋体" w:hAnsi="宋体" w:cs="宋体"/>
          <w:color w:val="auto"/>
          <w:sz w:val="24"/>
          <w:lang w:val="zh-CN"/>
        </w:rPr>
        <w:t>本工程投标报价采用的币种为</w:t>
      </w:r>
      <w:r>
        <w:rPr>
          <w:rFonts w:hint="eastAsia" w:ascii="宋体" w:hAnsi="宋体" w:cs="宋体"/>
          <w:b/>
          <w:bCs/>
          <w:color w:val="auto"/>
          <w:sz w:val="24"/>
          <w:lang w:val="zh-CN"/>
        </w:rPr>
        <w:t>人民币</w:t>
      </w:r>
      <w:r>
        <w:rPr>
          <w:rFonts w:hint="eastAsia" w:ascii="宋体" w:hAnsi="宋体" w:cs="宋体"/>
          <w:color w:val="auto"/>
          <w:sz w:val="24"/>
          <w:lang w:val="zh-CN"/>
        </w:rPr>
        <w:t>。</w:t>
      </w:r>
    </w:p>
    <w:p>
      <w:pPr>
        <w:autoSpaceDE w:val="0"/>
        <w:autoSpaceDN w:val="0"/>
        <w:adjustRightInd w:val="0"/>
        <w:spacing w:before="120" w:line="360" w:lineRule="auto"/>
        <w:ind w:firstLine="480"/>
        <w:rPr>
          <w:rFonts w:ascii="宋体" w:hAnsi="宋体" w:cs="宋体"/>
          <w:b/>
          <w:bCs/>
          <w:color w:val="auto"/>
          <w:sz w:val="24"/>
          <w:lang w:val="zh-CN"/>
        </w:rPr>
      </w:pPr>
      <w:r>
        <w:rPr>
          <w:rFonts w:ascii="宋体" w:hAnsi="宋体" w:cs="宋体"/>
          <w:b/>
          <w:bCs/>
          <w:color w:val="auto"/>
          <w:sz w:val="24"/>
          <w:lang w:val="zh-CN"/>
        </w:rPr>
        <w:t>15</w:t>
      </w:r>
      <w:r>
        <w:rPr>
          <w:rFonts w:hint="eastAsia" w:ascii="宋体" w:hAnsi="宋体" w:cs="宋体"/>
          <w:b/>
          <w:bCs/>
          <w:color w:val="auto"/>
          <w:sz w:val="24"/>
          <w:lang w:val="zh-CN"/>
        </w:rPr>
        <w:t>．投标有效期</w:t>
      </w:r>
    </w:p>
    <w:p>
      <w:pPr>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 xml:space="preserve">15.1 </w:t>
      </w:r>
      <w:r>
        <w:rPr>
          <w:rFonts w:hint="eastAsia" w:ascii="宋体" w:hAnsi="宋体" w:cs="宋体"/>
          <w:color w:val="auto"/>
          <w:sz w:val="24"/>
          <w:lang w:val="zh-CN"/>
        </w:rPr>
        <w:t>投标有效期见投标人须知前附表第</w:t>
      </w:r>
      <w:r>
        <w:rPr>
          <w:rFonts w:ascii="宋体" w:hAnsi="宋体" w:cs="宋体"/>
          <w:color w:val="auto"/>
          <w:sz w:val="24"/>
          <w:lang w:val="zh-CN"/>
        </w:rPr>
        <w:t>1</w:t>
      </w:r>
      <w:r>
        <w:rPr>
          <w:rFonts w:hint="eastAsia" w:ascii="宋体" w:hAnsi="宋体" w:cs="宋体"/>
          <w:color w:val="auto"/>
          <w:sz w:val="24"/>
          <w:lang w:val="zh-CN"/>
        </w:rPr>
        <w:t>6项所规定的期限，在此期限内，凡符合本招标文件要求的投标文件均保持有效。</w:t>
      </w:r>
    </w:p>
    <w:p>
      <w:pPr>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15.2</w:t>
      </w:r>
      <w:r>
        <w:rPr>
          <w:rFonts w:hint="eastAsia" w:ascii="宋体" w:hAnsi="宋体" w:cs="宋体"/>
          <w:color w:val="auto"/>
          <w:sz w:val="24"/>
          <w:lang w:val="zh-CN"/>
        </w:rPr>
        <w:t>在特殊情况下，招标人在原定投标有效期内，可以根据需要以书面形式向投标人提出延长投标有效期的要求，对此要求投标人须以书面形式予以答复。投标人可以拒绝招标人这种要求，而不被没收投标保证金。同意延长投标有效期的投标人既不能要求也不允许修改其投标文件，但需要相应的延长投标保证金的有效期，在延长的投标有效期内，本须知第</w:t>
      </w:r>
      <w:r>
        <w:rPr>
          <w:rFonts w:ascii="宋体" w:hAnsi="宋体" w:cs="宋体"/>
          <w:color w:val="auto"/>
          <w:sz w:val="24"/>
          <w:lang w:val="zh-CN"/>
        </w:rPr>
        <w:t>16</w:t>
      </w:r>
      <w:r>
        <w:rPr>
          <w:rFonts w:hint="eastAsia" w:ascii="宋体" w:hAnsi="宋体" w:cs="宋体"/>
          <w:color w:val="auto"/>
          <w:sz w:val="24"/>
          <w:lang w:val="zh-CN"/>
        </w:rPr>
        <w:t>条关于投标保证金的退还与没收的规定仍然适用。</w:t>
      </w:r>
    </w:p>
    <w:p>
      <w:pPr>
        <w:autoSpaceDE w:val="0"/>
        <w:autoSpaceDN w:val="0"/>
        <w:adjustRightInd w:val="0"/>
        <w:spacing w:line="360" w:lineRule="auto"/>
        <w:ind w:left="-1" w:firstLine="480"/>
        <w:rPr>
          <w:rFonts w:ascii="宋体" w:hAnsi="宋体" w:cs="宋体"/>
          <w:b/>
          <w:bCs/>
          <w:color w:val="auto"/>
          <w:sz w:val="24"/>
          <w:lang w:val="zh-CN"/>
        </w:rPr>
      </w:pPr>
      <w:r>
        <w:rPr>
          <w:rFonts w:ascii="宋体" w:hAnsi="宋体" w:cs="宋体"/>
          <w:b/>
          <w:bCs/>
          <w:color w:val="auto"/>
          <w:sz w:val="24"/>
          <w:lang w:val="zh-CN"/>
        </w:rPr>
        <w:t>16</w:t>
      </w:r>
      <w:r>
        <w:rPr>
          <w:rFonts w:hint="eastAsia" w:ascii="宋体" w:hAnsi="宋体" w:cs="宋体"/>
          <w:b/>
          <w:bCs/>
          <w:color w:val="auto"/>
          <w:sz w:val="24"/>
          <w:lang w:val="zh-CN"/>
        </w:rPr>
        <w:t>．投标保证金</w:t>
      </w:r>
    </w:p>
    <w:p>
      <w:pPr>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16.1</w:t>
      </w:r>
      <w:r>
        <w:rPr>
          <w:rFonts w:hint="eastAsia" w:ascii="宋体" w:hAnsi="宋体" w:cs="宋体"/>
          <w:color w:val="auto"/>
          <w:sz w:val="24"/>
          <w:lang w:val="zh-CN"/>
        </w:rPr>
        <w:t xml:space="preserve"> 投标人应按投标人须知前附表第</w:t>
      </w:r>
      <w:r>
        <w:rPr>
          <w:rFonts w:ascii="宋体" w:hAnsi="宋体" w:cs="宋体"/>
          <w:color w:val="auto"/>
          <w:sz w:val="24"/>
          <w:lang w:val="zh-CN"/>
        </w:rPr>
        <w:t>1</w:t>
      </w:r>
      <w:r>
        <w:rPr>
          <w:rFonts w:hint="eastAsia" w:ascii="宋体" w:hAnsi="宋体" w:cs="宋体"/>
          <w:color w:val="auto"/>
          <w:sz w:val="24"/>
          <w:lang w:val="zh-CN"/>
        </w:rPr>
        <w:t>7项所述的人民币金额的投标保证金递交，此保证金是投标文件的一个组成部分。</w:t>
      </w:r>
    </w:p>
    <w:p>
      <w:pPr>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16.2</w:t>
      </w:r>
      <w:r>
        <w:rPr>
          <w:rFonts w:hint="eastAsia" w:ascii="宋体" w:hAnsi="宋体" w:cs="宋体"/>
          <w:color w:val="auto"/>
          <w:sz w:val="24"/>
          <w:lang w:val="zh-CN"/>
        </w:rPr>
        <w:t xml:space="preserve"> 对于未能按要求提交投标保证金的投标文件，招标人可以视为不响应投标而予以拒绝。</w:t>
      </w:r>
    </w:p>
    <w:p>
      <w:pPr>
        <w:spacing w:line="360" w:lineRule="auto"/>
        <w:ind w:firstLine="480" w:firstLineChars="200"/>
        <w:rPr>
          <w:rFonts w:ascii="宋体" w:hAnsi="宋体" w:cs="宋体"/>
          <w:color w:val="auto"/>
          <w:sz w:val="24"/>
          <w:lang w:val="zh-CN"/>
        </w:rPr>
      </w:pPr>
      <w:r>
        <w:rPr>
          <w:rFonts w:ascii="宋体" w:hAnsi="宋体" w:cs="宋体"/>
          <w:color w:val="auto"/>
          <w:sz w:val="24"/>
          <w:lang w:val="zh-CN"/>
        </w:rPr>
        <w:t>16.3</w:t>
      </w:r>
      <w:r>
        <w:rPr>
          <w:rFonts w:hint="eastAsia" w:ascii="宋体" w:hAnsi="宋体" w:cs="宋体"/>
          <w:color w:val="auto"/>
          <w:sz w:val="24"/>
          <w:lang w:val="zh-CN"/>
        </w:rPr>
        <w:t xml:space="preserve"> ①中标候选人情况公示完毕后10个工作日内，除前3名中标候选人外，向未中标的投标人退还投标保证金。</w:t>
      </w:r>
    </w:p>
    <w:p>
      <w:pPr>
        <w:autoSpaceDE w:val="0"/>
        <w:autoSpaceDN w:val="0"/>
        <w:adjustRightInd w:val="0"/>
        <w:spacing w:line="360" w:lineRule="auto"/>
        <w:ind w:left="-1" w:firstLine="1080" w:firstLineChars="450"/>
        <w:rPr>
          <w:rFonts w:ascii="宋体" w:hAnsi="宋体" w:cs="宋体"/>
          <w:color w:val="auto"/>
          <w:sz w:val="24"/>
          <w:lang w:val="zh-CN"/>
        </w:rPr>
      </w:pPr>
      <w:r>
        <w:rPr>
          <w:rFonts w:hint="eastAsia" w:ascii="宋体" w:hAnsi="宋体" w:cs="宋体"/>
          <w:color w:val="auto"/>
          <w:sz w:val="24"/>
          <w:lang w:val="zh-CN"/>
        </w:rPr>
        <w:t>②招标人与中标人签订合同后5个工作日内，向未中标的中标候选人退还投标保证金。</w:t>
      </w:r>
    </w:p>
    <w:p>
      <w:pPr>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16.4</w:t>
      </w:r>
      <w:r>
        <w:rPr>
          <w:rFonts w:hint="eastAsia" w:ascii="宋体" w:hAnsi="宋体" w:cs="宋体"/>
          <w:color w:val="auto"/>
          <w:sz w:val="24"/>
          <w:lang w:val="zh-CN"/>
        </w:rPr>
        <w:t xml:space="preserve"> 中标人的投标保证金，在签署合同并按要求提供了履约保证金后予以退还投标保证金及银行同期存款利息。</w:t>
      </w:r>
    </w:p>
    <w:p>
      <w:pPr>
        <w:autoSpaceDE w:val="0"/>
        <w:autoSpaceDN w:val="0"/>
        <w:adjustRightInd w:val="0"/>
        <w:spacing w:line="360" w:lineRule="auto"/>
        <w:ind w:left="-1" w:firstLine="480"/>
        <w:rPr>
          <w:rFonts w:ascii="宋体" w:hAnsi="宋体" w:cs="宋体"/>
          <w:color w:val="auto"/>
          <w:sz w:val="24"/>
        </w:rPr>
      </w:pPr>
      <w:r>
        <w:rPr>
          <w:rFonts w:ascii="宋体" w:hAnsi="宋体" w:cs="宋体"/>
          <w:color w:val="auto"/>
          <w:sz w:val="24"/>
          <w:lang w:val="zh-CN"/>
        </w:rPr>
        <w:t>16.5</w:t>
      </w:r>
      <w:r>
        <w:rPr>
          <w:rFonts w:hint="eastAsia" w:ascii="宋体" w:hAnsi="宋体" w:cs="宋体"/>
          <w:color w:val="auto"/>
          <w:sz w:val="24"/>
          <w:lang w:val="zh-CN"/>
        </w:rPr>
        <w:t xml:space="preserve"> </w:t>
      </w:r>
      <w:r>
        <w:rPr>
          <w:rFonts w:hint="eastAsia" w:ascii="宋体" w:hAnsi="宋体" w:cs="宋体"/>
          <w:color w:val="auto"/>
          <w:sz w:val="24"/>
        </w:rPr>
        <w:t>有下列情形之一的，投标保证金将不予退还：</w:t>
      </w:r>
    </w:p>
    <w:p>
      <w:pPr>
        <w:autoSpaceDE w:val="0"/>
        <w:autoSpaceDN w:val="0"/>
        <w:adjustRightInd w:val="0"/>
        <w:spacing w:line="360" w:lineRule="auto"/>
        <w:ind w:left="-1" w:firstLine="480"/>
        <w:rPr>
          <w:rFonts w:ascii="宋体" w:hAnsi="宋体" w:cs="宋体"/>
          <w:color w:val="auto"/>
          <w:sz w:val="24"/>
        </w:rPr>
      </w:pPr>
      <w:r>
        <w:rPr>
          <w:rFonts w:hint="eastAsia" w:ascii="宋体" w:hAnsi="宋体" w:cs="宋体"/>
          <w:color w:val="auto"/>
          <w:sz w:val="24"/>
        </w:rPr>
        <w:t>（1）投标人在投标有效期内撤销文件；</w:t>
      </w:r>
    </w:p>
    <w:p>
      <w:pPr>
        <w:autoSpaceDE w:val="0"/>
        <w:autoSpaceDN w:val="0"/>
        <w:adjustRightInd w:val="0"/>
        <w:spacing w:line="360" w:lineRule="auto"/>
        <w:ind w:left="-1" w:firstLine="480"/>
        <w:rPr>
          <w:rFonts w:ascii="宋体" w:hAnsi="宋体" w:cs="宋体"/>
          <w:color w:val="auto"/>
          <w:sz w:val="24"/>
        </w:rPr>
      </w:pPr>
      <w:r>
        <w:rPr>
          <w:rFonts w:hint="eastAsia" w:ascii="宋体" w:hAnsi="宋体" w:cs="宋体"/>
          <w:color w:val="auto"/>
          <w:sz w:val="24"/>
        </w:rPr>
        <w:t>（2）中标人在收到中标通知书后，无正当理由不与招标人签订合同，在签订合同时向招标人提出附加条件，或者不按照招标文件要求提交履约保证金；</w:t>
      </w:r>
    </w:p>
    <w:p>
      <w:pPr>
        <w:autoSpaceDE w:val="0"/>
        <w:autoSpaceDN w:val="0"/>
        <w:adjustRightInd w:val="0"/>
        <w:spacing w:line="360" w:lineRule="auto"/>
        <w:ind w:left="-1" w:firstLine="480"/>
        <w:rPr>
          <w:rFonts w:ascii="宋体" w:hAnsi="宋体" w:cs="宋体"/>
          <w:color w:val="auto"/>
          <w:sz w:val="24"/>
          <w:lang w:val="zh-CN"/>
        </w:rPr>
      </w:pPr>
      <w:r>
        <w:rPr>
          <w:rFonts w:hint="eastAsia" w:ascii="宋体" w:hAnsi="宋体" w:cs="宋体"/>
          <w:color w:val="auto"/>
          <w:sz w:val="24"/>
        </w:rPr>
        <w:t>（3）发生投标人须知前附表规定的其他可以不予退还投标保证金的情形</w:t>
      </w:r>
    </w:p>
    <w:p>
      <w:pPr>
        <w:autoSpaceDE w:val="0"/>
        <w:autoSpaceDN w:val="0"/>
        <w:adjustRightInd w:val="0"/>
        <w:spacing w:before="120" w:line="360" w:lineRule="auto"/>
        <w:ind w:firstLine="480"/>
        <w:rPr>
          <w:rFonts w:ascii="宋体" w:hAnsi="宋体" w:cs="宋体"/>
          <w:b/>
          <w:bCs/>
          <w:color w:val="auto"/>
          <w:sz w:val="24"/>
          <w:lang w:val="zh-CN"/>
        </w:rPr>
      </w:pPr>
      <w:r>
        <w:rPr>
          <w:rFonts w:ascii="宋体" w:hAnsi="宋体" w:cs="宋体"/>
          <w:b/>
          <w:bCs/>
          <w:color w:val="auto"/>
          <w:sz w:val="24"/>
          <w:lang w:val="zh-CN"/>
        </w:rPr>
        <w:t>17</w:t>
      </w:r>
      <w:r>
        <w:rPr>
          <w:rFonts w:hint="eastAsia" w:ascii="宋体" w:hAnsi="宋体" w:cs="宋体"/>
          <w:b/>
          <w:bCs/>
          <w:color w:val="auto"/>
          <w:sz w:val="24"/>
          <w:lang w:val="zh-CN"/>
        </w:rPr>
        <w:t>．投标文件的份数和签署</w:t>
      </w:r>
    </w:p>
    <w:p>
      <w:pPr>
        <w:autoSpaceDE w:val="0"/>
        <w:autoSpaceDN w:val="0"/>
        <w:adjustRightInd w:val="0"/>
        <w:spacing w:line="360" w:lineRule="auto"/>
        <w:ind w:firstLine="480"/>
        <w:rPr>
          <w:rFonts w:ascii="宋体" w:hAnsi="宋体" w:cs="宋体"/>
          <w:color w:val="auto"/>
          <w:sz w:val="24"/>
          <w:lang w:val="zh-CN"/>
        </w:rPr>
      </w:pPr>
      <w:r>
        <w:rPr>
          <w:rFonts w:ascii="宋体" w:hAnsi="宋体" w:cs="宋体"/>
          <w:color w:val="auto"/>
          <w:sz w:val="24"/>
          <w:lang w:val="zh-CN"/>
        </w:rPr>
        <w:t xml:space="preserve">17.1 </w:t>
      </w:r>
      <w:r>
        <w:rPr>
          <w:rFonts w:hint="eastAsia" w:ascii="宋体" w:hAnsi="宋体" w:cs="宋体"/>
          <w:color w:val="auto"/>
          <w:sz w:val="24"/>
          <w:lang w:val="zh-CN"/>
        </w:rPr>
        <w:t>投标人应按投标人须知前附表第</w:t>
      </w:r>
      <w:r>
        <w:rPr>
          <w:rFonts w:hint="eastAsia" w:ascii="宋体" w:hAnsi="宋体" w:cs="宋体"/>
          <w:color w:val="auto"/>
          <w:sz w:val="24"/>
        </w:rPr>
        <w:t>21</w:t>
      </w:r>
      <w:r>
        <w:rPr>
          <w:rFonts w:hint="eastAsia" w:ascii="宋体" w:hAnsi="宋体" w:cs="宋体"/>
          <w:color w:val="auto"/>
          <w:sz w:val="24"/>
          <w:lang w:val="zh-CN"/>
        </w:rPr>
        <w:t>项规定的份数提交投标文件。</w:t>
      </w:r>
    </w:p>
    <w:p>
      <w:pPr>
        <w:autoSpaceDE w:val="0"/>
        <w:autoSpaceDN w:val="0"/>
        <w:adjustRightInd w:val="0"/>
        <w:spacing w:line="360" w:lineRule="auto"/>
        <w:ind w:firstLine="480"/>
        <w:rPr>
          <w:rFonts w:ascii="宋体" w:hAnsi="宋体" w:cs="宋体"/>
          <w:color w:val="auto"/>
          <w:sz w:val="24"/>
          <w:lang w:val="zh-CN"/>
        </w:rPr>
      </w:pPr>
      <w:r>
        <w:rPr>
          <w:rFonts w:ascii="宋体" w:hAnsi="宋体" w:cs="宋体"/>
          <w:color w:val="auto"/>
          <w:sz w:val="24"/>
          <w:lang w:val="zh-CN"/>
        </w:rPr>
        <w:t xml:space="preserve">17.2 </w:t>
      </w:r>
      <w:r>
        <w:rPr>
          <w:rFonts w:hint="eastAsia" w:ascii="宋体" w:hAnsi="宋体" w:cs="宋体"/>
          <w:color w:val="auto"/>
          <w:sz w:val="24"/>
          <w:lang w:val="zh-CN"/>
        </w:rPr>
        <w:t>投标文件的正本和副本均需打印或使用不褪色的蓝、黑墨水笔书写，副本可以是正本的复印件，字迹应清晰易于辩认，并应在投标文件封面的右上角清楚地注明</w:t>
      </w:r>
      <w:r>
        <w:rPr>
          <w:rFonts w:ascii="宋体" w:hAnsi="宋体" w:cs="宋体"/>
          <w:color w:val="auto"/>
          <w:sz w:val="24"/>
          <w:lang w:val="zh-CN"/>
        </w:rPr>
        <w:t>“</w:t>
      </w:r>
      <w:r>
        <w:rPr>
          <w:rFonts w:hint="eastAsia" w:ascii="宋体" w:hAnsi="宋体" w:cs="宋体"/>
          <w:color w:val="auto"/>
          <w:sz w:val="24"/>
          <w:lang w:val="zh-CN"/>
        </w:rPr>
        <w:t>正本</w:t>
      </w:r>
      <w:r>
        <w:rPr>
          <w:rFonts w:ascii="宋体" w:hAnsi="宋体" w:cs="宋体"/>
          <w:color w:val="auto"/>
          <w:sz w:val="24"/>
          <w:lang w:val="zh-CN"/>
        </w:rPr>
        <w:t>”</w:t>
      </w:r>
      <w:r>
        <w:rPr>
          <w:rFonts w:hint="eastAsia" w:ascii="宋体" w:hAnsi="宋体" w:cs="宋体"/>
          <w:color w:val="auto"/>
          <w:sz w:val="24"/>
          <w:lang w:val="zh-CN"/>
        </w:rPr>
        <w:t>或</w:t>
      </w:r>
      <w:r>
        <w:rPr>
          <w:rFonts w:ascii="宋体" w:hAnsi="宋体" w:cs="宋体"/>
          <w:color w:val="auto"/>
          <w:sz w:val="24"/>
          <w:lang w:val="zh-CN"/>
        </w:rPr>
        <w:t>“</w:t>
      </w:r>
      <w:r>
        <w:rPr>
          <w:rFonts w:hint="eastAsia" w:ascii="宋体" w:hAnsi="宋体" w:cs="宋体"/>
          <w:color w:val="auto"/>
          <w:sz w:val="24"/>
          <w:lang w:val="zh-CN"/>
        </w:rPr>
        <w:t>副本</w:t>
      </w:r>
      <w:r>
        <w:rPr>
          <w:rFonts w:ascii="宋体" w:hAnsi="宋体" w:cs="宋体"/>
          <w:color w:val="auto"/>
          <w:sz w:val="24"/>
          <w:lang w:val="zh-CN"/>
        </w:rPr>
        <w:t>”</w:t>
      </w:r>
      <w:r>
        <w:rPr>
          <w:rFonts w:hint="eastAsia" w:ascii="宋体" w:hAnsi="宋体" w:cs="宋体"/>
          <w:color w:val="auto"/>
          <w:sz w:val="24"/>
          <w:lang w:val="zh-CN"/>
        </w:rPr>
        <w:t>。正本和副本如有不一致之处，以正本为准。</w:t>
      </w:r>
    </w:p>
    <w:p>
      <w:pPr>
        <w:autoSpaceDE w:val="0"/>
        <w:autoSpaceDN w:val="0"/>
        <w:adjustRightInd w:val="0"/>
        <w:spacing w:line="360" w:lineRule="auto"/>
        <w:ind w:firstLine="480"/>
        <w:rPr>
          <w:rFonts w:ascii="宋体" w:hAnsi="宋体" w:cs="宋体"/>
          <w:color w:val="auto"/>
          <w:sz w:val="24"/>
          <w:lang w:val="zh-CN"/>
        </w:rPr>
      </w:pPr>
      <w:r>
        <w:rPr>
          <w:rFonts w:ascii="宋体" w:hAnsi="宋体" w:cs="宋体"/>
          <w:color w:val="auto"/>
          <w:sz w:val="24"/>
          <w:lang w:val="zh-CN"/>
        </w:rPr>
        <w:t>17.3</w:t>
      </w:r>
      <w:r>
        <w:rPr>
          <w:rFonts w:hint="eastAsia" w:ascii="宋体" w:hAnsi="宋体" w:cs="宋体"/>
          <w:color w:val="auto"/>
          <w:sz w:val="24"/>
          <w:lang w:val="zh-CN"/>
        </w:rPr>
        <w:t xml:space="preserve">投标文件封面必须有法定代表人或其委托代理人签字（或盖章）并加盖投标人公章。由委托代理人签字（或盖章）的投标文件中须同时提交法定代表人签署授权委托书。投标文件中递交的法定代表人证明书、授权委托证明书格式签字、盖章及内容均应符合要求，否则证明书无效。 </w:t>
      </w:r>
    </w:p>
    <w:p>
      <w:pPr>
        <w:autoSpaceDE w:val="0"/>
        <w:autoSpaceDN w:val="0"/>
        <w:adjustRightInd w:val="0"/>
        <w:spacing w:line="360" w:lineRule="auto"/>
        <w:ind w:firstLine="480"/>
        <w:rPr>
          <w:rFonts w:ascii="宋体" w:hAnsi="宋体" w:cs="宋体"/>
          <w:color w:val="auto"/>
          <w:sz w:val="24"/>
          <w:lang w:val="zh-CN"/>
        </w:rPr>
      </w:pPr>
      <w:r>
        <w:rPr>
          <w:rFonts w:hint="eastAsia" w:ascii="宋体" w:hAnsi="宋体" w:cs="宋体"/>
          <w:color w:val="auto"/>
          <w:sz w:val="24"/>
          <w:lang w:val="zh-CN"/>
        </w:rPr>
        <w:t>投标文件封面必须有项目总监理工程师、技术负责人签字。</w:t>
      </w:r>
    </w:p>
    <w:p>
      <w:pPr>
        <w:autoSpaceDE w:val="0"/>
        <w:autoSpaceDN w:val="0"/>
        <w:adjustRightInd w:val="0"/>
        <w:spacing w:line="360" w:lineRule="auto"/>
        <w:ind w:firstLine="480"/>
        <w:rPr>
          <w:rFonts w:ascii="宋体" w:hAnsi="宋体" w:cs="宋体"/>
          <w:color w:val="auto"/>
          <w:sz w:val="24"/>
          <w:lang w:val="zh-CN"/>
        </w:rPr>
      </w:pPr>
      <w:r>
        <w:rPr>
          <w:rFonts w:ascii="宋体" w:hAnsi="宋体" w:cs="宋体"/>
          <w:color w:val="auto"/>
          <w:sz w:val="24"/>
          <w:lang w:val="zh-CN"/>
        </w:rPr>
        <w:t xml:space="preserve">17.4 </w:t>
      </w:r>
      <w:r>
        <w:rPr>
          <w:rFonts w:hint="eastAsia" w:ascii="宋体" w:hAnsi="宋体" w:cs="宋体"/>
          <w:color w:val="auto"/>
          <w:sz w:val="24"/>
          <w:lang w:val="zh-CN"/>
        </w:rPr>
        <w:t>除投标人对错误处须修改外，全套投标文件应无涂改或行间插字和增删。如有修改，修改处应盖校对章或法定代表人签字（或盖私章）或委托代理人签字（或盖私章），并加盖单位公章。</w:t>
      </w:r>
    </w:p>
    <w:p>
      <w:pPr>
        <w:autoSpaceDE w:val="0"/>
        <w:autoSpaceDN w:val="0"/>
        <w:adjustRightInd w:val="0"/>
        <w:spacing w:line="360" w:lineRule="auto"/>
        <w:ind w:firstLine="480"/>
        <w:rPr>
          <w:rFonts w:ascii="宋体" w:hAnsi="宋体" w:cs="宋体"/>
          <w:color w:val="auto"/>
          <w:sz w:val="24"/>
          <w:lang w:val="zh-CN"/>
        </w:rPr>
      </w:pPr>
      <w:r>
        <w:rPr>
          <w:rFonts w:ascii="宋体" w:hAnsi="宋体" w:cs="宋体"/>
          <w:bCs/>
          <w:color w:val="auto"/>
          <w:sz w:val="24"/>
          <w:lang w:val="zh-CN"/>
        </w:rPr>
        <w:t>17.5</w:t>
      </w:r>
      <w:r>
        <w:rPr>
          <w:rFonts w:hint="eastAsia" w:ascii="宋体" w:hAnsi="宋体" w:cs="宋体"/>
          <w:color w:val="auto"/>
          <w:sz w:val="24"/>
          <w:lang w:val="zh-CN"/>
        </w:rPr>
        <w:t>投标文件的规格：统一A4印刷本，纸质封面，印刷本厚度要求控制在7厘米以内，超过厚度则分册装订，可双面或单面打印。使用书式装订，装订时书钉不外露；不能使用塑料面或塑料胶条装订。</w:t>
      </w:r>
    </w:p>
    <w:p>
      <w:pPr>
        <w:autoSpaceDE w:val="0"/>
        <w:autoSpaceDN w:val="0"/>
        <w:adjustRightInd w:val="0"/>
        <w:spacing w:line="360" w:lineRule="auto"/>
        <w:ind w:firstLine="480"/>
        <w:rPr>
          <w:rFonts w:ascii="宋体" w:hAnsi="宋体" w:cs="宋体"/>
          <w:color w:val="auto"/>
          <w:sz w:val="24"/>
          <w:lang w:val="zh-CN"/>
        </w:rPr>
      </w:pPr>
      <w:r>
        <w:rPr>
          <w:rFonts w:ascii="宋体" w:hAnsi="宋体" w:cs="宋体"/>
          <w:bCs/>
          <w:color w:val="auto"/>
          <w:sz w:val="24"/>
          <w:lang w:val="zh-CN"/>
        </w:rPr>
        <w:t>17.6</w:t>
      </w:r>
      <w:r>
        <w:rPr>
          <w:rFonts w:hint="eastAsia" w:ascii="宋体" w:hAnsi="宋体" w:cs="宋体"/>
          <w:bCs/>
          <w:color w:val="auto"/>
          <w:sz w:val="24"/>
          <w:lang w:val="zh-CN"/>
        </w:rPr>
        <w:t xml:space="preserve"> 投标文件的页码：</w:t>
      </w:r>
      <w:r>
        <w:rPr>
          <w:rFonts w:hint="eastAsia" w:ascii="宋体" w:hAnsi="宋体" w:cs="宋体"/>
          <w:color w:val="auto"/>
          <w:sz w:val="24"/>
          <w:lang w:val="zh-CN"/>
        </w:rPr>
        <w:t>必须按每本逐页从</w:t>
      </w:r>
      <w:r>
        <w:rPr>
          <w:rFonts w:ascii="宋体" w:hAnsi="宋体" w:cs="宋体"/>
          <w:color w:val="auto"/>
          <w:sz w:val="24"/>
          <w:lang w:val="zh-CN"/>
        </w:rPr>
        <w:t>1</w:t>
      </w:r>
      <w:r>
        <w:rPr>
          <w:rFonts w:hint="eastAsia" w:ascii="宋体" w:hAnsi="宋体" w:cs="宋体"/>
          <w:color w:val="auto"/>
          <w:sz w:val="24"/>
          <w:lang w:val="zh-CN"/>
        </w:rPr>
        <w:t>开始，按照流水号编号（包括附图、证件、图片等），页号编在右下角，若双面打印的页号编在左下角（空白页面不编号）。</w:t>
      </w:r>
    </w:p>
    <w:p>
      <w:pPr>
        <w:autoSpaceDE w:val="0"/>
        <w:autoSpaceDN w:val="0"/>
        <w:adjustRightInd w:val="0"/>
        <w:spacing w:before="240" w:line="360" w:lineRule="auto"/>
        <w:ind w:firstLine="480"/>
        <w:rPr>
          <w:rFonts w:ascii="宋体" w:hAnsi="宋体" w:cs="宋体"/>
          <w:b/>
          <w:bCs/>
          <w:color w:val="auto"/>
          <w:sz w:val="24"/>
          <w:lang w:val="zh-CN"/>
        </w:rPr>
      </w:pPr>
      <w:r>
        <w:rPr>
          <w:rFonts w:hint="eastAsia" w:ascii="宋体" w:hAnsi="宋体" w:cs="宋体"/>
          <w:b/>
          <w:bCs/>
          <w:color w:val="auto"/>
          <w:sz w:val="24"/>
          <w:lang w:val="zh-CN"/>
        </w:rPr>
        <w:t>（四）投标文件的提交</w:t>
      </w:r>
    </w:p>
    <w:p>
      <w:pPr>
        <w:autoSpaceDE w:val="0"/>
        <w:autoSpaceDN w:val="0"/>
        <w:adjustRightInd w:val="0"/>
        <w:spacing w:before="120" w:line="360" w:lineRule="auto"/>
        <w:ind w:firstLine="480"/>
        <w:rPr>
          <w:rFonts w:ascii="宋体" w:hAnsi="宋体" w:cs="宋体"/>
          <w:b/>
          <w:bCs/>
          <w:color w:val="auto"/>
          <w:sz w:val="24"/>
          <w:lang w:val="zh-CN"/>
        </w:rPr>
      </w:pPr>
      <w:r>
        <w:rPr>
          <w:rFonts w:ascii="宋体" w:hAnsi="宋体" w:cs="宋体"/>
          <w:b/>
          <w:bCs/>
          <w:color w:val="auto"/>
          <w:sz w:val="24"/>
          <w:lang w:val="zh-CN"/>
        </w:rPr>
        <w:t>18</w:t>
      </w:r>
      <w:r>
        <w:rPr>
          <w:rFonts w:hint="eastAsia" w:ascii="宋体" w:hAnsi="宋体" w:cs="宋体"/>
          <w:b/>
          <w:bCs/>
          <w:color w:val="auto"/>
          <w:sz w:val="24"/>
          <w:lang w:val="zh-CN"/>
        </w:rPr>
        <w:t>．投标文件的包封、密封和标记</w:t>
      </w:r>
    </w:p>
    <w:p>
      <w:pPr>
        <w:autoSpaceDE w:val="0"/>
        <w:autoSpaceDN w:val="0"/>
        <w:adjustRightInd w:val="0"/>
        <w:spacing w:line="360" w:lineRule="auto"/>
        <w:ind w:left="-2" w:firstLine="480"/>
        <w:rPr>
          <w:rFonts w:ascii="宋体" w:hAnsi="宋体" w:cs="宋体"/>
          <w:color w:val="auto"/>
          <w:sz w:val="24"/>
          <w:lang w:val="zh-CN"/>
        </w:rPr>
      </w:pPr>
      <w:r>
        <w:rPr>
          <w:rFonts w:ascii="宋体" w:hAnsi="宋体" w:cs="宋体"/>
          <w:color w:val="auto"/>
          <w:sz w:val="24"/>
          <w:lang w:val="zh-CN"/>
        </w:rPr>
        <w:t xml:space="preserve">18.1 </w:t>
      </w:r>
      <w:r>
        <w:rPr>
          <w:rFonts w:hint="eastAsia" w:ascii="宋体" w:hAnsi="宋体" w:cs="宋体"/>
          <w:color w:val="auto"/>
          <w:sz w:val="24"/>
          <w:lang w:val="zh-CN"/>
        </w:rPr>
        <w:t>投标文件的包封要求：投标文件正本、副本、电子文件光盘等每一本应分别独立密封包封。</w:t>
      </w:r>
    </w:p>
    <w:p>
      <w:pPr>
        <w:autoSpaceDE w:val="0"/>
        <w:autoSpaceDN w:val="0"/>
        <w:adjustRightInd w:val="0"/>
        <w:spacing w:line="360" w:lineRule="auto"/>
        <w:ind w:left="-2" w:firstLine="480"/>
        <w:rPr>
          <w:rFonts w:ascii="宋体" w:hAnsi="宋体" w:cs="宋体"/>
          <w:color w:val="auto"/>
          <w:sz w:val="24"/>
          <w:lang w:val="zh-CN"/>
        </w:rPr>
      </w:pPr>
      <w:r>
        <w:rPr>
          <w:rFonts w:ascii="宋体" w:hAnsi="宋体" w:cs="宋体"/>
          <w:color w:val="auto"/>
          <w:sz w:val="24"/>
          <w:lang w:val="zh-CN"/>
        </w:rPr>
        <w:t>18.2</w:t>
      </w:r>
      <w:r>
        <w:rPr>
          <w:rFonts w:hint="eastAsia" w:ascii="宋体" w:hAnsi="宋体" w:cs="宋体"/>
          <w:color w:val="auto"/>
          <w:sz w:val="24"/>
          <w:lang w:val="zh-CN"/>
        </w:rPr>
        <w:t xml:space="preserve"> 投标文件的密封要求：投标人应确保密闭封装、并加盖骑缝公章。</w:t>
      </w:r>
    </w:p>
    <w:p>
      <w:pPr>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18.3</w:t>
      </w:r>
      <w:r>
        <w:rPr>
          <w:rFonts w:hint="eastAsia" w:ascii="宋体" w:hAnsi="宋体" w:cs="宋体"/>
          <w:color w:val="auto"/>
          <w:sz w:val="24"/>
          <w:lang w:val="zh-CN"/>
        </w:rPr>
        <w:t xml:space="preserve"> 投标文件的标记要求：包封上应具有以下标记：</w:t>
      </w:r>
    </w:p>
    <w:p>
      <w:pPr>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18.3.1</w:t>
      </w:r>
      <w:r>
        <w:rPr>
          <w:rFonts w:hint="eastAsia" w:ascii="宋体" w:hAnsi="宋体" w:cs="宋体"/>
          <w:color w:val="auto"/>
          <w:sz w:val="24"/>
          <w:lang w:val="zh-CN"/>
        </w:rPr>
        <w:t xml:space="preserve"> 招标人的名称；</w:t>
      </w:r>
    </w:p>
    <w:p>
      <w:pPr>
        <w:autoSpaceDE w:val="0"/>
        <w:autoSpaceDN w:val="0"/>
        <w:adjustRightInd w:val="0"/>
        <w:spacing w:line="360" w:lineRule="auto"/>
        <w:ind w:left="-1" w:firstLine="480"/>
        <w:rPr>
          <w:rFonts w:ascii="宋体" w:hAnsi="宋体" w:cs="宋体"/>
          <w:color w:val="auto"/>
          <w:sz w:val="24"/>
          <w:u w:val="single"/>
          <w:lang w:val="zh-CN"/>
        </w:rPr>
      </w:pPr>
      <w:r>
        <w:rPr>
          <w:rFonts w:ascii="宋体" w:hAnsi="宋体" w:cs="宋体"/>
          <w:color w:val="auto"/>
          <w:sz w:val="24"/>
          <w:lang w:val="zh-CN"/>
        </w:rPr>
        <w:t>18.3.2</w:t>
      </w:r>
      <w:r>
        <w:rPr>
          <w:rFonts w:hint="eastAsia" w:ascii="宋体" w:hAnsi="宋体" w:cs="宋体"/>
          <w:color w:val="auto"/>
          <w:sz w:val="24"/>
          <w:lang w:val="zh-CN"/>
        </w:rPr>
        <w:t xml:space="preserve"> 项目名称；</w:t>
      </w:r>
    </w:p>
    <w:p>
      <w:pPr>
        <w:autoSpaceDE w:val="0"/>
        <w:autoSpaceDN w:val="0"/>
        <w:adjustRightInd w:val="0"/>
        <w:spacing w:line="360" w:lineRule="auto"/>
        <w:ind w:firstLine="480"/>
        <w:rPr>
          <w:rFonts w:ascii="宋体" w:hAnsi="宋体" w:cs="宋体"/>
          <w:color w:val="auto"/>
          <w:sz w:val="24"/>
          <w:lang w:val="zh-CN"/>
        </w:rPr>
      </w:pPr>
      <w:r>
        <w:rPr>
          <w:rFonts w:ascii="宋体" w:hAnsi="宋体" w:cs="宋体"/>
          <w:color w:val="auto"/>
          <w:sz w:val="24"/>
          <w:lang w:val="zh-CN"/>
        </w:rPr>
        <w:t>18.3.3</w:t>
      </w:r>
      <w:r>
        <w:rPr>
          <w:rFonts w:ascii="宋体" w:hAnsi="宋体" w:cs="宋体"/>
          <w:color w:val="auto"/>
          <w:sz w:val="24"/>
          <w:u w:val="single"/>
          <w:lang w:val="zh-CN"/>
        </w:rPr>
        <w:t xml:space="preserve">   </w:t>
      </w:r>
      <w:r>
        <w:rPr>
          <w:rFonts w:hint="eastAsia" w:ascii="宋体" w:hAnsi="宋体" w:cs="宋体"/>
          <w:color w:val="auto"/>
          <w:sz w:val="24"/>
          <w:u w:val="single"/>
          <w:lang w:val="zh-CN"/>
        </w:rPr>
        <w:t xml:space="preserve">   </w:t>
      </w:r>
      <w:r>
        <w:rPr>
          <w:rFonts w:ascii="宋体" w:hAnsi="宋体" w:cs="宋体"/>
          <w:color w:val="auto"/>
          <w:sz w:val="24"/>
          <w:u w:val="single"/>
          <w:lang w:val="zh-CN"/>
        </w:rPr>
        <w:t xml:space="preserve"> </w:t>
      </w:r>
      <w:r>
        <w:rPr>
          <w:rFonts w:hint="eastAsia" w:ascii="宋体" w:hAnsi="宋体" w:cs="宋体"/>
          <w:color w:val="auto"/>
          <w:sz w:val="24"/>
          <w:lang w:val="zh-CN"/>
        </w:rPr>
        <w:t>年</w:t>
      </w:r>
      <w:r>
        <w:rPr>
          <w:rFonts w:hint="eastAsia" w:ascii="宋体" w:hAnsi="宋体" w:cs="宋体"/>
          <w:color w:val="auto"/>
          <w:sz w:val="24"/>
          <w:u w:val="single"/>
          <w:lang w:val="zh-CN"/>
        </w:rPr>
        <w:t xml:space="preserve">    </w:t>
      </w:r>
      <w:r>
        <w:rPr>
          <w:rFonts w:hint="eastAsia" w:ascii="宋体" w:hAnsi="宋体" w:cs="宋体"/>
          <w:color w:val="auto"/>
          <w:sz w:val="24"/>
          <w:lang w:val="zh-CN"/>
        </w:rPr>
        <w:t>月</w:t>
      </w:r>
      <w:r>
        <w:rPr>
          <w:rFonts w:ascii="宋体" w:hAnsi="宋体" w:cs="宋体"/>
          <w:color w:val="auto"/>
          <w:sz w:val="24"/>
          <w:u w:val="single"/>
          <w:lang w:val="zh-CN"/>
        </w:rPr>
        <w:t xml:space="preserve">    </w:t>
      </w:r>
      <w:r>
        <w:rPr>
          <w:rFonts w:hint="eastAsia" w:ascii="宋体" w:hAnsi="宋体" w:cs="宋体"/>
          <w:color w:val="auto"/>
          <w:sz w:val="24"/>
          <w:lang w:val="zh-CN"/>
        </w:rPr>
        <w:t>日</w:t>
      </w:r>
      <w:r>
        <w:rPr>
          <w:rFonts w:hint="eastAsia" w:ascii="宋体" w:hAnsi="宋体" w:cs="宋体"/>
          <w:color w:val="auto"/>
          <w:sz w:val="24"/>
          <w:u w:val="single"/>
          <w:lang w:val="zh-CN"/>
        </w:rPr>
        <w:t xml:space="preserve"> </w:t>
      </w:r>
      <w:r>
        <w:rPr>
          <w:rFonts w:ascii="宋体" w:hAnsi="宋体"/>
          <w:color w:val="auto"/>
          <w:sz w:val="24"/>
          <w:u w:val="single"/>
        </w:rPr>
        <w:t xml:space="preserve">  </w:t>
      </w:r>
      <w:r>
        <w:rPr>
          <w:rFonts w:hint="eastAsia" w:ascii="宋体" w:hAnsi="宋体" w:cs="宋体"/>
          <w:color w:val="auto"/>
          <w:sz w:val="24"/>
          <w:lang w:val="zh-CN"/>
        </w:rPr>
        <w:t>时</w:t>
      </w:r>
      <w:r>
        <w:rPr>
          <w:rFonts w:ascii="宋体" w:hAnsi="宋体"/>
          <w:color w:val="auto"/>
          <w:sz w:val="24"/>
          <w:u w:val="single"/>
        </w:rPr>
        <w:t xml:space="preserve">  </w:t>
      </w:r>
      <w:r>
        <w:rPr>
          <w:rFonts w:hint="eastAsia" w:ascii="宋体" w:hAnsi="宋体" w:cs="宋体"/>
          <w:color w:val="auto"/>
          <w:sz w:val="24"/>
          <w:lang w:val="zh-CN"/>
        </w:rPr>
        <w:t>分前不得开封（填入</w:t>
      </w:r>
      <w:r>
        <w:rPr>
          <w:rFonts w:hint="eastAsia" w:ascii="仿宋_GB2312" w:eastAsia="仿宋_GB2312"/>
          <w:color w:val="auto"/>
          <w:sz w:val="24"/>
          <w:szCs w:val="32"/>
        </w:rPr>
        <w:t>投标人</w:t>
      </w:r>
      <w:r>
        <w:rPr>
          <w:rFonts w:hint="eastAsia" w:ascii="宋体" w:hAnsi="宋体" w:cs="宋体"/>
          <w:color w:val="auto"/>
          <w:sz w:val="24"/>
          <w:lang w:val="zh-CN"/>
        </w:rPr>
        <w:t>须知前附表所列的投标截止时间）；</w:t>
      </w:r>
    </w:p>
    <w:p>
      <w:pPr>
        <w:autoSpaceDE w:val="0"/>
        <w:autoSpaceDN w:val="0"/>
        <w:adjustRightInd w:val="0"/>
        <w:spacing w:line="360" w:lineRule="auto"/>
        <w:ind w:firstLine="480"/>
        <w:rPr>
          <w:rFonts w:ascii="宋体" w:hAnsi="宋体" w:cs="宋体"/>
          <w:color w:val="auto"/>
          <w:sz w:val="24"/>
          <w:lang w:val="zh-CN"/>
        </w:rPr>
      </w:pPr>
      <w:r>
        <w:rPr>
          <w:rFonts w:hint="eastAsia" w:ascii="宋体" w:hAnsi="宋体" w:cs="宋体"/>
          <w:color w:val="auto"/>
          <w:sz w:val="24"/>
          <w:lang w:val="zh-CN"/>
        </w:rPr>
        <w:t>18.3.4 正本或副本。</w:t>
      </w:r>
    </w:p>
    <w:p>
      <w:pPr>
        <w:autoSpaceDE w:val="0"/>
        <w:autoSpaceDN w:val="0"/>
        <w:adjustRightInd w:val="0"/>
        <w:spacing w:line="360" w:lineRule="auto"/>
        <w:ind w:hanging="1"/>
        <w:rPr>
          <w:rFonts w:ascii="宋体" w:hAnsi="宋体" w:cs="宋体"/>
          <w:color w:val="auto"/>
          <w:sz w:val="24"/>
          <w:lang w:val="zh-CN"/>
        </w:rPr>
      </w:pPr>
      <w:r>
        <w:rPr>
          <w:rFonts w:ascii="宋体" w:hAnsi="宋体" w:cs="宋体"/>
          <w:color w:val="auto"/>
          <w:sz w:val="24"/>
          <w:lang w:val="zh-CN"/>
        </w:rPr>
        <w:t xml:space="preserve">    18.4</w:t>
      </w:r>
      <w:r>
        <w:rPr>
          <w:rFonts w:hint="eastAsia" w:ascii="宋体" w:hAnsi="宋体" w:cs="宋体"/>
          <w:color w:val="auto"/>
          <w:sz w:val="24"/>
          <w:lang w:val="zh-CN"/>
        </w:rPr>
        <w:t xml:space="preserve"> 在包封上应写明投标人的名称（加盖公章）；</w:t>
      </w:r>
    </w:p>
    <w:p>
      <w:pPr>
        <w:autoSpaceDE w:val="0"/>
        <w:autoSpaceDN w:val="0"/>
        <w:adjustRightIn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18.5 法定代表人（或委托人）签名或盖章。</w:t>
      </w:r>
    </w:p>
    <w:p>
      <w:pPr>
        <w:autoSpaceDE w:val="0"/>
        <w:autoSpaceDN w:val="0"/>
        <w:adjustRightInd w:val="0"/>
        <w:spacing w:line="360" w:lineRule="auto"/>
        <w:ind w:firstLine="480"/>
        <w:rPr>
          <w:rFonts w:ascii="宋体" w:hAnsi="宋体" w:cs="宋体"/>
          <w:color w:val="auto"/>
          <w:sz w:val="24"/>
          <w:u w:val="single"/>
          <w:lang w:val="zh-CN"/>
        </w:rPr>
      </w:pPr>
      <w:r>
        <w:rPr>
          <w:rFonts w:ascii="宋体" w:hAnsi="宋体" w:cs="宋体"/>
          <w:color w:val="auto"/>
          <w:sz w:val="24"/>
          <w:lang w:val="zh-CN"/>
        </w:rPr>
        <w:t>18.</w:t>
      </w:r>
      <w:r>
        <w:rPr>
          <w:rFonts w:hint="eastAsia" w:ascii="宋体" w:hAnsi="宋体" w:cs="宋体"/>
          <w:color w:val="auto"/>
          <w:sz w:val="24"/>
          <w:lang w:val="zh-CN"/>
        </w:rPr>
        <w:t>6 如果包封上没有按上述规定密封并加写标志，招标人将不承担投标文件错放或提前开封的责任，由此造成的提前开封的投标文件，招标人予以拒绝，并退还给投标人。</w:t>
      </w:r>
    </w:p>
    <w:p>
      <w:pPr>
        <w:autoSpaceDE w:val="0"/>
        <w:autoSpaceDN w:val="0"/>
        <w:adjustRightInd w:val="0"/>
        <w:spacing w:before="120" w:line="360" w:lineRule="auto"/>
        <w:ind w:firstLine="482"/>
        <w:rPr>
          <w:rFonts w:ascii="宋体" w:hAnsi="宋体" w:cs="宋体"/>
          <w:b/>
          <w:bCs/>
          <w:color w:val="auto"/>
          <w:sz w:val="24"/>
          <w:lang w:val="zh-CN"/>
        </w:rPr>
      </w:pPr>
      <w:r>
        <w:rPr>
          <w:rFonts w:ascii="宋体" w:hAnsi="宋体" w:cs="宋体"/>
          <w:b/>
          <w:bCs/>
          <w:color w:val="auto"/>
          <w:sz w:val="24"/>
          <w:lang w:val="zh-CN"/>
        </w:rPr>
        <w:t>19</w:t>
      </w:r>
      <w:r>
        <w:rPr>
          <w:rFonts w:hint="eastAsia" w:ascii="宋体" w:hAnsi="宋体" w:cs="宋体"/>
          <w:b/>
          <w:bCs/>
          <w:color w:val="auto"/>
          <w:sz w:val="24"/>
          <w:lang w:val="zh-CN"/>
        </w:rPr>
        <w:t>．投标文件的提交</w:t>
      </w:r>
    </w:p>
    <w:p>
      <w:pPr>
        <w:autoSpaceDE w:val="0"/>
        <w:autoSpaceDN w:val="0"/>
        <w:adjustRightInd w:val="0"/>
        <w:spacing w:line="360" w:lineRule="auto"/>
        <w:ind w:left="-1" w:firstLine="482"/>
        <w:rPr>
          <w:rFonts w:ascii="宋体" w:hAnsi="宋体" w:cs="宋体"/>
          <w:color w:val="auto"/>
          <w:sz w:val="24"/>
          <w:lang w:val="zh-CN"/>
        </w:rPr>
      </w:pPr>
      <w:r>
        <w:rPr>
          <w:rFonts w:ascii="宋体" w:hAnsi="宋体" w:cs="宋体"/>
          <w:color w:val="auto"/>
          <w:sz w:val="24"/>
          <w:lang w:val="zh-CN"/>
        </w:rPr>
        <w:t xml:space="preserve">19.1 </w:t>
      </w:r>
      <w:r>
        <w:rPr>
          <w:rFonts w:hint="eastAsia" w:ascii="宋体" w:hAnsi="宋体" w:cs="宋体"/>
          <w:color w:val="auto"/>
          <w:sz w:val="24"/>
          <w:lang w:val="zh-CN"/>
        </w:rPr>
        <w:t>投标人应按投标人须知前附表第</w:t>
      </w:r>
      <w:r>
        <w:rPr>
          <w:rFonts w:hint="eastAsia" w:ascii="宋体" w:hAnsi="宋体" w:cs="宋体"/>
          <w:color w:val="auto"/>
          <w:sz w:val="24"/>
        </w:rPr>
        <w:t>22</w:t>
      </w:r>
      <w:r>
        <w:rPr>
          <w:rFonts w:hint="eastAsia" w:ascii="宋体" w:hAnsi="宋体" w:cs="宋体"/>
          <w:color w:val="auto"/>
          <w:sz w:val="24"/>
          <w:lang w:val="zh-CN"/>
        </w:rPr>
        <w:t>项所规定的地点，于截止时间前提交投标文件，并办理好送达签认手续。</w:t>
      </w:r>
    </w:p>
    <w:p>
      <w:pPr>
        <w:autoSpaceDE w:val="0"/>
        <w:autoSpaceDN w:val="0"/>
        <w:adjustRightInd w:val="0"/>
        <w:spacing w:before="120" w:line="360" w:lineRule="auto"/>
        <w:ind w:firstLine="482"/>
        <w:rPr>
          <w:rFonts w:ascii="宋体" w:hAnsi="宋体" w:cs="宋体"/>
          <w:b/>
          <w:bCs/>
          <w:color w:val="auto"/>
          <w:sz w:val="24"/>
          <w:lang w:val="zh-CN"/>
        </w:rPr>
      </w:pPr>
      <w:r>
        <w:rPr>
          <w:rFonts w:ascii="宋体" w:hAnsi="宋体" w:cs="宋体"/>
          <w:b/>
          <w:bCs/>
          <w:color w:val="auto"/>
          <w:sz w:val="24"/>
          <w:lang w:val="zh-CN"/>
        </w:rPr>
        <w:t>20</w:t>
      </w:r>
      <w:r>
        <w:rPr>
          <w:rFonts w:hint="eastAsia" w:ascii="宋体" w:hAnsi="宋体" w:cs="宋体"/>
          <w:b/>
          <w:bCs/>
          <w:color w:val="auto"/>
          <w:sz w:val="24"/>
          <w:lang w:val="zh-CN"/>
        </w:rPr>
        <w:t>．投标文件提交的截止时间</w:t>
      </w:r>
    </w:p>
    <w:p>
      <w:pPr>
        <w:autoSpaceDE w:val="0"/>
        <w:autoSpaceDN w:val="0"/>
        <w:adjustRightInd w:val="0"/>
        <w:spacing w:line="360" w:lineRule="auto"/>
        <w:ind w:firstLine="482"/>
        <w:rPr>
          <w:rFonts w:ascii="宋体" w:hAnsi="宋体" w:cs="宋体"/>
          <w:b/>
          <w:bCs/>
          <w:color w:val="auto"/>
          <w:sz w:val="24"/>
          <w:lang w:val="zh-CN"/>
        </w:rPr>
      </w:pPr>
      <w:r>
        <w:rPr>
          <w:rFonts w:ascii="宋体" w:hAnsi="宋体" w:cs="宋体"/>
          <w:color w:val="auto"/>
          <w:sz w:val="24"/>
          <w:lang w:val="zh-CN"/>
        </w:rPr>
        <w:t>20.1</w:t>
      </w:r>
      <w:r>
        <w:rPr>
          <w:rFonts w:hint="eastAsia" w:ascii="宋体" w:hAnsi="宋体" w:cs="宋体"/>
          <w:color w:val="auto"/>
          <w:sz w:val="24"/>
          <w:lang w:val="zh-CN"/>
        </w:rPr>
        <w:t>投标人应按前附表第</w:t>
      </w:r>
      <w:r>
        <w:rPr>
          <w:rFonts w:hint="eastAsia" w:ascii="宋体" w:hAnsi="宋体" w:cs="宋体"/>
          <w:color w:val="auto"/>
          <w:sz w:val="24"/>
        </w:rPr>
        <w:t>22</w:t>
      </w:r>
      <w:r>
        <w:rPr>
          <w:rFonts w:hint="eastAsia" w:ascii="宋体" w:hAnsi="宋体" w:cs="宋体"/>
          <w:color w:val="auto"/>
          <w:sz w:val="24"/>
          <w:lang w:val="zh-CN"/>
        </w:rPr>
        <w:t>项所述的地点、日期和时间前将投标文件提交给招标人。</w:t>
      </w:r>
    </w:p>
    <w:p>
      <w:pPr>
        <w:autoSpaceDE w:val="0"/>
        <w:autoSpaceDN w:val="0"/>
        <w:adjustRightInd w:val="0"/>
        <w:spacing w:line="360" w:lineRule="auto"/>
        <w:ind w:firstLine="482"/>
        <w:rPr>
          <w:rFonts w:ascii="宋体" w:hAnsi="宋体" w:cs="宋体"/>
          <w:color w:val="auto"/>
          <w:sz w:val="24"/>
          <w:lang w:val="zh-CN"/>
        </w:rPr>
      </w:pPr>
      <w:r>
        <w:rPr>
          <w:rFonts w:ascii="宋体" w:hAnsi="宋体" w:cs="宋体"/>
          <w:color w:val="auto"/>
          <w:sz w:val="24"/>
          <w:lang w:val="zh-CN"/>
        </w:rPr>
        <w:t>20.2</w:t>
      </w:r>
      <w:r>
        <w:rPr>
          <w:rFonts w:hint="eastAsia" w:ascii="宋体" w:hAnsi="宋体" w:cs="宋体"/>
          <w:color w:val="auto"/>
          <w:sz w:val="24"/>
          <w:lang w:val="zh-CN"/>
        </w:rPr>
        <w:t>招标人可按本须知第</w:t>
      </w:r>
      <w:r>
        <w:rPr>
          <w:rFonts w:ascii="宋体" w:hAnsi="宋体" w:cs="宋体"/>
          <w:color w:val="auto"/>
          <w:sz w:val="24"/>
          <w:lang w:val="zh-CN"/>
        </w:rPr>
        <w:t>9</w:t>
      </w:r>
      <w:r>
        <w:rPr>
          <w:rFonts w:hint="eastAsia" w:ascii="宋体" w:hAnsi="宋体" w:cs="宋体"/>
          <w:color w:val="auto"/>
          <w:sz w:val="24"/>
          <w:lang w:val="zh-CN"/>
        </w:rPr>
        <w:t>条规定以修改补充通知的方式，酌情延长提交投标文件的截止时间。在此情况下，投标人的所有权利和义务以及投标人受制约的截止时间，均以延长后新的投标截止时间为准。</w:t>
      </w:r>
    </w:p>
    <w:p>
      <w:pPr>
        <w:autoSpaceDE w:val="0"/>
        <w:autoSpaceDN w:val="0"/>
        <w:adjustRightInd w:val="0"/>
        <w:spacing w:line="360" w:lineRule="auto"/>
        <w:ind w:firstLine="482"/>
        <w:rPr>
          <w:rFonts w:ascii="宋体" w:hAnsi="宋体" w:cs="宋体"/>
          <w:color w:val="auto"/>
          <w:sz w:val="24"/>
          <w:lang w:val="zh-CN"/>
        </w:rPr>
      </w:pPr>
      <w:r>
        <w:rPr>
          <w:rFonts w:ascii="宋体" w:hAnsi="宋体" w:cs="宋体"/>
          <w:color w:val="auto"/>
          <w:sz w:val="24"/>
          <w:lang w:val="zh-CN"/>
        </w:rPr>
        <w:t xml:space="preserve">20.3 </w:t>
      </w:r>
      <w:r>
        <w:rPr>
          <w:rFonts w:hint="eastAsia" w:ascii="宋体" w:hAnsi="宋体" w:cs="宋体"/>
          <w:color w:val="auto"/>
          <w:sz w:val="24"/>
          <w:lang w:val="zh-CN"/>
        </w:rPr>
        <w:t>到投标截止时间止，招标人收到的投标文件少于</w:t>
      </w:r>
      <w:r>
        <w:rPr>
          <w:rFonts w:hint="eastAsia" w:ascii="宋体" w:hAnsi="宋体" w:cs="宋体"/>
          <w:b/>
          <w:color w:val="auto"/>
          <w:sz w:val="24"/>
          <w:lang w:val="zh-CN"/>
        </w:rPr>
        <w:t>3</w:t>
      </w:r>
      <w:r>
        <w:rPr>
          <w:rFonts w:hint="eastAsia" w:ascii="宋体" w:hAnsi="宋体" w:cs="宋体"/>
          <w:color w:val="auto"/>
          <w:sz w:val="24"/>
          <w:lang w:val="zh-CN"/>
        </w:rPr>
        <w:t>家的，招标人将依法重新组织招标。</w:t>
      </w:r>
    </w:p>
    <w:p>
      <w:pPr>
        <w:autoSpaceDE w:val="0"/>
        <w:autoSpaceDN w:val="0"/>
        <w:adjustRightInd w:val="0"/>
        <w:spacing w:line="360" w:lineRule="auto"/>
        <w:ind w:firstLine="482"/>
        <w:rPr>
          <w:rFonts w:ascii="宋体" w:hAnsi="宋体" w:cs="宋体"/>
          <w:color w:val="auto"/>
          <w:sz w:val="24"/>
          <w:lang w:val="zh-CN"/>
        </w:rPr>
      </w:pPr>
      <w:r>
        <w:rPr>
          <w:rFonts w:hint="eastAsia" w:ascii="宋体" w:hAnsi="宋体" w:cs="宋体"/>
          <w:color w:val="auto"/>
          <w:sz w:val="24"/>
          <w:lang w:val="zh-CN"/>
        </w:rPr>
        <w:t>20.4通过资格审查的投标人少于3家的，招标人将依法重新组织招标。</w:t>
      </w:r>
    </w:p>
    <w:p>
      <w:pPr>
        <w:autoSpaceDE w:val="0"/>
        <w:autoSpaceDN w:val="0"/>
        <w:adjustRightInd w:val="0"/>
        <w:spacing w:before="120" w:line="360" w:lineRule="auto"/>
        <w:ind w:firstLine="480"/>
        <w:rPr>
          <w:rFonts w:ascii="宋体" w:hAnsi="宋体" w:cs="宋体"/>
          <w:b/>
          <w:bCs/>
          <w:color w:val="auto"/>
          <w:sz w:val="24"/>
          <w:lang w:val="zh-CN"/>
        </w:rPr>
      </w:pPr>
      <w:r>
        <w:rPr>
          <w:rFonts w:ascii="宋体" w:hAnsi="宋体" w:cs="宋体"/>
          <w:b/>
          <w:bCs/>
          <w:color w:val="auto"/>
          <w:sz w:val="24"/>
          <w:lang w:val="zh-CN"/>
        </w:rPr>
        <w:t>21</w:t>
      </w:r>
      <w:r>
        <w:rPr>
          <w:rFonts w:hint="eastAsia" w:ascii="宋体" w:hAnsi="宋体" w:cs="宋体"/>
          <w:b/>
          <w:bCs/>
          <w:color w:val="auto"/>
          <w:sz w:val="24"/>
          <w:lang w:val="zh-CN"/>
        </w:rPr>
        <w:t>．迟交的投标文件</w:t>
      </w:r>
    </w:p>
    <w:p>
      <w:pPr>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 xml:space="preserve">21.1 </w:t>
      </w:r>
      <w:r>
        <w:rPr>
          <w:rFonts w:hint="eastAsia" w:ascii="宋体" w:hAnsi="宋体" w:cs="宋体"/>
          <w:color w:val="auto"/>
          <w:sz w:val="24"/>
          <w:lang w:val="zh-CN"/>
        </w:rPr>
        <w:t>招标人在本须知第</w:t>
      </w:r>
      <w:r>
        <w:rPr>
          <w:rFonts w:ascii="宋体" w:hAnsi="宋体" w:cs="宋体"/>
          <w:color w:val="auto"/>
          <w:sz w:val="24"/>
          <w:lang w:val="zh-CN"/>
        </w:rPr>
        <w:t>20</w:t>
      </w:r>
      <w:r>
        <w:rPr>
          <w:rFonts w:hint="eastAsia" w:ascii="宋体" w:hAnsi="宋体" w:cs="宋体"/>
          <w:color w:val="auto"/>
          <w:sz w:val="24"/>
          <w:lang w:val="zh-CN"/>
        </w:rPr>
        <w:t>条规定的投标截止时间以后收到的投标文件，将被拒绝并退回给投标人。</w:t>
      </w:r>
    </w:p>
    <w:p>
      <w:pPr>
        <w:autoSpaceDE w:val="0"/>
        <w:autoSpaceDN w:val="0"/>
        <w:adjustRightInd w:val="0"/>
        <w:spacing w:before="120" w:line="360" w:lineRule="auto"/>
        <w:ind w:firstLine="480"/>
        <w:rPr>
          <w:rFonts w:ascii="宋体" w:hAnsi="宋体" w:cs="宋体"/>
          <w:b/>
          <w:bCs/>
          <w:color w:val="auto"/>
          <w:sz w:val="24"/>
          <w:lang w:val="zh-CN"/>
        </w:rPr>
      </w:pPr>
      <w:r>
        <w:rPr>
          <w:rFonts w:ascii="宋体" w:hAnsi="宋体" w:cs="宋体"/>
          <w:b/>
          <w:bCs/>
          <w:color w:val="auto"/>
          <w:sz w:val="24"/>
          <w:lang w:val="zh-CN"/>
        </w:rPr>
        <w:t>22</w:t>
      </w:r>
      <w:r>
        <w:rPr>
          <w:rFonts w:hint="eastAsia" w:ascii="宋体" w:hAnsi="宋体" w:cs="宋体"/>
          <w:b/>
          <w:bCs/>
          <w:color w:val="auto"/>
          <w:sz w:val="24"/>
          <w:lang w:val="zh-CN"/>
        </w:rPr>
        <w:t>．投标文件的补充、修改与撤回</w:t>
      </w:r>
    </w:p>
    <w:p>
      <w:pPr>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 xml:space="preserve">22.1 </w:t>
      </w:r>
      <w:r>
        <w:rPr>
          <w:rFonts w:hint="eastAsia" w:ascii="宋体" w:hAnsi="宋体" w:cs="宋体"/>
          <w:color w:val="auto"/>
          <w:sz w:val="24"/>
          <w:lang w:val="zh-CN"/>
        </w:rPr>
        <w:t>投标人在提交投标文件以后，在规定的投标截止时间之前，可以以书面形式补充修改或撤回已提交的投标文件，并以书面形式通知招标人。补充、修改的内容为投标文件的组成部分。</w:t>
      </w:r>
    </w:p>
    <w:p>
      <w:pPr>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 xml:space="preserve">22.2 </w:t>
      </w:r>
      <w:r>
        <w:rPr>
          <w:rFonts w:hint="eastAsia" w:ascii="宋体" w:hAnsi="宋体" w:cs="宋体"/>
          <w:color w:val="auto"/>
          <w:sz w:val="24"/>
          <w:lang w:val="zh-CN"/>
        </w:rPr>
        <w:t>投标人对投标文件的补充、修改，应按本须知第</w:t>
      </w:r>
      <w:r>
        <w:rPr>
          <w:rFonts w:ascii="宋体" w:hAnsi="宋体" w:cs="宋体"/>
          <w:color w:val="auto"/>
          <w:sz w:val="24"/>
          <w:lang w:val="zh-CN"/>
        </w:rPr>
        <w:t>18</w:t>
      </w:r>
      <w:r>
        <w:rPr>
          <w:rFonts w:hint="eastAsia" w:ascii="宋体" w:hAnsi="宋体" w:cs="宋体"/>
          <w:color w:val="auto"/>
          <w:sz w:val="24"/>
          <w:lang w:val="zh-CN"/>
        </w:rPr>
        <w:t>条有关规定密封、标记和提交，并在投标文件密封袋上清楚标明</w:t>
      </w:r>
      <w:r>
        <w:rPr>
          <w:rFonts w:ascii="宋体" w:hAnsi="宋体" w:cs="宋体"/>
          <w:color w:val="auto"/>
          <w:sz w:val="24"/>
          <w:lang w:val="zh-CN"/>
        </w:rPr>
        <w:t>“</w:t>
      </w:r>
      <w:r>
        <w:rPr>
          <w:rFonts w:hint="eastAsia" w:ascii="宋体" w:hAnsi="宋体" w:cs="宋体"/>
          <w:color w:val="auto"/>
          <w:sz w:val="24"/>
          <w:lang w:val="zh-CN"/>
        </w:rPr>
        <w:t>补充、修改</w:t>
      </w:r>
      <w:r>
        <w:rPr>
          <w:rFonts w:ascii="宋体" w:hAnsi="宋体" w:cs="宋体"/>
          <w:color w:val="auto"/>
          <w:sz w:val="24"/>
          <w:lang w:val="zh-CN"/>
        </w:rPr>
        <w:t>”</w:t>
      </w:r>
      <w:r>
        <w:rPr>
          <w:rFonts w:hint="eastAsia" w:ascii="宋体" w:hAnsi="宋体" w:cs="宋体"/>
          <w:color w:val="auto"/>
          <w:sz w:val="24"/>
          <w:lang w:val="zh-CN"/>
        </w:rPr>
        <w:t>或</w:t>
      </w:r>
      <w:r>
        <w:rPr>
          <w:rFonts w:ascii="宋体" w:hAnsi="宋体" w:cs="宋体"/>
          <w:color w:val="auto"/>
          <w:sz w:val="24"/>
          <w:lang w:val="zh-CN"/>
        </w:rPr>
        <w:t>“</w:t>
      </w:r>
      <w:r>
        <w:rPr>
          <w:rFonts w:hint="eastAsia" w:ascii="宋体" w:hAnsi="宋体" w:cs="宋体"/>
          <w:color w:val="auto"/>
          <w:sz w:val="24"/>
          <w:lang w:val="zh-CN"/>
        </w:rPr>
        <w:t>撤回</w:t>
      </w:r>
      <w:r>
        <w:rPr>
          <w:rFonts w:ascii="宋体" w:hAnsi="宋体" w:cs="宋体"/>
          <w:color w:val="auto"/>
          <w:sz w:val="24"/>
          <w:lang w:val="zh-CN"/>
        </w:rPr>
        <w:t>”</w:t>
      </w:r>
      <w:r>
        <w:rPr>
          <w:rFonts w:hint="eastAsia" w:ascii="宋体" w:hAnsi="宋体" w:cs="宋体"/>
          <w:color w:val="auto"/>
          <w:sz w:val="24"/>
          <w:lang w:val="zh-CN"/>
        </w:rPr>
        <w:t>字样。</w:t>
      </w:r>
    </w:p>
    <w:p>
      <w:pPr>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 xml:space="preserve">22.3 </w:t>
      </w:r>
      <w:r>
        <w:rPr>
          <w:rFonts w:hint="eastAsia" w:ascii="宋体" w:hAnsi="宋体" w:cs="宋体"/>
          <w:color w:val="auto"/>
          <w:sz w:val="24"/>
          <w:lang w:val="zh-CN"/>
        </w:rPr>
        <w:t>在投标截止时间之后，投标人不得补充、修改或撤回投标文件。</w:t>
      </w:r>
    </w:p>
    <w:p>
      <w:pPr>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22.4</w:t>
      </w:r>
      <w:r>
        <w:rPr>
          <w:rFonts w:hint="eastAsia" w:ascii="宋体" w:hAnsi="宋体" w:cs="宋体"/>
          <w:color w:val="auto"/>
          <w:sz w:val="24"/>
          <w:lang w:val="zh-CN"/>
        </w:rPr>
        <w:t>根据本须知第</w:t>
      </w:r>
      <w:r>
        <w:rPr>
          <w:rFonts w:ascii="宋体" w:hAnsi="宋体" w:cs="宋体"/>
          <w:color w:val="auto"/>
          <w:sz w:val="24"/>
          <w:lang w:val="zh-CN"/>
        </w:rPr>
        <w:t>16</w:t>
      </w:r>
      <w:r>
        <w:rPr>
          <w:rFonts w:hint="eastAsia" w:ascii="宋体" w:hAnsi="宋体" w:cs="宋体"/>
          <w:color w:val="auto"/>
          <w:sz w:val="24"/>
          <w:lang w:val="zh-CN"/>
        </w:rPr>
        <w:t>条的规定，在投标截止期与招标人在招标文件中规定的有效期终止日之间的这段时期内，投标人不能撤回投标文件，否则其投标保证金将被没收。</w:t>
      </w:r>
    </w:p>
    <w:p>
      <w:pPr>
        <w:autoSpaceDE w:val="0"/>
        <w:autoSpaceDN w:val="0"/>
        <w:adjustRightInd w:val="0"/>
        <w:spacing w:before="120" w:line="360" w:lineRule="auto"/>
        <w:ind w:firstLine="480"/>
        <w:rPr>
          <w:rFonts w:ascii="宋体" w:hAnsi="宋体" w:cs="宋体"/>
          <w:b/>
          <w:bCs/>
          <w:color w:val="auto"/>
          <w:sz w:val="24"/>
          <w:lang w:val="zh-CN"/>
        </w:rPr>
      </w:pPr>
      <w:r>
        <w:rPr>
          <w:rFonts w:ascii="宋体" w:hAnsi="宋体" w:cs="宋体"/>
          <w:b/>
          <w:bCs/>
          <w:color w:val="auto"/>
          <w:sz w:val="24"/>
          <w:lang w:val="zh-CN"/>
        </w:rPr>
        <w:t>23</w:t>
      </w:r>
      <w:r>
        <w:rPr>
          <w:rFonts w:hint="eastAsia" w:ascii="宋体" w:hAnsi="宋体" w:cs="宋体"/>
          <w:b/>
          <w:bCs/>
          <w:color w:val="auto"/>
          <w:sz w:val="24"/>
          <w:lang w:val="zh-CN"/>
        </w:rPr>
        <w:t>．资格预审申请书材料的更新</w:t>
      </w:r>
    </w:p>
    <w:p>
      <w:pPr>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 xml:space="preserve">23.1 </w:t>
      </w:r>
      <w:r>
        <w:rPr>
          <w:rFonts w:hint="eastAsia" w:ascii="宋体" w:hAnsi="宋体" w:cs="宋体"/>
          <w:color w:val="auto"/>
          <w:sz w:val="24"/>
          <w:lang w:val="zh-CN"/>
        </w:rPr>
        <w:t>投标人在提交投标文件时，如资格预审申请书中的内容发生重大变化，投标人须对其更新，以证明其仍能满足资格预审评审标准，并且所提供的材料是经过确认的。如果在评标时投标人已经不能达到资格评审标准，其投标将被拒绝。</w:t>
      </w:r>
    </w:p>
    <w:p>
      <w:pPr>
        <w:autoSpaceDE w:val="0"/>
        <w:autoSpaceDN w:val="0"/>
        <w:adjustRightInd w:val="0"/>
        <w:spacing w:before="240" w:line="360" w:lineRule="auto"/>
        <w:ind w:firstLine="480"/>
        <w:rPr>
          <w:rFonts w:ascii="宋体" w:hAnsi="宋体" w:cs="宋体"/>
          <w:b/>
          <w:bCs/>
          <w:color w:val="auto"/>
          <w:sz w:val="24"/>
          <w:lang w:val="zh-CN"/>
        </w:rPr>
      </w:pPr>
      <w:r>
        <w:rPr>
          <w:rFonts w:hint="eastAsia" w:ascii="宋体" w:hAnsi="宋体" w:cs="宋体"/>
          <w:b/>
          <w:bCs/>
          <w:color w:val="auto"/>
          <w:sz w:val="24"/>
          <w:lang w:val="zh-CN"/>
        </w:rPr>
        <w:t>（五）开标</w:t>
      </w:r>
    </w:p>
    <w:p>
      <w:pPr>
        <w:autoSpaceDE w:val="0"/>
        <w:autoSpaceDN w:val="0"/>
        <w:adjustRightInd w:val="0"/>
        <w:spacing w:line="360" w:lineRule="auto"/>
        <w:ind w:left="1" w:firstLine="480"/>
        <w:rPr>
          <w:rFonts w:ascii="宋体" w:hAnsi="宋体" w:cs="宋体"/>
          <w:b/>
          <w:bCs/>
          <w:color w:val="auto"/>
          <w:sz w:val="24"/>
          <w:lang w:val="zh-CN"/>
        </w:rPr>
      </w:pPr>
      <w:r>
        <w:rPr>
          <w:rFonts w:ascii="宋体" w:hAnsi="宋体" w:cs="宋体"/>
          <w:b/>
          <w:bCs/>
          <w:color w:val="auto"/>
          <w:sz w:val="24"/>
          <w:lang w:val="zh-CN"/>
        </w:rPr>
        <w:t>24</w:t>
      </w:r>
      <w:r>
        <w:rPr>
          <w:rFonts w:hint="eastAsia" w:ascii="宋体" w:hAnsi="宋体" w:cs="宋体"/>
          <w:b/>
          <w:bCs/>
          <w:color w:val="auto"/>
          <w:sz w:val="24"/>
          <w:lang w:val="zh-CN"/>
        </w:rPr>
        <w:t>．开标</w:t>
      </w:r>
    </w:p>
    <w:p>
      <w:pPr>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24.1</w:t>
      </w:r>
      <w:r>
        <w:rPr>
          <w:rFonts w:hint="eastAsia" w:ascii="宋体" w:hAnsi="宋体" w:cs="宋体"/>
          <w:color w:val="auto"/>
          <w:sz w:val="24"/>
          <w:lang w:val="zh-CN"/>
        </w:rPr>
        <w:t xml:space="preserve"> 招标人按投标人须知前附表第2</w:t>
      </w:r>
      <w:r>
        <w:rPr>
          <w:rFonts w:ascii="宋体" w:hAnsi="宋体" w:cs="宋体"/>
          <w:color w:val="auto"/>
          <w:sz w:val="24"/>
          <w:lang w:val="zh-CN"/>
        </w:rPr>
        <w:t>2</w:t>
      </w:r>
      <w:r>
        <w:rPr>
          <w:rFonts w:hint="eastAsia" w:ascii="宋体" w:hAnsi="宋体" w:cs="宋体"/>
          <w:color w:val="auto"/>
          <w:sz w:val="24"/>
          <w:lang w:val="zh-CN"/>
        </w:rPr>
        <w:t>项所规定的时间和地点公开开标，并邀请所有投标人参加。</w:t>
      </w:r>
    </w:p>
    <w:p>
      <w:pPr>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 xml:space="preserve">24.2 </w:t>
      </w:r>
      <w:r>
        <w:rPr>
          <w:rFonts w:hint="eastAsia" w:ascii="宋体" w:hAnsi="宋体" w:cs="宋体"/>
          <w:color w:val="auto"/>
          <w:sz w:val="24"/>
          <w:lang w:val="zh-CN"/>
        </w:rPr>
        <w:t>按规定提交合格的撤回通知的投标文件不予开封，并退回给投标人。</w:t>
      </w:r>
    </w:p>
    <w:p>
      <w:pPr>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 xml:space="preserve">24.3 </w:t>
      </w:r>
      <w:r>
        <w:rPr>
          <w:rFonts w:hint="eastAsia" w:ascii="宋体" w:hAnsi="宋体" w:cs="宋体"/>
          <w:color w:val="auto"/>
          <w:sz w:val="24"/>
          <w:lang w:val="zh-CN"/>
        </w:rPr>
        <w:t>招标人在招标文件要求提交投标文件的截止时间前收到的投标文件</w:t>
      </w:r>
      <w:r>
        <w:rPr>
          <w:rFonts w:hint="eastAsia" w:ascii="宋体" w:hAnsi="宋体"/>
          <w:color w:val="auto"/>
          <w:sz w:val="24"/>
        </w:rPr>
        <w:t>（属否决性条款摘要中不予受理或为无效投标的情形的除外）</w:t>
      </w:r>
      <w:r>
        <w:rPr>
          <w:rFonts w:hint="eastAsia" w:ascii="宋体" w:hAnsi="宋体" w:cs="宋体"/>
          <w:color w:val="auto"/>
          <w:sz w:val="24"/>
          <w:lang w:val="zh-CN"/>
        </w:rPr>
        <w:t>，开标时都当众予以拆封、宣读。</w:t>
      </w:r>
    </w:p>
    <w:p>
      <w:pPr>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24.4</w:t>
      </w:r>
      <w:r>
        <w:rPr>
          <w:rFonts w:hint="eastAsia" w:ascii="宋体" w:hAnsi="宋体" w:cs="宋体"/>
          <w:color w:val="auto"/>
          <w:sz w:val="24"/>
          <w:lang w:val="zh-CN"/>
        </w:rPr>
        <w:t>开标程序：</w:t>
      </w:r>
    </w:p>
    <w:p>
      <w:pPr>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1</w:t>
      </w:r>
      <w:r>
        <w:rPr>
          <w:rFonts w:hint="eastAsia" w:ascii="宋体" w:hAnsi="宋体" w:cs="宋体"/>
          <w:color w:val="auto"/>
          <w:sz w:val="24"/>
          <w:lang w:val="zh-CN"/>
        </w:rPr>
        <w:t>）开标由招标人或招标代理机构主持；</w:t>
      </w:r>
    </w:p>
    <w:p>
      <w:pPr>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2</w:t>
      </w:r>
      <w:r>
        <w:rPr>
          <w:rFonts w:hint="eastAsia" w:ascii="宋体" w:hAnsi="宋体" w:cs="宋体"/>
          <w:color w:val="auto"/>
          <w:sz w:val="24"/>
          <w:lang w:val="zh-CN"/>
        </w:rPr>
        <w:t>）宣读投标人名称，由投标人或其推选的代表检查投标文件的密封情况，也可由招标人委托公证机构查验。</w:t>
      </w:r>
    </w:p>
    <w:p>
      <w:pPr>
        <w:widowControl/>
        <w:shd w:val="clear" w:color="auto" w:fill="FFFFFF"/>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3）招标人核查投标人的信用等级，对未被列入“江门市建筑业企业信用管理信息系统”</w:t>
      </w:r>
      <w:r>
        <w:rPr>
          <w:rFonts w:ascii="宋体" w:hAnsi="宋体" w:cs="宋体"/>
          <w:color w:val="auto"/>
          <w:sz w:val="24"/>
          <w:lang w:val="zh-CN"/>
        </w:rPr>
        <w:t>信用等级为</w:t>
      </w:r>
      <w:r>
        <w:rPr>
          <w:rFonts w:hint="eastAsia" w:ascii="宋体" w:hAnsi="宋体" w:cs="宋体"/>
          <w:color w:val="auto"/>
          <w:sz w:val="24"/>
          <w:lang w:val="zh-CN"/>
        </w:rPr>
        <w:t>C</w:t>
      </w:r>
      <w:r>
        <w:rPr>
          <w:rFonts w:ascii="宋体" w:hAnsi="宋体" w:cs="宋体"/>
          <w:color w:val="auto"/>
          <w:sz w:val="24"/>
          <w:lang w:val="zh-CN"/>
        </w:rPr>
        <w:t>级</w:t>
      </w:r>
      <w:r>
        <w:rPr>
          <w:rFonts w:hint="eastAsia" w:ascii="宋体" w:hAnsi="宋体" w:cs="宋体"/>
          <w:color w:val="auto"/>
          <w:sz w:val="24"/>
          <w:lang w:val="zh-CN"/>
        </w:rPr>
        <w:t>或以上</w:t>
      </w:r>
      <w:r>
        <w:rPr>
          <w:rFonts w:ascii="宋体" w:hAnsi="宋体" w:cs="宋体"/>
          <w:color w:val="auto"/>
          <w:sz w:val="24"/>
          <w:lang w:val="zh-CN"/>
        </w:rPr>
        <w:t>的</w:t>
      </w:r>
      <w:r>
        <w:rPr>
          <w:rFonts w:hint="eastAsia" w:ascii="宋体" w:hAnsi="宋体" w:cs="宋体"/>
          <w:color w:val="auto"/>
          <w:sz w:val="24"/>
          <w:lang w:val="zh-CN"/>
        </w:rPr>
        <w:t>投标人，招标人拒收或退回其投标文件；</w:t>
      </w:r>
    </w:p>
    <w:p>
      <w:pPr>
        <w:autoSpaceDE w:val="0"/>
        <w:autoSpaceDN w:val="0"/>
        <w:adjustRightInd w:val="0"/>
        <w:spacing w:line="360" w:lineRule="auto"/>
        <w:ind w:left="1" w:firstLine="480"/>
        <w:rPr>
          <w:rFonts w:ascii="宋体" w:hAnsi="宋体" w:cs="宋体"/>
          <w:color w:val="auto"/>
          <w:sz w:val="24"/>
          <w:lang w:val="zh-CN"/>
        </w:rPr>
      </w:pPr>
      <w:r>
        <w:rPr>
          <w:rFonts w:hint="eastAsia" w:ascii="宋体" w:hAnsi="宋体" w:cs="宋体"/>
          <w:color w:val="auto"/>
          <w:sz w:val="24"/>
        </w:rPr>
        <w:t>4</w:t>
      </w:r>
      <w:r>
        <w:rPr>
          <w:rFonts w:hint="eastAsia" w:ascii="宋体" w:hAnsi="宋体" w:cs="宋体"/>
          <w:color w:val="auto"/>
          <w:sz w:val="24"/>
          <w:lang w:val="zh-CN"/>
        </w:rPr>
        <w:t>）</w:t>
      </w:r>
      <w:r>
        <w:rPr>
          <w:rFonts w:hint="eastAsia" w:ascii="宋体" w:hAnsi="宋体"/>
          <w:color w:val="auto"/>
          <w:sz w:val="24"/>
        </w:rPr>
        <w:t>招标人设置评标参数；</w:t>
      </w:r>
    </w:p>
    <w:p>
      <w:pPr>
        <w:autoSpaceDE w:val="0"/>
        <w:autoSpaceDN w:val="0"/>
        <w:adjustRightInd w:val="0"/>
        <w:spacing w:line="360" w:lineRule="auto"/>
        <w:ind w:left="1" w:firstLine="480"/>
        <w:rPr>
          <w:rFonts w:ascii="宋体" w:hAnsi="宋体"/>
          <w:color w:val="auto"/>
          <w:sz w:val="24"/>
        </w:rPr>
      </w:pPr>
      <w:r>
        <w:rPr>
          <w:rFonts w:hint="eastAsia" w:ascii="宋体" w:hAnsi="宋体" w:cs="宋体"/>
          <w:color w:val="auto"/>
          <w:sz w:val="24"/>
          <w:lang w:val="zh-CN"/>
        </w:rPr>
        <w:t>5)经确认无误后，由有关工作人员开标并进行有关内容的唱标；</w:t>
      </w:r>
    </w:p>
    <w:p>
      <w:pPr>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6）招标人代表、监标人、记录人等有关人员在开标记录上签字确认；</w:t>
      </w:r>
    </w:p>
    <w:p>
      <w:pPr>
        <w:spacing w:line="360" w:lineRule="auto"/>
        <w:ind w:firstLine="360" w:firstLineChars="150"/>
        <w:rPr>
          <w:rFonts w:ascii="宋体" w:hAnsi="宋体" w:cs="宋体"/>
          <w:color w:val="auto"/>
          <w:sz w:val="24"/>
          <w:lang w:val="zh-CN"/>
        </w:rPr>
      </w:pPr>
      <w:r>
        <w:rPr>
          <w:rFonts w:hint="eastAsia" w:ascii="宋体" w:hAnsi="宋体" w:cs="宋体"/>
          <w:color w:val="auto"/>
          <w:sz w:val="24"/>
          <w:lang w:val="zh-CN"/>
        </w:rPr>
        <w:t xml:space="preserve"> 7）开标结束。</w:t>
      </w:r>
    </w:p>
    <w:p>
      <w:pPr>
        <w:autoSpaceDE w:val="0"/>
        <w:autoSpaceDN w:val="0"/>
        <w:adjustRightInd w:val="0"/>
        <w:spacing w:line="360" w:lineRule="auto"/>
        <w:ind w:firstLine="480" w:firstLineChars="200"/>
        <w:rPr>
          <w:rFonts w:ascii="宋体" w:hAnsi="宋体" w:cs="宋体"/>
          <w:bCs/>
          <w:color w:val="auto"/>
          <w:sz w:val="24"/>
          <w:lang w:val="zh-CN"/>
        </w:rPr>
      </w:pPr>
      <w:r>
        <w:rPr>
          <w:rFonts w:ascii="宋体" w:hAnsi="宋体" w:cs="宋体"/>
          <w:bCs/>
          <w:color w:val="auto"/>
          <w:sz w:val="24"/>
          <w:lang w:val="zh-CN"/>
        </w:rPr>
        <w:t>24.</w:t>
      </w:r>
      <w:r>
        <w:rPr>
          <w:rFonts w:hint="eastAsia" w:ascii="宋体" w:hAnsi="宋体" w:cs="宋体"/>
          <w:bCs/>
          <w:color w:val="auto"/>
          <w:sz w:val="24"/>
          <w:lang w:val="zh-CN"/>
        </w:rPr>
        <w:t>5 投标文件有下列情形之一的，招标人不予受理：</w:t>
      </w:r>
    </w:p>
    <w:p>
      <w:pPr>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24.</w:t>
      </w:r>
      <w:r>
        <w:rPr>
          <w:rFonts w:hint="eastAsia" w:ascii="宋体" w:hAnsi="宋体" w:cs="宋体"/>
          <w:color w:val="auto"/>
          <w:sz w:val="24"/>
          <w:lang w:val="zh-CN"/>
        </w:rPr>
        <w:t>5</w:t>
      </w:r>
      <w:r>
        <w:rPr>
          <w:rFonts w:ascii="宋体" w:hAnsi="宋体" w:cs="宋体"/>
          <w:color w:val="auto"/>
          <w:sz w:val="24"/>
          <w:lang w:val="zh-CN"/>
        </w:rPr>
        <w:t>.1</w:t>
      </w:r>
      <w:r>
        <w:rPr>
          <w:rFonts w:hint="eastAsia" w:ascii="宋体" w:hAnsi="宋体" w:cs="宋体"/>
          <w:color w:val="auto"/>
          <w:sz w:val="24"/>
          <w:lang w:val="zh-CN"/>
        </w:rPr>
        <w:t xml:space="preserve"> 逾期送达的或者未送达到指定地点的；</w:t>
      </w:r>
    </w:p>
    <w:p>
      <w:pPr>
        <w:autoSpaceDE w:val="0"/>
        <w:autoSpaceDN w:val="0"/>
        <w:adjustRightInd w:val="0"/>
        <w:spacing w:line="360" w:lineRule="auto"/>
        <w:ind w:left="-1" w:firstLine="480"/>
        <w:rPr>
          <w:rFonts w:ascii="宋体" w:hAnsi="宋体" w:cs="宋体"/>
          <w:bCs/>
          <w:color w:val="auto"/>
          <w:sz w:val="24"/>
          <w:lang w:val="zh-CN"/>
        </w:rPr>
      </w:pPr>
      <w:r>
        <w:rPr>
          <w:rFonts w:ascii="宋体" w:hAnsi="宋体" w:cs="宋体"/>
          <w:bCs/>
          <w:color w:val="auto"/>
          <w:sz w:val="24"/>
          <w:lang w:val="zh-CN"/>
        </w:rPr>
        <w:t>24.</w:t>
      </w:r>
      <w:r>
        <w:rPr>
          <w:rFonts w:hint="eastAsia" w:ascii="宋体" w:hAnsi="宋体" w:cs="宋体"/>
          <w:bCs/>
          <w:color w:val="auto"/>
          <w:sz w:val="24"/>
          <w:lang w:val="zh-CN"/>
        </w:rPr>
        <w:t>5</w:t>
      </w:r>
      <w:r>
        <w:rPr>
          <w:rFonts w:ascii="宋体" w:hAnsi="宋体" w:cs="宋体"/>
          <w:bCs/>
          <w:color w:val="auto"/>
          <w:sz w:val="24"/>
          <w:lang w:val="zh-CN"/>
        </w:rPr>
        <w:t>.2</w:t>
      </w:r>
      <w:r>
        <w:rPr>
          <w:rFonts w:hint="eastAsia" w:ascii="宋体" w:hAnsi="宋体" w:cs="宋体"/>
          <w:bCs/>
          <w:color w:val="auto"/>
          <w:sz w:val="24"/>
          <w:lang w:val="zh-CN"/>
        </w:rPr>
        <w:t xml:space="preserve"> 未按招标文件要求密封包装的。</w:t>
      </w:r>
    </w:p>
    <w:p>
      <w:pPr>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24.</w:t>
      </w:r>
      <w:r>
        <w:rPr>
          <w:rFonts w:hint="eastAsia" w:ascii="宋体" w:hAnsi="宋体" w:cs="宋体"/>
          <w:color w:val="auto"/>
          <w:sz w:val="24"/>
          <w:lang w:val="zh-CN"/>
        </w:rPr>
        <w:t>6 招标人将上述符合要求的投标文件，送至评标委员会进行评审的。</w:t>
      </w:r>
    </w:p>
    <w:p>
      <w:pPr>
        <w:autoSpaceDE w:val="0"/>
        <w:autoSpaceDN w:val="0"/>
        <w:adjustRightInd w:val="0"/>
        <w:spacing w:before="240" w:line="360" w:lineRule="auto"/>
        <w:ind w:firstLine="482"/>
        <w:rPr>
          <w:rFonts w:ascii="宋体" w:hAnsi="宋体" w:cs="宋体"/>
          <w:b/>
          <w:bCs/>
          <w:color w:val="auto"/>
          <w:sz w:val="24"/>
          <w:lang w:val="zh-CN"/>
        </w:rPr>
      </w:pPr>
      <w:r>
        <w:rPr>
          <w:rFonts w:hint="eastAsia" w:ascii="宋体" w:hAnsi="宋体" w:cs="宋体"/>
          <w:b/>
          <w:bCs/>
          <w:color w:val="auto"/>
          <w:sz w:val="24"/>
          <w:lang w:val="zh-CN"/>
        </w:rPr>
        <w:t>（六）</w:t>
      </w:r>
      <w:r>
        <w:rPr>
          <w:rFonts w:ascii="宋体" w:hAnsi="宋体" w:cs="宋体"/>
          <w:b/>
          <w:bCs/>
          <w:color w:val="auto"/>
          <w:sz w:val="24"/>
          <w:lang w:val="zh-CN"/>
        </w:rPr>
        <w:t xml:space="preserve"> </w:t>
      </w:r>
      <w:r>
        <w:rPr>
          <w:rFonts w:hint="eastAsia" w:ascii="宋体" w:hAnsi="宋体" w:cs="宋体"/>
          <w:b/>
          <w:bCs/>
          <w:color w:val="auto"/>
          <w:sz w:val="24"/>
          <w:lang w:val="zh-CN"/>
        </w:rPr>
        <w:t>评标</w:t>
      </w:r>
    </w:p>
    <w:p>
      <w:pPr>
        <w:autoSpaceDE w:val="0"/>
        <w:autoSpaceDN w:val="0"/>
        <w:adjustRightInd w:val="0"/>
        <w:spacing w:line="360" w:lineRule="auto"/>
        <w:ind w:left="1" w:firstLine="480"/>
        <w:rPr>
          <w:rFonts w:ascii="宋体" w:hAnsi="宋体" w:cs="宋体"/>
          <w:b/>
          <w:bCs/>
          <w:color w:val="auto"/>
          <w:sz w:val="24"/>
          <w:lang w:val="zh-CN"/>
        </w:rPr>
      </w:pPr>
      <w:r>
        <w:rPr>
          <w:rFonts w:ascii="宋体" w:hAnsi="宋体" w:cs="宋体"/>
          <w:b/>
          <w:bCs/>
          <w:color w:val="auto"/>
          <w:sz w:val="24"/>
          <w:lang w:val="zh-CN"/>
        </w:rPr>
        <w:t>25</w:t>
      </w:r>
      <w:r>
        <w:rPr>
          <w:rFonts w:hint="eastAsia" w:ascii="宋体" w:hAnsi="宋体" w:cs="宋体"/>
          <w:b/>
          <w:bCs/>
          <w:color w:val="auto"/>
          <w:sz w:val="24"/>
          <w:lang w:val="zh-CN"/>
        </w:rPr>
        <w:t>．评标过程的保密</w:t>
      </w:r>
    </w:p>
    <w:p>
      <w:pPr>
        <w:autoSpaceDE w:val="0"/>
        <w:autoSpaceDN w:val="0"/>
        <w:adjustRightInd w:val="0"/>
        <w:spacing w:line="360" w:lineRule="auto"/>
        <w:ind w:firstLine="482"/>
        <w:rPr>
          <w:rFonts w:ascii="宋体" w:hAnsi="宋体" w:cs="宋体"/>
          <w:color w:val="auto"/>
          <w:sz w:val="24"/>
          <w:lang w:val="zh-CN"/>
        </w:rPr>
      </w:pPr>
      <w:r>
        <w:rPr>
          <w:rFonts w:ascii="宋体" w:hAnsi="宋体" w:cs="宋体"/>
          <w:color w:val="auto"/>
          <w:sz w:val="24"/>
          <w:lang w:val="zh-CN"/>
        </w:rPr>
        <w:t xml:space="preserve">25.1 </w:t>
      </w:r>
      <w:r>
        <w:rPr>
          <w:rFonts w:hint="eastAsia" w:ascii="宋体" w:hAnsi="宋体" w:cs="宋体"/>
          <w:color w:val="auto"/>
          <w:sz w:val="24"/>
          <w:lang w:val="zh-CN"/>
        </w:rPr>
        <w:t>开标后，直至授予中标人合同为止，凡属于对投标文件的审查、澄清、评价和比较有关的资料以及中标候选人的推荐情况，与评标有关的其他任何情况均严格保密。</w:t>
      </w:r>
    </w:p>
    <w:p>
      <w:pPr>
        <w:autoSpaceDE w:val="0"/>
        <w:autoSpaceDN w:val="0"/>
        <w:adjustRightInd w:val="0"/>
        <w:spacing w:line="360" w:lineRule="auto"/>
        <w:ind w:firstLine="482"/>
        <w:rPr>
          <w:rFonts w:ascii="宋体" w:hAnsi="宋体" w:cs="宋体"/>
          <w:color w:val="auto"/>
          <w:sz w:val="24"/>
          <w:lang w:val="zh-CN"/>
        </w:rPr>
      </w:pPr>
      <w:r>
        <w:rPr>
          <w:rFonts w:ascii="宋体" w:hAnsi="宋体" w:cs="宋体"/>
          <w:color w:val="auto"/>
          <w:sz w:val="24"/>
          <w:lang w:val="zh-CN"/>
        </w:rPr>
        <w:t xml:space="preserve">25.2 </w:t>
      </w:r>
      <w:r>
        <w:rPr>
          <w:rFonts w:hint="eastAsia" w:ascii="宋体" w:hAnsi="宋体" w:cs="宋体"/>
          <w:color w:val="auto"/>
          <w:sz w:val="24"/>
          <w:lang w:val="zh-CN"/>
        </w:rPr>
        <w:t>在投标文件的评审和比较、中标候选人推荐以及授予合同的过程中，投标人向招标人和评标委员会施加影响的任何行为，都将会导致其投标被拒绝。</w:t>
      </w:r>
    </w:p>
    <w:p>
      <w:pPr>
        <w:autoSpaceDE w:val="0"/>
        <w:autoSpaceDN w:val="0"/>
        <w:adjustRightInd w:val="0"/>
        <w:spacing w:line="360" w:lineRule="auto"/>
        <w:ind w:firstLine="482"/>
        <w:rPr>
          <w:rFonts w:ascii="宋体" w:hAnsi="宋体" w:cs="宋体"/>
          <w:color w:val="auto"/>
          <w:sz w:val="24"/>
          <w:lang w:val="zh-CN"/>
        </w:rPr>
      </w:pPr>
      <w:r>
        <w:rPr>
          <w:rFonts w:ascii="宋体" w:hAnsi="宋体" w:cs="宋体"/>
          <w:color w:val="auto"/>
          <w:sz w:val="24"/>
          <w:lang w:val="zh-CN"/>
        </w:rPr>
        <w:t xml:space="preserve">25.3 </w:t>
      </w:r>
      <w:r>
        <w:rPr>
          <w:rFonts w:hint="eastAsia" w:ascii="宋体" w:hAnsi="宋体" w:cs="宋体"/>
          <w:color w:val="auto"/>
          <w:sz w:val="24"/>
          <w:lang w:val="zh-CN"/>
        </w:rPr>
        <w:t>中标人确定后，招标人不对未中标人就评标过程以及未能中标原因作出任何解释。未中标人不得向评标委员会组成人员或其他有关人员索问评标过程的情况和材料。</w:t>
      </w:r>
    </w:p>
    <w:p>
      <w:pPr>
        <w:autoSpaceDE w:val="0"/>
        <w:autoSpaceDN w:val="0"/>
        <w:adjustRightInd w:val="0"/>
        <w:spacing w:before="120" w:line="360" w:lineRule="auto"/>
        <w:ind w:firstLine="480"/>
        <w:rPr>
          <w:rFonts w:ascii="宋体" w:hAnsi="宋体" w:cs="宋体"/>
          <w:b/>
          <w:bCs/>
          <w:color w:val="auto"/>
          <w:sz w:val="24"/>
          <w:lang w:val="zh-CN"/>
        </w:rPr>
      </w:pPr>
      <w:r>
        <w:rPr>
          <w:rFonts w:ascii="宋体" w:hAnsi="宋体" w:cs="宋体"/>
          <w:b/>
          <w:bCs/>
          <w:color w:val="auto"/>
          <w:sz w:val="24"/>
          <w:lang w:val="zh-CN"/>
        </w:rPr>
        <w:t>26</w:t>
      </w:r>
      <w:r>
        <w:rPr>
          <w:rFonts w:hint="eastAsia" w:ascii="宋体" w:hAnsi="宋体" w:cs="宋体"/>
          <w:b/>
          <w:bCs/>
          <w:color w:val="auto"/>
          <w:sz w:val="24"/>
          <w:lang w:val="zh-CN"/>
        </w:rPr>
        <w:t>．投标文件的澄清</w:t>
      </w:r>
    </w:p>
    <w:p>
      <w:pPr>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 xml:space="preserve">26.1 </w:t>
      </w:r>
      <w:r>
        <w:rPr>
          <w:rFonts w:hint="eastAsia" w:ascii="宋体" w:hAnsi="宋体" w:cs="宋体"/>
          <w:color w:val="auto"/>
          <w:sz w:val="24"/>
          <w:lang w:val="zh-CN"/>
        </w:rPr>
        <w:t>为有助于投标文件的审查、评价和比较，评标委员会可以以书面形式要求投标人对投标文件含义不明确的内容作必要的澄清或说明，投标人应书面形式进行澄清或说明，但不得超出投标文件的范围或改变投标文件的实质性内容。</w:t>
      </w:r>
    </w:p>
    <w:p>
      <w:pPr>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 xml:space="preserve">26.2 </w:t>
      </w:r>
      <w:r>
        <w:rPr>
          <w:rFonts w:hint="eastAsia" w:ascii="宋体" w:hAnsi="宋体" w:cs="宋体"/>
          <w:color w:val="auto"/>
          <w:sz w:val="24"/>
          <w:lang w:val="zh-CN"/>
        </w:rPr>
        <w:t>如果投标文件实质上不响应招标文件的各项要求，评标委员会将予以拒绝，并且不允许投标人通过修改或撤销其不符合要求的差异或保留，使之成为具有响应性的投标。</w:t>
      </w:r>
    </w:p>
    <w:p>
      <w:pPr>
        <w:autoSpaceDE w:val="0"/>
        <w:autoSpaceDN w:val="0"/>
        <w:adjustRightInd w:val="0"/>
        <w:spacing w:before="120" w:line="360" w:lineRule="auto"/>
        <w:ind w:firstLine="480"/>
        <w:rPr>
          <w:rFonts w:ascii="宋体" w:hAnsi="宋体" w:cs="宋体"/>
          <w:b/>
          <w:bCs/>
          <w:color w:val="auto"/>
          <w:sz w:val="24"/>
          <w:lang w:val="zh-CN"/>
        </w:rPr>
      </w:pPr>
      <w:r>
        <w:rPr>
          <w:rFonts w:ascii="宋体" w:hAnsi="宋体" w:cs="宋体"/>
          <w:b/>
          <w:bCs/>
          <w:color w:val="auto"/>
          <w:sz w:val="24"/>
          <w:lang w:val="zh-CN"/>
        </w:rPr>
        <w:t>27</w:t>
      </w:r>
      <w:r>
        <w:rPr>
          <w:rFonts w:hint="eastAsia" w:ascii="宋体" w:hAnsi="宋体" w:cs="宋体"/>
          <w:b/>
          <w:bCs/>
          <w:color w:val="auto"/>
          <w:sz w:val="24"/>
          <w:lang w:val="zh-CN"/>
        </w:rPr>
        <w:t>．投标文件的评审、比较和否决</w:t>
      </w:r>
    </w:p>
    <w:p>
      <w:pPr>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 xml:space="preserve">27.1 </w:t>
      </w:r>
      <w:r>
        <w:rPr>
          <w:rFonts w:hint="eastAsia" w:ascii="宋体" w:hAnsi="宋体" w:cs="宋体"/>
          <w:color w:val="auto"/>
          <w:sz w:val="24"/>
          <w:lang w:val="zh-CN"/>
        </w:rPr>
        <w:t>评标委员会将按照本须知第</w:t>
      </w:r>
      <w:r>
        <w:rPr>
          <w:rFonts w:ascii="宋体" w:hAnsi="宋体" w:cs="宋体"/>
          <w:color w:val="auto"/>
          <w:sz w:val="24"/>
          <w:lang w:val="zh-CN"/>
        </w:rPr>
        <w:t>26</w:t>
      </w:r>
      <w:r>
        <w:rPr>
          <w:rFonts w:hint="eastAsia" w:ascii="宋体" w:hAnsi="宋体" w:cs="宋体"/>
          <w:color w:val="auto"/>
          <w:sz w:val="24"/>
          <w:lang w:val="zh-CN"/>
        </w:rPr>
        <w:t>条规定，仅对在实质上响应招标文件要求的投标文件进行评审和比较。</w:t>
      </w:r>
    </w:p>
    <w:p>
      <w:pPr>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 xml:space="preserve">27.2 </w:t>
      </w:r>
      <w:r>
        <w:rPr>
          <w:rFonts w:hint="eastAsia" w:ascii="宋体" w:hAnsi="宋体" w:cs="宋体"/>
          <w:color w:val="auto"/>
          <w:sz w:val="24"/>
          <w:lang w:val="zh-CN"/>
        </w:rPr>
        <w:t>在评审过程中，评标委员会可以以书面形式要求投标人就投标文件中含义不明确的内容进行书面说明并提供相关材料。</w:t>
      </w:r>
    </w:p>
    <w:p>
      <w:pPr>
        <w:autoSpaceDE w:val="0"/>
        <w:autoSpaceDN w:val="0"/>
        <w:adjustRightInd w:val="0"/>
        <w:spacing w:line="360" w:lineRule="auto"/>
        <w:ind w:firstLine="482"/>
        <w:rPr>
          <w:rFonts w:ascii="宋体" w:hAnsi="宋体" w:cs="宋体"/>
          <w:color w:val="auto"/>
          <w:sz w:val="24"/>
          <w:lang w:val="zh-CN"/>
        </w:rPr>
      </w:pPr>
      <w:r>
        <w:rPr>
          <w:rFonts w:ascii="宋体" w:hAnsi="宋体" w:cs="宋体"/>
          <w:color w:val="auto"/>
          <w:sz w:val="24"/>
          <w:lang w:val="zh-CN"/>
        </w:rPr>
        <w:t>27.</w:t>
      </w:r>
      <w:r>
        <w:rPr>
          <w:rFonts w:hint="eastAsia" w:ascii="宋体" w:hAnsi="宋体" w:cs="宋体"/>
          <w:color w:val="auto"/>
          <w:sz w:val="24"/>
          <w:lang w:val="zh-CN"/>
        </w:rPr>
        <w:t>3评标委员会依据投标人须知前附表第</w:t>
      </w:r>
      <w:r>
        <w:rPr>
          <w:rFonts w:ascii="宋体" w:hAnsi="宋体" w:cs="宋体"/>
          <w:color w:val="auto"/>
          <w:sz w:val="24"/>
          <w:lang w:val="zh-CN"/>
        </w:rPr>
        <w:t>25</w:t>
      </w:r>
      <w:r>
        <w:rPr>
          <w:rFonts w:hint="eastAsia" w:ascii="宋体" w:hAnsi="宋体" w:cs="宋体"/>
          <w:color w:val="auto"/>
          <w:sz w:val="24"/>
          <w:lang w:val="zh-CN"/>
        </w:rPr>
        <w:t>项规定的评标标准和方法，详见本招标文件第</w:t>
      </w:r>
      <w:r>
        <w:rPr>
          <w:rFonts w:ascii="宋体" w:hAnsi="宋体" w:cs="宋体"/>
          <w:color w:val="auto"/>
          <w:sz w:val="24"/>
          <w:lang w:val="zh-CN"/>
        </w:rPr>
        <w:t>5</w:t>
      </w:r>
      <w:r>
        <w:rPr>
          <w:rFonts w:hint="eastAsia" w:ascii="宋体" w:hAnsi="宋体" w:cs="宋体"/>
          <w:color w:val="auto"/>
          <w:sz w:val="24"/>
          <w:lang w:val="zh-CN"/>
        </w:rPr>
        <w:t>章《评标办法》，对投标文件进行评审和比较，向招标人提出书面评标报告，并推荐综合得分排序前</w:t>
      </w:r>
      <w:r>
        <w:rPr>
          <w:rFonts w:ascii="宋体" w:hAnsi="宋体" w:cs="宋体"/>
          <w:color w:val="auto"/>
          <w:sz w:val="24"/>
          <w:lang w:val="zh-CN"/>
        </w:rPr>
        <w:t>3</w:t>
      </w:r>
      <w:r>
        <w:rPr>
          <w:rFonts w:hint="eastAsia" w:ascii="宋体" w:hAnsi="宋体" w:cs="宋体"/>
          <w:color w:val="auto"/>
          <w:sz w:val="24"/>
          <w:lang w:val="zh-CN"/>
        </w:rPr>
        <w:t>名作为第一、第二、第三中标候选人。</w:t>
      </w:r>
    </w:p>
    <w:p>
      <w:pPr>
        <w:autoSpaceDE w:val="0"/>
        <w:autoSpaceDN w:val="0"/>
        <w:adjustRightInd w:val="0"/>
        <w:spacing w:line="360" w:lineRule="auto"/>
        <w:ind w:firstLine="482"/>
        <w:rPr>
          <w:rFonts w:ascii="宋体" w:hAnsi="宋体" w:cs="宋体"/>
          <w:color w:val="auto"/>
          <w:sz w:val="24"/>
          <w:lang w:val="zh-CN"/>
        </w:rPr>
      </w:pPr>
      <w:r>
        <w:rPr>
          <w:rFonts w:ascii="宋体" w:hAnsi="宋体" w:cs="宋体"/>
          <w:color w:val="auto"/>
          <w:sz w:val="24"/>
          <w:lang w:val="zh-CN"/>
        </w:rPr>
        <w:t>27.</w:t>
      </w:r>
      <w:r>
        <w:rPr>
          <w:rFonts w:hint="eastAsia" w:ascii="宋体" w:hAnsi="宋体" w:cs="宋体"/>
          <w:color w:val="auto"/>
          <w:sz w:val="24"/>
          <w:lang w:val="zh-CN"/>
        </w:rPr>
        <w:t>4招标人应当确定得分最高、排名第一的中标候选人为中标人。</w:t>
      </w:r>
    </w:p>
    <w:p>
      <w:pPr>
        <w:autoSpaceDE w:val="0"/>
        <w:autoSpaceDN w:val="0"/>
        <w:adjustRightInd w:val="0"/>
        <w:spacing w:before="120" w:line="360" w:lineRule="auto"/>
        <w:ind w:firstLine="480"/>
        <w:rPr>
          <w:rFonts w:ascii="宋体" w:hAnsi="宋体" w:cs="宋体"/>
          <w:bCs/>
          <w:color w:val="auto"/>
          <w:sz w:val="24"/>
          <w:lang w:val="zh-CN"/>
        </w:rPr>
      </w:pPr>
      <w:r>
        <w:rPr>
          <w:rFonts w:ascii="宋体" w:hAnsi="宋体" w:cs="宋体"/>
          <w:bCs/>
          <w:color w:val="auto"/>
          <w:sz w:val="24"/>
          <w:lang w:val="zh-CN"/>
        </w:rPr>
        <w:t>28</w:t>
      </w:r>
      <w:r>
        <w:rPr>
          <w:rFonts w:hint="eastAsia" w:ascii="宋体" w:hAnsi="宋体" w:cs="宋体"/>
          <w:bCs/>
          <w:color w:val="auto"/>
          <w:sz w:val="24"/>
          <w:lang w:val="zh-CN"/>
        </w:rPr>
        <w:t>．评标委员会依据有关法律、法规和招标文件的规定对投标文件进行评审，经评定有效投标人不足三名时，招标人应当依法重新组织招标。</w:t>
      </w:r>
    </w:p>
    <w:p>
      <w:pPr>
        <w:autoSpaceDE w:val="0"/>
        <w:autoSpaceDN w:val="0"/>
        <w:adjustRightInd w:val="0"/>
        <w:spacing w:before="240" w:line="360" w:lineRule="auto"/>
        <w:ind w:firstLine="480"/>
        <w:rPr>
          <w:rFonts w:ascii="宋体" w:hAnsi="宋体" w:cs="宋体"/>
          <w:b/>
          <w:bCs/>
          <w:color w:val="auto"/>
          <w:sz w:val="24"/>
          <w:lang w:val="zh-CN"/>
        </w:rPr>
      </w:pPr>
      <w:r>
        <w:rPr>
          <w:rFonts w:hint="eastAsia" w:ascii="宋体" w:hAnsi="宋体" w:cs="宋体"/>
          <w:b/>
          <w:bCs/>
          <w:color w:val="auto"/>
          <w:sz w:val="24"/>
          <w:lang w:val="zh-CN"/>
        </w:rPr>
        <w:t>（七）合同的授予</w:t>
      </w:r>
    </w:p>
    <w:p>
      <w:pPr>
        <w:autoSpaceDE w:val="0"/>
        <w:autoSpaceDN w:val="0"/>
        <w:adjustRightInd w:val="0"/>
        <w:spacing w:line="360" w:lineRule="auto"/>
        <w:ind w:left="1" w:firstLine="480"/>
        <w:rPr>
          <w:rFonts w:ascii="宋体" w:hAnsi="宋体" w:cs="宋体"/>
          <w:b/>
          <w:bCs/>
          <w:color w:val="auto"/>
          <w:sz w:val="24"/>
          <w:lang w:val="zh-CN"/>
        </w:rPr>
      </w:pPr>
      <w:r>
        <w:rPr>
          <w:rFonts w:ascii="宋体" w:hAnsi="宋体" w:cs="宋体"/>
          <w:b/>
          <w:bCs/>
          <w:color w:val="auto"/>
          <w:sz w:val="24"/>
          <w:lang w:val="zh-CN"/>
        </w:rPr>
        <w:t>29</w:t>
      </w:r>
      <w:r>
        <w:rPr>
          <w:rFonts w:hint="eastAsia" w:ascii="宋体" w:hAnsi="宋体" w:cs="宋体"/>
          <w:b/>
          <w:bCs/>
          <w:color w:val="auto"/>
          <w:sz w:val="24"/>
          <w:lang w:val="zh-CN"/>
        </w:rPr>
        <w:t>．合同授予标准</w:t>
      </w:r>
    </w:p>
    <w:p>
      <w:pPr>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 xml:space="preserve">29.1 </w:t>
      </w:r>
      <w:r>
        <w:rPr>
          <w:rFonts w:hint="eastAsia" w:ascii="宋体" w:hAnsi="宋体" w:cs="宋体"/>
          <w:color w:val="auto"/>
          <w:sz w:val="24"/>
          <w:lang w:val="zh-CN"/>
        </w:rPr>
        <w:t>本招标</w:t>
      </w:r>
      <w:r>
        <w:rPr>
          <w:rFonts w:ascii="宋体" w:hAnsi="宋体" w:cs="宋体"/>
          <w:color w:val="auto"/>
          <w:sz w:val="24"/>
          <w:lang w:val="zh-CN"/>
        </w:rPr>
        <w:t>(</w:t>
      </w:r>
      <w:r>
        <w:rPr>
          <w:rFonts w:hint="eastAsia" w:ascii="宋体" w:hAnsi="宋体" w:cs="宋体"/>
          <w:color w:val="auto"/>
          <w:sz w:val="24"/>
          <w:lang w:val="zh-CN"/>
        </w:rPr>
        <w:t>项目</w:t>
      </w:r>
      <w:r>
        <w:rPr>
          <w:rFonts w:ascii="宋体" w:hAnsi="宋体" w:cs="宋体"/>
          <w:color w:val="auto"/>
          <w:sz w:val="24"/>
          <w:lang w:val="zh-CN"/>
        </w:rPr>
        <w:t>)</w:t>
      </w:r>
      <w:r>
        <w:rPr>
          <w:rFonts w:hint="eastAsia" w:ascii="宋体" w:hAnsi="宋体" w:cs="宋体"/>
          <w:color w:val="auto"/>
          <w:sz w:val="24"/>
          <w:lang w:val="zh-CN"/>
        </w:rPr>
        <w:t>工程的监理合同将授予按本须知第</w:t>
      </w:r>
      <w:r>
        <w:rPr>
          <w:rFonts w:ascii="宋体" w:hAnsi="宋体" w:cs="宋体"/>
          <w:color w:val="auto"/>
          <w:sz w:val="24"/>
          <w:lang w:val="zh-CN"/>
        </w:rPr>
        <w:t>27.3</w:t>
      </w:r>
      <w:r>
        <w:rPr>
          <w:rFonts w:hint="eastAsia" w:ascii="宋体" w:hAnsi="宋体" w:cs="宋体"/>
          <w:color w:val="auto"/>
          <w:sz w:val="24"/>
          <w:lang w:val="zh-CN"/>
        </w:rPr>
        <w:t>款及</w:t>
      </w:r>
      <w:r>
        <w:rPr>
          <w:rFonts w:ascii="宋体" w:hAnsi="宋体" w:cs="宋体"/>
          <w:color w:val="auto"/>
          <w:sz w:val="24"/>
          <w:lang w:val="zh-CN"/>
        </w:rPr>
        <w:t>27.</w:t>
      </w:r>
      <w:r>
        <w:rPr>
          <w:rFonts w:hint="eastAsia" w:ascii="宋体" w:hAnsi="宋体" w:cs="宋体"/>
          <w:color w:val="auto"/>
          <w:sz w:val="24"/>
          <w:lang w:val="zh-CN"/>
        </w:rPr>
        <w:t>4款所确定的中标人。</w:t>
      </w:r>
    </w:p>
    <w:p>
      <w:pPr>
        <w:autoSpaceDE w:val="0"/>
        <w:autoSpaceDN w:val="0"/>
        <w:adjustRightInd w:val="0"/>
        <w:spacing w:before="120" w:line="360" w:lineRule="auto"/>
        <w:ind w:firstLine="480"/>
        <w:rPr>
          <w:rFonts w:ascii="宋体" w:hAnsi="宋体" w:cs="宋体"/>
          <w:b/>
          <w:bCs/>
          <w:color w:val="auto"/>
          <w:sz w:val="24"/>
          <w:lang w:val="zh-CN"/>
        </w:rPr>
      </w:pPr>
      <w:r>
        <w:rPr>
          <w:rFonts w:ascii="宋体" w:hAnsi="宋体" w:cs="宋体"/>
          <w:b/>
          <w:bCs/>
          <w:color w:val="auto"/>
          <w:sz w:val="24"/>
          <w:lang w:val="zh-CN"/>
        </w:rPr>
        <w:t>30</w:t>
      </w:r>
      <w:r>
        <w:rPr>
          <w:rFonts w:hint="eastAsia" w:ascii="宋体" w:hAnsi="宋体" w:cs="宋体"/>
          <w:b/>
          <w:bCs/>
          <w:color w:val="auto"/>
          <w:sz w:val="24"/>
          <w:lang w:val="zh-CN"/>
        </w:rPr>
        <w:t>．招标人合同授予的权力</w:t>
      </w:r>
    </w:p>
    <w:p>
      <w:pPr>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 xml:space="preserve">30.1 </w:t>
      </w:r>
      <w:r>
        <w:rPr>
          <w:rFonts w:hint="eastAsia" w:ascii="宋体" w:hAnsi="宋体" w:cs="宋体"/>
          <w:color w:val="auto"/>
          <w:sz w:val="24"/>
          <w:lang w:val="zh-CN"/>
        </w:rPr>
        <w:t>招标人不承诺将合同授予报价最低的投标人。招标人在发出中标通知书前，有权依据评标委员会的评标报告拒绝不合格的投标。</w:t>
      </w:r>
    </w:p>
    <w:p>
      <w:pPr>
        <w:autoSpaceDE w:val="0"/>
        <w:autoSpaceDN w:val="0"/>
        <w:adjustRightInd w:val="0"/>
        <w:spacing w:before="120" w:line="360" w:lineRule="auto"/>
        <w:ind w:firstLine="480"/>
        <w:rPr>
          <w:rFonts w:ascii="宋体" w:hAnsi="宋体" w:cs="宋体"/>
          <w:b/>
          <w:bCs/>
          <w:color w:val="auto"/>
          <w:sz w:val="24"/>
          <w:lang w:val="zh-CN"/>
        </w:rPr>
      </w:pPr>
      <w:r>
        <w:rPr>
          <w:rFonts w:ascii="宋体" w:hAnsi="宋体" w:cs="宋体"/>
          <w:b/>
          <w:bCs/>
          <w:color w:val="auto"/>
          <w:sz w:val="24"/>
          <w:lang w:val="zh-CN"/>
        </w:rPr>
        <w:t>31</w:t>
      </w:r>
      <w:r>
        <w:rPr>
          <w:rFonts w:hint="eastAsia" w:ascii="宋体" w:hAnsi="宋体" w:cs="宋体"/>
          <w:b/>
          <w:bCs/>
          <w:color w:val="auto"/>
          <w:sz w:val="24"/>
          <w:lang w:val="zh-CN"/>
        </w:rPr>
        <w:t>．中标通知书</w:t>
      </w:r>
    </w:p>
    <w:p>
      <w:pPr>
        <w:autoSpaceDE w:val="0"/>
        <w:autoSpaceDN w:val="0"/>
        <w:adjustRightInd w:val="0"/>
        <w:spacing w:line="360" w:lineRule="auto"/>
        <w:ind w:firstLine="480"/>
        <w:rPr>
          <w:rFonts w:ascii="宋体" w:hAnsi="宋体" w:cs="宋体"/>
          <w:color w:val="auto"/>
          <w:sz w:val="24"/>
          <w:lang w:val="zh-CN"/>
        </w:rPr>
      </w:pPr>
      <w:r>
        <w:rPr>
          <w:rFonts w:ascii="宋体" w:hAnsi="宋体" w:cs="宋体"/>
          <w:color w:val="auto"/>
          <w:sz w:val="24"/>
          <w:lang w:val="zh-CN"/>
        </w:rPr>
        <w:t>31.1</w:t>
      </w:r>
      <w:r>
        <w:rPr>
          <w:rFonts w:hint="eastAsia" w:ascii="宋体" w:hAnsi="宋体" w:cs="宋体"/>
          <w:color w:val="auto"/>
          <w:sz w:val="24"/>
          <w:lang w:val="zh-CN"/>
        </w:rPr>
        <w:t xml:space="preserve"> 评标结果、中标结果得出后，评标结果、中标结果在公共资源交易中心公示。</w:t>
      </w:r>
    </w:p>
    <w:p>
      <w:pPr>
        <w:autoSpaceDE w:val="0"/>
        <w:autoSpaceDN w:val="0"/>
        <w:adjustRightInd w:val="0"/>
        <w:spacing w:line="360" w:lineRule="auto"/>
        <w:ind w:firstLine="480"/>
        <w:rPr>
          <w:rFonts w:ascii="宋体" w:hAnsi="宋体" w:cs="宋体"/>
          <w:color w:val="auto"/>
          <w:sz w:val="24"/>
          <w:lang w:val="zh-CN"/>
        </w:rPr>
      </w:pPr>
      <w:r>
        <w:rPr>
          <w:rFonts w:ascii="宋体" w:hAnsi="宋体" w:cs="宋体"/>
          <w:color w:val="auto"/>
          <w:sz w:val="24"/>
          <w:lang w:val="zh-CN"/>
        </w:rPr>
        <w:t>31.2</w:t>
      </w:r>
      <w:r>
        <w:rPr>
          <w:rFonts w:hint="eastAsia" w:ascii="宋体" w:hAnsi="宋体" w:cs="宋体"/>
          <w:color w:val="auto"/>
          <w:sz w:val="24"/>
          <w:lang w:val="zh-CN"/>
        </w:rPr>
        <w:t xml:space="preserve"> 中标通知书经公共资源交易中心确认后颁发。</w:t>
      </w:r>
    </w:p>
    <w:p>
      <w:pPr>
        <w:autoSpaceDE w:val="0"/>
        <w:autoSpaceDN w:val="0"/>
        <w:adjustRightInd w:val="0"/>
        <w:spacing w:line="360" w:lineRule="auto"/>
        <w:ind w:firstLine="480"/>
        <w:rPr>
          <w:rFonts w:ascii="宋体" w:hAnsi="宋体" w:cs="宋体"/>
          <w:color w:val="auto"/>
          <w:sz w:val="24"/>
          <w:lang w:val="zh-CN"/>
        </w:rPr>
      </w:pPr>
      <w:r>
        <w:rPr>
          <w:rFonts w:ascii="宋体" w:hAnsi="宋体" w:cs="宋体"/>
          <w:color w:val="auto"/>
          <w:sz w:val="24"/>
          <w:lang w:val="zh-CN"/>
        </w:rPr>
        <w:t>31.3</w:t>
      </w:r>
      <w:r>
        <w:rPr>
          <w:rFonts w:hint="eastAsia" w:ascii="宋体" w:hAnsi="宋体" w:cs="宋体"/>
          <w:color w:val="auto"/>
          <w:sz w:val="24"/>
          <w:lang w:val="zh-CN"/>
        </w:rPr>
        <w:t xml:space="preserve"> 中标人必须在收到中标通知书后</w:t>
      </w:r>
      <w:r>
        <w:rPr>
          <w:rFonts w:ascii="宋体" w:hAnsi="宋体" w:cs="宋体"/>
          <w:color w:val="auto"/>
          <w:sz w:val="24"/>
          <w:lang w:val="zh-CN"/>
        </w:rPr>
        <w:t>24</w:t>
      </w:r>
      <w:r>
        <w:rPr>
          <w:rFonts w:hint="eastAsia" w:ascii="宋体" w:hAnsi="宋体" w:cs="宋体"/>
          <w:color w:val="auto"/>
          <w:sz w:val="24"/>
          <w:lang w:val="zh-CN"/>
        </w:rPr>
        <w:t>小时之内以书面形式回复招标人，确认收到。</w:t>
      </w:r>
    </w:p>
    <w:p>
      <w:pPr>
        <w:autoSpaceDE w:val="0"/>
        <w:autoSpaceDN w:val="0"/>
        <w:adjustRightInd w:val="0"/>
        <w:spacing w:before="120" w:line="360" w:lineRule="auto"/>
        <w:ind w:firstLine="480"/>
        <w:rPr>
          <w:rFonts w:ascii="宋体" w:hAnsi="宋体" w:cs="宋体"/>
          <w:b/>
          <w:bCs/>
          <w:color w:val="auto"/>
          <w:sz w:val="24"/>
          <w:lang w:val="zh-CN"/>
        </w:rPr>
      </w:pPr>
      <w:r>
        <w:rPr>
          <w:rFonts w:ascii="宋体" w:hAnsi="宋体" w:cs="宋体"/>
          <w:b/>
          <w:bCs/>
          <w:color w:val="auto"/>
          <w:sz w:val="24"/>
          <w:lang w:val="zh-CN"/>
        </w:rPr>
        <w:t>32</w:t>
      </w:r>
      <w:r>
        <w:rPr>
          <w:rFonts w:hint="eastAsia" w:ascii="宋体" w:hAnsi="宋体" w:cs="宋体"/>
          <w:b/>
          <w:bCs/>
          <w:color w:val="auto"/>
          <w:sz w:val="24"/>
          <w:lang w:val="zh-CN"/>
        </w:rPr>
        <w:t>．合同协议书的签订</w:t>
      </w:r>
    </w:p>
    <w:p>
      <w:pPr>
        <w:autoSpaceDE w:val="0"/>
        <w:autoSpaceDN w:val="0"/>
        <w:adjustRightInd w:val="0"/>
        <w:spacing w:line="360" w:lineRule="auto"/>
        <w:ind w:firstLine="480"/>
        <w:rPr>
          <w:rFonts w:ascii="宋体" w:hAnsi="宋体" w:cs="宋体"/>
          <w:color w:val="auto"/>
          <w:sz w:val="24"/>
          <w:lang w:val="zh-CN"/>
        </w:rPr>
      </w:pPr>
      <w:r>
        <w:rPr>
          <w:rFonts w:ascii="宋体" w:hAnsi="宋体" w:cs="宋体"/>
          <w:color w:val="auto"/>
          <w:sz w:val="24"/>
          <w:lang w:val="zh-CN"/>
        </w:rPr>
        <w:t xml:space="preserve">32.1 </w:t>
      </w:r>
      <w:r>
        <w:rPr>
          <w:rFonts w:hint="eastAsia" w:ascii="宋体" w:hAnsi="宋体" w:cs="宋体"/>
          <w:color w:val="auto"/>
          <w:sz w:val="24"/>
          <w:lang w:val="zh-CN"/>
        </w:rPr>
        <w:t>招标人与中标人将于中标通知书发出之日起</w:t>
      </w:r>
      <w:r>
        <w:rPr>
          <w:rFonts w:ascii="宋体" w:hAnsi="宋体" w:cs="宋体"/>
          <w:color w:val="auto"/>
          <w:sz w:val="24"/>
          <w:lang w:val="zh-CN"/>
        </w:rPr>
        <w:t>30</w:t>
      </w:r>
      <w:r>
        <w:rPr>
          <w:rFonts w:hint="eastAsia" w:ascii="宋体" w:hAnsi="宋体" w:cs="宋体"/>
          <w:color w:val="auto"/>
          <w:sz w:val="24"/>
          <w:lang w:val="zh-CN"/>
        </w:rPr>
        <w:t>日内，按照招标文件和中标人的投标文件商定合同和签订合同，招标人和中标人不得再行订立背离合同实质性内容的其他协议。</w:t>
      </w:r>
    </w:p>
    <w:p>
      <w:pPr>
        <w:autoSpaceDE w:val="0"/>
        <w:autoSpaceDN w:val="0"/>
        <w:adjustRightInd w:val="0"/>
        <w:spacing w:line="360" w:lineRule="auto"/>
        <w:ind w:firstLine="480"/>
        <w:rPr>
          <w:rFonts w:ascii="宋体" w:hAnsi="宋体" w:cs="宋体"/>
          <w:color w:val="auto"/>
          <w:sz w:val="24"/>
          <w:lang w:val="zh-CN"/>
        </w:rPr>
      </w:pPr>
      <w:r>
        <w:rPr>
          <w:rFonts w:ascii="宋体" w:hAnsi="宋体" w:cs="宋体"/>
          <w:color w:val="auto"/>
          <w:sz w:val="24"/>
          <w:lang w:val="zh-CN"/>
        </w:rPr>
        <w:t>32.2</w:t>
      </w:r>
      <w:r>
        <w:rPr>
          <w:rFonts w:hint="eastAsia" w:ascii="宋体" w:hAnsi="宋体" w:cs="宋体"/>
          <w:color w:val="auto"/>
          <w:sz w:val="24"/>
          <w:lang w:val="zh-CN"/>
        </w:rPr>
        <w:t xml:space="preserve"> 中标人放弃中标资格的，无正当理由不按投标人须知第</w:t>
      </w:r>
      <w:r>
        <w:rPr>
          <w:rFonts w:ascii="宋体" w:hAnsi="宋体" w:cs="宋体"/>
          <w:color w:val="auto"/>
          <w:sz w:val="24"/>
          <w:lang w:val="zh-CN"/>
        </w:rPr>
        <w:t>32.1</w:t>
      </w:r>
      <w:r>
        <w:rPr>
          <w:rFonts w:hint="eastAsia" w:ascii="宋体" w:hAnsi="宋体" w:cs="宋体"/>
          <w:color w:val="auto"/>
          <w:sz w:val="24"/>
          <w:lang w:val="zh-CN"/>
        </w:rPr>
        <w:t>款的规定不与招标人签订合同的，在签订合同时向招标人提出附加条件或者更改合同实质性内容的，或者拒不提交所要求的履约保证金的，招标人可取消其中标资格，并没收其投标保证金；给招标人的损失超过投标保证金数额的，中标人应当对超过部分予以赔偿；没有提交投标保证金的，应当对招标人的损失承担赔偿责任。</w:t>
      </w:r>
    </w:p>
    <w:p>
      <w:pPr>
        <w:autoSpaceDE w:val="0"/>
        <w:autoSpaceDN w:val="0"/>
        <w:adjustRightInd w:val="0"/>
        <w:spacing w:line="360" w:lineRule="auto"/>
        <w:ind w:firstLine="480"/>
        <w:rPr>
          <w:rFonts w:ascii="宋体" w:hAnsi="宋体" w:cs="宋体"/>
          <w:color w:val="auto"/>
          <w:sz w:val="24"/>
          <w:lang w:val="zh-CN"/>
        </w:rPr>
      </w:pPr>
      <w:r>
        <w:rPr>
          <w:rFonts w:ascii="宋体" w:hAnsi="宋体" w:cs="宋体"/>
          <w:color w:val="auto"/>
          <w:sz w:val="24"/>
          <w:lang w:val="zh-CN"/>
        </w:rPr>
        <w:t>32.3</w:t>
      </w:r>
      <w:r>
        <w:rPr>
          <w:rFonts w:hint="eastAsia" w:ascii="宋体" w:hAnsi="宋体" w:cs="宋体"/>
          <w:color w:val="auto"/>
          <w:sz w:val="24"/>
          <w:lang w:val="zh-CN"/>
        </w:rPr>
        <w:t xml:space="preserve"> 中标人在投标过程使用的投标人名称、银行名称和账号至完成竣工结算不得变更，否则，招标人有权停止工程款项的拨付及至解除合同，由此造成的一切责任由中标人承担。</w:t>
      </w:r>
    </w:p>
    <w:p>
      <w:pPr>
        <w:autoSpaceDE w:val="0"/>
        <w:autoSpaceDN w:val="0"/>
        <w:adjustRightInd w:val="0"/>
        <w:spacing w:before="120" w:line="360" w:lineRule="auto"/>
        <w:ind w:firstLine="480"/>
        <w:rPr>
          <w:rFonts w:ascii="宋体" w:hAnsi="宋体" w:cs="宋体"/>
          <w:b/>
          <w:bCs/>
          <w:color w:val="auto"/>
          <w:sz w:val="24"/>
          <w:lang w:val="zh-CN"/>
        </w:rPr>
      </w:pPr>
      <w:r>
        <w:rPr>
          <w:rFonts w:ascii="宋体" w:hAnsi="宋体" w:cs="宋体"/>
          <w:b/>
          <w:bCs/>
          <w:color w:val="auto"/>
          <w:sz w:val="24"/>
          <w:lang w:val="zh-CN"/>
        </w:rPr>
        <w:t>33</w:t>
      </w:r>
      <w:r>
        <w:rPr>
          <w:rFonts w:hint="eastAsia" w:ascii="宋体" w:hAnsi="宋体" w:cs="宋体"/>
          <w:b/>
          <w:bCs/>
          <w:color w:val="auto"/>
          <w:sz w:val="24"/>
          <w:lang w:val="zh-CN"/>
        </w:rPr>
        <w:t>．合同生效</w:t>
      </w:r>
    </w:p>
    <w:p>
      <w:pPr>
        <w:autoSpaceDE w:val="0"/>
        <w:autoSpaceDN w:val="0"/>
        <w:adjustRightInd w:val="0"/>
        <w:spacing w:line="360" w:lineRule="auto"/>
        <w:ind w:left="-1" w:firstLine="480"/>
        <w:rPr>
          <w:rFonts w:ascii="宋体" w:hAnsi="宋体" w:cs="宋体"/>
          <w:color w:val="auto"/>
          <w:sz w:val="24"/>
          <w:lang w:val="zh-CN"/>
        </w:rPr>
      </w:pPr>
      <w:r>
        <w:rPr>
          <w:rFonts w:ascii="宋体" w:hAnsi="宋体" w:cs="宋体"/>
          <w:color w:val="auto"/>
          <w:sz w:val="24"/>
          <w:lang w:val="zh-CN"/>
        </w:rPr>
        <w:t>33.1</w:t>
      </w:r>
      <w:r>
        <w:rPr>
          <w:rFonts w:hint="eastAsia" w:ascii="宋体" w:hAnsi="宋体" w:cs="宋体"/>
          <w:color w:val="auto"/>
          <w:sz w:val="24"/>
          <w:lang w:val="zh-CN"/>
        </w:rPr>
        <w:t>在合同双方全权代表在合同协议书上签字，并分别加盖双方单位的公章，并且招标人已收到中标人按规定办理的履约保证金，合同正式生效。</w:t>
      </w:r>
    </w:p>
    <w:p>
      <w:pPr>
        <w:autoSpaceDE w:val="0"/>
        <w:autoSpaceDN w:val="0"/>
        <w:adjustRightInd w:val="0"/>
        <w:spacing w:before="120" w:line="360" w:lineRule="auto"/>
        <w:ind w:firstLine="480"/>
        <w:rPr>
          <w:rFonts w:ascii="宋体" w:hAnsi="宋体" w:cs="宋体"/>
          <w:b/>
          <w:bCs/>
          <w:color w:val="auto"/>
          <w:sz w:val="24"/>
          <w:lang w:val="zh-CN"/>
        </w:rPr>
      </w:pPr>
      <w:r>
        <w:rPr>
          <w:rFonts w:ascii="宋体" w:hAnsi="宋体" w:cs="宋体"/>
          <w:b/>
          <w:bCs/>
          <w:color w:val="auto"/>
          <w:sz w:val="24"/>
          <w:lang w:val="zh-CN"/>
        </w:rPr>
        <w:t>3</w:t>
      </w:r>
      <w:r>
        <w:rPr>
          <w:rFonts w:hint="eastAsia" w:ascii="宋体" w:hAnsi="宋体" w:cs="宋体"/>
          <w:b/>
          <w:bCs/>
          <w:color w:val="auto"/>
          <w:sz w:val="24"/>
          <w:lang w:val="zh-CN"/>
        </w:rPr>
        <w:t>4．腐败与欺诈行为</w:t>
      </w:r>
    </w:p>
    <w:p>
      <w:pPr>
        <w:autoSpaceDE w:val="0"/>
        <w:autoSpaceDN w:val="0"/>
        <w:adjustRightInd w:val="0"/>
        <w:spacing w:line="360" w:lineRule="auto"/>
        <w:ind w:left="-250" w:firstLine="720"/>
        <w:rPr>
          <w:rFonts w:ascii="宋体" w:hAnsi="宋体" w:cs="宋体"/>
          <w:color w:val="auto"/>
          <w:sz w:val="24"/>
          <w:lang w:val="zh-CN"/>
        </w:rPr>
      </w:pPr>
      <w:r>
        <w:rPr>
          <w:rFonts w:hint="eastAsia" w:ascii="宋体" w:hAnsi="宋体" w:cs="宋体"/>
          <w:color w:val="auto"/>
          <w:sz w:val="24"/>
          <w:lang w:val="zh-CN"/>
        </w:rPr>
        <w:t>在招标和合同实施期间，招标人要求投标人和中标人遵守最高的道德标准。</w:t>
      </w:r>
    </w:p>
    <w:p>
      <w:pPr>
        <w:autoSpaceDE w:val="0"/>
        <w:autoSpaceDN w:val="0"/>
        <w:adjustRightInd w:val="0"/>
        <w:spacing w:line="360" w:lineRule="auto"/>
        <w:ind w:left="-250" w:firstLine="720"/>
        <w:rPr>
          <w:rFonts w:ascii="宋体" w:hAnsi="宋体" w:cs="宋体"/>
          <w:color w:val="auto"/>
          <w:sz w:val="24"/>
          <w:lang w:val="zh-CN"/>
        </w:rPr>
      </w:pPr>
      <w:r>
        <w:rPr>
          <w:rFonts w:ascii="宋体" w:hAnsi="宋体" w:cs="宋体"/>
          <w:color w:val="auto"/>
          <w:sz w:val="24"/>
          <w:lang w:val="zh-CN"/>
        </w:rPr>
        <w:t>3</w:t>
      </w:r>
      <w:r>
        <w:rPr>
          <w:rFonts w:hint="eastAsia" w:ascii="宋体" w:hAnsi="宋体" w:cs="宋体"/>
          <w:color w:val="auto"/>
          <w:sz w:val="24"/>
          <w:lang w:val="zh-CN"/>
        </w:rPr>
        <w:t>4</w:t>
      </w:r>
      <w:r>
        <w:rPr>
          <w:rFonts w:ascii="宋体" w:hAnsi="宋体" w:cs="宋体"/>
          <w:color w:val="auto"/>
          <w:sz w:val="24"/>
          <w:lang w:val="zh-CN"/>
        </w:rPr>
        <w:t>.1</w:t>
      </w:r>
      <w:r>
        <w:rPr>
          <w:rFonts w:hint="eastAsia" w:ascii="宋体" w:hAnsi="宋体" w:cs="宋体"/>
          <w:color w:val="auto"/>
          <w:sz w:val="24"/>
          <w:lang w:val="zh-CN"/>
        </w:rPr>
        <w:t>对本条款的规定，特定义如下词汇：</w:t>
      </w:r>
    </w:p>
    <w:p>
      <w:pPr>
        <w:autoSpaceDE w:val="0"/>
        <w:autoSpaceDN w:val="0"/>
        <w:adjustRightInd w:val="0"/>
        <w:spacing w:line="360" w:lineRule="auto"/>
        <w:ind w:firstLine="470"/>
        <w:rPr>
          <w:rFonts w:ascii="宋体" w:hAnsi="宋体" w:cs="宋体"/>
          <w:color w:val="auto"/>
          <w:sz w:val="24"/>
          <w:lang w:val="zh-CN"/>
        </w:rPr>
      </w:pPr>
      <w:r>
        <w:rPr>
          <w:rFonts w:ascii="宋体" w:hAnsi="宋体" w:cs="宋体"/>
          <w:color w:val="auto"/>
          <w:sz w:val="24"/>
          <w:lang w:val="zh-CN"/>
        </w:rPr>
        <w:t>1</w:t>
      </w:r>
      <w:r>
        <w:rPr>
          <w:rFonts w:hint="eastAsia" w:ascii="宋体" w:hAnsi="宋体" w:cs="宋体"/>
          <w:color w:val="auto"/>
          <w:sz w:val="24"/>
          <w:lang w:val="zh-CN"/>
        </w:rPr>
        <w:t>）</w:t>
      </w:r>
      <w:r>
        <w:rPr>
          <w:rFonts w:ascii="宋体" w:hAnsi="宋体" w:cs="宋体"/>
          <w:color w:val="auto"/>
          <w:sz w:val="24"/>
          <w:lang w:val="zh-CN"/>
        </w:rPr>
        <w:t>“</w:t>
      </w:r>
      <w:r>
        <w:rPr>
          <w:rFonts w:hint="eastAsia" w:ascii="宋体" w:hAnsi="宋体" w:cs="宋体"/>
          <w:color w:val="auto"/>
          <w:sz w:val="24"/>
          <w:lang w:val="zh-CN"/>
        </w:rPr>
        <w:t>腐败行为</w:t>
      </w:r>
      <w:r>
        <w:rPr>
          <w:rFonts w:ascii="宋体" w:hAnsi="宋体" w:cs="宋体"/>
          <w:color w:val="auto"/>
          <w:sz w:val="24"/>
          <w:lang w:val="zh-CN"/>
        </w:rPr>
        <w:t>”</w:t>
      </w:r>
      <w:r>
        <w:rPr>
          <w:rFonts w:hint="eastAsia" w:ascii="宋体" w:hAnsi="宋体" w:cs="宋体"/>
          <w:color w:val="auto"/>
          <w:sz w:val="24"/>
          <w:lang w:val="zh-CN"/>
        </w:rPr>
        <w:t>是指在招标采购或合同执行期间，通过提供、给予、接受或索要任何有价值的东西，从而影响公职人员工作的行为；</w:t>
      </w:r>
    </w:p>
    <w:p>
      <w:pPr>
        <w:autoSpaceDE w:val="0"/>
        <w:autoSpaceDN w:val="0"/>
        <w:adjustRightInd w:val="0"/>
        <w:spacing w:line="360" w:lineRule="auto"/>
        <w:ind w:firstLine="470"/>
        <w:rPr>
          <w:rFonts w:ascii="宋体" w:hAnsi="宋体" w:cs="宋体"/>
          <w:color w:val="auto"/>
          <w:sz w:val="24"/>
          <w:lang w:val="zh-CN"/>
        </w:rPr>
      </w:pPr>
      <w:r>
        <w:rPr>
          <w:rFonts w:ascii="宋体" w:hAnsi="宋体" w:cs="宋体"/>
          <w:color w:val="auto"/>
          <w:sz w:val="24"/>
          <w:lang w:val="zh-CN"/>
        </w:rPr>
        <w:t>2</w:t>
      </w:r>
      <w:r>
        <w:rPr>
          <w:rFonts w:hint="eastAsia" w:ascii="宋体" w:hAnsi="宋体" w:cs="宋体"/>
          <w:color w:val="auto"/>
          <w:sz w:val="24"/>
          <w:lang w:val="zh-CN"/>
        </w:rPr>
        <w:t>）</w:t>
      </w:r>
      <w:r>
        <w:rPr>
          <w:rFonts w:ascii="宋体" w:hAnsi="宋体" w:cs="宋体"/>
          <w:color w:val="auto"/>
          <w:sz w:val="24"/>
          <w:lang w:val="zh-CN"/>
        </w:rPr>
        <w:t>“</w:t>
      </w:r>
      <w:r>
        <w:rPr>
          <w:rFonts w:hint="eastAsia" w:ascii="宋体" w:hAnsi="宋体" w:cs="宋体"/>
          <w:color w:val="auto"/>
          <w:sz w:val="24"/>
          <w:lang w:val="zh-CN"/>
        </w:rPr>
        <w:t>欺诈行为</w:t>
      </w:r>
      <w:r>
        <w:rPr>
          <w:rFonts w:ascii="宋体" w:hAnsi="宋体" w:cs="宋体"/>
          <w:color w:val="auto"/>
          <w:sz w:val="24"/>
          <w:lang w:val="zh-CN"/>
        </w:rPr>
        <w:t>”</w:t>
      </w:r>
      <w:r>
        <w:rPr>
          <w:rFonts w:hint="eastAsia" w:ascii="宋体" w:hAnsi="宋体" w:cs="宋体"/>
          <w:color w:val="auto"/>
          <w:sz w:val="24"/>
          <w:lang w:val="zh-CN"/>
        </w:rPr>
        <w:t>是指通过提供伪证影响招标或合同执行，从而损害业主利益的行为；也包括投标人之间串通（在提交投标文件之前或之后），人为地使招标过程失去竞争性，从而使业主无法从公开的自由竞争中获得利益的行为。</w:t>
      </w:r>
    </w:p>
    <w:p>
      <w:pPr>
        <w:autoSpaceDE w:val="0"/>
        <w:autoSpaceDN w:val="0"/>
        <w:adjustRightInd w:val="0"/>
        <w:spacing w:line="360" w:lineRule="auto"/>
        <w:ind w:left="210" w:leftChars="100" w:firstLine="292" w:firstLineChars="122"/>
        <w:rPr>
          <w:rFonts w:ascii="宋体" w:hAnsi="宋体" w:cs="宋体"/>
          <w:color w:val="auto"/>
          <w:sz w:val="24"/>
          <w:lang w:val="zh-CN"/>
        </w:rPr>
      </w:pPr>
      <w:r>
        <w:rPr>
          <w:rFonts w:ascii="宋体" w:hAnsi="宋体" w:cs="宋体"/>
          <w:color w:val="auto"/>
          <w:sz w:val="24"/>
          <w:lang w:val="zh-CN"/>
        </w:rPr>
        <w:t>3</w:t>
      </w:r>
      <w:r>
        <w:rPr>
          <w:rFonts w:hint="eastAsia" w:ascii="宋体" w:hAnsi="宋体" w:cs="宋体"/>
          <w:color w:val="auto"/>
          <w:sz w:val="24"/>
          <w:lang w:val="zh-CN"/>
        </w:rPr>
        <w:t>4</w:t>
      </w:r>
      <w:r>
        <w:rPr>
          <w:rFonts w:ascii="宋体" w:hAnsi="宋体" w:cs="宋体"/>
          <w:color w:val="auto"/>
          <w:sz w:val="24"/>
          <w:lang w:val="zh-CN"/>
        </w:rPr>
        <w:t>.2</w:t>
      </w:r>
      <w:r>
        <w:rPr>
          <w:rFonts w:hint="eastAsia" w:ascii="宋体" w:hAnsi="宋体" w:cs="宋体"/>
          <w:color w:val="auto"/>
          <w:sz w:val="24"/>
          <w:lang w:val="zh-CN"/>
        </w:rPr>
        <w:t>如果认定被推荐的中标人在该合同招标的竞争中有腐败或欺诈行为，则会拒绝该授标建议。</w:t>
      </w:r>
    </w:p>
    <w:p>
      <w:pPr>
        <w:autoSpaceDE w:val="0"/>
        <w:autoSpaceDN w:val="0"/>
        <w:adjustRightInd w:val="0"/>
        <w:spacing w:line="360" w:lineRule="auto"/>
        <w:ind w:left="210" w:leftChars="100" w:firstLine="294" w:firstLineChars="122"/>
        <w:rPr>
          <w:rFonts w:ascii="宋体" w:hAnsi="宋体" w:cs="宋体"/>
          <w:b/>
          <w:bCs/>
          <w:color w:val="auto"/>
          <w:sz w:val="24"/>
          <w:lang w:val="zh-CN"/>
        </w:rPr>
      </w:pPr>
      <w:r>
        <w:rPr>
          <w:rFonts w:hint="eastAsia" w:ascii="宋体" w:hAnsi="宋体" w:cs="宋体"/>
          <w:b/>
          <w:bCs/>
          <w:color w:val="auto"/>
          <w:sz w:val="24"/>
          <w:lang w:val="zh-CN"/>
        </w:rPr>
        <w:t>35. 需要补充的其他内容</w:t>
      </w:r>
    </w:p>
    <w:p>
      <w:pPr>
        <w:autoSpaceDE w:val="0"/>
        <w:autoSpaceDN w:val="0"/>
        <w:adjustRightInd w:val="0"/>
        <w:spacing w:line="360" w:lineRule="auto"/>
        <w:ind w:firstLine="470"/>
        <w:rPr>
          <w:rFonts w:ascii="宋体" w:hAnsi="宋体"/>
          <w:color w:val="auto"/>
          <w:sz w:val="44"/>
          <w:szCs w:val="44"/>
        </w:rPr>
      </w:pPr>
      <w:r>
        <w:rPr>
          <w:rFonts w:hint="eastAsia"/>
          <w:color w:val="auto"/>
        </w:rPr>
        <w:t>需要补充的其他内容：见投标人须知前附表。</w:t>
      </w:r>
      <w:bookmarkEnd w:id="6"/>
    </w:p>
    <w:p>
      <w:pPr>
        <w:keepNext/>
        <w:keepLines/>
        <w:autoSpaceDE w:val="0"/>
        <w:autoSpaceDN w:val="0"/>
        <w:adjustRightInd w:val="0"/>
        <w:spacing w:before="240" w:after="60" w:line="360" w:lineRule="auto"/>
        <w:jc w:val="center"/>
        <w:outlineLvl w:val="0"/>
        <w:rPr>
          <w:rFonts w:ascii="宋体" w:hAnsi="宋体" w:cs="黑体"/>
          <w:color w:val="auto"/>
          <w:kern w:val="24"/>
          <w:sz w:val="44"/>
          <w:szCs w:val="44"/>
          <w:lang w:val="zh-CN"/>
        </w:rPr>
      </w:pPr>
      <w:bookmarkStart w:id="7" w:name="_Toc23136"/>
      <w:r>
        <w:rPr>
          <w:rFonts w:hint="eastAsia" w:ascii="宋体" w:hAnsi="宋体" w:cs="黑体"/>
          <w:color w:val="auto"/>
          <w:kern w:val="24"/>
          <w:sz w:val="44"/>
          <w:szCs w:val="44"/>
          <w:lang w:val="zh-CN"/>
        </w:rPr>
        <w:t>第三章</w:t>
      </w:r>
      <w:r>
        <w:rPr>
          <w:rFonts w:ascii="宋体" w:hAnsi="宋体" w:cs="黑体"/>
          <w:color w:val="auto"/>
          <w:kern w:val="24"/>
          <w:sz w:val="44"/>
          <w:szCs w:val="44"/>
          <w:lang w:val="zh-CN"/>
        </w:rPr>
        <w:t xml:space="preserve"> </w:t>
      </w:r>
      <w:r>
        <w:rPr>
          <w:rFonts w:hint="eastAsia" w:ascii="宋体" w:hAnsi="宋体" w:cs="黑体"/>
          <w:color w:val="auto"/>
          <w:kern w:val="24"/>
          <w:sz w:val="44"/>
          <w:szCs w:val="44"/>
          <w:lang w:val="zh-CN"/>
        </w:rPr>
        <w:t>监理合同</w:t>
      </w:r>
      <w:bookmarkEnd w:id="7"/>
    </w:p>
    <w:p>
      <w:pPr>
        <w:spacing w:line="500" w:lineRule="exact"/>
        <w:ind w:firstLine="480" w:firstLineChars="200"/>
        <w:rPr>
          <w:rFonts w:ascii="宋体" w:hAnsi="宋体"/>
          <w:color w:val="auto"/>
          <w:sz w:val="24"/>
        </w:rPr>
      </w:pPr>
      <w:r>
        <w:rPr>
          <w:rFonts w:hint="eastAsia" w:ascii="宋体" w:hAnsi="宋体"/>
          <w:color w:val="auto"/>
          <w:sz w:val="24"/>
        </w:rPr>
        <w:t>（使用</w:t>
      </w:r>
      <w:r>
        <w:rPr>
          <w:rFonts w:hint="eastAsia" w:ascii="宋体" w:hAnsi="宋体"/>
          <w:bCs/>
          <w:color w:val="auto"/>
          <w:sz w:val="24"/>
        </w:rPr>
        <w:t>住房和城乡建设部</w:t>
      </w:r>
      <w:r>
        <w:rPr>
          <w:rFonts w:hint="eastAsia" w:ascii="宋体" w:hAnsi="宋体"/>
          <w:color w:val="auto"/>
          <w:sz w:val="24"/>
        </w:rPr>
        <w:t>、</w:t>
      </w:r>
      <w:r>
        <w:rPr>
          <w:rFonts w:hint="eastAsia" w:ascii="宋体" w:hAnsi="宋体"/>
          <w:bCs/>
          <w:color w:val="auto"/>
          <w:sz w:val="24"/>
        </w:rPr>
        <w:t>国家工商行政管理总局</w:t>
      </w:r>
      <w:r>
        <w:rPr>
          <w:rFonts w:hint="eastAsia" w:ascii="宋体" w:hAnsi="宋体"/>
          <w:color w:val="auto"/>
          <w:sz w:val="24"/>
        </w:rPr>
        <w:t>2012年印发的《（示范文本）》建设工程委托监理合同（ＧＦ－2012－0202）。</w:t>
      </w:r>
    </w:p>
    <w:p>
      <w:pPr>
        <w:jc w:val="left"/>
        <w:rPr>
          <w:rFonts w:ascii="宋体" w:hAnsi="宋体" w:cs="宋体"/>
          <w:b/>
          <w:bCs/>
          <w:color w:val="auto"/>
          <w:kern w:val="0"/>
          <w:sz w:val="24"/>
          <w:lang w:val="zh-CN"/>
          <w14:shadow w14:blurRad="50800" w14:dist="38100" w14:dir="2700000" w14:sx="100000" w14:sy="100000" w14:kx="0" w14:ky="0" w14:algn="tl">
            <w14:srgbClr w14:val="000000">
              <w14:alpha w14:val="60000"/>
            </w14:srgbClr>
          </w14:shadow>
        </w:rPr>
      </w:pPr>
      <w:r>
        <w:rPr>
          <w:rFonts w:ascii="宋体" w:hAnsi="宋体" w:cs="宋体"/>
          <w:b/>
          <w:bCs/>
          <w:color w:val="auto"/>
          <w:kern w:val="0"/>
          <w:sz w:val="24"/>
          <w:lang w:val="zh-CN"/>
          <w14:shadow w14:blurRad="50800" w14:dist="38100" w14:dir="2700000" w14:sx="100000" w14:sy="100000" w14:kx="0" w14:ky="0" w14:algn="tl">
            <w14:srgbClr w14:val="000000">
              <w14:alpha w14:val="60000"/>
            </w14:srgbClr>
          </w14:shadow>
        </w:rPr>
        <w:br w:type="page"/>
      </w:r>
    </w:p>
    <w:p>
      <w:pPr>
        <w:spacing w:line="360" w:lineRule="auto"/>
        <w:rPr>
          <w:rFonts w:ascii="宋体" w:hAnsi="宋体" w:cs="宋体"/>
          <w:b/>
          <w:bCs/>
          <w:color w:val="auto"/>
          <w:sz w:val="30"/>
          <w:szCs w:val="30"/>
        </w:rPr>
      </w:pPr>
      <w:r>
        <w:rPr>
          <w:rFonts w:hint="eastAsia" w:ascii="宋体" w:hAnsi="宋体" w:cs="宋体"/>
          <w:b/>
          <w:color w:val="auto"/>
          <w:sz w:val="32"/>
          <w:szCs w:val="32"/>
        </w:rPr>
        <w:t>（GF－2012－0202）</w:t>
      </w:r>
    </w:p>
    <w:p>
      <w:pPr>
        <w:spacing w:line="360" w:lineRule="auto"/>
        <w:jc w:val="center"/>
        <w:rPr>
          <w:rFonts w:ascii="宋体" w:hAnsi="宋体" w:cs="宋体"/>
          <w:b/>
          <w:bCs/>
          <w:color w:val="auto"/>
          <w:sz w:val="52"/>
          <w:szCs w:val="52"/>
        </w:rPr>
      </w:pPr>
    </w:p>
    <w:p>
      <w:pPr>
        <w:spacing w:line="360" w:lineRule="auto"/>
        <w:jc w:val="center"/>
        <w:rPr>
          <w:rFonts w:ascii="宋体" w:hAnsi="宋体" w:cs="宋体"/>
          <w:b/>
          <w:bCs/>
          <w:color w:val="auto"/>
          <w:sz w:val="48"/>
          <w:szCs w:val="48"/>
        </w:rPr>
      </w:pPr>
    </w:p>
    <w:p>
      <w:pPr>
        <w:spacing w:line="360" w:lineRule="auto"/>
        <w:jc w:val="center"/>
        <w:rPr>
          <w:rFonts w:ascii="宋体" w:hAnsi="宋体" w:cs="宋体"/>
          <w:b/>
          <w:bCs/>
          <w:color w:val="auto"/>
          <w:sz w:val="48"/>
          <w:szCs w:val="48"/>
        </w:rPr>
      </w:pPr>
    </w:p>
    <w:p>
      <w:pPr>
        <w:keepNext w:val="0"/>
        <w:keepLines w:val="0"/>
        <w:widowControl w:val="0"/>
        <w:kinsoku/>
        <w:wordWrap/>
        <w:overflowPunct/>
        <w:topLinePunct w:val="0"/>
        <w:bidi w:val="0"/>
        <w:ind w:left="1791" w:right="616"/>
        <w:textAlignment w:val="auto"/>
        <w:rPr>
          <w:rFonts w:ascii="宋体" w:hAnsi="宋体" w:eastAsia="宋体" w:cs="宋体"/>
          <w:color w:val="auto"/>
          <w:sz w:val="52"/>
          <w:szCs w:val="52"/>
          <w:highlight w:val="none"/>
        </w:rPr>
      </w:pPr>
      <w:r>
        <w:rPr>
          <w:rFonts w:ascii="宋体" w:hAnsi="宋体" w:eastAsia="宋体" w:cs="宋体"/>
          <w:b/>
          <w:bCs/>
          <w:color w:val="auto"/>
          <w:sz w:val="52"/>
          <w:szCs w:val="52"/>
          <w:highlight w:val="none"/>
        </w:rPr>
        <w:t>建 设 工 程 监 理 合</w:t>
      </w:r>
      <w:r>
        <w:rPr>
          <w:rFonts w:ascii="宋体" w:hAnsi="宋体" w:eastAsia="宋体" w:cs="宋体"/>
          <w:b/>
          <w:bCs/>
          <w:color w:val="auto"/>
          <w:spacing w:val="-8"/>
          <w:sz w:val="52"/>
          <w:szCs w:val="52"/>
          <w:highlight w:val="none"/>
        </w:rPr>
        <w:t xml:space="preserve"> </w:t>
      </w:r>
      <w:r>
        <w:rPr>
          <w:rFonts w:ascii="宋体" w:hAnsi="宋体" w:eastAsia="宋体" w:cs="宋体"/>
          <w:b/>
          <w:bCs/>
          <w:color w:val="auto"/>
          <w:sz w:val="52"/>
          <w:szCs w:val="52"/>
          <w:highlight w:val="none"/>
        </w:rPr>
        <w:t>同</w:t>
      </w:r>
    </w:p>
    <w:p>
      <w:pPr>
        <w:keepNext w:val="0"/>
        <w:keepLines w:val="0"/>
        <w:widowControl w:val="0"/>
        <w:kinsoku/>
        <w:wordWrap/>
        <w:overflowPunct/>
        <w:topLinePunct w:val="0"/>
        <w:bidi w:val="0"/>
        <w:textAlignment w:val="auto"/>
        <w:rPr>
          <w:rFonts w:ascii="宋体" w:hAnsi="宋体" w:eastAsia="宋体" w:cs="宋体"/>
          <w:b/>
          <w:bCs/>
          <w:color w:val="auto"/>
          <w:sz w:val="52"/>
          <w:szCs w:val="52"/>
          <w:highlight w:val="none"/>
        </w:rPr>
      </w:pPr>
    </w:p>
    <w:p>
      <w:pPr>
        <w:keepNext w:val="0"/>
        <w:keepLines w:val="0"/>
        <w:widowControl w:val="0"/>
        <w:tabs>
          <w:tab w:val="left" w:pos="7668"/>
        </w:tabs>
        <w:kinsoku/>
        <w:wordWrap/>
        <w:overflowPunct/>
        <w:topLinePunct w:val="0"/>
        <w:bidi w:val="0"/>
        <w:spacing w:before="460" w:line="357" w:lineRule="auto"/>
        <w:ind w:left="1081" w:right="616"/>
        <w:textAlignment w:val="auto"/>
        <w:rPr>
          <w:rFonts w:hint="default" w:ascii="Times New Roman" w:hAnsi="Times New Roman" w:eastAsia="宋体" w:cs="Times New Roman"/>
          <w:b/>
          <w:bCs/>
          <w:color w:val="auto"/>
          <w:w w:val="95"/>
          <w:sz w:val="32"/>
          <w:szCs w:val="32"/>
          <w:highlight w:val="none"/>
          <w:u w:val="single" w:color="000000"/>
          <w:lang w:val="en-US" w:eastAsia="zh-CN"/>
        </w:rPr>
      </w:pPr>
      <w:r>
        <w:rPr>
          <w:rFonts w:ascii="宋体" w:hAnsi="宋体" w:eastAsia="宋体" w:cs="宋体"/>
          <w:b/>
          <w:bCs/>
          <w:color w:val="auto"/>
          <w:w w:val="95"/>
          <w:sz w:val="32"/>
          <w:szCs w:val="32"/>
          <w:highlight w:val="none"/>
        </w:rPr>
        <w:t>工程名称：</w:t>
      </w:r>
      <w:r>
        <w:rPr>
          <w:rFonts w:hint="eastAsia" w:ascii="Times New Roman" w:hAnsi="Times New Roman" w:eastAsia="宋体" w:cs="Times New Roman"/>
          <w:b/>
          <w:bCs/>
          <w:color w:val="auto"/>
          <w:w w:val="95"/>
          <w:sz w:val="32"/>
          <w:szCs w:val="32"/>
          <w:highlight w:val="none"/>
          <w:u w:val="single" w:color="000000"/>
          <w:lang w:val="en-US" w:eastAsia="zh-CN"/>
        </w:rPr>
        <w:t xml:space="preserve">                              </w:t>
      </w:r>
    </w:p>
    <w:p>
      <w:pPr>
        <w:keepNext w:val="0"/>
        <w:keepLines w:val="0"/>
        <w:widowControl w:val="0"/>
        <w:tabs>
          <w:tab w:val="left" w:pos="7668"/>
        </w:tabs>
        <w:kinsoku/>
        <w:wordWrap/>
        <w:overflowPunct/>
        <w:topLinePunct w:val="0"/>
        <w:bidi w:val="0"/>
        <w:spacing w:before="460" w:line="357" w:lineRule="auto"/>
        <w:ind w:left="1081" w:right="616"/>
        <w:textAlignment w:val="auto"/>
        <w:rPr>
          <w:rFonts w:ascii="宋体" w:hAnsi="宋体" w:eastAsia="宋体" w:cs="宋体"/>
          <w:color w:val="auto"/>
          <w:sz w:val="32"/>
          <w:szCs w:val="32"/>
          <w:highlight w:val="none"/>
          <w:u w:val="single"/>
        </w:rPr>
      </w:pPr>
      <w:r>
        <w:rPr>
          <w:rFonts w:ascii="宋体" w:hAnsi="宋体" w:eastAsia="宋体" w:cs="宋体"/>
          <w:b/>
          <w:bCs/>
          <w:color w:val="auto"/>
          <w:sz w:val="32"/>
          <w:szCs w:val="32"/>
          <w:highlight w:val="none"/>
        </w:rPr>
        <w:t>合同编号：</w:t>
      </w:r>
      <w:r>
        <w:rPr>
          <w:rFonts w:hint="eastAsia" w:ascii="宋体" w:hAnsi="宋体" w:eastAsia="宋体" w:cs="宋体"/>
          <w:b/>
          <w:bCs/>
          <w:color w:val="auto"/>
          <w:sz w:val="32"/>
          <w:szCs w:val="32"/>
          <w:highlight w:val="none"/>
          <w:u w:val="single"/>
        </w:rPr>
        <w:t xml:space="preserve">                                    </w:t>
      </w:r>
    </w:p>
    <w:p>
      <w:pPr>
        <w:keepNext w:val="0"/>
        <w:keepLines w:val="0"/>
        <w:widowControl w:val="0"/>
        <w:kinsoku/>
        <w:wordWrap/>
        <w:overflowPunct/>
        <w:topLinePunct w:val="0"/>
        <w:bidi w:val="0"/>
        <w:spacing w:before="9"/>
        <w:textAlignment w:val="auto"/>
        <w:rPr>
          <w:rFonts w:ascii="宋体" w:hAnsi="宋体" w:eastAsia="宋体" w:cs="宋体"/>
          <w:b/>
          <w:bCs/>
          <w:color w:val="auto"/>
          <w:sz w:val="3"/>
          <w:szCs w:val="3"/>
          <w:highlight w:val="none"/>
        </w:rPr>
      </w:pPr>
    </w:p>
    <w:tbl>
      <w:tblPr>
        <w:tblStyle w:val="22"/>
        <w:tblW w:w="0" w:type="auto"/>
        <w:tblInd w:w="1046" w:type="dxa"/>
        <w:tblLayout w:type="fixed"/>
        <w:tblCellMar>
          <w:top w:w="0" w:type="dxa"/>
          <w:left w:w="0" w:type="dxa"/>
          <w:bottom w:w="0" w:type="dxa"/>
          <w:right w:w="0" w:type="dxa"/>
        </w:tblCellMar>
      </w:tblPr>
      <w:tblGrid>
        <w:gridCol w:w="437"/>
        <w:gridCol w:w="483"/>
        <w:gridCol w:w="6965"/>
      </w:tblGrid>
      <w:tr>
        <w:tblPrEx>
          <w:tblCellMar>
            <w:top w:w="0" w:type="dxa"/>
            <w:left w:w="0" w:type="dxa"/>
            <w:bottom w:w="0" w:type="dxa"/>
            <w:right w:w="0" w:type="dxa"/>
          </w:tblCellMar>
        </w:tblPrEx>
        <w:trPr>
          <w:trHeight w:val="581" w:hRule="exact"/>
        </w:trPr>
        <w:tc>
          <w:tcPr>
            <w:tcW w:w="437" w:type="dxa"/>
            <w:tcBorders>
              <w:top w:val="nil"/>
              <w:left w:val="nil"/>
              <w:bottom w:val="nil"/>
              <w:right w:val="nil"/>
            </w:tcBorders>
            <w:noWrap w:val="0"/>
            <w:vAlign w:val="top"/>
          </w:tcPr>
          <w:p>
            <w:pPr>
              <w:keepNext w:val="0"/>
              <w:keepLines w:val="0"/>
              <w:widowControl w:val="0"/>
              <w:suppressLineNumbers w:val="0"/>
              <w:kinsoku/>
              <w:wordWrap/>
              <w:overflowPunct/>
              <w:topLinePunct w:val="0"/>
              <w:bidi w:val="0"/>
              <w:spacing w:before="0" w:beforeAutospacing="0" w:after="0" w:afterAutospacing="0"/>
              <w:ind w:left="0" w:right="45"/>
              <w:jc w:val="center"/>
              <w:textAlignment w:val="auto"/>
              <w:rPr>
                <w:rFonts w:hint="default" w:ascii="宋体" w:hAnsi="宋体" w:eastAsia="宋体" w:cs="宋体"/>
                <w:color w:val="auto"/>
                <w:kern w:val="2"/>
                <w:sz w:val="32"/>
                <w:szCs w:val="32"/>
                <w:highlight w:val="none"/>
                <w:lang w:val="zh-CN" w:eastAsia="zh-CN" w:bidi="zh-CN"/>
              </w:rPr>
            </w:pPr>
            <w:r>
              <w:rPr>
                <w:rFonts w:hint="default" w:ascii="宋体" w:hAnsi="宋体" w:eastAsia="宋体" w:cs="宋体"/>
                <w:b/>
                <w:bCs/>
                <w:color w:val="auto"/>
                <w:w w:val="99"/>
                <w:kern w:val="2"/>
                <w:sz w:val="32"/>
                <w:szCs w:val="32"/>
                <w:highlight w:val="none"/>
                <w:lang w:val="zh-CN" w:eastAsia="zh-CN" w:bidi="zh-CN"/>
              </w:rPr>
              <w:t>委</w:t>
            </w:r>
          </w:p>
        </w:tc>
        <w:tc>
          <w:tcPr>
            <w:tcW w:w="483" w:type="dxa"/>
            <w:tcBorders>
              <w:top w:val="nil"/>
              <w:left w:val="nil"/>
              <w:bottom w:val="nil"/>
              <w:right w:val="nil"/>
            </w:tcBorders>
            <w:noWrap w:val="0"/>
            <w:vAlign w:val="top"/>
          </w:tcPr>
          <w:p>
            <w:pPr>
              <w:keepNext w:val="0"/>
              <w:keepLines w:val="0"/>
              <w:widowControl w:val="0"/>
              <w:suppressLineNumbers w:val="0"/>
              <w:kinsoku/>
              <w:wordWrap/>
              <w:overflowPunct/>
              <w:topLinePunct w:val="0"/>
              <w:bidi w:val="0"/>
              <w:spacing w:before="0" w:beforeAutospacing="0" w:after="0" w:afterAutospacing="0"/>
              <w:ind w:left="2" w:right="0"/>
              <w:jc w:val="center"/>
              <w:textAlignment w:val="auto"/>
              <w:rPr>
                <w:rFonts w:hint="default" w:ascii="宋体" w:hAnsi="宋体" w:eastAsia="宋体" w:cs="宋体"/>
                <w:color w:val="auto"/>
                <w:kern w:val="2"/>
                <w:sz w:val="32"/>
                <w:szCs w:val="32"/>
                <w:highlight w:val="none"/>
                <w:lang w:val="zh-CN" w:eastAsia="zh-CN" w:bidi="zh-CN"/>
              </w:rPr>
            </w:pPr>
            <w:r>
              <w:rPr>
                <w:rFonts w:hint="default" w:ascii="宋体" w:hAnsi="宋体" w:eastAsia="宋体" w:cs="宋体"/>
                <w:b/>
                <w:bCs/>
                <w:color w:val="auto"/>
                <w:w w:val="99"/>
                <w:kern w:val="2"/>
                <w:sz w:val="32"/>
                <w:szCs w:val="32"/>
                <w:highlight w:val="none"/>
                <w:lang w:val="zh-CN" w:eastAsia="zh-CN" w:bidi="zh-CN"/>
              </w:rPr>
              <w:t>托</w:t>
            </w:r>
          </w:p>
        </w:tc>
        <w:tc>
          <w:tcPr>
            <w:tcW w:w="6965" w:type="dxa"/>
            <w:tcBorders>
              <w:top w:val="nil"/>
              <w:left w:val="nil"/>
              <w:bottom w:val="nil"/>
              <w:right w:val="nil"/>
            </w:tcBorders>
            <w:noWrap w:val="0"/>
            <w:vAlign w:val="top"/>
          </w:tcPr>
          <w:p>
            <w:pPr>
              <w:keepNext w:val="0"/>
              <w:keepLines w:val="0"/>
              <w:widowControl w:val="0"/>
              <w:suppressLineNumbers w:val="0"/>
              <w:kinsoku/>
              <w:wordWrap/>
              <w:overflowPunct/>
              <w:topLinePunct w:val="0"/>
              <w:bidi w:val="0"/>
              <w:spacing w:before="0" w:beforeAutospacing="0" w:after="0" w:afterAutospacing="0"/>
              <w:ind w:left="80" w:right="0"/>
              <w:jc w:val="both"/>
              <w:textAlignment w:val="auto"/>
              <w:rPr>
                <w:rFonts w:hint="default" w:ascii="宋体" w:hAnsi="宋体" w:eastAsia="宋体" w:cs="宋体"/>
                <w:color w:val="auto"/>
                <w:kern w:val="2"/>
                <w:sz w:val="32"/>
                <w:szCs w:val="32"/>
                <w:highlight w:val="none"/>
                <w:lang w:val="zh-CN" w:eastAsia="zh-CN" w:bidi="zh-CN"/>
              </w:rPr>
            </w:pPr>
            <w:r>
              <w:rPr>
                <w:rFonts w:hint="default" w:ascii="宋体" w:hAnsi="宋体" w:eastAsia="宋体" w:cs="宋体"/>
                <w:b/>
                <w:bCs/>
                <w:color w:val="auto"/>
                <w:w w:val="95"/>
                <w:kern w:val="2"/>
                <w:sz w:val="32"/>
                <w:szCs w:val="32"/>
                <w:highlight w:val="none"/>
                <w:lang w:val="zh-CN" w:eastAsia="zh-CN" w:bidi="zh-CN"/>
              </w:rPr>
              <w:t>人：</w:t>
            </w:r>
            <w:r>
              <w:rPr>
                <w:rFonts w:hint="eastAsia" w:ascii="Times New Roman" w:hAnsi="Times New Roman" w:eastAsia="Times New Roman" w:cs="宋体"/>
                <w:b/>
                <w:bCs/>
                <w:color w:val="auto"/>
                <w:w w:val="95"/>
                <w:kern w:val="2"/>
                <w:sz w:val="32"/>
                <w:szCs w:val="32"/>
                <w:highlight w:val="none"/>
                <w:u w:val="single" w:color="000000"/>
                <w:lang w:val="zh-CN" w:eastAsia="zh-CN" w:bidi="zh-CN"/>
              </w:rPr>
              <w:t>台山市大湾物流园开发有限公司</w:t>
            </w:r>
          </w:p>
        </w:tc>
      </w:tr>
      <w:tr>
        <w:tblPrEx>
          <w:tblCellMar>
            <w:top w:w="0" w:type="dxa"/>
            <w:left w:w="0" w:type="dxa"/>
            <w:bottom w:w="0" w:type="dxa"/>
            <w:right w:w="0" w:type="dxa"/>
          </w:tblCellMar>
        </w:tblPrEx>
        <w:trPr>
          <w:trHeight w:val="563" w:hRule="exact"/>
        </w:trPr>
        <w:tc>
          <w:tcPr>
            <w:tcW w:w="437" w:type="dxa"/>
            <w:tcBorders>
              <w:top w:val="nil"/>
              <w:left w:val="nil"/>
              <w:bottom w:val="nil"/>
              <w:right w:val="nil"/>
            </w:tcBorders>
            <w:noWrap w:val="0"/>
            <w:vAlign w:val="top"/>
          </w:tcPr>
          <w:p>
            <w:pPr>
              <w:keepNext w:val="0"/>
              <w:keepLines w:val="0"/>
              <w:widowControl w:val="0"/>
              <w:suppressLineNumbers w:val="0"/>
              <w:kinsoku/>
              <w:wordWrap/>
              <w:overflowPunct/>
              <w:topLinePunct w:val="0"/>
              <w:bidi w:val="0"/>
              <w:spacing w:before="44" w:beforeAutospacing="0" w:after="0" w:afterAutospacing="0"/>
              <w:ind w:left="0" w:right="45"/>
              <w:jc w:val="center"/>
              <w:textAlignment w:val="auto"/>
              <w:rPr>
                <w:rFonts w:hint="default" w:ascii="宋体" w:hAnsi="宋体" w:eastAsia="宋体" w:cs="宋体"/>
                <w:color w:val="auto"/>
                <w:kern w:val="2"/>
                <w:sz w:val="32"/>
                <w:szCs w:val="32"/>
                <w:highlight w:val="none"/>
                <w:lang w:val="zh-CN" w:eastAsia="zh-CN" w:bidi="zh-CN"/>
              </w:rPr>
            </w:pPr>
            <w:r>
              <w:rPr>
                <w:rFonts w:hint="default" w:ascii="宋体" w:hAnsi="宋体" w:eastAsia="宋体" w:cs="宋体"/>
                <w:b/>
                <w:bCs/>
                <w:color w:val="auto"/>
                <w:w w:val="99"/>
                <w:kern w:val="2"/>
                <w:sz w:val="32"/>
                <w:szCs w:val="32"/>
                <w:highlight w:val="none"/>
                <w:lang w:val="zh-CN" w:eastAsia="zh-CN" w:bidi="zh-CN"/>
              </w:rPr>
              <w:t>监</w:t>
            </w:r>
          </w:p>
        </w:tc>
        <w:tc>
          <w:tcPr>
            <w:tcW w:w="483" w:type="dxa"/>
            <w:tcBorders>
              <w:top w:val="nil"/>
              <w:left w:val="nil"/>
              <w:bottom w:val="nil"/>
              <w:right w:val="nil"/>
            </w:tcBorders>
            <w:noWrap w:val="0"/>
            <w:vAlign w:val="top"/>
          </w:tcPr>
          <w:p>
            <w:pPr>
              <w:keepNext w:val="0"/>
              <w:keepLines w:val="0"/>
              <w:widowControl w:val="0"/>
              <w:suppressLineNumbers w:val="0"/>
              <w:kinsoku/>
              <w:wordWrap/>
              <w:overflowPunct/>
              <w:topLinePunct w:val="0"/>
              <w:bidi w:val="0"/>
              <w:spacing w:before="44" w:beforeAutospacing="0" w:after="0" w:afterAutospacing="0"/>
              <w:ind w:left="2" w:right="0"/>
              <w:jc w:val="center"/>
              <w:textAlignment w:val="auto"/>
              <w:rPr>
                <w:rFonts w:hint="default" w:ascii="宋体" w:hAnsi="宋体" w:eastAsia="宋体" w:cs="宋体"/>
                <w:color w:val="auto"/>
                <w:kern w:val="2"/>
                <w:sz w:val="32"/>
                <w:szCs w:val="32"/>
                <w:highlight w:val="none"/>
                <w:lang w:val="zh-CN" w:eastAsia="zh-CN" w:bidi="zh-CN"/>
              </w:rPr>
            </w:pPr>
            <w:r>
              <w:rPr>
                <w:rFonts w:hint="default" w:ascii="宋体" w:hAnsi="宋体" w:eastAsia="宋体" w:cs="宋体"/>
                <w:b/>
                <w:bCs/>
                <w:color w:val="auto"/>
                <w:w w:val="99"/>
                <w:kern w:val="2"/>
                <w:sz w:val="32"/>
                <w:szCs w:val="32"/>
                <w:highlight w:val="none"/>
                <w:lang w:val="zh-CN" w:eastAsia="zh-CN" w:bidi="zh-CN"/>
              </w:rPr>
              <w:t>理</w:t>
            </w:r>
          </w:p>
        </w:tc>
        <w:tc>
          <w:tcPr>
            <w:tcW w:w="6965" w:type="dxa"/>
            <w:tcBorders>
              <w:top w:val="nil"/>
              <w:left w:val="nil"/>
              <w:bottom w:val="nil"/>
              <w:right w:val="nil"/>
            </w:tcBorders>
            <w:noWrap w:val="0"/>
            <w:vAlign w:val="top"/>
          </w:tcPr>
          <w:p>
            <w:pPr>
              <w:keepNext w:val="0"/>
              <w:keepLines w:val="0"/>
              <w:widowControl w:val="0"/>
              <w:suppressLineNumbers w:val="0"/>
              <w:kinsoku/>
              <w:wordWrap/>
              <w:overflowPunct/>
              <w:topLinePunct w:val="0"/>
              <w:bidi w:val="0"/>
              <w:spacing w:before="44" w:beforeAutospacing="0" w:after="0" w:afterAutospacing="0"/>
              <w:ind w:left="80" w:right="0"/>
              <w:jc w:val="both"/>
              <w:textAlignment w:val="auto"/>
              <w:rPr>
                <w:rFonts w:hint="eastAsia" w:ascii="宋体" w:hAnsi="宋体" w:eastAsia="宋体" w:cs="宋体"/>
                <w:color w:val="auto"/>
                <w:kern w:val="2"/>
                <w:sz w:val="32"/>
                <w:szCs w:val="32"/>
                <w:highlight w:val="none"/>
                <w:u w:val="single"/>
                <w:lang w:val="zh-CN" w:eastAsia="zh-CN" w:bidi="zh-CN"/>
              </w:rPr>
            </w:pPr>
            <w:r>
              <w:rPr>
                <w:rFonts w:hint="default" w:ascii="宋体" w:hAnsi="宋体" w:eastAsia="宋体" w:cs="宋体"/>
                <w:b/>
                <w:bCs/>
                <w:color w:val="auto"/>
                <w:kern w:val="2"/>
                <w:sz w:val="32"/>
                <w:szCs w:val="32"/>
                <w:highlight w:val="none"/>
                <w:lang w:val="zh-CN" w:eastAsia="zh-CN" w:bidi="zh-CN"/>
              </w:rPr>
              <w:t>人：</w:t>
            </w:r>
            <w:r>
              <w:rPr>
                <w:rFonts w:hint="eastAsia" w:ascii="宋体" w:hAnsi="宋体" w:eastAsia="宋体" w:cs="宋体"/>
                <w:b/>
                <w:bCs/>
                <w:color w:val="auto"/>
                <w:kern w:val="2"/>
                <w:sz w:val="32"/>
                <w:szCs w:val="32"/>
                <w:highlight w:val="none"/>
                <w:u w:val="single"/>
                <w:lang w:val="zh-CN" w:eastAsia="zh-CN" w:bidi="zh-CN"/>
              </w:rPr>
              <w:t xml:space="preserve">                                     </w:t>
            </w:r>
          </w:p>
        </w:tc>
      </w:tr>
    </w:tbl>
    <w:p>
      <w:pPr>
        <w:keepNext w:val="0"/>
        <w:keepLines w:val="0"/>
        <w:widowControl w:val="0"/>
        <w:kinsoku/>
        <w:wordWrap/>
        <w:overflowPunct/>
        <w:topLinePunct w:val="0"/>
        <w:bidi w:val="0"/>
        <w:textAlignment w:val="auto"/>
        <w:rPr>
          <w:rFonts w:ascii="宋体" w:hAnsi="宋体" w:eastAsia="宋体" w:cs="宋体"/>
          <w:b/>
          <w:bCs/>
          <w:color w:val="auto"/>
          <w:sz w:val="20"/>
          <w:szCs w:val="20"/>
          <w:highlight w:val="none"/>
        </w:rPr>
      </w:pPr>
    </w:p>
    <w:tbl>
      <w:tblPr>
        <w:tblStyle w:val="22"/>
        <w:tblW w:w="0" w:type="auto"/>
        <w:tblInd w:w="1046" w:type="dxa"/>
        <w:tblLayout w:type="fixed"/>
        <w:tblCellMar>
          <w:top w:w="0" w:type="dxa"/>
          <w:left w:w="0" w:type="dxa"/>
          <w:bottom w:w="0" w:type="dxa"/>
          <w:right w:w="0" w:type="dxa"/>
        </w:tblCellMar>
      </w:tblPr>
      <w:tblGrid>
        <w:gridCol w:w="7362"/>
      </w:tblGrid>
      <w:tr>
        <w:tblPrEx>
          <w:tblCellMar>
            <w:top w:w="0" w:type="dxa"/>
            <w:left w:w="0" w:type="dxa"/>
            <w:bottom w:w="0" w:type="dxa"/>
            <w:right w:w="0" w:type="dxa"/>
          </w:tblCellMar>
        </w:tblPrEx>
        <w:trPr>
          <w:trHeight w:val="446" w:hRule="exact"/>
        </w:trPr>
        <w:tc>
          <w:tcPr>
            <w:tcW w:w="7362" w:type="dxa"/>
            <w:tcBorders>
              <w:top w:val="nil"/>
              <w:left w:val="nil"/>
              <w:bottom w:val="nil"/>
              <w:right w:val="nil"/>
            </w:tcBorders>
            <w:noWrap w:val="0"/>
            <w:vAlign w:val="top"/>
          </w:tcPr>
          <w:p>
            <w:pPr>
              <w:keepNext w:val="0"/>
              <w:keepLines w:val="0"/>
              <w:widowControl w:val="0"/>
              <w:suppressLineNumbers w:val="0"/>
              <w:kinsoku/>
              <w:wordWrap/>
              <w:overflowPunct/>
              <w:topLinePunct w:val="0"/>
              <w:bidi w:val="0"/>
              <w:spacing w:before="44" w:beforeAutospacing="0" w:after="0" w:afterAutospacing="0"/>
              <w:ind w:left="0" w:right="0"/>
              <w:jc w:val="both"/>
              <w:textAlignment w:val="auto"/>
              <w:rPr>
                <w:rFonts w:hint="eastAsia" w:ascii="宋体" w:hAnsi="宋体" w:eastAsia="宋体" w:cs="宋体"/>
                <w:color w:val="auto"/>
                <w:kern w:val="2"/>
                <w:sz w:val="32"/>
                <w:szCs w:val="32"/>
                <w:highlight w:val="none"/>
                <w:u w:val="single"/>
                <w:lang w:val="zh-CN" w:eastAsia="zh-CN" w:bidi="zh-CN"/>
              </w:rPr>
            </w:pPr>
            <w:r>
              <w:rPr>
                <w:rFonts w:hint="default" w:ascii="宋体" w:hAnsi="宋体" w:eastAsia="宋体" w:cs="宋体"/>
                <w:b/>
                <w:bCs/>
                <w:color w:val="auto"/>
                <w:kern w:val="2"/>
                <w:sz w:val="32"/>
                <w:szCs w:val="32"/>
                <w:highlight w:val="none"/>
                <w:lang w:val="zh-CN" w:eastAsia="zh-CN" w:bidi="zh-CN"/>
              </w:rPr>
              <w:t>签订日期：</w:t>
            </w:r>
            <w:r>
              <w:rPr>
                <w:rFonts w:hint="eastAsia" w:ascii="宋体" w:hAnsi="宋体" w:eastAsia="宋体" w:cs="宋体"/>
                <w:b/>
                <w:bCs/>
                <w:color w:val="auto"/>
                <w:kern w:val="2"/>
                <w:sz w:val="32"/>
                <w:szCs w:val="32"/>
                <w:highlight w:val="none"/>
                <w:u w:val="single"/>
                <w:lang w:val="zh-CN" w:eastAsia="zh-CN" w:bidi="zh-CN"/>
              </w:rPr>
              <w:t xml:space="preserve">                                 </w:t>
            </w:r>
          </w:p>
        </w:tc>
      </w:tr>
    </w:tbl>
    <w:p>
      <w:pPr>
        <w:keepNext w:val="0"/>
        <w:keepLines w:val="0"/>
        <w:widowControl w:val="0"/>
        <w:kinsoku/>
        <w:wordWrap/>
        <w:overflowPunct/>
        <w:topLinePunct w:val="0"/>
        <w:bidi w:val="0"/>
        <w:textAlignment w:val="auto"/>
        <w:rPr>
          <w:rFonts w:ascii="宋体" w:hAnsi="宋体" w:eastAsia="宋体" w:cs="宋体"/>
          <w:b/>
          <w:bCs/>
          <w:color w:val="auto"/>
          <w:sz w:val="20"/>
          <w:szCs w:val="20"/>
          <w:highlight w:val="none"/>
        </w:rPr>
      </w:pPr>
    </w:p>
    <w:p>
      <w:pPr>
        <w:keepNext w:val="0"/>
        <w:keepLines w:val="0"/>
        <w:widowControl w:val="0"/>
        <w:kinsoku/>
        <w:wordWrap/>
        <w:overflowPunct/>
        <w:topLinePunct w:val="0"/>
        <w:bidi w:val="0"/>
        <w:textAlignment w:val="auto"/>
        <w:rPr>
          <w:rFonts w:ascii="宋体" w:hAnsi="宋体" w:eastAsia="宋体" w:cs="宋体"/>
          <w:b/>
          <w:bCs/>
          <w:color w:val="auto"/>
          <w:sz w:val="20"/>
          <w:szCs w:val="20"/>
          <w:highlight w:val="none"/>
        </w:rPr>
      </w:pPr>
    </w:p>
    <w:p>
      <w:pPr>
        <w:keepNext w:val="0"/>
        <w:keepLines w:val="0"/>
        <w:widowControl w:val="0"/>
        <w:kinsoku/>
        <w:wordWrap/>
        <w:overflowPunct/>
        <w:topLinePunct w:val="0"/>
        <w:bidi w:val="0"/>
        <w:textAlignment w:val="auto"/>
        <w:rPr>
          <w:rFonts w:ascii="宋体" w:hAnsi="宋体" w:eastAsia="宋体" w:cs="宋体"/>
          <w:b/>
          <w:bCs/>
          <w:color w:val="auto"/>
          <w:sz w:val="20"/>
          <w:szCs w:val="20"/>
          <w:highlight w:val="none"/>
        </w:rPr>
      </w:pPr>
    </w:p>
    <w:p>
      <w:pPr>
        <w:keepNext w:val="0"/>
        <w:keepLines w:val="0"/>
        <w:widowControl w:val="0"/>
        <w:kinsoku/>
        <w:wordWrap/>
        <w:overflowPunct/>
        <w:topLinePunct w:val="0"/>
        <w:bidi w:val="0"/>
        <w:textAlignment w:val="auto"/>
        <w:rPr>
          <w:rFonts w:ascii="宋体" w:hAnsi="宋体" w:eastAsia="宋体" w:cs="宋体"/>
          <w:b/>
          <w:bCs/>
          <w:color w:val="auto"/>
          <w:sz w:val="20"/>
          <w:szCs w:val="20"/>
          <w:highlight w:val="none"/>
        </w:rPr>
      </w:pPr>
    </w:p>
    <w:p>
      <w:pPr>
        <w:keepNext w:val="0"/>
        <w:keepLines w:val="0"/>
        <w:widowControl w:val="0"/>
        <w:kinsoku/>
        <w:wordWrap/>
        <w:overflowPunct/>
        <w:topLinePunct w:val="0"/>
        <w:bidi w:val="0"/>
        <w:textAlignment w:val="auto"/>
        <w:rPr>
          <w:rFonts w:ascii="宋体" w:hAnsi="宋体" w:eastAsia="宋体" w:cs="宋体"/>
          <w:b/>
          <w:bCs/>
          <w:color w:val="auto"/>
          <w:sz w:val="20"/>
          <w:szCs w:val="20"/>
          <w:highlight w:val="none"/>
        </w:rPr>
      </w:pPr>
    </w:p>
    <w:p>
      <w:pPr>
        <w:keepNext w:val="0"/>
        <w:keepLines w:val="0"/>
        <w:widowControl w:val="0"/>
        <w:kinsoku/>
        <w:wordWrap/>
        <w:overflowPunct/>
        <w:topLinePunct w:val="0"/>
        <w:bidi w:val="0"/>
        <w:textAlignment w:val="auto"/>
        <w:rPr>
          <w:rFonts w:ascii="宋体" w:hAnsi="宋体" w:eastAsia="宋体" w:cs="宋体"/>
          <w:b/>
          <w:bCs/>
          <w:color w:val="auto"/>
          <w:sz w:val="20"/>
          <w:szCs w:val="20"/>
          <w:highlight w:val="none"/>
        </w:rPr>
      </w:pPr>
    </w:p>
    <w:p>
      <w:pPr>
        <w:keepNext w:val="0"/>
        <w:keepLines w:val="0"/>
        <w:widowControl w:val="0"/>
        <w:kinsoku/>
        <w:wordWrap/>
        <w:overflowPunct/>
        <w:topLinePunct w:val="0"/>
        <w:bidi w:val="0"/>
        <w:textAlignment w:val="auto"/>
        <w:rPr>
          <w:rFonts w:ascii="宋体" w:hAnsi="宋体" w:eastAsia="宋体" w:cs="宋体"/>
          <w:b/>
          <w:bCs/>
          <w:color w:val="auto"/>
          <w:sz w:val="20"/>
          <w:szCs w:val="20"/>
          <w:highlight w:val="none"/>
        </w:rPr>
      </w:pPr>
    </w:p>
    <w:p>
      <w:pPr>
        <w:keepNext w:val="0"/>
        <w:keepLines w:val="0"/>
        <w:widowControl w:val="0"/>
        <w:kinsoku/>
        <w:wordWrap/>
        <w:overflowPunct/>
        <w:topLinePunct w:val="0"/>
        <w:bidi w:val="0"/>
        <w:textAlignment w:val="auto"/>
        <w:rPr>
          <w:rFonts w:ascii="宋体" w:hAnsi="宋体" w:eastAsia="宋体" w:cs="宋体"/>
          <w:b/>
          <w:bCs/>
          <w:color w:val="auto"/>
          <w:sz w:val="20"/>
          <w:szCs w:val="20"/>
          <w:highlight w:val="none"/>
        </w:rPr>
      </w:pPr>
    </w:p>
    <w:p>
      <w:pPr>
        <w:keepNext w:val="0"/>
        <w:keepLines w:val="0"/>
        <w:widowControl w:val="0"/>
        <w:kinsoku/>
        <w:wordWrap/>
        <w:overflowPunct/>
        <w:topLinePunct w:val="0"/>
        <w:bidi w:val="0"/>
        <w:textAlignment w:val="auto"/>
        <w:rPr>
          <w:rFonts w:ascii="宋体" w:hAnsi="宋体" w:eastAsia="宋体" w:cs="宋体"/>
          <w:b/>
          <w:bCs/>
          <w:color w:val="auto"/>
          <w:sz w:val="20"/>
          <w:szCs w:val="20"/>
          <w:highlight w:val="none"/>
        </w:rPr>
      </w:pPr>
    </w:p>
    <w:p>
      <w:pPr>
        <w:keepNext w:val="0"/>
        <w:keepLines w:val="0"/>
        <w:widowControl w:val="0"/>
        <w:kinsoku/>
        <w:wordWrap/>
        <w:overflowPunct/>
        <w:topLinePunct w:val="0"/>
        <w:bidi w:val="0"/>
        <w:spacing w:before="5"/>
        <w:textAlignment w:val="auto"/>
        <w:rPr>
          <w:rFonts w:ascii="宋体" w:hAnsi="宋体" w:eastAsia="宋体" w:cs="宋体"/>
          <w:b/>
          <w:bCs/>
          <w:color w:val="auto"/>
          <w:sz w:val="18"/>
          <w:szCs w:val="18"/>
          <w:highlight w:val="none"/>
        </w:rPr>
      </w:pPr>
    </w:p>
    <w:p>
      <w:pPr>
        <w:keepNext w:val="0"/>
        <w:keepLines w:val="0"/>
        <w:widowControl w:val="0"/>
        <w:kinsoku/>
        <w:wordWrap/>
        <w:overflowPunct/>
        <w:topLinePunct w:val="0"/>
        <w:bidi w:val="0"/>
        <w:ind w:left="3245" w:right="2264"/>
        <w:jc w:val="center"/>
        <w:textAlignment w:val="auto"/>
        <w:rPr>
          <w:rFonts w:hint="eastAsia" w:ascii="宋体" w:hAnsi="宋体" w:eastAsia="宋体" w:cs="宋体"/>
          <w:color w:val="auto"/>
          <w:sz w:val="32"/>
          <w:szCs w:val="32"/>
          <w:highlight w:val="none"/>
        </w:rPr>
      </w:pPr>
      <w:r>
        <w:rPr>
          <w:rFonts w:ascii="宋体" w:hAnsi="宋体" w:eastAsia="宋体" w:cs="宋体"/>
          <w:b/>
          <w:bCs/>
          <w:color w:val="auto"/>
          <w:sz w:val="32"/>
          <w:szCs w:val="32"/>
          <w:highlight w:val="none"/>
        </w:rPr>
        <w:t>住房和城乡建设部</w:t>
      </w:r>
    </w:p>
    <w:p>
      <w:pPr>
        <w:keepNext w:val="0"/>
        <w:keepLines w:val="0"/>
        <w:widowControl w:val="0"/>
        <w:kinsoku/>
        <w:wordWrap/>
        <w:overflowPunct/>
        <w:topLinePunct w:val="0"/>
        <w:bidi w:val="0"/>
        <w:spacing w:before="205"/>
        <w:ind w:right="749"/>
        <w:jc w:val="right"/>
        <w:textAlignment w:val="auto"/>
        <w:rPr>
          <w:rFonts w:ascii="宋体" w:hAnsi="宋体" w:eastAsia="宋体" w:cs="宋体"/>
          <w:color w:val="auto"/>
          <w:sz w:val="32"/>
          <w:szCs w:val="32"/>
          <w:highlight w:val="none"/>
        </w:rPr>
      </w:pPr>
      <w:r>
        <w:rPr>
          <w:rFonts w:ascii="宋体" w:hAnsi="宋体" w:eastAsia="宋体" w:cs="宋体"/>
          <w:b/>
          <w:bCs/>
          <w:color w:val="auto"/>
          <w:w w:val="95"/>
          <w:sz w:val="32"/>
          <w:szCs w:val="32"/>
          <w:highlight w:val="none"/>
        </w:rPr>
        <w:t>制定</w:t>
      </w:r>
    </w:p>
    <w:p>
      <w:pPr>
        <w:keepNext w:val="0"/>
        <w:keepLines w:val="0"/>
        <w:widowControl w:val="0"/>
        <w:kinsoku/>
        <w:wordWrap/>
        <w:overflowPunct/>
        <w:topLinePunct w:val="0"/>
        <w:bidi w:val="0"/>
        <w:spacing w:before="205"/>
        <w:ind w:left="3408" w:right="2264"/>
        <w:jc w:val="center"/>
        <w:textAlignment w:val="auto"/>
        <w:rPr>
          <w:rFonts w:hint="eastAsia" w:ascii="宋体" w:hAnsi="宋体" w:eastAsia="宋体" w:cs="宋体"/>
          <w:color w:val="auto"/>
          <w:sz w:val="32"/>
          <w:szCs w:val="32"/>
          <w:highlight w:val="none"/>
        </w:rPr>
      </w:pPr>
      <w:r>
        <w:rPr>
          <w:rFonts w:ascii="宋体" w:hAnsi="宋体" w:eastAsia="宋体" w:cs="宋体"/>
          <w:b/>
          <w:bCs/>
          <w:color w:val="auto"/>
          <w:sz w:val="32"/>
          <w:szCs w:val="32"/>
          <w:highlight w:val="none"/>
        </w:rPr>
        <w:t>国家工商行政管理总局</w:t>
      </w:r>
    </w:p>
    <w:p>
      <w:pPr>
        <w:sectPr>
          <w:pgSz w:w="11910" w:h="16840"/>
          <w:pgMar w:top="1180" w:right="1680" w:bottom="1020" w:left="1300" w:header="0" w:footer="838" w:gutter="0"/>
          <w:cols w:space="720" w:num="1"/>
        </w:sectPr>
      </w:pPr>
    </w:p>
    <w:p>
      <w:pPr>
        <w:keepNext w:val="0"/>
        <w:keepLines w:val="0"/>
        <w:widowControl w:val="0"/>
        <w:tabs>
          <w:tab w:val="left" w:pos="3120"/>
        </w:tabs>
        <w:kinsoku/>
        <w:wordWrap/>
        <w:overflowPunct/>
        <w:topLinePunct w:val="0"/>
        <w:bidi w:val="0"/>
        <w:spacing w:line="360" w:lineRule="auto"/>
        <w:jc w:val="center"/>
        <w:textAlignment w:val="auto"/>
        <w:outlineLvl w:val="1"/>
        <w:rPr>
          <w:rFonts w:hint="eastAsia" w:ascii="宋体" w:hAnsi="宋体" w:eastAsia="宋体" w:cs="Times New Roman"/>
          <w:b/>
          <w:bCs/>
          <w:color w:val="auto"/>
          <w:sz w:val="36"/>
          <w:szCs w:val="36"/>
          <w:highlight w:val="none"/>
        </w:rPr>
      </w:pPr>
      <w:r>
        <w:rPr>
          <w:rFonts w:hint="eastAsia" w:ascii="宋体" w:hAnsi="宋体" w:eastAsia="宋体" w:cs="Times New Roman"/>
          <w:b/>
          <w:bCs/>
          <w:color w:val="auto"/>
          <w:sz w:val="36"/>
          <w:szCs w:val="36"/>
          <w:highlight w:val="none"/>
        </w:rPr>
        <w:t>第一部分  协议书</w:t>
      </w:r>
    </w:p>
    <w:p>
      <w:pPr>
        <w:keepNext w:val="0"/>
        <w:keepLines w:val="0"/>
        <w:widowControl w:val="0"/>
        <w:kinsoku/>
        <w:wordWrap/>
        <w:overflowPunct/>
        <w:topLinePunct w:val="0"/>
        <w:bidi w:val="0"/>
        <w:adjustRightInd w:val="0"/>
        <w:snapToGrid w:val="0"/>
        <w:spacing w:line="360" w:lineRule="auto"/>
        <w:ind w:firstLine="527" w:firstLineChars="250"/>
        <w:textAlignment w:val="auto"/>
        <w:rPr>
          <w:rFonts w:hint="eastAsia" w:ascii="宋体" w:hAnsi="宋体" w:eastAsia="宋体" w:cs="Times New Roman"/>
          <w:b/>
          <w:color w:val="auto"/>
          <w:szCs w:val="21"/>
          <w:highlight w:val="none"/>
        </w:rPr>
      </w:pPr>
    </w:p>
    <w:p>
      <w:pPr>
        <w:keepNext w:val="0"/>
        <w:keepLines w:val="0"/>
        <w:widowControl w:val="0"/>
        <w:kinsoku/>
        <w:wordWrap/>
        <w:overflowPunct/>
        <w:topLinePunct w:val="0"/>
        <w:bidi w:val="0"/>
        <w:adjustRightInd w:val="0"/>
        <w:snapToGrid w:val="0"/>
        <w:spacing w:line="360" w:lineRule="auto"/>
        <w:ind w:firstLine="422" w:firstLineChars="200"/>
        <w:textAlignment w:val="auto"/>
        <w:rPr>
          <w:rFonts w:hint="eastAsia" w:ascii="宋体" w:hAnsi="宋体" w:eastAsia="宋体" w:cs="Times New Roman"/>
          <w:b/>
          <w:color w:val="auto"/>
          <w:szCs w:val="21"/>
          <w:highlight w:val="none"/>
          <w:lang w:eastAsia="zh-CN"/>
        </w:rPr>
      </w:pPr>
      <w:r>
        <w:rPr>
          <w:rFonts w:hint="eastAsia" w:ascii="宋体" w:hAnsi="宋体" w:eastAsia="宋体" w:cs="Times New Roman"/>
          <w:b/>
          <w:color w:val="auto"/>
          <w:szCs w:val="21"/>
          <w:highlight w:val="none"/>
        </w:rPr>
        <w:t>委托人（全称）：</w:t>
      </w:r>
      <w:r>
        <w:rPr>
          <w:rFonts w:hint="eastAsia" w:ascii="宋体" w:hAnsi="宋体" w:eastAsia="宋体" w:cs="Times New Roman"/>
          <w:b/>
          <w:color w:val="auto"/>
          <w:szCs w:val="21"/>
          <w:highlight w:val="none"/>
          <w:u w:val="single"/>
          <w:lang w:eastAsia="zh-CN"/>
        </w:rPr>
        <w:t>台山市大湾物流园开发有限公司</w:t>
      </w:r>
    </w:p>
    <w:p>
      <w:pPr>
        <w:keepNext w:val="0"/>
        <w:keepLines w:val="0"/>
        <w:widowControl w:val="0"/>
        <w:kinsoku/>
        <w:wordWrap/>
        <w:overflowPunct/>
        <w:topLinePunct w:val="0"/>
        <w:bidi w:val="0"/>
        <w:adjustRightInd w:val="0"/>
        <w:snapToGrid w:val="0"/>
        <w:spacing w:line="360" w:lineRule="auto"/>
        <w:ind w:firstLine="422"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监理人（全称）：</w:t>
      </w:r>
      <w:r>
        <w:rPr>
          <w:rFonts w:hint="eastAsia" w:ascii="宋体" w:hAnsi="宋体" w:eastAsia="宋体" w:cs="Times New Roman"/>
          <w:b/>
          <w:color w:val="auto"/>
          <w:szCs w:val="21"/>
          <w:highlight w:val="none"/>
          <w:u w:val="single"/>
        </w:rPr>
        <w:t xml:space="preserve">                                   </w:t>
      </w:r>
      <w:r>
        <w:rPr>
          <w:rFonts w:hint="eastAsia" w:ascii="宋体" w:hAnsi="宋体" w:eastAsia="宋体" w:cs="Times New Roman"/>
          <w:color w:val="auto"/>
          <w:szCs w:val="21"/>
          <w:highlight w:val="none"/>
          <w:u w:val="single"/>
        </w:rPr>
        <w:t xml:space="preserve">   </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根据《中华人民共和国民法典》、《中华人民共和国建筑法》及其他有关法律、法规，遵循平等、自愿、公平和诚信的原则，双方就下述工程委托监理与相关服务事项协商一致，订立本合同。</w:t>
      </w:r>
    </w:p>
    <w:p>
      <w:pPr>
        <w:keepNext w:val="0"/>
        <w:keepLines w:val="0"/>
        <w:widowControl w:val="0"/>
        <w:kinsoku/>
        <w:wordWrap/>
        <w:overflowPunct/>
        <w:topLinePunct w:val="0"/>
        <w:bidi w:val="0"/>
        <w:spacing w:line="360" w:lineRule="auto"/>
        <w:ind w:firstLine="417" w:firstLineChars="198"/>
        <w:textAlignment w:val="auto"/>
        <w:outlineLvl w:val="9"/>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一、工程概况</w:t>
      </w:r>
    </w:p>
    <w:p>
      <w:pPr>
        <w:keepNext w:val="0"/>
        <w:keepLines w:val="0"/>
        <w:widowControl w:val="0"/>
        <w:kinsoku/>
        <w:wordWrap/>
        <w:overflowPunct/>
        <w:topLinePunct w:val="0"/>
        <w:bidi w:val="0"/>
        <w:adjustRightInd w:val="0"/>
        <w:snapToGrid w:val="0"/>
        <w:spacing w:line="360" w:lineRule="auto"/>
        <w:ind w:firstLine="415" w:firstLineChars="198"/>
        <w:textAlignment w:val="auto"/>
        <w:outlineLvl w:val="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 工程名称：</w:t>
      </w:r>
      <w:r>
        <w:rPr>
          <w:rFonts w:hint="eastAsia"/>
          <w:color w:val="auto"/>
          <w:szCs w:val="21"/>
          <w:u w:val="single"/>
        </w:rPr>
        <w:t>粤港澳大湾区(江门)农产品交易流通中心一期(启动区)冷链物流B-8/B-9地块项目</w:t>
      </w:r>
      <w:r>
        <w:rPr>
          <w:rFonts w:hint="eastAsia" w:ascii="Times New Roman" w:hAnsi="Times New Roman"/>
          <w:color w:val="auto"/>
          <w:sz w:val="21"/>
          <w:szCs w:val="21"/>
          <w:highlight w:val="none"/>
          <w:u w:val="single"/>
        </w:rPr>
        <w:t>监理</w:t>
      </w:r>
      <w:r>
        <w:rPr>
          <w:rFonts w:hint="eastAsia" w:ascii="Times New Roman" w:hAnsi="Times New Roman"/>
          <w:color w:val="auto"/>
          <w:sz w:val="21"/>
          <w:szCs w:val="21"/>
          <w:highlight w:val="none"/>
          <w:u w:val="single"/>
          <w:lang w:val="en-US" w:eastAsia="zh-CN"/>
        </w:rPr>
        <w:t>服务</w:t>
      </w:r>
      <w:r>
        <w:rPr>
          <w:rFonts w:hint="eastAsia" w:ascii="宋体" w:hAnsi="宋体" w:eastAsia="宋体" w:cs="Times New Roman"/>
          <w:color w:val="auto"/>
          <w:szCs w:val="21"/>
          <w:highlight w:val="none"/>
        </w:rPr>
        <w:t>；</w:t>
      </w:r>
    </w:p>
    <w:p>
      <w:pPr>
        <w:keepNext w:val="0"/>
        <w:keepLines w:val="0"/>
        <w:widowControl w:val="0"/>
        <w:kinsoku/>
        <w:wordWrap/>
        <w:overflowPunct/>
        <w:topLinePunct w:val="0"/>
        <w:bidi w:val="0"/>
        <w:adjustRightInd w:val="0"/>
        <w:snapToGrid w:val="0"/>
        <w:spacing w:line="360" w:lineRule="auto"/>
        <w:ind w:firstLine="415" w:firstLineChars="198"/>
        <w:textAlignment w:val="auto"/>
        <w:outlineLvl w:val="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 工程地点：</w:t>
      </w:r>
      <w:r>
        <w:rPr>
          <w:color w:val="auto"/>
          <w:szCs w:val="21"/>
          <w:highlight w:val="none"/>
          <w:u w:val="single"/>
        </w:rPr>
        <w:t>广东省江门市台山市白沙镇</w:t>
      </w:r>
      <w:r>
        <w:rPr>
          <w:rFonts w:hint="eastAsia"/>
          <w:color w:val="auto"/>
          <w:szCs w:val="21"/>
          <w:highlight w:val="none"/>
          <w:u w:val="single"/>
          <w:lang w:val="en-US" w:eastAsia="zh-CN"/>
        </w:rPr>
        <w:t xml:space="preserve"> </w:t>
      </w:r>
      <w:r>
        <w:rPr>
          <w:rFonts w:hint="eastAsia" w:ascii="宋体" w:hAnsi="宋体" w:eastAsia="宋体" w:cs="Times New Roman"/>
          <w:color w:val="auto"/>
          <w:szCs w:val="21"/>
          <w:highlight w:val="none"/>
        </w:rPr>
        <w:t>；</w:t>
      </w:r>
    </w:p>
    <w:p>
      <w:pPr>
        <w:keepNext w:val="0"/>
        <w:keepLines w:val="0"/>
        <w:widowControl w:val="0"/>
        <w:kinsoku/>
        <w:wordWrap/>
        <w:overflowPunct/>
        <w:topLinePunct w:val="0"/>
        <w:bidi w:val="0"/>
        <w:adjustRightInd w:val="0"/>
        <w:snapToGrid w:val="0"/>
        <w:spacing w:line="360" w:lineRule="auto"/>
        <w:ind w:firstLine="415" w:firstLineChars="198"/>
        <w:textAlignment w:val="auto"/>
        <w:outlineLvl w:val="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 工程规模：</w:t>
      </w:r>
      <w:r>
        <w:rPr>
          <w:rFonts w:hint="eastAsia"/>
          <w:color w:val="auto"/>
          <w:szCs w:val="21"/>
          <w:highlight w:val="none"/>
          <w:u w:val="single"/>
        </w:rPr>
        <w:t>本项目位于粤港澳大湾区(江门)农产品交易流通中心启动区内，含B8/B9地块。项目用地面积69222.81㎡，建筑面积 86678.25㎡，包括C1、C2、C3、C4 二层冷库(局部四层)、管理用房、设备用房、雨棚、门卫3个 、坡道及平台。</w:t>
      </w:r>
    </w:p>
    <w:p>
      <w:pPr>
        <w:keepNext w:val="0"/>
        <w:keepLines w:val="0"/>
        <w:widowControl w:val="0"/>
        <w:kinsoku/>
        <w:wordWrap/>
        <w:overflowPunct/>
        <w:topLinePunct w:val="0"/>
        <w:bidi w:val="0"/>
        <w:adjustRightInd w:val="0"/>
        <w:snapToGrid w:val="0"/>
        <w:spacing w:line="360" w:lineRule="auto"/>
        <w:ind w:firstLine="415" w:firstLineChars="198"/>
        <w:jc w:val="left"/>
        <w:textAlignment w:val="auto"/>
        <w:outlineLvl w:val="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 建筑安装工程费用</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u w:val="single"/>
          <w:lang w:val="en-US" w:eastAsia="zh-CN"/>
        </w:rPr>
        <w:t>26539.57</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万元 。</w:t>
      </w:r>
    </w:p>
    <w:p>
      <w:pPr>
        <w:keepNext w:val="0"/>
        <w:keepLines w:val="0"/>
        <w:widowControl w:val="0"/>
        <w:kinsoku/>
        <w:wordWrap/>
        <w:overflowPunct/>
        <w:topLinePunct w:val="0"/>
        <w:bidi w:val="0"/>
        <w:spacing w:line="360" w:lineRule="auto"/>
        <w:ind w:firstLine="417" w:firstLineChars="198"/>
        <w:textAlignment w:val="auto"/>
        <w:outlineLvl w:val="9"/>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二、词语限定</w:t>
      </w:r>
    </w:p>
    <w:p>
      <w:pPr>
        <w:keepNext w:val="0"/>
        <w:keepLines w:val="0"/>
        <w:widowControl w:val="0"/>
        <w:kinsoku/>
        <w:wordWrap/>
        <w:overflowPunct/>
        <w:topLinePunct w:val="0"/>
        <w:bidi w:val="0"/>
        <w:adjustRightInd w:val="0"/>
        <w:snapToGrid w:val="0"/>
        <w:spacing w:line="360" w:lineRule="auto"/>
        <w:ind w:firstLine="415" w:firstLineChars="198"/>
        <w:textAlignment w:val="auto"/>
        <w:outlineLvl w:val="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协议书中相关词语的含义与通用条件中的定义与解释相同。</w:t>
      </w:r>
    </w:p>
    <w:p>
      <w:pPr>
        <w:keepNext w:val="0"/>
        <w:keepLines w:val="0"/>
        <w:widowControl w:val="0"/>
        <w:kinsoku/>
        <w:wordWrap/>
        <w:overflowPunct/>
        <w:topLinePunct w:val="0"/>
        <w:bidi w:val="0"/>
        <w:spacing w:line="360" w:lineRule="auto"/>
        <w:ind w:firstLine="417" w:firstLineChars="198"/>
        <w:textAlignment w:val="auto"/>
        <w:outlineLvl w:val="9"/>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三、组成本合同的文件</w:t>
      </w:r>
    </w:p>
    <w:p>
      <w:pPr>
        <w:keepNext w:val="0"/>
        <w:keepLines w:val="0"/>
        <w:widowControl w:val="0"/>
        <w:kinsoku/>
        <w:wordWrap/>
        <w:overflowPunct/>
        <w:topLinePunct w:val="0"/>
        <w:bidi w:val="0"/>
        <w:adjustRightInd w:val="0"/>
        <w:snapToGrid w:val="0"/>
        <w:spacing w:line="360" w:lineRule="auto"/>
        <w:ind w:firstLine="415" w:firstLineChars="198"/>
        <w:textAlignment w:val="auto"/>
        <w:outlineLvl w:val="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 协议书；</w:t>
      </w:r>
    </w:p>
    <w:p>
      <w:pPr>
        <w:keepNext w:val="0"/>
        <w:keepLines w:val="0"/>
        <w:widowControl w:val="0"/>
        <w:kinsoku/>
        <w:wordWrap/>
        <w:overflowPunct/>
        <w:topLinePunct w:val="0"/>
        <w:bidi w:val="0"/>
        <w:adjustRightInd w:val="0"/>
        <w:snapToGrid w:val="0"/>
        <w:spacing w:line="360" w:lineRule="auto"/>
        <w:ind w:firstLine="415" w:firstLineChars="198"/>
        <w:textAlignment w:val="auto"/>
        <w:outlineLvl w:val="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 中标通知书（适用于招标工程）或委托书（适用于非招标工程）；</w:t>
      </w:r>
    </w:p>
    <w:p>
      <w:pPr>
        <w:keepNext w:val="0"/>
        <w:keepLines w:val="0"/>
        <w:widowControl w:val="0"/>
        <w:kinsoku/>
        <w:wordWrap/>
        <w:overflowPunct/>
        <w:topLinePunct w:val="0"/>
        <w:bidi w:val="0"/>
        <w:adjustRightInd w:val="0"/>
        <w:snapToGrid w:val="0"/>
        <w:spacing w:line="360" w:lineRule="auto"/>
        <w:ind w:firstLine="415" w:firstLineChars="198"/>
        <w:textAlignment w:val="auto"/>
        <w:outlineLvl w:val="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 投标文件（适用于招标工程）或监理与相关服务建议书（适用于非招标工程）；</w:t>
      </w:r>
    </w:p>
    <w:p>
      <w:pPr>
        <w:keepNext w:val="0"/>
        <w:keepLines w:val="0"/>
        <w:widowControl w:val="0"/>
        <w:kinsoku/>
        <w:wordWrap/>
        <w:overflowPunct/>
        <w:topLinePunct w:val="0"/>
        <w:bidi w:val="0"/>
        <w:adjustRightInd w:val="0"/>
        <w:snapToGrid w:val="0"/>
        <w:spacing w:line="360" w:lineRule="auto"/>
        <w:ind w:firstLine="415" w:firstLineChars="198"/>
        <w:textAlignment w:val="auto"/>
        <w:outlineLvl w:val="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 专用条件；</w:t>
      </w:r>
    </w:p>
    <w:p>
      <w:pPr>
        <w:keepNext w:val="0"/>
        <w:keepLines w:val="0"/>
        <w:widowControl w:val="0"/>
        <w:kinsoku/>
        <w:wordWrap/>
        <w:overflowPunct/>
        <w:topLinePunct w:val="0"/>
        <w:bidi w:val="0"/>
        <w:adjustRightInd w:val="0"/>
        <w:snapToGrid w:val="0"/>
        <w:spacing w:line="360" w:lineRule="auto"/>
        <w:ind w:firstLine="415" w:firstLineChars="198"/>
        <w:textAlignment w:val="auto"/>
        <w:outlineLvl w:val="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 通用条件；</w:t>
      </w:r>
    </w:p>
    <w:p>
      <w:pPr>
        <w:keepNext w:val="0"/>
        <w:keepLines w:val="0"/>
        <w:widowControl w:val="0"/>
        <w:kinsoku/>
        <w:wordWrap/>
        <w:overflowPunct/>
        <w:topLinePunct w:val="0"/>
        <w:bidi w:val="0"/>
        <w:adjustRightInd w:val="0"/>
        <w:snapToGrid w:val="0"/>
        <w:spacing w:line="360" w:lineRule="auto"/>
        <w:ind w:firstLine="415" w:firstLineChars="198"/>
        <w:textAlignment w:val="auto"/>
        <w:outlineLvl w:val="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 附录，即：</w:t>
      </w:r>
    </w:p>
    <w:p>
      <w:pPr>
        <w:keepNext w:val="0"/>
        <w:keepLines w:val="0"/>
        <w:widowControl w:val="0"/>
        <w:kinsoku/>
        <w:wordWrap/>
        <w:overflowPunct/>
        <w:topLinePunct w:val="0"/>
        <w:bidi w:val="0"/>
        <w:adjustRightInd w:val="0"/>
        <w:snapToGrid w:val="0"/>
        <w:spacing w:line="360" w:lineRule="auto"/>
        <w:ind w:firstLine="415" w:firstLineChars="198"/>
        <w:textAlignment w:val="auto"/>
        <w:outlineLvl w:val="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附录A  相关服务的范围和内容</w:t>
      </w:r>
    </w:p>
    <w:p>
      <w:pPr>
        <w:keepNext w:val="0"/>
        <w:keepLines w:val="0"/>
        <w:widowControl w:val="0"/>
        <w:kinsoku/>
        <w:wordWrap/>
        <w:overflowPunct/>
        <w:topLinePunct w:val="0"/>
        <w:bidi w:val="0"/>
        <w:adjustRightInd w:val="0"/>
        <w:snapToGrid w:val="0"/>
        <w:spacing w:line="360" w:lineRule="auto"/>
        <w:ind w:firstLine="420" w:firstLineChars="200"/>
        <w:textAlignment w:val="auto"/>
        <w:outlineLvl w:val="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附录B  委托人派遣的人员和提供的</w:t>
      </w:r>
      <w:r>
        <w:rPr>
          <w:rFonts w:hint="eastAsia" w:ascii="宋体" w:hAnsi="宋体" w:eastAsia="宋体" w:cs="Times New Roman"/>
          <w:bCs/>
          <w:color w:val="auto"/>
          <w:szCs w:val="21"/>
          <w:highlight w:val="none"/>
        </w:rPr>
        <w:t>房屋、资料</w:t>
      </w:r>
      <w:r>
        <w:rPr>
          <w:rFonts w:hint="eastAsia" w:ascii="宋体" w:hAnsi="宋体" w:eastAsia="宋体" w:cs="Times New Roman"/>
          <w:color w:val="auto"/>
          <w:szCs w:val="21"/>
          <w:highlight w:val="none"/>
        </w:rPr>
        <w:t>、设备</w:t>
      </w:r>
    </w:p>
    <w:p>
      <w:pPr>
        <w:keepNext w:val="0"/>
        <w:keepLines w:val="0"/>
        <w:widowControl w:val="0"/>
        <w:kinsoku/>
        <w:wordWrap/>
        <w:overflowPunct/>
        <w:topLinePunct w:val="0"/>
        <w:bidi w:val="0"/>
        <w:adjustRightInd w:val="0"/>
        <w:snapToGrid w:val="0"/>
        <w:spacing w:line="360" w:lineRule="auto"/>
        <w:ind w:firstLine="415" w:firstLineChars="198"/>
        <w:textAlignment w:val="auto"/>
        <w:outlineLvl w:val="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本合同签订后，双方依法签订的补充协议也是本合同文件的组成部分。</w:t>
      </w:r>
    </w:p>
    <w:p>
      <w:pPr>
        <w:keepNext w:val="0"/>
        <w:keepLines w:val="0"/>
        <w:widowControl w:val="0"/>
        <w:kinsoku/>
        <w:wordWrap/>
        <w:overflowPunct/>
        <w:topLinePunct w:val="0"/>
        <w:bidi w:val="0"/>
        <w:spacing w:line="360" w:lineRule="auto"/>
        <w:ind w:firstLine="417" w:firstLineChars="198"/>
        <w:textAlignment w:val="auto"/>
        <w:outlineLvl w:val="9"/>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四、总监理工程师</w:t>
      </w:r>
    </w:p>
    <w:p>
      <w:pPr>
        <w:keepNext w:val="0"/>
        <w:keepLines w:val="0"/>
        <w:widowControl w:val="0"/>
        <w:kinsoku/>
        <w:wordWrap/>
        <w:overflowPunct/>
        <w:topLinePunct w:val="0"/>
        <w:bidi w:val="0"/>
        <w:adjustRightInd w:val="0"/>
        <w:snapToGrid w:val="0"/>
        <w:spacing w:line="360" w:lineRule="auto"/>
        <w:ind w:firstLine="415" w:firstLineChars="198"/>
        <w:textAlignment w:val="auto"/>
        <w:outlineLvl w:val="9"/>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总监理工程师姓名：</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，身份证号码：</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，注册号：</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w:t>
      </w:r>
    </w:p>
    <w:p>
      <w:pPr>
        <w:keepNext w:val="0"/>
        <w:keepLines w:val="0"/>
        <w:widowControl w:val="0"/>
        <w:kinsoku/>
        <w:wordWrap/>
        <w:overflowPunct/>
        <w:topLinePunct w:val="0"/>
        <w:bidi w:val="0"/>
        <w:spacing w:line="360" w:lineRule="auto"/>
        <w:ind w:firstLine="417" w:firstLineChars="198"/>
        <w:textAlignment w:val="auto"/>
        <w:outlineLvl w:val="9"/>
        <w:rPr>
          <w:rFonts w:hint="eastAsia" w:ascii="宋体" w:hAnsi="宋体" w:eastAsia="宋体" w:cs="Times New Roman"/>
          <w:b/>
          <w:color w:val="auto"/>
          <w:szCs w:val="21"/>
          <w:highlight w:val="none"/>
          <w:lang w:eastAsia="zh-CN"/>
        </w:rPr>
      </w:pPr>
      <w:r>
        <w:rPr>
          <w:rFonts w:hint="eastAsia" w:ascii="宋体" w:hAnsi="宋体" w:eastAsia="宋体" w:cs="Times New Roman"/>
          <w:b/>
          <w:color w:val="auto"/>
          <w:szCs w:val="21"/>
          <w:highlight w:val="none"/>
        </w:rPr>
        <w:t>五、</w:t>
      </w:r>
      <w:r>
        <w:rPr>
          <w:rFonts w:hint="eastAsia" w:ascii="宋体" w:hAnsi="宋体" w:cs="Times New Roman"/>
          <w:b/>
          <w:color w:val="auto"/>
          <w:szCs w:val="21"/>
          <w:highlight w:val="none"/>
          <w:lang w:val="en-US" w:eastAsia="zh-CN"/>
        </w:rPr>
        <w:t>监理合同酬金</w:t>
      </w:r>
    </w:p>
    <w:p>
      <w:pPr>
        <w:spacing w:line="360" w:lineRule="auto"/>
        <w:ind w:firstLine="420"/>
        <w:outlineLvl w:val="9"/>
        <w:rPr>
          <w:color w:val="auto"/>
        </w:rPr>
      </w:pPr>
      <w:r>
        <w:rPr>
          <w:rFonts w:hint="eastAsia" w:ascii="宋体" w:hAnsi="宋体" w:cs="Times New Roman"/>
          <w:b/>
          <w:color w:val="auto"/>
          <w:szCs w:val="21"/>
          <w:highlight w:val="none"/>
          <w:lang w:val="en-US" w:eastAsia="zh-CN"/>
        </w:rPr>
        <w:t>监理合同酬金</w:t>
      </w:r>
      <w:r>
        <w:rPr>
          <w:rFonts w:hint="eastAsia" w:ascii="宋体" w:hAnsi="宋体" w:eastAsia="宋体" w:cs="Times New Roman"/>
          <w:b/>
          <w:color w:val="auto"/>
          <w:szCs w:val="21"/>
          <w:highlight w:val="none"/>
        </w:rPr>
        <w:t>：</w:t>
      </w:r>
      <w:r>
        <w:rPr>
          <w:rFonts w:ascii="宋体" w:hAnsi="宋体" w:eastAsia="宋体" w:cs="宋体"/>
          <w:b/>
          <w:i w:val="0"/>
          <w:strike w:val="0"/>
          <w:color w:val="auto"/>
          <w:sz w:val="21"/>
          <w:u w:val="none"/>
        </w:rPr>
        <w:t>合同含税暂定总金额为￥</w:t>
      </w:r>
      <w:r>
        <w:rPr>
          <w:rFonts w:ascii="宋体" w:hAnsi="宋体" w:eastAsia="宋体" w:cs="宋体"/>
          <w:b/>
          <w:i w:val="0"/>
          <w:strike w:val="0"/>
          <w:color w:val="auto"/>
          <w:sz w:val="21"/>
          <w:u w:val="single"/>
        </w:rPr>
        <w:t xml:space="preserve">      </w:t>
      </w:r>
      <w:r>
        <w:rPr>
          <w:rFonts w:ascii="宋体" w:hAnsi="宋体" w:eastAsia="宋体" w:cs="宋体"/>
          <w:b/>
          <w:i w:val="0"/>
          <w:strike w:val="0"/>
          <w:color w:val="auto"/>
          <w:sz w:val="21"/>
          <w:u w:val="none"/>
        </w:rPr>
        <w:t xml:space="preserve"> 元，大写：人民币</w:t>
      </w:r>
      <w:r>
        <w:rPr>
          <w:rFonts w:ascii="宋体" w:hAnsi="宋体" w:eastAsia="宋体" w:cs="宋体"/>
          <w:b/>
          <w:i w:val="0"/>
          <w:strike w:val="0"/>
          <w:color w:val="auto"/>
          <w:sz w:val="21"/>
          <w:u w:val="single"/>
        </w:rPr>
        <w:t xml:space="preserve">     </w:t>
      </w:r>
      <w:r>
        <w:rPr>
          <w:rFonts w:ascii="宋体" w:hAnsi="宋体" w:eastAsia="宋体" w:cs="宋体"/>
          <w:b/>
          <w:i w:val="0"/>
          <w:strike w:val="0"/>
          <w:color w:val="auto"/>
          <w:sz w:val="21"/>
          <w:u w:val="none"/>
        </w:rPr>
        <w:t>。其中：增值税率为</w:t>
      </w:r>
      <w:r>
        <w:rPr>
          <w:rFonts w:ascii="宋体" w:hAnsi="宋体" w:eastAsia="宋体" w:cs="宋体"/>
          <w:b/>
          <w:i w:val="0"/>
          <w:strike w:val="0"/>
          <w:color w:val="auto"/>
          <w:sz w:val="21"/>
          <w:u w:val="single"/>
        </w:rPr>
        <w:t xml:space="preserve">   </w:t>
      </w:r>
      <w:r>
        <w:rPr>
          <w:rFonts w:ascii="宋体" w:hAnsi="宋体" w:eastAsia="宋体" w:cs="宋体"/>
          <w:b/>
          <w:i w:val="0"/>
          <w:strike w:val="0"/>
          <w:color w:val="auto"/>
          <w:sz w:val="21"/>
          <w:u w:val="none"/>
        </w:rPr>
        <w:t>%，不含税价款为￥</w:t>
      </w:r>
      <w:r>
        <w:rPr>
          <w:rFonts w:ascii="宋体" w:hAnsi="宋体" w:eastAsia="宋体" w:cs="宋体"/>
          <w:b/>
          <w:i w:val="0"/>
          <w:strike w:val="0"/>
          <w:color w:val="auto"/>
          <w:sz w:val="21"/>
          <w:u w:val="single"/>
        </w:rPr>
        <w:t xml:space="preserve">       </w:t>
      </w:r>
      <w:r>
        <w:rPr>
          <w:rFonts w:ascii="宋体" w:hAnsi="宋体" w:eastAsia="宋体" w:cs="宋体"/>
          <w:b/>
          <w:i w:val="0"/>
          <w:strike w:val="0"/>
          <w:color w:val="auto"/>
          <w:sz w:val="21"/>
          <w:u w:val="none"/>
        </w:rPr>
        <w:t xml:space="preserve"> 元，大写：人民币</w:t>
      </w:r>
      <w:r>
        <w:rPr>
          <w:rFonts w:ascii="宋体" w:hAnsi="宋体" w:eastAsia="宋体" w:cs="宋体"/>
          <w:b/>
          <w:i w:val="0"/>
          <w:strike w:val="0"/>
          <w:color w:val="auto"/>
          <w:sz w:val="21"/>
          <w:u w:val="single"/>
        </w:rPr>
        <w:t xml:space="preserve">        </w:t>
      </w:r>
      <w:r>
        <w:rPr>
          <w:rFonts w:ascii="宋体" w:hAnsi="宋体" w:eastAsia="宋体" w:cs="宋体"/>
          <w:b/>
          <w:i w:val="0"/>
          <w:strike w:val="0"/>
          <w:color w:val="auto"/>
          <w:sz w:val="21"/>
          <w:u w:val="none"/>
        </w:rPr>
        <w:t>。</w:t>
      </w:r>
      <w:r>
        <w:rPr>
          <w:rFonts w:hint="eastAsia" w:ascii="宋体" w:hAnsi="宋体" w:eastAsia="宋体" w:cs="宋体"/>
          <w:b/>
          <w:bCs w:val="0"/>
          <w:snapToGrid w:val="0"/>
          <w:color w:val="auto"/>
          <w:sz w:val="21"/>
          <w:szCs w:val="21"/>
          <w:highlight w:val="none"/>
          <w:lang w:eastAsia="zh-CN"/>
        </w:rPr>
        <w:t>（</w:t>
      </w:r>
      <w:r>
        <w:rPr>
          <w:rFonts w:hint="eastAsia" w:ascii="宋体" w:hAnsi="宋体" w:eastAsia="宋体" w:cs="宋体"/>
          <w:b/>
          <w:bCs w:val="0"/>
          <w:snapToGrid w:val="0"/>
          <w:color w:val="auto"/>
          <w:sz w:val="21"/>
          <w:szCs w:val="21"/>
          <w:highlight w:val="none"/>
          <w:lang w:val="en-US" w:eastAsia="zh-CN"/>
        </w:rPr>
        <w:t>最终以相关部门的批复</w:t>
      </w:r>
      <w:r>
        <w:rPr>
          <w:rFonts w:hint="eastAsia" w:ascii="宋体" w:hAnsi="宋体" w:cs="宋体"/>
          <w:b/>
          <w:snapToGrid w:val="0"/>
          <w:color w:val="auto"/>
          <w:szCs w:val="21"/>
          <w:highlight w:val="none"/>
        </w:rPr>
        <w:t>的工程监理费招标控制价</w:t>
      </w:r>
      <w:r>
        <w:rPr>
          <w:rFonts w:hint="eastAsia" w:ascii="宋体" w:hAnsi="宋体" w:eastAsia="宋体" w:cs="宋体"/>
          <w:b/>
          <w:bCs w:val="0"/>
          <w:snapToGrid w:val="0"/>
          <w:color w:val="auto"/>
          <w:sz w:val="21"/>
          <w:szCs w:val="21"/>
          <w:highlight w:val="none"/>
          <w:lang w:eastAsia="zh-CN"/>
        </w:rPr>
        <w:t>）</w:t>
      </w:r>
      <w:r>
        <w:rPr>
          <w:rFonts w:hint="eastAsia" w:ascii="宋体" w:hAnsi="宋体" w:eastAsia="宋体" w:cs="宋体"/>
          <w:b/>
          <w:bCs w:val="0"/>
          <w:snapToGrid w:val="0"/>
          <w:color w:val="auto"/>
          <w:sz w:val="21"/>
          <w:szCs w:val="21"/>
          <w:highlight w:val="none"/>
        </w:rPr>
        <w:t>*（1-中标下浮率）</w:t>
      </w:r>
    </w:p>
    <w:p>
      <w:pPr>
        <w:keepNext w:val="0"/>
        <w:keepLines w:val="0"/>
        <w:widowControl/>
        <w:kinsoku/>
        <w:wordWrap/>
        <w:overflowPunct/>
        <w:topLinePunct w:val="0"/>
        <w:bidi w:val="0"/>
        <w:adjustRightInd/>
        <w:snapToGrid/>
        <w:spacing w:after="120" w:line="360" w:lineRule="auto"/>
        <w:ind w:firstLine="420" w:firstLineChars="0"/>
        <w:textAlignment w:val="auto"/>
        <w:outlineLvl w:val="9"/>
        <w:rPr>
          <w:rFonts w:hint="eastAsia" w:ascii="宋体" w:hAnsi="宋体" w:eastAsia="宋体" w:cs="Times New Roman"/>
          <w:b/>
          <w:color w:val="auto"/>
          <w:szCs w:val="21"/>
          <w:highlight w:val="none"/>
        </w:rPr>
      </w:pPr>
      <w:r>
        <w:rPr>
          <w:rFonts w:ascii="宋体" w:hAnsi="宋体" w:eastAsia="宋体" w:cs="宋体"/>
          <w:b/>
          <w:i w:val="0"/>
          <w:strike w:val="0"/>
          <w:color w:val="auto"/>
          <w:sz w:val="21"/>
          <w:u w:val="none"/>
        </w:rPr>
        <w:t>（</w:t>
      </w:r>
      <w:r>
        <w:rPr>
          <w:rFonts w:ascii="宋体" w:hAnsi="宋体" w:eastAsia="宋体" w:cs="宋体"/>
          <w:i w:val="0"/>
          <w:strike w:val="0"/>
          <w:color w:val="auto"/>
          <w:sz w:val="21"/>
          <w:u w:val="none"/>
        </w:rPr>
        <w:t>包含：1、按合同条款及承包范围、工期等要求充分考虑了监理人所有人员的工资、津贴、加班费、夜班费、福利、劳保、保险、公积金，包括监理人员现场办公室所需要的各种办公用品、固定电话市话费、办公设备（含电脑、打印机、传真机、复印机等）、复印翻拍费、伙食、住宿、差旅交通及现场各种设备使用、企业管理费、利润、规费和税金等一切费用，不因物价上涨等因素的变化而调整，固定总价方式承包工程；2、监理人项目现场办公室由委托人提供，办公所需水电费、网络费由委托人承担、监理人委派的总监理工程师、监理工程师兼文员等现场工作人员之宿舍等生活设施由监理人负责，费用由监理人承担。</w:t>
      </w:r>
      <w:r>
        <w:rPr>
          <w:rFonts w:ascii="宋体" w:hAnsi="宋体" w:eastAsia="宋体" w:cs="宋体"/>
          <w:b/>
          <w:i w:val="0"/>
          <w:strike w:val="0"/>
          <w:color w:val="auto"/>
          <w:sz w:val="21"/>
          <w:u w:val="none"/>
        </w:rPr>
        <w:t>）</w:t>
      </w:r>
    </w:p>
    <w:p>
      <w:pPr>
        <w:keepNext w:val="0"/>
        <w:keepLines w:val="0"/>
        <w:widowControl w:val="0"/>
        <w:kinsoku/>
        <w:wordWrap/>
        <w:overflowPunct/>
        <w:topLinePunct w:val="0"/>
        <w:bidi w:val="0"/>
        <w:spacing w:line="360" w:lineRule="auto"/>
        <w:ind w:firstLine="417" w:firstLineChars="198"/>
        <w:textAlignment w:val="auto"/>
        <w:outlineLvl w:val="9"/>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六、期限</w:t>
      </w:r>
    </w:p>
    <w:p>
      <w:pPr>
        <w:keepNext w:val="0"/>
        <w:keepLines w:val="0"/>
        <w:widowControl w:val="0"/>
        <w:kinsoku/>
        <w:wordWrap/>
        <w:overflowPunct/>
        <w:topLinePunct w:val="0"/>
        <w:bidi w:val="0"/>
        <w:adjustRightInd w:val="0"/>
        <w:snapToGrid w:val="0"/>
        <w:spacing w:line="360" w:lineRule="auto"/>
        <w:ind w:firstLine="525" w:firstLineChars="250"/>
        <w:jc w:val="left"/>
        <w:textAlignment w:val="auto"/>
        <w:outlineLvl w:val="9"/>
        <w:rPr>
          <w:rFonts w:hint="eastAsia" w:ascii="宋体" w:hAnsi="宋体" w:eastAsia="宋体" w:cs="Times New Roman"/>
          <w:color w:val="auto"/>
          <w:szCs w:val="21"/>
          <w:highlight w:val="none"/>
        </w:rPr>
      </w:pPr>
      <w:r>
        <w:rPr>
          <w:rFonts w:hint="eastAsia" w:ascii="宋体" w:hAnsi="宋体" w:eastAsia="宋体" w:cs="Times New Roman"/>
          <w:color w:val="auto"/>
          <w:kern w:val="0"/>
          <w:szCs w:val="21"/>
          <w:highlight w:val="none"/>
        </w:rPr>
        <w:t xml:space="preserve">1. </w:t>
      </w:r>
      <w:r>
        <w:rPr>
          <w:rFonts w:hint="eastAsia" w:ascii="宋体" w:hAnsi="宋体" w:eastAsia="宋体" w:cs="Times New Roman"/>
          <w:color w:val="auto"/>
          <w:szCs w:val="21"/>
          <w:highlight w:val="none"/>
        </w:rPr>
        <w:t>监理期限：施工</w:t>
      </w:r>
      <w:r>
        <w:rPr>
          <w:rFonts w:ascii="宋体" w:hAnsi="宋体" w:eastAsia="宋体" w:cs="Times New Roman"/>
          <w:color w:val="auto"/>
          <w:szCs w:val="21"/>
          <w:highlight w:val="none"/>
        </w:rPr>
        <w:t>准备阶段、施工阶段、竣工结算及工程质量保修阶段全过程监理服务。</w:t>
      </w:r>
    </w:p>
    <w:p>
      <w:pPr>
        <w:keepNext w:val="0"/>
        <w:keepLines w:val="0"/>
        <w:widowControl w:val="0"/>
        <w:kinsoku/>
        <w:wordWrap/>
        <w:overflowPunct/>
        <w:topLinePunct w:val="0"/>
        <w:bidi w:val="0"/>
        <w:adjustRightInd w:val="0"/>
        <w:snapToGrid w:val="0"/>
        <w:spacing w:line="360" w:lineRule="auto"/>
        <w:ind w:firstLine="525" w:firstLineChars="250"/>
        <w:jc w:val="left"/>
        <w:textAlignment w:val="auto"/>
        <w:outlineLvl w:val="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计划自</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日始，至</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日止（根据施工具体进度相应调整）。</w:t>
      </w:r>
    </w:p>
    <w:p>
      <w:pPr>
        <w:keepNext w:val="0"/>
        <w:keepLines w:val="0"/>
        <w:widowControl w:val="0"/>
        <w:kinsoku/>
        <w:wordWrap/>
        <w:overflowPunct/>
        <w:topLinePunct w:val="0"/>
        <w:bidi w:val="0"/>
        <w:adjustRightInd w:val="0"/>
        <w:snapToGrid w:val="0"/>
        <w:spacing w:line="360" w:lineRule="auto"/>
        <w:ind w:firstLine="525" w:firstLineChars="250"/>
        <w:textAlignment w:val="auto"/>
        <w:outlineLvl w:val="9"/>
        <w:rPr>
          <w:rFonts w:hint="eastAsia" w:ascii="宋体" w:hAnsi="宋体" w:eastAsia="宋体" w:cs="Times New Roman"/>
          <w:color w:val="auto"/>
          <w:szCs w:val="21"/>
          <w:highlight w:val="none"/>
        </w:rPr>
      </w:pPr>
      <w:r>
        <w:rPr>
          <w:rFonts w:hint="eastAsia" w:ascii="宋体" w:hAnsi="宋体" w:eastAsia="宋体" w:cs="Times New Roman"/>
          <w:color w:val="auto"/>
          <w:kern w:val="0"/>
          <w:szCs w:val="21"/>
          <w:highlight w:val="none"/>
        </w:rPr>
        <w:t xml:space="preserve">2. </w:t>
      </w:r>
      <w:r>
        <w:rPr>
          <w:rFonts w:hint="eastAsia" w:ascii="宋体" w:hAnsi="宋体" w:eastAsia="宋体" w:cs="Times New Roman"/>
          <w:color w:val="auto"/>
          <w:szCs w:val="21"/>
          <w:highlight w:val="none"/>
        </w:rPr>
        <w:t>相关服务期限：</w:t>
      </w:r>
    </w:p>
    <w:p>
      <w:pPr>
        <w:keepNext w:val="0"/>
        <w:keepLines w:val="0"/>
        <w:widowControl w:val="0"/>
        <w:kinsoku/>
        <w:wordWrap/>
        <w:overflowPunct/>
        <w:topLinePunct w:val="0"/>
        <w:bidi w:val="0"/>
        <w:adjustRightInd w:val="0"/>
        <w:snapToGrid w:val="0"/>
        <w:spacing w:line="360" w:lineRule="auto"/>
        <w:ind w:firstLine="525" w:firstLineChars="250"/>
        <w:textAlignment w:val="auto"/>
        <w:outlineLvl w:val="9"/>
        <w:rPr>
          <w:rFonts w:hint="eastAsia" w:ascii="宋体" w:hAnsi="宋体" w:eastAsia="宋体" w:cs="Times New Roman"/>
          <w:color w:val="auto"/>
          <w:szCs w:val="21"/>
          <w:highlight w:val="none"/>
        </w:rPr>
      </w:pPr>
      <w:r>
        <w:rPr>
          <w:rFonts w:hint="eastAsia" w:ascii="宋体" w:hAnsi="宋体" w:eastAsia="宋体" w:cs="Times New Roman"/>
          <w:color w:val="auto"/>
          <w:kern w:val="0"/>
          <w:szCs w:val="21"/>
          <w:highlight w:val="none"/>
        </w:rPr>
        <w:t>（1）勘察阶段</w:t>
      </w:r>
      <w:r>
        <w:rPr>
          <w:rFonts w:hint="eastAsia" w:ascii="宋体" w:hAnsi="宋体" w:eastAsia="宋体" w:cs="Times New Roman"/>
          <w:color w:val="auto"/>
          <w:szCs w:val="21"/>
          <w:highlight w:val="none"/>
        </w:rPr>
        <w:t>服务期限自</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日始，至</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日止。</w:t>
      </w:r>
    </w:p>
    <w:p>
      <w:pPr>
        <w:keepNext w:val="0"/>
        <w:keepLines w:val="0"/>
        <w:widowControl w:val="0"/>
        <w:kinsoku/>
        <w:wordWrap/>
        <w:overflowPunct/>
        <w:topLinePunct w:val="0"/>
        <w:bidi w:val="0"/>
        <w:adjustRightInd w:val="0"/>
        <w:snapToGrid w:val="0"/>
        <w:spacing w:line="360" w:lineRule="auto"/>
        <w:ind w:firstLine="525" w:firstLineChars="250"/>
        <w:textAlignment w:val="auto"/>
        <w:outlineLvl w:val="9"/>
        <w:rPr>
          <w:rFonts w:hint="eastAsia" w:ascii="宋体" w:hAnsi="宋体" w:eastAsia="宋体" w:cs="Times New Roman"/>
          <w:color w:val="auto"/>
          <w:szCs w:val="21"/>
          <w:highlight w:val="none"/>
        </w:rPr>
      </w:pPr>
      <w:r>
        <w:rPr>
          <w:rFonts w:hint="eastAsia" w:ascii="宋体" w:hAnsi="宋体" w:eastAsia="宋体" w:cs="Times New Roman"/>
          <w:color w:val="auto"/>
          <w:kern w:val="0"/>
          <w:szCs w:val="21"/>
          <w:highlight w:val="none"/>
        </w:rPr>
        <w:t>（2）设计阶段</w:t>
      </w:r>
      <w:r>
        <w:rPr>
          <w:rFonts w:hint="eastAsia" w:ascii="宋体" w:hAnsi="宋体" w:eastAsia="宋体" w:cs="Times New Roman"/>
          <w:color w:val="auto"/>
          <w:szCs w:val="21"/>
          <w:highlight w:val="none"/>
        </w:rPr>
        <w:t>服务期限自</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日始，至</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日止。</w:t>
      </w:r>
    </w:p>
    <w:p>
      <w:pPr>
        <w:keepNext w:val="0"/>
        <w:keepLines w:val="0"/>
        <w:widowControl w:val="0"/>
        <w:kinsoku/>
        <w:wordWrap/>
        <w:overflowPunct/>
        <w:topLinePunct w:val="0"/>
        <w:bidi w:val="0"/>
        <w:adjustRightInd w:val="0"/>
        <w:snapToGrid w:val="0"/>
        <w:spacing w:line="360" w:lineRule="auto"/>
        <w:ind w:firstLine="525" w:firstLineChars="250"/>
        <w:textAlignment w:val="auto"/>
        <w:outlineLvl w:val="9"/>
        <w:rPr>
          <w:rFonts w:hint="eastAsia" w:ascii="宋体" w:hAnsi="宋体" w:eastAsia="宋体" w:cs="Times New Roman"/>
          <w:color w:val="auto"/>
          <w:szCs w:val="21"/>
          <w:highlight w:val="none"/>
        </w:rPr>
      </w:pPr>
      <w:r>
        <w:rPr>
          <w:rFonts w:hint="eastAsia" w:ascii="宋体" w:hAnsi="宋体" w:eastAsia="宋体" w:cs="Times New Roman"/>
          <w:color w:val="auto"/>
          <w:kern w:val="0"/>
          <w:szCs w:val="21"/>
          <w:highlight w:val="none"/>
        </w:rPr>
        <w:t>（3）保修阶段</w:t>
      </w:r>
      <w:r>
        <w:rPr>
          <w:rFonts w:hint="eastAsia" w:ascii="宋体" w:hAnsi="宋体" w:eastAsia="宋体" w:cs="Times New Roman"/>
          <w:color w:val="auto"/>
          <w:szCs w:val="21"/>
          <w:highlight w:val="none"/>
        </w:rPr>
        <w:t>服务期限自</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日始，至</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日止。</w:t>
      </w:r>
    </w:p>
    <w:p>
      <w:pPr>
        <w:keepNext w:val="0"/>
        <w:keepLines w:val="0"/>
        <w:widowControl w:val="0"/>
        <w:kinsoku/>
        <w:wordWrap/>
        <w:overflowPunct/>
        <w:topLinePunct w:val="0"/>
        <w:bidi w:val="0"/>
        <w:adjustRightInd w:val="0"/>
        <w:snapToGrid w:val="0"/>
        <w:spacing w:line="360" w:lineRule="auto"/>
        <w:ind w:firstLine="525" w:firstLineChars="250"/>
        <w:textAlignment w:val="auto"/>
        <w:outlineLvl w:val="9"/>
        <w:rPr>
          <w:rFonts w:hint="eastAsia" w:ascii="宋体" w:hAnsi="宋体" w:eastAsia="宋体" w:cs="Times New Roman"/>
          <w:color w:val="auto"/>
          <w:szCs w:val="21"/>
          <w:highlight w:val="none"/>
        </w:rPr>
      </w:pPr>
      <w:r>
        <w:rPr>
          <w:rFonts w:hint="eastAsia" w:ascii="宋体" w:hAnsi="宋体" w:eastAsia="宋体" w:cs="Times New Roman"/>
          <w:color w:val="auto"/>
          <w:kern w:val="0"/>
          <w:szCs w:val="21"/>
          <w:highlight w:val="none"/>
        </w:rPr>
        <w:t>（4）</w:t>
      </w:r>
      <w:r>
        <w:rPr>
          <w:rFonts w:hint="eastAsia" w:ascii="宋体" w:hAnsi="宋体" w:eastAsia="宋体" w:cs="Times New Roman"/>
          <w:color w:val="auto"/>
          <w:szCs w:val="21"/>
          <w:highlight w:val="none"/>
        </w:rPr>
        <w:t>其他相关服务期限自</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日始，至</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日止。</w:t>
      </w:r>
    </w:p>
    <w:p>
      <w:pPr>
        <w:keepNext w:val="0"/>
        <w:keepLines w:val="0"/>
        <w:widowControl w:val="0"/>
        <w:kinsoku/>
        <w:wordWrap/>
        <w:overflowPunct/>
        <w:topLinePunct w:val="0"/>
        <w:bidi w:val="0"/>
        <w:spacing w:line="360" w:lineRule="auto"/>
        <w:ind w:firstLine="417" w:firstLineChars="198"/>
        <w:textAlignment w:val="auto"/>
        <w:outlineLvl w:val="9"/>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七、双方承诺</w:t>
      </w:r>
    </w:p>
    <w:p>
      <w:pPr>
        <w:keepNext w:val="0"/>
        <w:keepLines w:val="0"/>
        <w:widowControl w:val="0"/>
        <w:kinsoku/>
        <w:wordWrap/>
        <w:overflowPunct/>
        <w:topLinePunct w:val="0"/>
        <w:bidi w:val="0"/>
        <w:spacing w:line="360" w:lineRule="auto"/>
        <w:ind w:firstLine="415" w:firstLineChars="198"/>
        <w:textAlignment w:val="auto"/>
        <w:outlineLvl w:val="9"/>
        <w:rPr>
          <w:rFonts w:hint="eastAsia" w:ascii="宋体" w:hAnsi="宋体" w:eastAsia="宋体" w:cs="Times New Roman"/>
          <w:b/>
          <w:color w:val="auto"/>
          <w:szCs w:val="21"/>
          <w:highlight w:val="none"/>
        </w:rPr>
      </w:pPr>
      <w:r>
        <w:rPr>
          <w:rFonts w:hint="eastAsia" w:ascii="宋体" w:hAnsi="宋体" w:eastAsia="宋体" w:cs="Times New Roman"/>
          <w:color w:val="auto"/>
          <w:szCs w:val="21"/>
          <w:highlight w:val="none"/>
        </w:rPr>
        <w:t>1. 监理人向委托人承诺，按照本合同约定</w:t>
      </w:r>
      <w:r>
        <w:rPr>
          <w:rFonts w:hint="eastAsia" w:ascii="宋体" w:hAnsi="宋体" w:eastAsia="宋体" w:cs="Times New Roman"/>
          <w:color w:val="auto"/>
          <w:kern w:val="0"/>
          <w:szCs w:val="21"/>
          <w:highlight w:val="none"/>
        </w:rPr>
        <w:t>提供</w:t>
      </w:r>
      <w:r>
        <w:rPr>
          <w:rFonts w:hint="eastAsia" w:ascii="宋体" w:hAnsi="宋体" w:eastAsia="宋体" w:cs="Times New Roman"/>
          <w:color w:val="auto"/>
          <w:szCs w:val="21"/>
          <w:highlight w:val="none"/>
        </w:rPr>
        <w:t>监理与相关服务。</w:t>
      </w:r>
    </w:p>
    <w:p>
      <w:pPr>
        <w:keepNext w:val="0"/>
        <w:keepLines w:val="0"/>
        <w:widowControl w:val="0"/>
        <w:kinsoku/>
        <w:wordWrap/>
        <w:overflowPunct/>
        <w:topLinePunct w:val="0"/>
        <w:bidi w:val="0"/>
        <w:spacing w:line="360" w:lineRule="auto"/>
        <w:ind w:firstLine="415" w:firstLineChars="198"/>
        <w:textAlignment w:val="auto"/>
        <w:outlineLvl w:val="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 委托人向监理人承诺，按照本合同约定派遣相应的人员，提供</w:t>
      </w:r>
      <w:r>
        <w:rPr>
          <w:rFonts w:hint="eastAsia" w:ascii="宋体" w:hAnsi="宋体" w:eastAsia="宋体" w:cs="Times New Roman"/>
          <w:bCs/>
          <w:color w:val="auto"/>
          <w:szCs w:val="21"/>
          <w:highlight w:val="none"/>
        </w:rPr>
        <w:t>房屋、资料</w:t>
      </w:r>
      <w:r>
        <w:rPr>
          <w:rFonts w:hint="eastAsia" w:ascii="宋体" w:hAnsi="宋体" w:eastAsia="宋体" w:cs="Times New Roman"/>
          <w:color w:val="auto"/>
          <w:szCs w:val="21"/>
          <w:highlight w:val="none"/>
        </w:rPr>
        <w:t>、设备，并按本合同约定支付酬金。</w:t>
      </w:r>
    </w:p>
    <w:p>
      <w:pPr>
        <w:keepNext w:val="0"/>
        <w:keepLines w:val="0"/>
        <w:widowControl w:val="0"/>
        <w:kinsoku/>
        <w:wordWrap/>
        <w:overflowPunct/>
        <w:topLinePunct w:val="0"/>
        <w:bidi w:val="0"/>
        <w:spacing w:line="360" w:lineRule="auto"/>
        <w:ind w:firstLine="417" w:firstLineChars="198"/>
        <w:textAlignment w:val="auto"/>
        <w:outlineLvl w:val="9"/>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八、合同订立</w:t>
      </w:r>
    </w:p>
    <w:p>
      <w:pPr>
        <w:keepNext w:val="0"/>
        <w:keepLines w:val="0"/>
        <w:widowControl w:val="0"/>
        <w:kinsoku/>
        <w:wordWrap/>
        <w:overflowPunct/>
        <w:topLinePunct w:val="0"/>
        <w:bidi w:val="0"/>
        <w:adjustRightInd w:val="0"/>
        <w:snapToGrid w:val="0"/>
        <w:spacing w:line="360" w:lineRule="auto"/>
        <w:ind w:firstLine="415" w:firstLineChars="198"/>
        <w:textAlignment w:val="auto"/>
        <w:outlineLvl w:val="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 订立时间：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w:t>
      </w:r>
    </w:p>
    <w:p>
      <w:pPr>
        <w:keepNext w:val="0"/>
        <w:keepLines w:val="0"/>
        <w:widowControl w:val="0"/>
        <w:kinsoku/>
        <w:wordWrap/>
        <w:overflowPunct/>
        <w:topLinePunct w:val="0"/>
        <w:bidi w:val="0"/>
        <w:adjustRightInd w:val="0"/>
        <w:snapToGrid w:val="0"/>
        <w:spacing w:line="360" w:lineRule="auto"/>
        <w:ind w:firstLine="415" w:firstLineChars="198"/>
        <w:textAlignment w:val="auto"/>
        <w:outlineLvl w:val="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 订立地点：</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 本合同一式</w:t>
      </w:r>
      <w:r>
        <w:rPr>
          <w:rFonts w:hint="eastAsia" w:ascii="宋体" w:hAnsi="宋体" w:eastAsia="宋体" w:cs="Times New Roman"/>
          <w:color w:val="auto"/>
          <w:szCs w:val="21"/>
          <w:highlight w:val="none"/>
          <w:u w:val="single"/>
        </w:rPr>
        <w:t>拾</w:t>
      </w:r>
      <w:r>
        <w:rPr>
          <w:rFonts w:hint="eastAsia" w:ascii="宋体" w:hAnsi="宋体" w:eastAsia="宋体" w:cs="Times New Roman"/>
          <w:color w:val="auto"/>
          <w:szCs w:val="21"/>
          <w:highlight w:val="none"/>
        </w:rPr>
        <w:t>份，具有同等法律效力，其中委托人</w:t>
      </w:r>
      <w:r>
        <w:rPr>
          <w:rFonts w:hint="eastAsia" w:ascii="宋体" w:hAnsi="宋体" w:eastAsia="宋体" w:cs="Times New Roman"/>
          <w:color w:val="auto"/>
          <w:szCs w:val="21"/>
          <w:highlight w:val="none"/>
          <w:u w:val="single"/>
        </w:rPr>
        <w:t>捌</w:t>
      </w:r>
      <w:r>
        <w:rPr>
          <w:rFonts w:hint="eastAsia" w:ascii="宋体" w:hAnsi="宋体" w:eastAsia="宋体" w:cs="Times New Roman"/>
          <w:color w:val="auto"/>
          <w:szCs w:val="21"/>
          <w:highlight w:val="none"/>
        </w:rPr>
        <w:t>份，监理人</w:t>
      </w:r>
      <w:r>
        <w:rPr>
          <w:rFonts w:hint="eastAsia" w:ascii="宋体" w:hAnsi="宋体" w:eastAsia="宋体" w:cs="Times New Roman"/>
          <w:color w:val="auto"/>
          <w:szCs w:val="21"/>
          <w:highlight w:val="none"/>
          <w:u w:val="single"/>
        </w:rPr>
        <w:t>贰</w:t>
      </w:r>
      <w:r>
        <w:rPr>
          <w:rFonts w:hint="eastAsia" w:ascii="宋体" w:hAnsi="宋体" w:eastAsia="宋体" w:cs="Times New Roman"/>
          <w:color w:val="auto"/>
          <w:szCs w:val="21"/>
          <w:highlight w:val="none"/>
        </w:rPr>
        <w:t>份。</w:t>
      </w:r>
    </w:p>
    <w:p>
      <w:pPr>
        <w:keepNext w:val="0"/>
        <w:keepLines w:val="0"/>
        <w:widowControl w:val="0"/>
        <w:kinsoku/>
        <w:wordWrap/>
        <w:overflowPunct/>
        <w:topLinePunct w:val="0"/>
        <w:bidi w:val="0"/>
        <w:adjustRightInd w:val="0"/>
        <w:snapToGrid w:val="0"/>
        <w:spacing w:line="360" w:lineRule="auto"/>
        <w:ind w:firstLine="0" w:firstLineChars="0"/>
        <w:textAlignment w:val="auto"/>
        <w:rPr>
          <w:rFonts w:hint="eastAsia" w:ascii="宋体" w:hAnsi="宋体" w:eastAsia="宋体" w:cs="Times New Roman"/>
          <w:color w:val="auto"/>
          <w:szCs w:val="21"/>
          <w:highlight w:val="none"/>
        </w:rPr>
      </w:pPr>
    </w:p>
    <w:p>
      <w:pPr>
        <w:keepNext w:val="0"/>
        <w:keepLines w:val="0"/>
        <w:widowControl w:val="0"/>
        <w:kinsoku/>
        <w:wordWrap/>
        <w:overflowPunct/>
        <w:topLinePunct w:val="0"/>
        <w:bidi w:val="0"/>
        <w:adjustRightInd w:val="0"/>
        <w:snapToGrid w:val="0"/>
        <w:spacing w:line="360" w:lineRule="auto"/>
        <w:ind w:firstLine="415" w:firstLineChars="198"/>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委托人：</w:t>
      </w:r>
      <w:r>
        <w:rPr>
          <w:rFonts w:hint="eastAsia" w:ascii="宋体" w:hAnsi="宋体" w:eastAsia="宋体" w:cs="Times New Roman"/>
          <w:color w:val="auto"/>
          <w:szCs w:val="21"/>
          <w:highlight w:val="none"/>
          <w:u w:val="single"/>
        </w:rPr>
        <w:t xml:space="preserve">   （盖章）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监理人：</w:t>
      </w:r>
      <w:r>
        <w:rPr>
          <w:rFonts w:hint="eastAsia" w:ascii="宋体" w:hAnsi="宋体" w:eastAsia="宋体" w:cs="Times New Roman"/>
          <w:color w:val="auto"/>
          <w:szCs w:val="21"/>
          <w:highlight w:val="none"/>
          <w:u w:val="single"/>
        </w:rPr>
        <w:t xml:space="preserve">   （盖章）    </w:t>
      </w:r>
    </w:p>
    <w:p>
      <w:pPr>
        <w:keepNext w:val="0"/>
        <w:keepLines w:val="0"/>
        <w:widowControl w:val="0"/>
        <w:kinsoku/>
        <w:wordWrap/>
        <w:overflowPunct/>
        <w:topLinePunct w:val="0"/>
        <w:bidi w:val="0"/>
        <w:adjustRightInd w:val="0"/>
        <w:snapToGrid w:val="0"/>
        <w:spacing w:line="360" w:lineRule="auto"/>
        <w:ind w:firstLine="415" w:firstLineChars="198"/>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住所： </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 xml:space="preserve">住所： </w:t>
      </w:r>
      <w:r>
        <w:rPr>
          <w:rFonts w:hint="eastAsia" w:ascii="宋体" w:hAnsi="宋体" w:eastAsia="宋体" w:cs="Times New Roman"/>
          <w:color w:val="auto"/>
          <w:szCs w:val="21"/>
          <w:highlight w:val="none"/>
          <w:u w:val="single"/>
        </w:rPr>
        <w:t xml:space="preserve">                   </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邮政编码：</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邮政编码：</w:t>
      </w:r>
      <w:r>
        <w:rPr>
          <w:rFonts w:hint="eastAsia" w:ascii="宋体" w:hAnsi="宋体" w:eastAsia="宋体" w:cs="Times New Roman"/>
          <w:color w:val="auto"/>
          <w:szCs w:val="21"/>
          <w:highlight w:val="none"/>
          <w:u w:val="single"/>
        </w:rPr>
        <w:t xml:space="preserve">                  </w:t>
      </w:r>
    </w:p>
    <w:p>
      <w:pPr>
        <w:keepNext w:val="0"/>
        <w:keepLines w:val="0"/>
        <w:widowControl w:val="0"/>
        <w:kinsoku/>
        <w:wordWrap/>
        <w:overflowPunct/>
        <w:topLinePunct w:val="0"/>
        <w:bidi w:val="0"/>
        <w:adjustRightInd w:val="0"/>
        <w:snapToGrid w:val="0"/>
        <w:spacing w:line="360" w:lineRule="auto"/>
        <w:ind w:firstLine="415" w:firstLineChars="198"/>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法定代表人或其授权       </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法定代表人或其授权</w:t>
      </w:r>
    </w:p>
    <w:p>
      <w:pPr>
        <w:keepNext w:val="0"/>
        <w:keepLines w:val="0"/>
        <w:widowControl w:val="0"/>
        <w:kinsoku/>
        <w:wordWrap/>
        <w:overflowPunct/>
        <w:topLinePunct w:val="0"/>
        <w:bidi w:val="0"/>
        <w:adjustRightInd w:val="0"/>
        <w:snapToGrid w:val="0"/>
        <w:spacing w:line="360" w:lineRule="auto"/>
        <w:ind w:firstLine="415" w:firstLineChars="198"/>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的代理人：</w:t>
      </w:r>
      <w:r>
        <w:rPr>
          <w:rFonts w:hint="eastAsia" w:ascii="宋体" w:hAnsi="宋体" w:eastAsia="宋体" w:cs="Times New Roman"/>
          <w:color w:val="auto"/>
          <w:szCs w:val="21"/>
          <w:highlight w:val="none"/>
          <w:u w:val="single"/>
        </w:rPr>
        <w:t xml:space="preserve">（签字）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的代理人：</w:t>
      </w:r>
      <w:r>
        <w:rPr>
          <w:rFonts w:hint="eastAsia" w:ascii="宋体" w:hAnsi="宋体" w:eastAsia="宋体" w:cs="Times New Roman"/>
          <w:color w:val="auto"/>
          <w:szCs w:val="21"/>
          <w:highlight w:val="none"/>
          <w:u w:val="single"/>
        </w:rPr>
        <w:t xml:space="preserve">（签字）          </w:t>
      </w:r>
    </w:p>
    <w:p>
      <w:pPr>
        <w:keepNext w:val="0"/>
        <w:keepLines w:val="0"/>
        <w:widowControl w:val="0"/>
        <w:kinsoku/>
        <w:wordWrap/>
        <w:overflowPunct/>
        <w:topLinePunct w:val="0"/>
        <w:bidi w:val="0"/>
        <w:adjustRightInd w:val="0"/>
        <w:snapToGrid w:val="0"/>
        <w:spacing w:line="360" w:lineRule="auto"/>
        <w:ind w:firstLine="415" w:firstLineChars="198"/>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开户银行：</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开户银行：</w:t>
      </w:r>
      <w:r>
        <w:rPr>
          <w:rFonts w:hint="eastAsia" w:ascii="宋体" w:hAnsi="宋体" w:eastAsia="宋体" w:cs="Times New Roman"/>
          <w:color w:val="auto"/>
          <w:szCs w:val="21"/>
          <w:highlight w:val="none"/>
          <w:u w:val="single"/>
        </w:rPr>
        <w:t xml:space="preserve">                  </w:t>
      </w:r>
    </w:p>
    <w:p>
      <w:pPr>
        <w:keepNext w:val="0"/>
        <w:keepLines w:val="0"/>
        <w:widowControl w:val="0"/>
        <w:kinsoku/>
        <w:wordWrap/>
        <w:overflowPunct/>
        <w:topLinePunct w:val="0"/>
        <w:bidi w:val="0"/>
        <w:adjustRightInd w:val="0"/>
        <w:snapToGrid w:val="0"/>
        <w:spacing w:line="360" w:lineRule="auto"/>
        <w:ind w:firstLine="415" w:firstLineChars="198"/>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账号：</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账号：</w:t>
      </w:r>
      <w:r>
        <w:rPr>
          <w:rFonts w:hint="eastAsia" w:ascii="宋体" w:hAnsi="宋体" w:eastAsia="宋体" w:cs="Times New Roman"/>
          <w:color w:val="auto"/>
          <w:szCs w:val="21"/>
          <w:highlight w:val="none"/>
          <w:u w:val="single"/>
        </w:rPr>
        <w:t xml:space="preserve">                     </w:t>
      </w:r>
    </w:p>
    <w:p>
      <w:pPr>
        <w:keepNext w:val="0"/>
        <w:keepLines w:val="0"/>
        <w:widowControl w:val="0"/>
        <w:kinsoku/>
        <w:wordWrap/>
        <w:overflowPunct/>
        <w:topLinePunct w:val="0"/>
        <w:bidi w:val="0"/>
        <w:adjustRightInd w:val="0"/>
        <w:snapToGrid w:val="0"/>
        <w:spacing w:line="360" w:lineRule="auto"/>
        <w:ind w:firstLine="415" w:firstLineChars="198"/>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电话：</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电话：</w:t>
      </w:r>
      <w:r>
        <w:rPr>
          <w:rFonts w:hint="eastAsia" w:ascii="宋体" w:hAnsi="宋体" w:eastAsia="宋体" w:cs="Times New Roman"/>
          <w:color w:val="auto"/>
          <w:szCs w:val="21"/>
          <w:highlight w:val="none"/>
          <w:u w:val="single"/>
        </w:rPr>
        <w:t xml:space="preserve">                     </w:t>
      </w:r>
    </w:p>
    <w:p>
      <w:pPr>
        <w:keepNext w:val="0"/>
        <w:keepLines w:val="0"/>
        <w:widowControl w:val="0"/>
        <w:kinsoku/>
        <w:wordWrap/>
        <w:overflowPunct/>
        <w:topLinePunct w:val="0"/>
        <w:bidi w:val="0"/>
        <w:adjustRightInd w:val="0"/>
        <w:snapToGrid w:val="0"/>
        <w:spacing w:line="360" w:lineRule="auto"/>
        <w:ind w:firstLine="415" w:firstLineChars="198"/>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传真：</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传真：</w:t>
      </w:r>
      <w:r>
        <w:rPr>
          <w:rFonts w:hint="eastAsia" w:ascii="宋体" w:hAnsi="宋体" w:eastAsia="宋体" w:cs="Times New Roman"/>
          <w:color w:val="auto"/>
          <w:szCs w:val="21"/>
          <w:highlight w:val="none"/>
          <w:u w:val="single"/>
        </w:rPr>
        <w:t xml:space="preserve">                     </w:t>
      </w:r>
    </w:p>
    <w:p>
      <w:pPr>
        <w:keepNext w:val="0"/>
        <w:keepLines w:val="0"/>
        <w:widowControl w:val="0"/>
        <w:kinsoku/>
        <w:wordWrap/>
        <w:overflowPunct/>
        <w:topLinePunct w:val="0"/>
        <w:bidi w:val="0"/>
        <w:adjustRightInd w:val="0"/>
        <w:snapToGrid w:val="0"/>
        <w:spacing w:line="360" w:lineRule="auto"/>
        <w:ind w:firstLine="415" w:firstLineChars="198"/>
        <w:textAlignment w:val="auto"/>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电子邮箱：</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电子邮箱：</w:t>
      </w:r>
      <w:r>
        <w:rPr>
          <w:rFonts w:hint="eastAsia" w:ascii="宋体" w:hAnsi="宋体" w:eastAsia="宋体" w:cs="Times New Roman"/>
          <w:color w:val="auto"/>
          <w:szCs w:val="21"/>
          <w:highlight w:val="none"/>
          <w:u w:val="single"/>
        </w:rPr>
        <w:t xml:space="preserve">                  </w:t>
      </w:r>
    </w:p>
    <w:p>
      <w:pPr>
        <w:keepNext w:val="0"/>
        <w:keepLines w:val="0"/>
        <w:pageBreakBefore/>
        <w:widowControl w:val="0"/>
        <w:kinsoku/>
        <w:wordWrap/>
        <w:overflowPunct/>
        <w:topLinePunct w:val="0"/>
        <w:bidi w:val="0"/>
        <w:spacing w:line="360" w:lineRule="auto"/>
        <w:jc w:val="center"/>
        <w:textAlignment w:val="auto"/>
        <w:outlineLvl w:val="1"/>
        <w:rPr>
          <w:rFonts w:hint="eastAsia" w:ascii="宋体" w:hAnsi="宋体" w:eastAsia="宋体" w:cs="Times New Roman"/>
          <w:b/>
          <w:color w:val="auto"/>
          <w:sz w:val="36"/>
          <w:szCs w:val="36"/>
          <w:highlight w:val="none"/>
        </w:rPr>
      </w:pPr>
      <w:r>
        <w:rPr>
          <w:rFonts w:hint="eastAsia" w:ascii="宋体" w:hAnsi="宋体" w:eastAsia="宋体" w:cs="Times New Roman"/>
          <w:b/>
          <w:color w:val="auto"/>
          <w:sz w:val="36"/>
          <w:szCs w:val="36"/>
          <w:highlight w:val="none"/>
        </w:rPr>
        <w:t>第二部分  通用条件</w:t>
      </w:r>
    </w:p>
    <w:p>
      <w:pPr>
        <w:keepNext w:val="0"/>
        <w:keepLines w:val="0"/>
        <w:widowControl w:val="0"/>
        <w:kinsoku/>
        <w:wordWrap/>
        <w:overflowPunct/>
        <w:topLinePunct w:val="0"/>
        <w:bidi w:val="0"/>
        <w:spacing w:line="360" w:lineRule="auto"/>
        <w:jc w:val="center"/>
        <w:textAlignment w:val="auto"/>
        <w:rPr>
          <w:rFonts w:hint="eastAsia" w:ascii="宋体" w:hAnsi="宋体" w:eastAsia="宋体" w:cs="Times New Roman"/>
          <w:b/>
          <w:color w:val="auto"/>
          <w:szCs w:val="21"/>
          <w:highlight w:val="none"/>
        </w:rPr>
      </w:pPr>
    </w:p>
    <w:p>
      <w:pPr>
        <w:keepNext w:val="0"/>
        <w:keepLines w:val="0"/>
        <w:widowControl w:val="0"/>
        <w:kinsoku/>
        <w:wordWrap/>
        <w:overflowPunct/>
        <w:topLinePunct w:val="0"/>
        <w:bidi w:val="0"/>
        <w:spacing w:line="360" w:lineRule="auto"/>
        <w:textAlignment w:val="auto"/>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1. 定义与解释</w:t>
      </w:r>
    </w:p>
    <w:p>
      <w:pPr>
        <w:keepNext w:val="0"/>
        <w:keepLines w:val="0"/>
        <w:widowControl w:val="0"/>
        <w:kinsoku/>
        <w:wordWrap/>
        <w:overflowPunct/>
        <w:topLinePunct w:val="0"/>
        <w:bidi w:val="0"/>
        <w:spacing w:line="360" w:lineRule="auto"/>
        <w:ind w:left="210" w:leftChars="100"/>
        <w:textAlignment w:val="auto"/>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 xml:space="preserve">1.1 </w:t>
      </w:r>
      <w:r>
        <w:rPr>
          <w:rFonts w:hint="eastAsia" w:ascii="宋体" w:hAnsi="宋体" w:eastAsia="宋体" w:cs="Times New Roman"/>
          <w:bCs/>
          <w:color w:val="auto"/>
          <w:szCs w:val="21"/>
          <w:highlight w:val="none"/>
        </w:rPr>
        <w:t>定义</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除根据上下文另有其意义外，组成本合同的全部文件中的下列名词和用语应具有本款所赋予的含义：</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1.1.1 “工程”是指按照本合同约定实施监理与相关服务的建设工程。</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1.1.2 “委托人”是指本合同中委托监理与相关服务的一方，及其合法的继承人或受让人。</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1.1.3 “监理人”是指本合同中提供监理与相关服务的一方，及其合法的继承人。</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1.1.4 “承包人”是指在工程范围内与委托人签订勘察、设计、施工等有关合同的当事人，及其合法的继承人。</w:t>
      </w:r>
    </w:p>
    <w:p>
      <w:pPr>
        <w:keepNext w:val="0"/>
        <w:keepLines w:val="0"/>
        <w:widowControl w:val="0"/>
        <w:kinsoku/>
        <w:wordWrap/>
        <w:overflowPunct/>
        <w:topLinePunct w:val="0"/>
        <w:bidi w:val="0"/>
        <w:spacing w:line="360" w:lineRule="auto"/>
        <w:ind w:firstLine="57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1.1.5 “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1.1.6 “相关服务”是指监理人受委托人的委托，按照本合同约定，在勘察、设计、保修等阶段提供的服务活动。</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1.1.7 “正常工作”指本合同订立时通用条件和专用条件中约定的监理人的工作。</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1.1.8 “附加工作”是指本合同约定的正常工作以外监理人的工作。</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1.1.9 “项目监理机构”是指监理人派驻工程负责履行本合同的组织机构。</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1.1.10 “总监理工程师”是指由监理人的法定代表人书面授权，全面负责履行本合同、主持项目监理机构工作的注册监理工程师。</w:t>
      </w:r>
    </w:p>
    <w:p>
      <w:pPr>
        <w:keepNext w:val="0"/>
        <w:keepLines w:val="0"/>
        <w:widowControl w:val="0"/>
        <w:kinsoku/>
        <w:wordWrap/>
        <w:overflowPunct/>
        <w:topLinePunct w:val="0"/>
        <w:bidi w:val="0"/>
        <w:adjustRightInd w:val="0"/>
        <w:snapToGrid w:val="0"/>
        <w:spacing w:line="360" w:lineRule="auto"/>
        <w:ind w:firstLine="415" w:firstLineChars="198"/>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1.1.11 “酬金”是指监理人履行本合同义务，委托人按照本合同约定给付监理人的金额。</w:t>
      </w:r>
    </w:p>
    <w:p>
      <w:pPr>
        <w:keepNext w:val="0"/>
        <w:keepLines w:val="0"/>
        <w:widowControl w:val="0"/>
        <w:kinsoku/>
        <w:wordWrap/>
        <w:overflowPunct/>
        <w:topLinePunct w:val="0"/>
        <w:bidi w:val="0"/>
        <w:adjustRightInd w:val="0"/>
        <w:snapToGrid w:val="0"/>
        <w:spacing w:line="360" w:lineRule="auto"/>
        <w:ind w:firstLine="415" w:firstLineChars="198"/>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1.1.12 “正常工作</w:t>
      </w:r>
      <w:r>
        <w:rPr>
          <w:rFonts w:hint="eastAsia" w:ascii="宋体" w:hAnsi="宋体" w:eastAsia="宋体" w:cs="宋体"/>
          <w:color w:val="auto"/>
          <w:kern w:val="0"/>
          <w:szCs w:val="21"/>
          <w:highlight w:val="none"/>
        </w:rPr>
        <w:t>酬金”</w:t>
      </w:r>
      <w:r>
        <w:rPr>
          <w:rFonts w:hint="eastAsia" w:ascii="宋体" w:hAnsi="宋体" w:eastAsia="宋体" w:cs="Times New Roman"/>
          <w:color w:val="auto"/>
          <w:szCs w:val="21"/>
          <w:highlight w:val="none"/>
        </w:rPr>
        <w:t>是指监理人完成正常工作，委托人应给付监理人并在协议书中载明的签约</w:t>
      </w:r>
      <w:r>
        <w:rPr>
          <w:rFonts w:hint="eastAsia" w:ascii="宋体" w:hAnsi="宋体" w:eastAsia="宋体" w:cs="宋体"/>
          <w:color w:val="auto"/>
          <w:kern w:val="0"/>
          <w:szCs w:val="21"/>
          <w:highlight w:val="none"/>
        </w:rPr>
        <w:t>酬金额</w:t>
      </w:r>
      <w:r>
        <w:rPr>
          <w:rFonts w:hint="eastAsia" w:ascii="宋体" w:hAnsi="宋体" w:eastAsia="宋体" w:cs="Times New Roman"/>
          <w:color w:val="auto"/>
          <w:szCs w:val="21"/>
          <w:highlight w:val="none"/>
        </w:rPr>
        <w:t>。</w:t>
      </w:r>
    </w:p>
    <w:p>
      <w:pPr>
        <w:keepNext w:val="0"/>
        <w:keepLines w:val="0"/>
        <w:widowControl w:val="0"/>
        <w:kinsoku/>
        <w:wordWrap/>
        <w:overflowPunct/>
        <w:topLinePunct w:val="0"/>
        <w:bidi w:val="0"/>
        <w:adjustRightInd w:val="0"/>
        <w:snapToGrid w:val="0"/>
        <w:spacing w:line="360" w:lineRule="auto"/>
        <w:ind w:firstLine="415" w:firstLineChars="198"/>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1.1.13 “附加工作酬金”是指监理人完成附加工作，委托人应给付监理人的金额。</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1.1.14 “一方”是指委托人或监理人；“双方”是指委托人和监理人；“第三方”是指除委托人和监理人以外的有关方。</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1.1.15 “书面形式”是指合同书、信件和数据电文（包括电报、电传、传真、电子数据交换和电子邮件）等可以有形地表现所载内容的形式。</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1.1.16 “天”是指第一天零时至第二天零时的时间。</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1.1.17 “月”是指按公历从一个月中任何一天开始的一个公历月时间。</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1.1.18 “不可抗力”是指委托人和监理人在订立本合同时不可预见，在工程施工过程中不可避免发生并不能克服的自然灾害和社会性突发事件，如地震、海啸、瘟疫、水灾、骚乱、暴动、战争和专用条件约定的其他情形。</w:t>
      </w:r>
    </w:p>
    <w:p>
      <w:pPr>
        <w:keepNext w:val="0"/>
        <w:keepLines w:val="0"/>
        <w:widowControl w:val="0"/>
        <w:kinsoku/>
        <w:wordWrap/>
        <w:overflowPunct/>
        <w:topLinePunct w:val="0"/>
        <w:bidi w:val="0"/>
        <w:adjustRightInd w:val="0"/>
        <w:snapToGrid w:val="0"/>
        <w:spacing w:line="360" w:lineRule="auto"/>
        <w:ind w:left="210" w:leftChars="100"/>
        <w:textAlignment w:val="auto"/>
        <w:rPr>
          <w:rFonts w:hint="eastAsia" w:ascii="宋体" w:hAnsi="宋体" w:eastAsia="宋体" w:cs="Times New Roman"/>
          <w:color w:val="auto"/>
          <w:szCs w:val="21"/>
          <w:highlight w:val="none"/>
        </w:rPr>
      </w:pPr>
      <w:r>
        <w:rPr>
          <w:rFonts w:hint="eastAsia" w:ascii="宋体" w:hAnsi="宋体" w:eastAsia="宋体" w:cs="Times New Roman"/>
          <w:bCs/>
          <w:color w:val="auto"/>
          <w:szCs w:val="21"/>
          <w:highlight w:val="none"/>
        </w:rPr>
        <w:t xml:space="preserve">1.2 </w:t>
      </w:r>
      <w:r>
        <w:rPr>
          <w:rFonts w:hint="eastAsia" w:ascii="宋体" w:hAnsi="宋体" w:eastAsia="宋体" w:cs="Times New Roman"/>
          <w:color w:val="auto"/>
          <w:szCs w:val="21"/>
          <w:highlight w:val="none"/>
        </w:rPr>
        <w:t>解释</w:t>
      </w:r>
    </w:p>
    <w:p>
      <w:pPr>
        <w:keepNext w:val="0"/>
        <w:keepLines w:val="0"/>
        <w:widowControl w:val="0"/>
        <w:tabs>
          <w:tab w:val="left" w:pos="6140"/>
        </w:tabs>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1.2.1本合同使用中文书写、解释和说明。如专用条件约定使用两种及以上语言文字时，应以中文为准。</w:t>
      </w:r>
    </w:p>
    <w:p>
      <w:pPr>
        <w:keepNext w:val="0"/>
        <w:keepLines w:val="0"/>
        <w:widowControl w:val="0"/>
        <w:tabs>
          <w:tab w:val="left" w:pos="6140"/>
        </w:tabs>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1.2.2 组成本合同的下列文件彼此应能相互解释、互为说明。除专用条件另有约定外，本合同文件的解释顺序如下：</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（1）协议书；</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（2）中标通知书（适用于招标工程）或委托书（适用于非招标工程）；</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（3）专用条件及附录A、附录B；</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（4）通用条件；</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（5）投标文件（适用于招标工程）或监理与相关服务建议书（适用于非招标工程）。</w:t>
      </w:r>
    </w:p>
    <w:p>
      <w:pPr>
        <w:keepNext w:val="0"/>
        <w:keepLines w:val="0"/>
        <w:widowControl w:val="0"/>
        <w:kinsoku/>
        <w:wordWrap/>
        <w:overflowPunct/>
        <w:topLinePunct w:val="0"/>
        <w:bidi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双方签订的补充协议与其他文件发生矛盾或歧义时，属于同一类内容的文件，应以最新签署的为准。</w:t>
      </w:r>
    </w:p>
    <w:p>
      <w:pPr>
        <w:keepNext w:val="0"/>
        <w:keepLines w:val="0"/>
        <w:widowControl w:val="0"/>
        <w:kinsoku/>
        <w:wordWrap/>
        <w:overflowPunct/>
        <w:topLinePunct w:val="0"/>
        <w:bidi w:val="0"/>
        <w:spacing w:line="360" w:lineRule="auto"/>
        <w:textAlignment w:val="auto"/>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 监理人的义务</w:t>
      </w:r>
    </w:p>
    <w:p>
      <w:pPr>
        <w:keepNext w:val="0"/>
        <w:keepLines w:val="0"/>
        <w:widowControl w:val="0"/>
        <w:kinsoku/>
        <w:wordWrap/>
        <w:overflowPunct/>
        <w:topLinePunct w:val="0"/>
        <w:bidi w:val="0"/>
        <w:adjustRightInd w:val="0"/>
        <w:snapToGrid w:val="0"/>
        <w:spacing w:line="360" w:lineRule="auto"/>
        <w:ind w:left="210" w:leftChars="100"/>
        <w:textAlignment w:val="auto"/>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2.1 监理的范围和工作内容</w:t>
      </w:r>
    </w:p>
    <w:p>
      <w:pPr>
        <w:keepNext w:val="0"/>
        <w:keepLines w:val="0"/>
        <w:widowControl w:val="0"/>
        <w:kinsoku/>
        <w:wordWrap/>
        <w:overflowPunct/>
        <w:topLinePunct w:val="0"/>
        <w:bidi w:val="0"/>
        <w:adjustRightInd w:val="0"/>
        <w:snapToGrid w:val="0"/>
        <w:spacing w:line="360" w:lineRule="auto"/>
        <w:ind w:left="420" w:left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2.1.1 监理范围在专用条件中约定。</w:t>
      </w:r>
    </w:p>
    <w:p>
      <w:pPr>
        <w:keepNext w:val="0"/>
        <w:keepLines w:val="0"/>
        <w:widowControl w:val="0"/>
        <w:kinsoku/>
        <w:wordWrap/>
        <w:overflowPunct/>
        <w:topLinePunct w:val="0"/>
        <w:bidi w:val="0"/>
        <w:adjustRightInd w:val="0"/>
        <w:snapToGrid w:val="0"/>
        <w:spacing w:line="360" w:lineRule="auto"/>
        <w:ind w:left="420" w:left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2.1.2 除专用条件另有约定外，监理工作内容包括：</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（1）收到工程设计文件后编制监理规划，并在第一次工地会议7天前报委托人。根据有关规定和监理工作需要，编制监理实施细则；</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（2）熟悉工程设计文件，并参加由委托人主持的图纸会审和设计交底会议；</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（3）参加由委托人主持的第一次工地会议；主持监理例会并根据工程需要主持或参加专题会议；</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（4）审查施工承包人提交的施工组织设计，重点审查其中的质量安全技术措施、专项施工方案与工程建设强制性标准的符合性；</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（5）检查施工承包人工程质量、安全生产管理制度及组织机构和人员资格； </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（6）检查施工承包人专职安全生产管理人员的配备情况；</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（7）审查施工承包人提交的施工进度计划，核查承包人对施工进度计划的调整；</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（8）检查施工承包人的试验室；</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（9）审核施工分包人资质条件；</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（10）查验施工承包人的施工测量放线成果；</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（11）审查工程开工条件，对条件具备的签发开工令；</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（12）审查施工承包人报送的工程材料、构配件、设备质量证明文件的有效性和符合性，并按规定对用于工程的材料采取平行检验或见证取样方式进行抽检；</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（13）审核施工承包人提交的工程款支付申请，签发或出具工程款支付证书，并报委托人审核、批准；</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（14）在巡视、旁站和检验过程中，发现工程质量、施工安全存在事故隐患的，要求施工承包人整改并报委托人；</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（15）经委托人同意，签发工程暂停令和复工令；</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（16）审查施工承包人提交的采用新材料、新工艺、新技术、新设备的论证材料及相关验收标准；</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（17）验收隐蔽工程、分部分项工程；</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（18）审查施工承包人提交的工程变更申请，协调处理施工进度调整、费用索赔、合同争议等事项；</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（19）审查施工承包人提交的竣工验收申请，编写工程质量评估报告；</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（20）参加工程竣工验收，签署竣工验收意见；</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（21）审查施工承包人提交的竣工结算申请并报委托人；</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（22）编制、整理工程监理归档文件并报委托人。</w:t>
      </w:r>
    </w:p>
    <w:p>
      <w:pPr>
        <w:keepNext w:val="0"/>
        <w:keepLines w:val="0"/>
        <w:widowControl w:val="0"/>
        <w:kinsoku/>
        <w:wordWrap/>
        <w:overflowPunct/>
        <w:topLinePunct w:val="0"/>
        <w:bidi w:val="0"/>
        <w:spacing w:line="360" w:lineRule="auto"/>
        <w:ind w:left="420" w:leftChars="200" w:firstLine="105" w:firstLineChars="5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2.1.3 相关服务的范围和内容在附录A中约定。</w:t>
      </w:r>
    </w:p>
    <w:p>
      <w:pPr>
        <w:keepNext w:val="0"/>
        <w:keepLines w:val="0"/>
        <w:widowControl w:val="0"/>
        <w:kinsoku/>
        <w:wordWrap/>
        <w:overflowPunct/>
        <w:topLinePunct w:val="0"/>
        <w:bidi w:val="0"/>
        <w:spacing w:line="360" w:lineRule="auto"/>
        <w:ind w:firstLine="210" w:firstLineChars="100"/>
        <w:textAlignment w:val="auto"/>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 xml:space="preserve">2.2 </w:t>
      </w:r>
      <w:r>
        <w:rPr>
          <w:rFonts w:hint="eastAsia" w:ascii="宋体" w:hAnsi="宋体" w:eastAsia="宋体" w:cs="Times New Roman"/>
          <w:bCs/>
          <w:color w:val="auto"/>
          <w:szCs w:val="21"/>
          <w:highlight w:val="none"/>
        </w:rPr>
        <w:t>监理与相关服务依据</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2.2.1 监理依据包括：</w:t>
      </w:r>
    </w:p>
    <w:p>
      <w:pPr>
        <w:keepNext w:val="0"/>
        <w:keepLines w:val="0"/>
        <w:widowControl w:val="0"/>
        <w:kinsoku/>
        <w:wordWrap/>
        <w:overflowPunct/>
        <w:topLinePunct w:val="0"/>
        <w:bidi w:val="0"/>
        <w:adjustRightInd w:val="0"/>
        <w:snapToGrid w:val="0"/>
        <w:spacing w:line="360" w:lineRule="auto"/>
        <w:ind w:firstLine="525" w:firstLineChars="25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（1）适用的法律、行政法规及部门规章；</w:t>
      </w:r>
    </w:p>
    <w:p>
      <w:pPr>
        <w:keepNext w:val="0"/>
        <w:keepLines w:val="0"/>
        <w:widowControl w:val="0"/>
        <w:kinsoku/>
        <w:wordWrap/>
        <w:overflowPunct/>
        <w:topLinePunct w:val="0"/>
        <w:bidi w:val="0"/>
        <w:adjustRightInd w:val="0"/>
        <w:snapToGrid w:val="0"/>
        <w:spacing w:line="360" w:lineRule="auto"/>
        <w:ind w:firstLine="525" w:firstLineChars="25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（2）与工程有关的标准；</w:t>
      </w:r>
    </w:p>
    <w:p>
      <w:pPr>
        <w:keepNext w:val="0"/>
        <w:keepLines w:val="0"/>
        <w:widowControl w:val="0"/>
        <w:kinsoku/>
        <w:wordWrap/>
        <w:overflowPunct/>
        <w:topLinePunct w:val="0"/>
        <w:bidi w:val="0"/>
        <w:adjustRightInd w:val="0"/>
        <w:snapToGrid w:val="0"/>
        <w:spacing w:line="360" w:lineRule="auto"/>
        <w:ind w:firstLine="525" w:firstLineChars="25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（3）工程设计及有关文件；</w:t>
      </w:r>
    </w:p>
    <w:p>
      <w:pPr>
        <w:keepNext w:val="0"/>
        <w:keepLines w:val="0"/>
        <w:widowControl w:val="0"/>
        <w:kinsoku/>
        <w:wordWrap/>
        <w:overflowPunct/>
        <w:topLinePunct w:val="0"/>
        <w:bidi w:val="0"/>
        <w:adjustRightInd w:val="0"/>
        <w:snapToGrid w:val="0"/>
        <w:spacing w:line="360" w:lineRule="auto"/>
        <w:ind w:firstLine="525" w:firstLineChars="25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（4）本合同及委托人与第三方签订的与实施工程有关的其他合同。</w:t>
      </w:r>
    </w:p>
    <w:p>
      <w:pPr>
        <w:keepNext w:val="0"/>
        <w:keepLines w:val="0"/>
        <w:widowControl w:val="0"/>
        <w:kinsoku/>
        <w:wordWrap/>
        <w:overflowPunct/>
        <w:topLinePunct w:val="0"/>
        <w:bidi w:val="0"/>
        <w:spacing w:line="360" w:lineRule="auto"/>
        <w:ind w:left="210" w:leftChars="100" w:firstLine="420" w:firstLineChars="200"/>
        <w:textAlignment w:val="auto"/>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双方根据工程的行业和地域特点，在专用条件中具体约定监理依据。</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2.2.2 相关服务依据在专用条件中约定。</w:t>
      </w:r>
    </w:p>
    <w:p>
      <w:pPr>
        <w:keepNext w:val="0"/>
        <w:keepLines w:val="0"/>
        <w:widowControl w:val="0"/>
        <w:kinsoku/>
        <w:wordWrap/>
        <w:overflowPunct/>
        <w:topLinePunct w:val="0"/>
        <w:bidi w:val="0"/>
        <w:spacing w:line="360" w:lineRule="auto"/>
        <w:ind w:firstLine="210" w:firstLineChars="100"/>
        <w:textAlignment w:val="auto"/>
        <w:rPr>
          <w:rFonts w:hint="eastAsia"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 xml:space="preserve">2.3 </w:t>
      </w:r>
      <w:r>
        <w:rPr>
          <w:rFonts w:hint="eastAsia" w:ascii="宋体" w:hAnsi="宋体" w:eastAsia="宋体" w:cs="宋体"/>
          <w:color w:val="auto"/>
          <w:kern w:val="0"/>
          <w:szCs w:val="21"/>
          <w:highlight w:val="none"/>
        </w:rPr>
        <w:t>项目监理机构和人员、</w:t>
      </w:r>
      <w:r>
        <w:rPr>
          <w:rFonts w:hint="eastAsia" w:ascii="宋体" w:hAnsi="宋体" w:eastAsia="宋体" w:cs="Times New Roman"/>
          <w:color w:val="auto"/>
          <w:kern w:val="0"/>
          <w:szCs w:val="21"/>
          <w:highlight w:val="none"/>
        </w:rPr>
        <w:t>主要工作</w:t>
      </w:r>
      <w:r>
        <w:rPr>
          <w:rFonts w:hint="eastAsia" w:ascii="宋体" w:hAnsi="宋体" w:eastAsia="宋体" w:cs="宋体"/>
          <w:color w:val="auto"/>
          <w:kern w:val="0"/>
          <w:szCs w:val="21"/>
          <w:highlight w:val="none"/>
        </w:rPr>
        <w:t>设备</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2.3.1 监理人应组建满足工作需要的项目监理机构，配备必要的检测设备。项目监理机构的主要人员应具有相应的资格条件。</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2.3.2本合同履行过程中，总监理工程师及重要岗位监理人员应保持相对稳定，以保证监理工作正常进行。</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2.3.4 监理人应及时更换有下列情形之一的监理人员：</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（1）严重过失行为的；</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（2）有违法行为不能履行职责的；</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（3）涉嫌犯罪的；</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（4）不能胜任岗位职责的；</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（5）严重违反职业道德的；</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（6）专用条件约定的其他情形。</w:t>
      </w:r>
    </w:p>
    <w:p>
      <w:pPr>
        <w:keepNext w:val="0"/>
        <w:keepLines w:val="0"/>
        <w:widowControl w:val="0"/>
        <w:kinsoku/>
        <w:wordWrap/>
        <w:overflowPunct/>
        <w:topLinePunct w:val="0"/>
        <w:bidi w:val="0"/>
        <w:spacing w:line="360" w:lineRule="auto"/>
        <w:ind w:firstLine="420" w:firstLineChars="200"/>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2.3.5 委托人可要求监理人更换不能胜任本职工作的项目监理机构人员。</w:t>
      </w:r>
    </w:p>
    <w:p>
      <w:pPr>
        <w:keepNext w:val="0"/>
        <w:keepLines w:val="0"/>
        <w:widowControl w:val="0"/>
        <w:kinsoku/>
        <w:wordWrap/>
        <w:overflowPunct/>
        <w:topLinePunct w:val="0"/>
        <w:bidi w:val="0"/>
        <w:spacing w:line="500" w:lineRule="exact"/>
        <w:ind w:firstLine="424" w:firstLineChars="202"/>
        <w:jc w:val="left"/>
        <w:textAlignment w:val="auto"/>
        <w:rPr>
          <w:rFonts w:hint="eastAsia" w:ascii="宋体" w:hAnsi="宋体" w:eastAsia="宋体" w:cs="Times New Roman"/>
          <w:b/>
          <w:bCs/>
          <w:color w:val="auto"/>
          <w:sz w:val="28"/>
          <w:highlight w:val="none"/>
        </w:rPr>
      </w:pPr>
      <w:r>
        <w:rPr>
          <w:rFonts w:hint="eastAsia" w:ascii="宋体" w:hAnsi="宋体" w:eastAsia="宋体" w:cs="Times New Roman"/>
          <w:color w:val="auto"/>
          <w:kern w:val="0"/>
          <w:szCs w:val="21"/>
          <w:highlight w:val="none"/>
        </w:rPr>
        <w:t>2.3.6监理人应按投标承诺投入主要工作设备。</w:t>
      </w:r>
    </w:p>
    <w:p>
      <w:pPr>
        <w:keepNext w:val="0"/>
        <w:keepLines w:val="0"/>
        <w:widowControl w:val="0"/>
        <w:kinsoku/>
        <w:wordWrap/>
        <w:overflowPunct/>
        <w:topLinePunct w:val="0"/>
        <w:bidi w:val="0"/>
        <w:spacing w:line="360" w:lineRule="auto"/>
        <w:ind w:left="210" w:leftChars="100"/>
        <w:textAlignment w:val="auto"/>
        <w:rPr>
          <w:rFonts w:hint="eastAsia"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 xml:space="preserve">2.4 </w:t>
      </w:r>
      <w:r>
        <w:rPr>
          <w:rFonts w:hint="eastAsia" w:ascii="宋体" w:hAnsi="宋体" w:eastAsia="宋体" w:cs="宋体"/>
          <w:color w:val="auto"/>
          <w:kern w:val="0"/>
          <w:szCs w:val="21"/>
          <w:highlight w:val="none"/>
        </w:rPr>
        <w:t>履行职责</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kern w:val="0"/>
          <w:szCs w:val="21"/>
          <w:highlight w:val="none"/>
        </w:rPr>
        <w:t>监理人应遵循职业道德准则和行为规范，严格按照法律法规、工程建设有关标准及本合同履行职责。</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2.4.1 在监理与相关服务范围内，委托人和承包人提出的意见和要求，监理人应及时提出处置意见。当委托人与承包人之间发生合同争议时，监理人应协助委托人、承包人协商解决。</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2.4.2 当委托人与承包人之间的合同争议提交仲裁机构仲裁或人民法院审理时，监理人应提供必要的证明资料。</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2.4.3 监理人应在专用条件约定的授权范围内，处理委托人与承包人所签订合同的变更事宜。如果变更超过授权范围，应以书面形式报委托人批准。</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在紧急情况下，为了保护财产和人身安全，监理人所发出的指令未能事先报委托人批准时，应在发出指令后的24小时内以书面形式报委托人。</w:t>
      </w:r>
    </w:p>
    <w:p>
      <w:pPr>
        <w:keepNext w:val="0"/>
        <w:keepLines w:val="0"/>
        <w:widowControl w:val="0"/>
        <w:kinsoku/>
        <w:wordWrap/>
        <w:overflowPunct/>
        <w:topLinePunct w:val="0"/>
        <w:bidi w:val="0"/>
        <w:spacing w:line="360" w:lineRule="auto"/>
        <w:ind w:firstLine="420" w:firstLineChars="200"/>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2.4.4 除专用条件另有约定外，监理人发现承包人的人员不能胜任本职工作的，有权要求承包人予以调换。</w:t>
      </w:r>
    </w:p>
    <w:p>
      <w:pPr>
        <w:keepNext w:val="0"/>
        <w:keepLines w:val="0"/>
        <w:widowControl w:val="0"/>
        <w:kinsoku/>
        <w:wordWrap/>
        <w:overflowPunct/>
        <w:topLinePunct w:val="0"/>
        <w:bidi w:val="0"/>
        <w:spacing w:line="360" w:lineRule="auto"/>
        <w:ind w:left="210" w:leftChars="100"/>
        <w:textAlignment w:val="auto"/>
        <w:rPr>
          <w:rFonts w:hint="eastAsia"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2.5 提交</w:t>
      </w:r>
      <w:r>
        <w:rPr>
          <w:rFonts w:hint="eastAsia" w:ascii="宋体" w:hAnsi="宋体" w:eastAsia="宋体" w:cs="宋体"/>
          <w:color w:val="auto"/>
          <w:kern w:val="0"/>
          <w:szCs w:val="21"/>
          <w:highlight w:val="none"/>
        </w:rPr>
        <w:t>报告</w:t>
      </w:r>
    </w:p>
    <w:p>
      <w:pPr>
        <w:keepNext w:val="0"/>
        <w:keepLines w:val="0"/>
        <w:widowControl w:val="0"/>
        <w:kinsoku/>
        <w:wordWrap/>
        <w:overflowPunct/>
        <w:topLinePunct w:val="0"/>
        <w:bidi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监理人应按专用条件约定的种类、时间和份数向委托人提交监理与相关服务的报告。</w:t>
      </w:r>
    </w:p>
    <w:p>
      <w:pPr>
        <w:keepNext w:val="0"/>
        <w:keepLines w:val="0"/>
        <w:widowControl w:val="0"/>
        <w:kinsoku/>
        <w:wordWrap/>
        <w:overflowPunct/>
        <w:topLinePunct w:val="0"/>
        <w:bidi w:val="0"/>
        <w:spacing w:line="360" w:lineRule="auto"/>
        <w:ind w:left="210" w:leftChars="100"/>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2.6 文件资料</w:t>
      </w:r>
    </w:p>
    <w:p>
      <w:pPr>
        <w:keepNext w:val="0"/>
        <w:keepLines w:val="0"/>
        <w:widowControl w:val="0"/>
        <w:kinsoku/>
        <w:wordWrap/>
        <w:overflowPunct/>
        <w:topLinePunct w:val="0"/>
        <w:bidi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kern w:val="0"/>
          <w:szCs w:val="21"/>
          <w:highlight w:val="none"/>
        </w:rPr>
        <w:t>在本合同履行期内，监理人应在现场保留工作所用的图纸、报告及记录监理工</w:t>
      </w:r>
      <w:r>
        <w:rPr>
          <w:rFonts w:hint="eastAsia" w:ascii="宋体" w:hAnsi="宋体" w:eastAsia="宋体" w:cs="Times New Roman"/>
          <w:color w:val="auto"/>
          <w:szCs w:val="21"/>
          <w:highlight w:val="none"/>
        </w:rPr>
        <w:t>作的相关文件。工程竣工后，应当按照档案管理规定将监理有关文件归档。</w:t>
      </w:r>
    </w:p>
    <w:p>
      <w:pPr>
        <w:keepNext w:val="0"/>
        <w:keepLines w:val="0"/>
        <w:widowControl w:val="0"/>
        <w:kinsoku/>
        <w:wordWrap/>
        <w:overflowPunct/>
        <w:topLinePunct w:val="0"/>
        <w:bidi w:val="0"/>
        <w:spacing w:line="360" w:lineRule="auto"/>
        <w:ind w:left="210" w:leftChars="100"/>
        <w:textAlignment w:val="auto"/>
        <w:rPr>
          <w:rFonts w:hint="eastAsia"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 xml:space="preserve">2.7 </w:t>
      </w:r>
      <w:r>
        <w:rPr>
          <w:rFonts w:hint="eastAsia" w:ascii="宋体" w:hAnsi="宋体" w:eastAsia="宋体" w:cs="宋体"/>
          <w:color w:val="auto"/>
          <w:kern w:val="0"/>
          <w:szCs w:val="21"/>
          <w:highlight w:val="none"/>
        </w:rPr>
        <w:t>使用委托人的财产</w:t>
      </w:r>
    </w:p>
    <w:p>
      <w:pPr>
        <w:keepNext w:val="0"/>
        <w:keepLines w:val="0"/>
        <w:widowControl w:val="0"/>
        <w:kinsoku/>
        <w:wordWrap/>
        <w:overflowPunct/>
        <w:topLinePunct w:val="0"/>
        <w:bidi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keepNext w:val="0"/>
        <w:keepLines w:val="0"/>
        <w:widowControl w:val="0"/>
        <w:kinsoku/>
        <w:wordWrap/>
        <w:overflowPunct/>
        <w:topLinePunct w:val="0"/>
        <w:bidi w:val="0"/>
        <w:spacing w:line="360" w:lineRule="auto"/>
        <w:textAlignment w:val="auto"/>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3．委托人的义务</w:t>
      </w:r>
    </w:p>
    <w:p>
      <w:pPr>
        <w:keepNext w:val="0"/>
        <w:keepLines w:val="0"/>
        <w:widowControl w:val="0"/>
        <w:kinsoku/>
        <w:wordWrap/>
        <w:overflowPunct/>
        <w:topLinePunct w:val="0"/>
        <w:bidi w:val="0"/>
        <w:spacing w:line="360" w:lineRule="auto"/>
        <w:ind w:left="210" w:leftChars="100"/>
        <w:textAlignment w:val="auto"/>
        <w:rPr>
          <w:rFonts w:hint="eastAsia"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 xml:space="preserve">3.1 </w:t>
      </w:r>
      <w:r>
        <w:rPr>
          <w:rFonts w:hint="eastAsia" w:ascii="宋体" w:hAnsi="宋体" w:eastAsia="宋体" w:cs="宋体"/>
          <w:color w:val="auto"/>
          <w:kern w:val="0"/>
          <w:szCs w:val="21"/>
          <w:highlight w:val="none"/>
        </w:rPr>
        <w:t>告知</w:t>
      </w:r>
    </w:p>
    <w:p>
      <w:pPr>
        <w:keepNext w:val="0"/>
        <w:keepLines w:val="0"/>
        <w:widowControl w:val="0"/>
        <w:kinsoku/>
        <w:wordWrap/>
        <w:overflowPunct/>
        <w:topLinePunct w:val="0"/>
        <w:bidi w:val="0"/>
        <w:spacing w:line="360" w:lineRule="auto"/>
        <w:ind w:firstLine="420" w:firstLineChars="200"/>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委托人应在委托人与承包人签订的合同中明确监理人、总监理工程师和授予项目监理机构的权限。如有变更，应及时通知承包人。</w:t>
      </w:r>
    </w:p>
    <w:p>
      <w:pPr>
        <w:keepNext w:val="0"/>
        <w:keepLines w:val="0"/>
        <w:widowControl w:val="0"/>
        <w:kinsoku/>
        <w:wordWrap/>
        <w:overflowPunct/>
        <w:topLinePunct w:val="0"/>
        <w:bidi w:val="0"/>
        <w:spacing w:line="360" w:lineRule="auto"/>
        <w:ind w:left="210" w:leftChars="100"/>
        <w:textAlignment w:val="auto"/>
        <w:rPr>
          <w:rFonts w:hint="eastAsia"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 xml:space="preserve">3.2 </w:t>
      </w:r>
      <w:r>
        <w:rPr>
          <w:rFonts w:hint="eastAsia" w:ascii="宋体" w:hAnsi="宋体" w:eastAsia="宋体" w:cs="宋体"/>
          <w:color w:val="auto"/>
          <w:kern w:val="0"/>
          <w:szCs w:val="21"/>
          <w:highlight w:val="none"/>
        </w:rPr>
        <w:t>提供资料</w:t>
      </w:r>
    </w:p>
    <w:p>
      <w:pPr>
        <w:keepNext w:val="0"/>
        <w:keepLines w:val="0"/>
        <w:widowControl w:val="0"/>
        <w:kinsoku/>
        <w:wordWrap/>
        <w:overflowPunct/>
        <w:topLinePunct w:val="0"/>
        <w:bidi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kern w:val="0"/>
          <w:szCs w:val="21"/>
          <w:highlight w:val="none"/>
        </w:rPr>
        <w:t>委托人应按照附录B约定，无偿向监理人提供工程有关的资料。</w:t>
      </w:r>
      <w:r>
        <w:rPr>
          <w:rFonts w:hint="eastAsia" w:ascii="宋体" w:hAnsi="宋体" w:eastAsia="宋体" w:cs="Times New Roman"/>
          <w:color w:val="auto"/>
          <w:szCs w:val="21"/>
          <w:highlight w:val="none"/>
        </w:rPr>
        <w:t>在本合同履行过程中，委托人应及时向监理人提供最新的与工程有关的资料。</w:t>
      </w:r>
    </w:p>
    <w:p>
      <w:pPr>
        <w:keepNext w:val="0"/>
        <w:keepLines w:val="0"/>
        <w:widowControl w:val="0"/>
        <w:kinsoku/>
        <w:wordWrap/>
        <w:overflowPunct/>
        <w:topLinePunct w:val="0"/>
        <w:bidi w:val="0"/>
        <w:spacing w:line="360" w:lineRule="auto"/>
        <w:ind w:left="210" w:leftChars="100"/>
        <w:textAlignment w:val="auto"/>
        <w:rPr>
          <w:rFonts w:hint="eastAsia"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 xml:space="preserve">3.3 </w:t>
      </w:r>
      <w:r>
        <w:rPr>
          <w:rFonts w:hint="eastAsia" w:ascii="宋体" w:hAnsi="宋体" w:eastAsia="宋体" w:cs="宋体"/>
          <w:color w:val="auto"/>
          <w:kern w:val="0"/>
          <w:szCs w:val="21"/>
          <w:highlight w:val="none"/>
        </w:rPr>
        <w:t>提供工作条件</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委托人应为监理人完成监理与相关服务提供必要的条件。</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kern w:val="0"/>
          <w:szCs w:val="21"/>
          <w:highlight w:val="none"/>
        </w:rPr>
        <w:t xml:space="preserve">3.3.1 </w:t>
      </w:r>
      <w:r>
        <w:rPr>
          <w:rFonts w:hint="eastAsia" w:ascii="宋体" w:hAnsi="宋体" w:eastAsia="宋体" w:cs="Times New Roman"/>
          <w:color w:val="auto"/>
          <w:szCs w:val="21"/>
          <w:highlight w:val="none"/>
        </w:rPr>
        <w:t>委托人应按照附录B约定，派遣相应的人员，提供房屋、设备，供监理人</w:t>
      </w:r>
      <w:r>
        <w:rPr>
          <w:rFonts w:hint="eastAsia" w:ascii="宋体" w:hAnsi="宋体" w:eastAsia="宋体" w:cs="Times New Roman"/>
          <w:color w:val="auto"/>
          <w:kern w:val="0"/>
          <w:szCs w:val="21"/>
          <w:highlight w:val="none"/>
        </w:rPr>
        <w:t>无偿</w:t>
      </w:r>
      <w:r>
        <w:rPr>
          <w:rFonts w:hint="eastAsia" w:ascii="宋体" w:hAnsi="宋体" w:eastAsia="宋体" w:cs="Times New Roman"/>
          <w:color w:val="auto"/>
          <w:szCs w:val="21"/>
          <w:highlight w:val="none"/>
        </w:rPr>
        <w:t>使用。</w:t>
      </w:r>
    </w:p>
    <w:p>
      <w:pPr>
        <w:keepNext w:val="0"/>
        <w:keepLines w:val="0"/>
        <w:widowControl w:val="0"/>
        <w:kinsoku/>
        <w:wordWrap/>
        <w:overflowPunct/>
        <w:topLinePunct w:val="0"/>
        <w:bidi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kern w:val="0"/>
          <w:szCs w:val="21"/>
          <w:highlight w:val="none"/>
        </w:rPr>
        <w:t xml:space="preserve">3.3.2 </w:t>
      </w:r>
      <w:r>
        <w:rPr>
          <w:rFonts w:hint="eastAsia" w:ascii="宋体" w:hAnsi="宋体" w:eastAsia="宋体" w:cs="Times New Roman"/>
          <w:color w:val="auto"/>
          <w:szCs w:val="21"/>
          <w:highlight w:val="none"/>
        </w:rPr>
        <w:t>委托人应负责协调工程建设中所有外部关系，为监理人履行本合同提供必要的外部条件。</w:t>
      </w:r>
    </w:p>
    <w:p>
      <w:pPr>
        <w:keepNext w:val="0"/>
        <w:keepLines w:val="0"/>
        <w:widowControl w:val="0"/>
        <w:kinsoku/>
        <w:wordWrap/>
        <w:overflowPunct/>
        <w:topLinePunct w:val="0"/>
        <w:bidi w:val="0"/>
        <w:snapToGrid w:val="0"/>
        <w:spacing w:line="360" w:lineRule="auto"/>
        <w:ind w:left="210" w:leftChars="100"/>
        <w:textAlignment w:val="auto"/>
        <w:rPr>
          <w:rFonts w:hint="eastAsia"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 xml:space="preserve">3.4 </w:t>
      </w:r>
      <w:r>
        <w:rPr>
          <w:rFonts w:hint="eastAsia" w:ascii="宋体" w:hAnsi="宋体" w:eastAsia="宋体" w:cs="宋体"/>
          <w:color w:val="auto"/>
          <w:kern w:val="0"/>
          <w:szCs w:val="21"/>
          <w:highlight w:val="none"/>
        </w:rPr>
        <w:t>委托人代表</w:t>
      </w:r>
    </w:p>
    <w:p>
      <w:pPr>
        <w:keepNext w:val="0"/>
        <w:keepLines w:val="0"/>
        <w:widowControl w:val="0"/>
        <w:kinsoku/>
        <w:wordWrap/>
        <w:overflowPunct/>
        <w:topLinePunct w:val="0"/>
        <w:bidi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委托人应授权一名熟悉工程情况的代表，负责与监理人联系。委托人应在双方签订本合同后7天内，将委托人代表的姓名和职责书面告知监理人。当委托人更换委托人代表时，应提前7天通知监理人。</w:t>
      </w:r>
    </w:p>
    <w:p>
      <w:pPr>
        <w:keepNext w:val="0"/>
        <w:keepLines w:val="0"/>
        <w:widowControl w:val="0"/>
        <w:kinsoku/>
        <w:wordWrap/>
        <w:overflowPunct/>
        <w:topLinePunct w:val="0"/>
        <w:bidi w:val="0"/>
        <w:snapToGrid w:val="0"/>
        <w:spacing w:line="360" w:lineRule="auto"/>
        <w:ind w:left="210" w:leftChars="100"/>
        <w:textAlignment w:val="auto"/>
        <w:rPr>
          <w:rFonts w:hint="eastAsia"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 xml:space="preserve">3.5 </w:t>
      </w:r>
      <w:r>
        <w:rPr>
          <w:rFonts w:hint="eastAsia" w:ascii="宋体" w:hAnsi="宋体" w:eastAsia="宋体" w:cs="宋体"/>
          <w:color w:val="auto"/>
          <w:kern w:val="0"/>
          <w:szCs w:val="21"/>
          <w:highlight w:val="none"/>
        </w:rPr>
        <w:t>委托人意见或要求</w:t>
      </w:r>
    </w:p>
    <w:p>
      <w:pPr>
        <w:keepNext w:val="0"/>
        <w:keepLines w:val="0"/>
        <w:widowControl w:val="0"/>
        <w:kinsoku/>
        <w:wordWrap/>
        <w:overflowPunct/>
        <w:topLinePunct w:val="0"/>
        <w:bidi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在本合同约定的监理与相关服务工作范围内，委托人对承包人的任何意见或要求应通知监理人，由监理人向承包人发出相应指令。</w:t>
      </w:r>
    </w:p>
    <w:p>
      <w:pPr>
        <w:keepNext w:val="0"/>
        <w:keepLines w:val="0"/>
        <w:widowControl w:val="0"/>
        <w:kinsoku/>
        <w:wordWrap/>
        <w:overflowPunct/>
        <w:topLinePunct w:val="0"/>
        <w:bidi w:val="0"/>
        <w:snapToGrid w:val="0"/>
        <w:spacing w:line="360" w:lineRule="auto"/>
        <w:ind w:left="210" w:leftChars="100"/>
        <w:textAlignment w:val="auto"/>
        <w:rPr>
          <w:rFonts w:hint="eastAsia"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 xml:space="preserve">3.6 </w:t>
      </w:r>
      <w:r>
        <w:rPr>
          <w:rFonts w:hint="eastAsia" w:ascii="宋体" w:hAnsi="宋体" w:eastAsia="宋体" w:cs="宋体"/>
          <w:color w:val="auto"/>
          <w:kern w:val="0"/>
          <w:szCs w:val="21"/>
          <w:highlight w:val="none"/>
        </w:rPr>
        <w:t>答复</w:t>
      </w:r>
    </w:p>
    <w:p>
      <w:pPr>
        <w:keepNext w:val="0"/>
        <w:keepLines w:val="0"/>
        <w:widowControl w:val="0"/>
        <w:kinsoku/>
        <w:wordWrap/>
        <w:overflowPunct/>
        <w:topLinePunct w:val="0"/>
        <w:bidi w:val="0"/>
        <w:snapToGrid w:val="0"/>
        <w:spacing w:line="360" w:lineRule="auto"/>
        <w:ind w:firstLine="525" w:firstLineChars="25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委托人应在专用条件约定的时间内，对监理人以书面形式提交并要求作出决定的事宜，给予书面答复。逾期未答复的，视为委托人认可。</w:t>
      </w:r>
    </w:p>
    <w:p>
      <w:pPr>
        <w:keepNext w:val="0"/>
        <w:keepLines w:val="0"/>
        <w:widowControl w:val="0"/>
        <w:kinsoku/>
        <w:wordWrap/>
        <w:overflowPunct/>
        <w:topLinePunct w:val="0"/>
        <w:bidi w:val="0"/>
        <w:snapToGrid w:val="0"/>
        <w:spacing w:line="360" w:lineRule="auto"/>
        <w:ind w:left="210" w:leftChars="100"/>
        <w:textAlignment w:val="auto"/>
        <w:rPr>
          <w:rFonts w:hint="eastAsia"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 xml:space="preserve">3.7 </w:t>
      </w:r>
      <w:r>
        <w:rPr>
          <w:rFonts w:hint="eastAsia" w:ascii="宋体" w:hAnsi="宋体" w:eastAsia="宋体" w:cs="宋体"/>
          <w:color w:val="auto"/>
          <w:kern w:val="0"/>
          <w:szCs w:val="21"/>
          <w:highlight w:val="none"/>
        </w:rPr>
        <w:t>支付</w:t>
      </w:r>
    </w:p>
    <w:p>
      <w:pPr>
        <w:keepNext w:val="0"/>
        <w:keepLines w:val="0"/>
        <w:widowControl w:val="0"/>
        <w:kinsoku/>
        <w:wordWrap/>
        <w:overflowPunct/>
        <w:topLinePunct w:val="0"/>
        <w:bidi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委托人应按本合同约定，向监理人支付酬金。</w:t>
      </w:r>
    </w:p>
    <w:p>
      <w:pPr>
        <w:keepNext w:val="0"/>
        <w:keepLines w:val="0"/>
        <w:widowControl w:val="0"/>
        <w:kinsoku/>
        <w:wordWrap/>
        <w:overflowPunct/>
        <w:topLinePunct w:val="0"/>
        <w:bidi w:val="0"/>
        <w:snapToGrid w:val="0"/>
        <w:spacing w:line="360" w:lineRule="auto"/>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4. 违约责任</w:t>
      </w:r>
    </w:p>
    <w:p>
      <w:pPr>
        <w:keepNext w:val="0"/>
        <w:keepLines w:val="0"/>
        <w:widowControl w:val="0"/>
        <w:kinsoku/>
        <w:wordWrap/>
        <w:overflowPunct/>
        <w:topLinePunct w:val="0"/>
        <w:bidi w:val="0"/>
        <w:spacing w:line="360" w:lineRule="auto"/>
        <w:ind w:left="210" w:leftChars="100"/>
        <w:textAlignment w:val="auto"/>
        <w:rPr>
          <w:rFonts w:hint="eastAsia"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 xml:space="preserve">4.1 </w:t>
      </w:r>
      <w:r>
        <w:rPr>
          <w:rFonts w:hint="eastAsia" w:ascii="宋体" w:hAnsi="宋体" w:eastAsia="宋体" w:cs="宋体"/>
          <w:color w:val="auto"/>
          <w:kern w:val="0"/>
          <w:szCs w:val="21"/>
          <w:highlight w:val="none"/>
        </w:rPr>
        <w:t>监理人的违约责任</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kern w:val="0"/>
          <w:szCs w:val="21"/>
          <w:highlight w:val="none"/>
        </w:rPr>
        <w:t>监理人未履行本合同义务的，应承担相应的责任。</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4.1.1 因监理人</w:t>
      </w:r>
      <w:r>
        <w:rPr>
          <w:rFonts w:hint="eastAsia" w:ascii="宋体" w:hAnsi="宋体" w:eastAsia="宋体" w:cs="宋体"/>
          <w:color w:val="auto"/>
          <w:kern w:val="0"/>
          <w:szCs w:val="21"/>
          <w:highlight w:val="none"/>
        </w:rPr>
        <w:t>违反本合同约定</w:t>
      </w:r>
      <w:r>
        <w:rPr>
          <w:rFonts w:hint="eastAsia" w:ascii="宋体" w:hAnsi="宋体" w:eastAsia="宋体" w:cs="Times New Roman"/>
          <w:color w:val="auto"/>
          <w:szCs w:val="21"/>
          <w:highlight w:val="none"/>
        </w:rPr>
        <w:t>给委托人造成损失的，监理人应当赔偿委托人损失</w:t>
      </w:r>
      <w:r>
        <w:rPr>
          <w:rFonts w:hint="eastAsia" w:ascii="宋体" w:hAnsi="宋体" w:eastAsia="宋体" w:cs="Times New Roman"/>
          <w:color w:val="auto"/>
          <w:kern w:val="0"/>
          <w:szCs w:val="21"/>
          <w:highlight w:val="none"/>
        </w:rPr>
        <w:t>。赔偿金额的确定方法在专用条件中约定。监理人承担部分赔偿责任的，其承担赔偿金额由双方协商确定。</w:t>
      </w:r>
    </w:p>
    <w:p>
      <w:pPr>
        <w:keepNext w:val="0"/>
        <w:keepLines w:val="0"/>
        <w:widowControl w:val="0"/>
        <w:kinsoku/>
        <w:wordWrap/>
        <w:overflowPunct/>
        <w:topLinePunct w:val="0"/>
        <w:bidi w:val="0"/>
        <w:spacing w:line="360" w:lineRule="auto"/>
        <w:ind w:firstLine="420" w:firstLineChars="200"/>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4.1.2 监理人向委托人的索赔不成立时，监理人应赔偿委托人由此发生的费用。</w:t>
      </w:r>
    </w:p>
    <w:p>
      <w:pPr>
        <w:keepNext w:val="0"/>
        <w:keepLines w:val="0"/>
        <w:widowControl w:val="0"/>
        <w:kinsoku/>
        <w:wordWrap/>
        <w:overflowPunct/>
        <w:topLinePunct w:val="0"/>
        <w:bidi w:val="0"/>
        <w:snapToGrid w:val="0"/>
        <w:spacing w:line="360" w:lineRule="auto"/>
        <w:ind w:firstLine="210" w:firstLineChars="100"/>
        <w:textAlignment w:val="auto"/>
        <w:rPr>
          <w:rFonts w:hint="eastAsia"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4.2 委</w:t>
      </w:r>
      <w:r>
        <w:rPr>
          <w:rFonts w:hint="eastAsia" w:ascii="宋体" w:hAnsi="宋体" w:eastAsia="宋体" w:cs="宋体"/>
          <w:color w:val="auto"/>
          <w:kern w:val="0"/>
          <w:szCs w:val="21"/>
          <w:highlight w:val="none"/>
        </w:rPr>
        <w:t>托人的违约责任</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委托人未履行本合同义务的，应承担相应的责任。</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4.2.1 委托人违反本合同约定造成监理人损失的，委托人应予以赔偿。</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4.2.2 委托人向监理人的索赔不成立时，应赔偿监理人由此引起的费用。</w:t>
      </w:r>
    </w:p>
    <w:p>
      <w:pPr>
        <w:keepNext w:val="0"/>
        <w:keepLines w:val="0"/>
        <w:widowControl w:val="0"/>
        <w:kinsoku/>
        <w:wordWrap/>
        <w:overflowPunct/>
        <w:topLinePunct w:val="0"/>
        <w:bidi w:val="0"/>
        <w:spacing w:line="360" w:lineRule="auto"/>
        <w:ind w:firstLine="420" w:firstLineChars="200"/>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 xml:space="preserve">4.2.3 </w:t>
      </w:r>
      <w:r>
        <w:rPr>
          <w:rFonts w:hint="eastAsia" w:ascii="宋体" w:hAnsi="宋体" w:eastAsia="宋体" w:cs="Times New Roman"/>
          <w:color w:val="auto"/>
          <w:kern w:val="0"/>
          <w:szCs w:val="21"/>
          <w:highlight w:val="none"/>
        </w:rPr>
        <w:t>委托人未能按期支付</w:t>
      </w:r>
      <w:r>
        <w:rPr>
          <w:rFonts w:hint="eastAsia" w:ascii="宋体" w:hAnsi="宋体" w:eastAsia="宋体" w:cs="Times New Roman"/>
          <w:color w:val="auto"/>
          <w:szCs w:val="21"/>
          <w:highlight w:val="none"/>
        </w:rPr>
        <w:t>酬金</w:t>
      </w:r>
      <w:r>
        <w:rPr>
          <w:rFonts w:hint="eastAsia" w:ascii="宋体" w:hAnsi="宋体" w:eastAsia="宋体" w:cs="Times New Roman"/>
          <w:color w:val="auto"/>
          <w:kern w:val="0"/>
          <w:szCs w:val="21"/>
          <w:highlight w:val="none"/>
        </w:rPr>
        <w:t>超过28天，</w:t>
      </w:r>
      <w:r>
        <w:rPr>
          <w:rFonts w:hint="eastAsia" w:ascii="宋体" w:hAnsi="宋体" w:eastAsia="宋体" w:cs="宋体"/>
          <w:color w:val="auto"/>
          <w:kern w:val="0"/>
          <w:szCs w:val="21"/>
          <w:highlight w:val="none"/>
        </w:rPr>
        <w:t>应按专用条件约定支付逾期付款利息</w:t>
      </w:r>
      <w:r>
        <w:rPr>
          <w:rFonts w:hint="eastAsia" w:ascii="宋体" w:hAnsi="宋体" w:eastAsia="宋体" w:cs="Times New Roman"/>
          <w:color w:val="auto"/>
          <w:kern w:val="0"/>
          <w:szCs w:val="21"/>
          <w:highlight w:val="none"/>
        </w:rPr>
        <w:t>。</w:t>
      </w:r>
    </w:p>
    <w:p>
      <w:pPr>
        <w:keepNext w:val="0"/>
        <w:keepLines w:val="0"/>
        <w:widowControl w:val="0"/>
        <w:kinsoku/>
        <w:wordWrap/>
        <w:overflowPunct/>
        <w:topLinePunct w:val="0"/>
        <w:bidi w:val="0"/>
        <w:spacing w:line="360" w:lineRule="auto"/>
        <w:ind w:firstLine="210" w:firstLineChars="100"/>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4.3 除外责任</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因非监理人的原因，且监理人无过错，发生工程质量事故、安全事故、工期延误等造成的损失，监理人不承担赔偿责任。</w:t>
      </w:r>
    </w:p>
    <w:p>
      <w:pPr>
        <w:keepNext w:val="0"/>
        <w:keepLines w:val="0"/>
        <w:widowControl w:val="0"/>
        <w:kinsoku/>
        <w:wordWrap/>
        <w:overflowPunct/>
        <w:topLinePunct w:val="0"/>
        <w:bidi w:val="0"/>
        <w:snapToGrid w:val="0"/>
        <w:spacing w:line="360" w:lineRule="auto"/>
        <w:ind w:firstLine="420" w:firstLineChars="200"/>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因不可抗力导致本合同全部或部分不能履行时，双方各自承担其因此而造成的损失、损害。</w:t>
      </w:r>
    </w:p>
    <w:p>
      <w:pPr>
        <w:keepNext w:val="0"/>
        <w:keepLines w:val="0"/>
        <w:widowControl w:val="0"/>
        <w:kinsoku/>
        <w:wordWrap/>
        <w:overflowPunct/>
        <w:topLinePunct w:val="0"/>
        <w:bidi w:val="0"/>
        <w:snapToGrid w:val="0"/>
        <w:spacing w:line="360" w:lineRule="auto"/>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5. 支付</w:t>
      </w:r>
    </w:p>
    <w:p>
      <w:pPr>
        <w:keepNext w:val="0"/>
        <w:keepLines w:val="0"/>
        <w:widowControl w:val="0"/>
        <w:kinsoku/>
        <w:wordWrap/>
        <w:overflowPunct/>
        <w:topLinePunct w:val="0"/>
        <w:bidi w:val="0"/>
        <w:snapToGrid w:val="0"/>
        <w:spacing w:line="360" w:lineRule="auto"/>
        <w:ind w:left="210" w:leftChars="100"/>
        <w:textAlignment w:val="auto"/>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 xml:space="preserve">5.1 </w:t>
      </w:r>
      <w:r>
        <w:rPr>
          <w:rFonts w:hint="eastAsia" w:ascii="宋体" w:hAnsi="宋体" w:eastAsia="宋体" w:cs="Times New Roman"/>
          <w:bCs/>
          <w:color w:val="auto"/>
          <w:szCs w:val="21"/>
          <w:highlight w:val="none"/>
        </w:rPr>
        <w:t>支付货币</w:t>
      </w:r>
    </w:p>
    <w:p>
      <w:pPr>
        <w:keepNext w:val="0"/>
        <w:keepLines w:val="0"/>
        <w:widowControl w:val="0"/>
        <w:kinsoku/>
        <w:wordWrap/>
        <w:overflowPunct/>
        <w:topLinePunct w:val="0"/>
        <w:bidi w:val="0"/>
        <w:snapToGrid w:val="0"/>
        <w:spacing w:line="360" w:lineRule="auto"/>
        <w:ind w:firstLine="420" w:firstLineChars="200"/>
        <w:textAlignment w:val="auto"/>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除专用条件另有约定外，酬金均以人民币支付。涉及外币支付的，所采用的货币种类、比例和汇率在专用条件中约定。</w:t>
      </w:r>
    </w:p>
    <w:p>
      <w:pPr>
        <w:keepNext w:val="0"/>
        <w:keepLines w:val="0"/>
        <w:widowControl w:val="0"/>
        <w:kinsoku/>
        <w:wordWrap/>
        <w:overflowPunct/>
        <w:topLinePunct w:val="0"/>
        <w:bidi w:val="0"/>
        <w:snapToGrid w:val="0"/>
        <w:spacing w:line="360" w:lineRule="auto"/>
        <w:ind w:left="210" w:leftChars="100"/>
        <w:textAlignment w:val="auto"/>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5.2 支付申请</w:t>
      </w:r>
    </w:p>
    <w:p>
      <w:pPr>
        <w:keepNext w:val="0"/>
        <w:keepLines w:val="0"/>
        <w:widowControl w:val="0"/>
        <w:kinsoku/>
        <w:wordWrap/>
        <w:overflowPunct/>
        <w:topLinePunct w:val="0"/>
        <w:bidi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监理人应在本合同约定的每次应付款时间的7天前，向委托人提交支付申请书。支付申请书应当说明当期应付款总额，并列出当期应支付的款项及其金额。</w:t>
      </w:r>
    </w:p>
    <w:p>
      <w:pPr>
        <w:keepNext w:val="0"/>
        <w:keepLines w:val="0"/>
        <w:widowControl w:val="0"/>
        <w:kinsoku/>
        <w:wordWrap/>
        <w:overflowPunct/>
        <w:topLinePunct w:val="0"/>
        <w:bidi w:val="0"/>
        <w:snapToGrid w:val="0"/>
        <w:spacing w:line="360" w:lineRule="auto"/>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5.3 支付酬金</w:t>
      </w:r>
    </w:p>
    <w:p>
      <w:pPr>
        <w:keepNext w:val="0"/>
        <w:keepLines w:val="0"/>
        <w:widowControl w:val="0"/>
        <w:kinsoku/>
        <w:wordWrap/>
        <w:overflowPunct/>
        <w:topLinePunct w:val="0"/>
        <w:bidi w:val="0"/>
        <w:snapToGrid w:val="0"/>
        <w:spacing w:line="360" w:lineRule="auto"/>
        <w:ind w:firstLine="48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支付的酬金包括正常工作酬金、附加工作酬金、合理化建议奖励金额及费用。</w:t>
      </w:r>
    </w:p>
    <w:p>
      <w:pPr>
        <w:keepNext w:val="0"/>
        <w:keepLines w:val="0"/>
        <w:widowControl w:val="0"/>
        <w:kinsoku/>
        <w:wordWrap/>
        <w:overflowPunct/>
        <w:topLinePunct w:val="0"/>
        <w:bidi w:val="0"/>
        <w:snapToGrid w:val="0"/>
        <w:spacing w:line="360" w:lineRule="auto"/>
        <w:textAlignment w:val="auto"/>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 xml:space="preserve">5.4 </w:t>
      </w:r>
      <w:r>
        <w:rPr>
          <w:rFonts w:hint="eastAsia" w:ascii="宋体" w:hAnsi="宋体" w:eastAsia="宋体" w:cs="Times New Roman"/>
          <w:bCs/>
          <w:color w:val="auto"/>
          <w:szCs w:val="21"/>
          <w:highlight w:val="none"/>
        </w:rPr>
        <w:t>有争议部分的付款</w:t>
      </w:r>
    </w:p>
    <w:p>
      <w:pPr>
        <w:keepNext w:val="0"/>
        <w:keepLines w:val="0"/>
        <w:widowControl w:val="0"/>
        <w:kinsoku/>
        <w:wordWrap/>
        <w:overflowPunct/>
        <w:topLinePunct w:val="0"/>
        <w:bidi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委托人对监理人提交的支付申请书有异议时，应当在收到监理人提交的支付申请书后7天内，以书面形式向监理人发出异议通知。无异议部分的款项应按期支付，有异议部分的款项按第7条约定办理。</w:t>
      </w:r>
    </w:p>
    <w:p>
      <w:pPr>
        <w:keepNext w:val="0"/>
        <w:keepLines w:val="0"/>
        <w:widowControl w:val="0"/>
        <w:kinsoku/>
        <w:wordWrap/>
        <w:overflowPunct/>
        <w:topLinePunct w:val="0"/>
        <w:bidi w:val="0"/>
        <w:snapToGrid w:val="0"/>
        <w:spacing w:line="360" w:lineRule="auto"/>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6. 合同生效、变更、暂停、解除与终止</w:t>
      </w:r>
    </w:p>
    <w:p>
      <w:pPr>
        <w:keepNext w:val="0"/>
        <w:keepLines w:val="0"/>
        <w:widowControl w:val="0"/>
        <w:kinsoku/>
        <w:wordWrap/>
        <w:overflowPunct/>
        <w:topLinePunct w:val="0"/>
        <w:bidi w:val="0"/>
        <w:spacing w:line="360" w:lineRule="auto"/>
        <w:ind w:left="210" w:leftChars="1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6.1生效</w:t>
      </w:r>
    </w:p>
    <w:p>
      <w:pPr>
        <w:keepNext w:val="0"/>
        <w:keepLines w:val="0"/>
        <w:widowControl w:val="0"/>
        <w:kinsoku/>
        <w:wordWrap/>
        <w:overflowPunct/>
        <w:topLinePunct w:val="0"/>
        <w:bidi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除法律另有规定或者专用条件另有约定外，委托人和监理人的法定代表人或其授权代理人在协议书上签字并盖单位章后本合同生效。</w:t>
      </w:r>
    </w:p>
    <w:p>
      <w:pPr>
        <w:keepNext w:val="0"/>
        <w:keepLines w:val="0"/>
        <w:widowControl w:val="0"/>
        <w:kinsoku/>
        <w:wordWrap/>
        <w:overflowPunct/>
        <w:topLinePunct w:val="0"/>
        <w:bidi w:val="0"/>
        <w:snapToGrid w:val="0"/>
        <w:spacing w:line="360" w:lineRule="auto"/>
        <w:ind w:left="210" w:leftChars="100"/>
        <w:textAlignment w:val="auto"/>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6.2</w:t>
      </w:r>
      <w:r>
        <w:rPr>
          <w:rFonts w:hint="eastAsia" w:ascii="宋体" w:hAnsi="宋体" w:eastAsia="宋体" w:cs="Times New Roman"/>
          <w:bCs/>
          <w:color w:val="auto"/>
          <w:szCs w:val="21"/>
          <w:highlight w:val="none"/>
        </w:rPr>
        <w:t>变更</w:t>
      </w:r>
    </w:p>
    <w:p>
      <w:pPr>
        <w:keepNext w:val="0"/>
        <w:keepLines w:val="0"/>
        <w:widowControl w:val="0"/>
        <w:kinsoku/>
        <w:wordWrap/>
        <w:overflowPunct/>
        <w:topLinePunct w:val="0"/>
        <w:bidi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6.2.1 任何一方提出变更请求时，双方经协商一致后可进行变更。</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keepNext w:val="0"/>
        <w:keepLines w:val="0"/>
        <w:widowControl w:val="0"/>
        <w:kinsoku/>
        <w:wordWrap/>
        <w:overflowPunct/>
        <w:topLinePunct w:val="0"/>
        <w:bidi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6.2.4合同签订后，遇有与工程相关的法律法规、标准颁布或修订的，双方应遵照执行。由此引起监理与相关服务的范围、时间、酬金变化的，双方应通过协商进行相应调整。</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6.2.5 因非监理人原因造成工程概算投资额或建筑安装工程费增加时，正常工作酬金应作相应调整。调整方法在专用条件中约定。</w:t>
      </w:r>
    </w:p>
    <w:p>
      <w:pPr>
        <w:keepNext w:val="0"/>
        <w:keepLines w:val="0"/>
        <w:widowControl w:val="0"/>
        <w:kinsoku/>
        <w:wordWrap/>
        <w:overflowPunct/>
        <w:topLinePunct w:val="0"/>
        <w:bidi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6.2.6 因工程规模、监理范围的变化导致监理人的正常工作量减少时，正常工作酬金应作相应调整。调整方法在专用条件中约定。</w:t>
      </w:r>
    </w:p>
    <w:p>
      <w:pPr>
        <w:keepNext w:val="0"/>
        <w:keepLines w:val="0"/>
        <w:widowControl w:val="0"/>
        <w:kinsoku/>
        <w:wordWrap/>
        <w:overflowPunct/>
        <w:topLinePunct w:val="0"/>
        <w:bidi w:val="0"/>
        <w:snapToGrid w:val="0"/>
        <w:spacing w:line="360" w:lineRule="auto"/>
        <w:textAlignment w:val="auto"/>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6.3 暂停与</w:t>
      </w:r>
      <w:r>
        <w:rPr>
          <w:rFonts w:hint="eastAsia" w:ascii="宋体" w:hAnsi="宋体" w:eastAsia="宋体" w:cs="Times New Roman"/>
          <w:bCs/>
          <w:color w:val="auto"/>
          <w:szCs w:val="21"/>
          <w:highlight w:val="none"/>
        </w:rPr>
        <w:t>解除</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除双方协商一致可以解除本合同外，当一方无正当理由未履行本合同约定的义务时，另一方可以根据本合同约定暂停履行本合同直至解除本合同。</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因解除本合同或解除监理人的部分义务导致监理人遭受的损失，除依法可以免除责任的情况外，应由委托人予以补偿，补偿金额由双方协商确定。</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解除本合同的协议必须采取书面形式，协议未达成之前，本合同仍然有效。</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宋体" w:hAnsi="宋体" w:eastAsia="宋体" w:cs="Times New Roman"/>
          <w:color w:val="auto"/>
          <w:kern w:val="0"/>
          <w:szCs w:val="21"/>
          <w:highlight w:val="none"/>
        </w:rPr>
        <w:t>的</w:t>
      </w:r>
      <w:r>
        <w:rPr>
          <w:rFonts w:hint="eastAsia" w:ascii="宋体" w:hAnsi="宋体" w:eastAsia="宋体" w:cs="Times New Roman"/>
          <w:color w:val="auto"/>
          <w:szCs w:val="21"/>
          <w:highlight w:val="none"/>
        </w:rPr>
        <w:t>酬金支付至本合同解除日，且应承担第4.2款约定的责任。</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宋体" w:hAnsi="宋体" w:eastAsia="宋体" w:cs="Times New Roman"/>
          <w:color w:val="auto"/>
          <w:kern w:val="0"/>
          <w:szCs w:val="21"/>
          <w:highlight w:val="none"/>
        </w:rPr>
        <w:t>的</w:t>
      </w:r>
      <w:r>
        <w:rPr>
          <w:rFonts w:hint="eastAsia" w:ascii="宋体" w:hAnsi="宋体" w:eastAsia="宋体" w:cs="Times New Roman"/>
          <w:color w:val="auto"/>
          <w:szCs w:val="21"/>
          <w:highlight w:val="none"/>
        </w:rPr>
        <w:t>酬金支付至</w:t>
      </w:r>
      <w:r>
        <w:rPr>
          <w:rFonts w:hint="eastAsia" w:ascii="宋体" w:hAnsi="宋体" w:eastAsia="宋体" w:cs="Times New Roman"/>
          <w:color w:val="auto"/>
          <w:kern w:val="0"/>
          <w:szCs w:val="21"/>
          <w:highlight w:val="none"/>
        </w:rPr>
        <w:t>限期改正通知到达监理人之日</w:t>
      </w:r>
      <w:r>
        <w:rPr>
          <w:rFonts w:hint="eastAsia" w:ascii="宋体" w:hAnsi="宋体" w:eastAsia="宋体" w:cs="Times New Roman"/>
          <w:color w:val="auto"/>
          <w:szCs w:val="21"/>
          <w:highlight w:val="none"/>
        </w:rPr>
        <w:t>，但监理人应承担第4.1款约定的责任。</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6.3.4 监理人在专用条件5.3中约定的支付之日起28天后仍未收到委托人按本合同约定应付的款项，可向委托人发出催付通知。委托人接到通知15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keepNext w:val="0"/>
        <w:keepLines w:val="0"/>
        <w:widowControl w:val="0"/>
        <w:kinsoku/>
        <w:wordWrap/>
        <w:overflowPunct/>
        <w:topLinePunct w:val="0"/>
        <w:bidi w:val="0"/>
        <w:snapToGrid w:val="0"/>
        <w:spacing w:line="360" w:lineRule="auto"/>
        <w:ind w:firstLine="420" w:firstLineChars="200"/>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6.3.5 因不可抗力致使本合同部分或全部不能履行时，一方应立即通知另一方，可暂停或解除本合同。</w:t>
      </w:r>
    </w:p>
    <w:p>
      <w:pPr>
        <w:keepNext w:val="0"/>
        <w:keepLines w:val="0"/>
        <w:widowControl w:val="0"/>
        <w:kinsoku/>
        <w:wordWrap/>
        <w:overflowPunct/>
        <w:topLinePunct w:val="0"/>
        <w:bidi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6.3.6 本合同解除后，本合同约定的有关结算、清理、争议解决方式的条件仍然有效。</w:t>
      </w:r>
    </w:p>
    <w:p>
      <w:pPr>
        <w:keepNext w:val="0"/>
        <w:keepLines w:val="0"/>
        <w:widowControl w:val="0"/>
        <w:kinsoku/>
        <w:wordWrap/>
        <w:overflowPunct/>
        <w:topLinePunct w:val="0"/>
        <w:bidi w:val="0"/>
        <w:snapToGrid w:val="0"/>
        <w:spacing w:line="360" w:lineRule="auto"/>
        <w:ind w:left="210" w:leftChars="100"/>
        <w:textAlignment w:val="auto"/>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 xml:space="preserve">6.4 </w:t>
      </w:r>
      <w:r>
        <w:rPr>
          <w:rFonts w:hint="eastAsia" w:ascii="宋体" w:hAnsi="宋体" w:eastAsia="宋体" w:cs="Times New Roman"/>
          <w:bCs/>
          <w:color w:val="auto"/>
          <w:szCs w:val="21"/>
          <w:highlight w:val="none"/>
        </w:rPr>
        <w:t>终止</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以下条件全部满足时，本合同即告终止：</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（1）监理人完成本合同约定的全部工作；</w:t>
      </w:r>
    </w:p>
    <w:p>
      <w:pPr>
        <w:keepNext w:val="0"/>
        <w:keepLines w:val="0"/>
        <w:widowControl w:val="0"/>
        <w:kinsoku/>
        <w:wordWrap/>
        <w:overflowPunct/>
        <w:topLinePunct w:val="0"/>
        <w:bidi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（2）委托人与监理人结清并支付全部酬金。</w:t>
      </w:r>
    </w:p>
    <w:p>
      <w:pPr>
        <w:keepNext w:val="0"/>
        <w:keepLines w:val="0"/>
        <w:widowControl w:val="0"/>
        <w:kinsoku/>
        <w:wordWrap/>
        <w:overflowPunct/>
        <w:topLinePunct w:val="0"/>
        <w:bidi w:val="0"/>
        <w:snapToGrid w:val="0"/>
        <w:spacing w:line="360" w:lineRule="auto"/>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7. 争议解决</w:t>
      </w:r>
    </w:p>
    <w:p>
      <w:pPr>
        <w:keepNext w:val="0"/>
        <w:keepLines w:val="0"/>
        <w:widowControl w:val="0"/>
        <w:kinsoku/>
        <w:wordWrap/>
        <w:overflowPunct/>
        <w:topLinePunct w:val="0"/>
        <w:bidi w:val="0"/>
        <w:snapToGrid w:val="0"/>
        <w:spacing w:line="360" w:lineRule="auto"/>
        <w:ind w:left="210" w:leftChars="100"/>
        <w:textAlignment w:val="auto"/>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7.1</w:t>
      </w:r>
      <w:r>
        <w:rPr>
          <w:rFonts w:hint="eastAsia" w:ascii="宋体" w:hAnsi="宋体" w:eastAsia="宋体" w:cs="Times New Roman"/>
          <w:bCs/>
          <w:color w:val="auto"/>
          <w:szCs w:val="21"/>
          <w:highlight w:val="none"/>
        </w:rPr>
        <w:t>协商</w:t>
      </w:r>
    </w:p>
    <w:p>
      <w:pPr>
        <w:keepNext w:val="0"/>
        <w:keepLines w:val="0"/>
        <w:widowControl w:val="0"/>
        <w:kinsoku/>
        <w:wordWrap/>
        <w:overflowPunct/>
        <w:topLinePunct w:val="0"/>
        <w:bidi w:val="0"/>
        <w:snapToGrid w:val="0"/>
        <w:spacing w:line="360" w:lineRule="auto"/>
        <w:ind w:firstLine="420" w:firstLineChars="200"/>
        <w:textAlignment w:val="auto"/>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双方应本着诚信原则协商解决彼此间的争议。</w:t>
      </w:r>
    </w:p>
    <w:p>
      <w:pPr>
        <w:keepNext w:val="0"/>
        <w:keepLines w:val="0"/>
        <w:widowControl w:val="0"/>
        <w:kinsoku/>
        <w:wordWrap/>
        <w:overflowPunct/>
        <w:topLinePunct w:val="0"/>
        <w:bidi w:val="0"/>
        <w:snapToGrid w:val="0"/>
        <w:spacing w:line="360" w:lineRule="auto"/>
        <w:ind w:left="210" w:leftChars="100"/>
        <w:textAlignment w:val="auto"/>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7.2</w:t>
      </w:r>
      <w:r>
        <w:rPr>
          <w:rFonts w:hint="eastAsia" w:ascii="宋体" w:hAnsi="宋体" w:eastAsia="宋体" w:cs="Times New Roman"/>
          <w:bCs/>
          <w:color w:val="auto"/>
          <w:szCs w:val="21"/>
          <w:highlight w:val="none"/>
        </w:rPr>
        <w:t>调解</w:t>
      </w:r>
    </w:p>
    <w:p>
      <w:pPr>
        <w:keepNext w:val="0"/>
        <w:keepLines w:val="0"/>
        <w:widowControl w:val="0"/>
        <w:kinsoku/>
        <w:wordWrap/>
        <w:overflowPunct/>
        <w:topLinePunct w:val="0"/>
        <w:bidi w:val="0"/>
        <w:snapToGrid w:val="0"/>
        <w:spacing w:line="360" w:lineRule="auto"/>
        <w:ind w:firstLine="420" w:firstLineChars="200"/>
        <w:textAlignment w:val="auto"/>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如果双方不能在14天内或双方商定的其他时间内解决本合同争议，可以将其提交给专用条件约定的或事后达成协议的调解人进行调解。</w:t>
      </w:r>
    </w:p>
    <w:p>
      <w:pPr>
        <w:keepNext w:val="0"/>
        <w:keepLines w:val="0"/>
        <w:widowControl w:val="0"/>
        <w:kinsoku/>
        <w:wordWrap/>
        <w:overflowPunct/>
        <w:topLinePunct w:val="0"/>
        <w:bidi w:val="0"/>
        <w:snapToGrid w:val="0"/>
        <w:spacing w:line="360" w:lineRule="auto"/>
        <w:ind w:left="210" w:leftChars="100"/>
        <w:textAlignment w:val="auto"/>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7.3</w:t>
      </w:r>
      <w:r>
        <w:rPr>
          <w:rFonts w:hint="eastAsia" w:ascii="宋体" w:hAnsi="宋体" w:eastAsia="宋体" w:cs="Times New Roman"/>
          <w:bCs/>
          <w:color w:val="auto"/>
          <w:szCs w:val="21"/>
          <w:highlight w:val="none"/>
        </w:rPr>
        <w:t>仲裁或诉讼</w:t>
      </w:r>
    </w:p>
    <w:p>
      <w:pPr>
        <w:snapToGrid w:val="0"/>
        <w:spacing w:before="0" w:after="0" w:line="360" w:lineRule="auto"/>
        <w:ind w:left="0" w:right="0" w:firstLine="420" w:firstLineChars="200"/>
        <w:jc w:val="both"/>
        <w:rPr>
          <w:rFonts w:ascii="Times New Roman" w:hAnsi="Times New Roman" w:eastAsia="宋体" w:cs="Times New Roman"/>
          <w:color w:val="auto"/>
        </w:rPr>
      </w:pPr>
      <w:r>
        <w:rPr>
          <w:rFonts w:ascii="宋体" w:hAnsi="宋体" w:eastAsia="宋体" w:cs="宋体"/>
          <w:i w:val="0"/>
          <w:strike w:val="0"/>
          <w:color w:val="auto"/>
          <w:sz w:val="21"/>
          <w:u w:val="none"/>
        </w:rPr>
        <w:t>因违反或终止合同而引起的对对方损失和损害的赔偿，双方应当协商解决，如未能达成一致，可提交主管部门协调，如仍未能达成一致时，向委托人所在地的人民法院起诉。</w:t>
      </w:r>
    </w:p>
    <w:p>
      <w:pPr>
        <w:keepNext w:val="0"/>
        <w:keepLines w:val="0"/>
        <w:widowControl w:val="0"/>
        <w:kinsoku/>
        <w:wordWrap/>
        <w:overflowPunct/>
        <w:topLinePunct w:val="0"/>
        <w:bidi w:val="0"/>
        <w:snapToGrid w:val="0"/>
        <w:spacing w:line="360" w:lineRule="auto"/>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8. 其他</w:t>
      </w:r>
    </w:p>
    <w:p>
      <w:pPr>
        <w:keepNext w:val="0"/>
        <w:keepLines w:val="0"/>
        <w:widowControl w:val="0"/>
        <w:kinsoku/>
        <w:wordWrap/>
        <w:overflowPunct/>
        <w:topLinePunct w:val="0"/>
        <w:bidi w:val="0"/>
        <w:spacing w:line="360" w:lineRule="auto"/>
        <w:ind w:left="210" w:leftChars="100"/>
        <w:textAlignment w:val="auto"/>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 xml:space="preserve">8.1 </w:t>
      </w:r>
      <w:r>
        <w:rPr>
          <w:rFonts w:hint="eastAsia" w:ascii="宋体" w:hAnsi="宋体" w:eastAsia="宋体" w:cs="Times New Roman"/>
          <w:bCs/>
          <w:color w:val="auto"/>
          <w:szCs w:val="21"/>
          <w:highlight w:val="none"/>
        </w:rPr>
        <w:t>外出考察费用</w:t>
      </w:r>
    </w:p>
    <w:p>
      <w:pPr>
        <w:keepNext w:val="0"/>
        <w:keepLines w:val="0"/>
        <w:widowControl w:val="0"/>
        <w:kinsoku/>
        <w:wordWrap/>
        <w:overflowPunct/>
        <w:topLinePunct w:val="0"/>
        <w:bidi w:val="0"/>
        <w:snapToGrid w:val="0"/>
        <w:spacing w:line="360" w:lineRule="auto"/>
        <w:ind w:firstLine="420" w:firstLineChars="200"/>
        <w:textAlignment w:val="auto"/>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经委托人同意，监理人员外出考察发生的费用由委托人审核后支付。</w:t>
      </w:r>
    </w:p>
    <w:p>
      <w:pPr>
        <w:keepNext w:val="0"/>
        <w:keepLines w:val="0"/>
        <w:widowControl w:val="0"/>
        <w:kinsoku/>
        <w:wordWrap/>
        <w:overflowPunct/>
        <w:topLinePunct w:val="0"/>
        <w:bidi w:val="0"/>
        <w:snapToGrid w:val="0"/>
        <w:spacing w:line="360" w:lineRule="auto"/>
        <w:ind w:left="210" w:leftChars="100"/>
        <w:textAlignment w:val="auto"/>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 xml:space="preserve">8.2 </w:t>
      </w:r>
      <w:r>
        <w:rPr>
          <w:rFonts w:hint="eastAsia" w:ascii="宋体" w:hAnsi="宋体" w:eastAsia="宋体" w:cs="Times New Roman"/>
          <w:bCs/>
          <w:color w:val="auto"/>
          <w:szCs w:val="21"/>
          <w:highlight w:val="none"/>
        </w:rPr>
        <w:t>检测费用</w:t>
      </w:r>
    </w:p>
    <w:p>
      <w:pPr>
        <w:keepNext w:val="0"/>
        <w:keepLines w:val="0"/>
        <w:widowControl w:val="0"/>
        <w:kinsoku/>
        <w:wordWrap/>
        <w:overflowPunct/>
        <w:topLinePunct w:val="0"/>
        <w:bidi w:val="0"/>
        <w:snapToGrid w:val="0"/>
        <w:spacing w:line="360" w:lineRule="auto"/>
        <w:ind w:firstLine="420" w:firstLineChars="200"/>
        <w:textAlignment w:val="auto"/>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委托人要求监理人进行的材料和设备检测所发生的费用，由委托人支付，支付时间在专用条件中约定。</w:t>
      </w:r>
    </w:p>
    <w:p>
      <w:pPr>
        <w:keepNext w:val="0"/>
        <w:keepLines w:val="0"/>
        <w:widowControl w:val="0"/>
        <w:kinsoku/>
        <w:wordWrap/>
        <w:overflowPunct/>
        <w:topLinePunct w:val="0"/>
        <w:bidi w:val="0"/>
        <w:snapToGrid w:val="0"/>
        <w:spacing w:line="360" w:lineRule="auto"/>
        <w:ind w:left="210" w:leftChars="100"/>
        <w:textAlignment w:val="auto"/>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 xml:space="preserve">8.3 </w:t>
      </w:r>
      <w:r>
        <w:rPr>
          <w:rFonts w:hint="eastAsia" w:ascii="宋体" w:hAnsi="宋体" w:eastAsia="宋体" w:cs="Times New Roman"/>
          <w:bCs/>
          <w:color w:val="auto"/>
          <w:szCs w:val="21"/>
          <w:highlight w:val="none"/>
        </w:rPr>
        <w:t>咨询费用</w:t>
      </w:r>
    </w:p>
    <w:p>
      <w:pPr>
        <w:keepNext w:val="0"/>
        <w:keepLines w:val="0"/>
        <w:widowControl w:val="0"/>
        <w:kinsoku/>
        <w:wordWrap/>
        <w:overflowPunct/>
        <w:topLinePunct w:val="0"/>
        <w:bidi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经委托人同意，根据工程需要由监理人组织的相关咨询论证会以及聘请相关专家等发生的费用由委托人支付，支付时间在专用条件中约定。</w:t>
      </w:r>
    </w:p>
    <w:p>
      <w:pPr>
        <w:keepNext w:val="0"/>
        <w:keepLines w:val="0"/>
        <w:widowControl w:val="0"/>
        <w:kinsoku/>
        <w:wordWrap/>
        <w:overflowPunct/>
        <w:topLinePunct w:val="0"/>
        <w:bidi w:val="0"/>
        <w:snapToGrid w:val="0"/>
        <w:spacing w:line="360" w:lineRule="auto"/>
        <w:ind w:left="210" w:leftChars="100"/>
        <w:textAlignment w:val="auto"/>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 xml:space="preserve">8.4 </w:t>
      </w:r>
      <w:r>
        <w:rPr>
          <w:rFonts w:hint="eastAsia" w:ascii="宋体" w:hAnsi="宋体" w:eastAsia="宋体" w:cs="Times New Roman"/>
          <w:bCs/>
          <w:color w:val="auto"/>
          <w:szCs w:val="21"/>
          <w:highlight w:val="none"/>
        </w:rPr>
        <w:t>奖励</w:t>
      </w:r>
    </w:p>
    <w:p>
      <w:pPr>
        <w:keepNext w:val="0"/>
        <w:keepLines w:val="0"/>
        <w:widowControl w:val="0"/>
        <w:kinsoku/>
        <w:wordWrap/>
        <w:overflowPunct/>
        <w:topLinePunct w:val="0"/>
        <w:bidi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监理人在服务过程中提出的合理化建议，使委托人获得经济效益的，双方在专用条件中约定奖励金额的确定方法。奖励金额在合理化建议被采纳后，与最近一期的正常工作酬金同期支付。</w:t>
      </w:r>
    </w:p>
    <w:p>
      <w:pPr>
        <w:keepNext w:val="0"/>
        <w:keepLines w:val="0"/>
        <w:widowControl w:val="0"/>
        <w:kinsoku/>
        <w:wordWrap/>
        <w:overflowPunct/>
        <w:topLinePunct w:val="0"/>
        <w:bidi w:val="0"/>
        <w:snapToGrid w:val="0"/>
        <w:spacing w:line="360" w:lineRule="auto"/>
        <w:ind w:left="210" w:leftChars="100"/>
        <w:textAlignment w:val="auto"/>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 xml:space="preserve">8.5 </w:t>
      </w:r>
      <w:r>
        <w:rPr>
          <w:rFonts w:hint="eastAsia" w:ascii="宋体" w:hAnsi="宋体" w:eastAsia="宋体" w:cs="Times New Roman"/>
          <w:bCs/>
          <w:color w:val="auto"/>
          <w:szCs w:val="21"/>
          <w:highlight w:val="none"/>
        </w:rPr>
        <w:t>守法诚信</w:t>
      </w:r>
    </w:p>
    <w:p>
      <w:pPr>
        <w:keepNext w:val="0"/>
        <w:keepLines w:val="0"/>
        <w:widowControl w:val="0"/>
        <w:kinsoku/>
        <w:wordWrap/>
        <w:overflowPunct/>
        <w:topLinePunct w:val="0"/>
        <w:bidi w:val="0"/>
        <w:snapToGrid w:val="0"/>
        <w:spacing w:line="360" w:lineRule="auto"/>
        <w:ind w:firstLine="420" w:firstLineChars="200"/>
        <w:textAlignment w:val="auto"/>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监理人及其工作人员不得从与实施工程有关的第三方处获得任何经济利益。</w:t>
      </w:r>
    </w:p>
    <w:p>
      <w:pPr>
        <w:keepNext w:val="0"/>
        <w:keepLines w:val="0"/>
        <w:widowControl w:val="0"/>
        <w:kinsoku/>
        <w:wordWrap/>
        <w:overflowPunct/>
        <w:topLinePunct w:val="0"/>
        <w:bidi w:val="0"/>
        <w:snapToGrid w:val="0"/>
        <w:spacing w:line="360" w:lineRule="auto"/>
        <w:ind w:left="210" w:leftChars="100"/>
        <w:textAlignment w:val="auto"/>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 xml:space="preserve">8.6 </w:t>
      </w:r>
      <w:r>
        <w:rPr>
          <w:rFonts w:hint="eastAsia" w:ascii="宋体" w:hAnsi="宋体" w:eastAsia="宋体" w:cs="Times New Roman"/>
          <w:bCs/>
          <w:color w:val="auto"/>
          <w:szCs w:val="21"/>
          <w:highlight w:val="none"/>
        </w:rPr>
        <w:t>保密</w:t>
      </w:r>
    </w:p>
    <w:p>
      <w:pPr>
        <w:keepNext w:val="0"/>
        <w:keepLines w:val="0"/>
        <w:widowControl w:val="0"/>
        <w:kinsoku/>
        <w:wordWrap/>
        <w:overflowPunct/>
        <w:topLinePunct w:val="0"/>
        <w:bidi w:val="0"/>
        <w:snapToGrid w:val="0"/>
        <w:spacing w:line="360" w:lineRule="auto"/>
        <w:ind w:firstLine="420" w:firstLineChars="200"/>
        <w:textAlignment w:val="auto"/>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双方不得泄露对方申明的保密资料，亦不得泄露与实施工程有关的第三方所提供的保密资料，保密事项在专用条件中约定。</w:t>
      </w:r>
    </w:p>
    <w:p>
      <w:pPr>
        <w:keepNext w:val="0"/>
        <w:keepLines w:val="0"/>
        <w:widowControl w:val="0"/>
        <w:kinsoku/>
        <w:wordWrap/>
        <w:overflowPunct/>
        <w:topLinePunct w:val="0"/>
        <w:bidi w:val="0"/>
        <w:snapToGrid w:val="0"/>
        <w:spacing w:line="360" w:lineRule="auto"/>
        <w:ind w:left="210" w:leftChars="100"/>
        <w:textAlignment w:val="auto"/>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 xml:space="preserve">8.7 </w:t>
      </w:r>
      <w:r>
        <w:rPr>
          <w:rFonts w:hint="eastAsia" w:ascii="宋体" w:hAnsi="宋体" w:eastAsia="宋体" w:cs="Times New Roman"/>
          <w:bCs/>
          <w:color w:val="auto"/>
          <w:szCs w:val="21"/>
          <w:highlight w:val="none"/>
        </w:rPr>
        <w:t>通知</w:t>
      </w:r>
    </w:p>
    <w:p>
      <w:pPr>
        <w:keepNext w:val="0"/>
        <w:keepLines w:val="0"/>
        <w:widowControl w:val="0"/>
        <w:kinsoku/>
        <w:wordWrap/>
        <w:overflowPunct/>
        <w:topLinePunct w:val="0"/>
        <w:bidi w:val="0"/>
        <w:snapToGrid w:val="0"/>
        <w:spacing w:line="360" w:lineRule="auto"/>
        <w:ind w:firstLine="420" w:firstLineChars="200"/>
        <w:textAlignment w:val="auto"/>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本合同涉及的通知均应当采用书面形式，并在送达对方时生效，收件人应书面签收。</w:t>
      </w:r>
    </w:p>
    <w:p>
      <w:pPr>
        <w:keepNext w:val="0"/>
        <w:keepLines w:val="0"/>
        <w:widowControl w:val="0"/>
        <w:kinsoku/>
        <w:wordWrap/>
        <w:overflowPunct/>
        <w:topLinePunct w:val="0"/>
        <w:bidi w:val="0"/>
        <w:snapToGrid w:val="0"/>
        <w:spacing w:line="360" w:lineRule="auto"/>
        <w:ind w:left="210" w:leftChars="100"/>
        <w:textAlignment w:val="auto"/>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 xml:space="preserve">8.8 </w:t>
      </w:r>
      <w:r>
        <w:rPr>
          <w:rFonts w:hint="eastAsia" w:ascii="宋体" w:hAnsi="宋体" w:eastAsia="宋体" w:cs="Times New Roman"/>
          <w:bCs/>
          <w:color w:val="auto"/>
          <w:szCs w:val="21"/>
          <w:highlight w:val="none"/>
        </w:rPr>
        <w:t>著作权</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监理人对其编制的文件拥有著作权。</w:t>
      </w:r>
    </w:p>
    <w:p>
      <w:pPr>
        <w:keepNext w:val="0"/>
        <w:keepLines w:val="0"/>
        <w:widowControl w:val="0"/>
        <w:kinsoku/>
        <w:wordWrap/>
        <w:overflowPunct/>
        <w:topLinePunct w:val="0"/>
        <w:bidi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keepNext w:val="0"/>
        <w:keepLines w:val="0"/>
        <w:widowControl w:val="0"/>
        <w:kinsoku/>
        <w:wordWrap/>
        <w:overflowPunct/>
        <w:topLinePunct w:val="0"/>
        <w:bidi w:val="0"/>
        <w:snapToGrid w:val="0"/>
        <w:spacing w:line="360" w:lineRule="auto"/>
        <w:jc w:val="center"/>
        <w:textAlignment w:val="auto"/>
        <w:outlineLvl w:val="1"/>
        <w:rPr>
          <w:rFonts w:hint="eastAsia" w:ascii="宋体" w:hAnsi="宋体" w:eastAsia="宋体" w:cs="Times New Roman"/>
          <w:b/>
          <w:color w:val="auto"/>
          <w:sz w:val="36"/>
          <w:szCs w:val="36"/>
          <w:highlight w:val="none"/>
        </w:rPr>
      </w:pPr>
      <w:r>
        <w:rPr>
          <w:rFonts w:hint="eastAsia" w:ascii="宋体" w:hAnsi="宋体" w:eastAsia="宋体" w:cs="Times New Roman"/>
          <w:color w:val="auto"/>
          <w:szCs w:val="21"/>
          <w:highlight w:val="none"/>
        </w:rPr>
        <w:br w:type="page"/>
      </w:r>
      <w:r>
        <w:rPr>
          <w:rFonts w:hint="eastAsia" w:ascii="宋体" w:hAnsi="宋体" w:eastAsia="宋体" w:cs="Times New Roman"/>
          <w:b/>
          <w:color w:val="auto"/>
          <w:sz w:val="36"/>
          <w:szCs w:val="36"/>
          <w:highlight w:val="none"/>
        </w:rPr>
        <w:t>第三部分  专用条件</w:t>
      </w:r>
    </w:p>
    <w:p>
      <w:pPr>
        <w:keepNext w:val="0"/>
        <w:keepLines w:val="0"/>
        <w:widowControl w:val="0"/>
        <w:kinsoku/>
        <w:wordWrap/>
        <w:overflowPunct/>
        <w:topLinePunct w:val="0"/>
        <w:bidi w:val="0"/>
        <w:spacing w:line="360" w:lineRule="auto"/>
        <w:jc w:val="center"/>
        <w:textAlignment w:val="auto"/>
        <w:rPr>
          <w:rFonts w:hint="eastAsia" w:ascii="宋体" w:hAnsi="宋体" w:eastAsia="宋体" w:cs="Times New Roman"/>
          <w:b/>
          <w:color w:val="auto"/>
          <w:szCs w:val="21"/>
          <w:highlight w:val="none"/>
        </w:rPr>
      </w:pPr>
    </w:p>
    <w:p>
      <w:pPr>
        <w:keepNext w:val="0"/>
        <w:keepLines w:val="0"/>
        <w:widowControl w:val="0"/>
        <w:kinsoku/>
        <w:wordWrap/>
        <w:overflowPunct/>
        <w:topLinePunct w:val="0"/>
        <w:bidi w:val="0"/>
        <w:adjustRightInd w:val="0"/>
        <w:snapToGrid w:val="0"/>
        <w:spacing w:line="360" w:lineRule="auto"/>
        <w:textAlignment w:val="auto"/>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1. 定义与解释</w:t>
      </w:r>
    </w:p>
    <w:p>
      <w:pPr>
        <w:keepNext w:val="0"/>
        <w:keepLines w:val="0"/>
        <w:widowControl w:val="0"/>
        <w:kinsoku/>
        <w:wordWrap/>
        <w:overflowPunct/>
        <w:topLinePunct w:val="0"/>
        <w:bidi w:val="0"/>
        <w:adjustRightInd w:val="0"/>
        <w:snapToGrid w:val="0"/>
        <w:spacing w:line="360" w:lineRule="auto"/>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1.1  定义</w:t>
      </w:r>
    </w:p>
    <w:p>
      <w:pPr>
        <w:keepNext w:val="0"/>
        <w:keepLines w:val="0"/>
        <w:widowControl w:val="0"/>
        <w:kinsoku/>
        <w:wordWrap/>
        <w:overflowPunct/>
        <w:topLinePunct w:val="0"/>
        <w:bidi w:val="0"/>
        <w:adjustRightInd w:val="0"/>
        <w:snapToGrid w:val="0"/>
        <w:spacing w:line="360" w:lineRule="auto"/>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1.1.1 “不可抗力”是指委托人和监理人在订立本合同时不可预见，在合同履行过程中不可避免发生并不能克服的妨碍任何一方履行其在本合同项下的全部或大部分义务的自然灾害和社会性突发事件，如6级以上地震、海啸、瘟疫、水灾、骚乱、暴动、战争和专用条件约定的其他情形。此处特别明确，罢工、暴雨、黄色预警级及其以下级别的台风、本合同任意一方人员所引起或为主要参与人员的社会性突发事件等不属于不可抗力。</w:t>
      </w:r>
    </w:p>
    <w:p>
      <w:pPr>
        <w:keepNext w:val="0"/>
        <w:keepLines w:val="0"/>
        <w:widowControl w:val="0"/>
        <w:kinsoku/>
        <w:wordWrap/>
        <w:overflowPunct/>
        <w:topLinePunct w:val="0"/>
        <w:bidi w:val="0"/>
        <w:adjustRightInd w:val="0"/>
        <w:snapToGrid w:val="0"/>
        <w:spacing w:line="360" w:lineRule="auto"/>
        <w:ind w:firstLine="210" w:firstLineChars="1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1.2  解释</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1.2.1 本合同文件除使用中文外，还可用</w:t>
      </w:r>
      <w:r>
        <w:rPr>
          <w:rFonts w:hint="eastAsia" w:ascii="宋体" w:hAnsi="宋体" w:eastAsia="宋体" w:cs="Times New Roman"/>
          <w:color w:val="auto"/>
          <w:szCs w:val="21"/>
          <w:highlight w:val="none"/>
          <w:u w:val="single"/>
        </w:rPr>
        <w:t xml:space="preserve">   </w:t>
      </w:r>
      <w:r>
        <w:rPr>
          <w:rFonts w:ascii="宋体" w:hAnsi="宋体" w:eastAsia="宋体" w:cs="宋体"/>
          <w:color w:val="auto"/>
          <w:highlight w:val="none"/>
          <w:u w:val="single" w:color="000000"/>
        </w:rPr>
        <w:t>/</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1.2.2 约定本合同文件的解释顺序为：</w:t>
      </w:r>
      <w:r>
        <w:rPr>
          <w:rFonts w:ascii="Times New Roman" w:hAnsi="Times New Roman" w:eastAsia="宋体" w:cs="Times New Roman"/>
          <w:color w:val="auto"/>
          <w:highlight w:val="none"/>
          <w:u w:val="single" w:color="000000"/>
        </w:rPr>
        <w:t>按通用条件</w:t>
      </w:r>
      <w:r>
        <w:rPr>
          <w:rFonts w:hint="eastAsia" w:ascii="宋体" w:hAnsi="宋体" w:eastAsia="宋体" w:cs="Times New Roman"/>
          <w:color w:val="auto"/>
          <w:szCs w:val="21"/>
          <w:highlight w:val="none"/>
        </w:rPr>
        <w:t>。</w:t>
      </w:r>
    </w:p>
    <w:p>
      <w:pPr>
        <w:keepNext w:val="0"/>
        <w:keepLines w:val="0"/>
        <w:widowControl w:val="0"/>
        <w:kinsoku/>
        <w:wordWrap/>
        <w:overflowPunct/>
        <w:topLinePunct w:val="0"/>
        <w:bidi w:val="0"/>
        <w:adjustRightInd w:val="0"/>
        <w:snapToGrid w:val="0"/>
        <w:spacing w:line="360" w:lineRule="auto"/>
        <w:textAlignment w:val="auto"/>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 监理人义务</w:t>
      </w:r>
    </w:p>
    <w:p>
      <w:pPr>
        <w:keepNext w:val="0"/>
        <w:keepLines w:val="0"/>
        <w:widowControl w:val="0"/>
        <w:kinsoku/>
        <w:wordWrap/>
        <w:overflowPunct/>
        <w:topLinePunct w:val="0"/>
        <w:bidi w:val="0"/>
        <w:adjustRightInd w:val="0"/>
        <w:snapToGrid w:val="0"/>
        <w:spacing w:line="360" w:lineRule="auto"/>
        <w:ind w:firstLine="205" w:firstLineChars="98"/>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 监理的范围和</w:t>
      </w:r>
      <w:r>
        <w:rPr>
          <w:rFonts w:hint="eastAsia" w:ascii="宋体" w:hAnsi="宋体" w:eastAsia="宋体" w:cs="Times New Roman"/>
          <w:bCs/>
          <w:color w:val="auto"/>
          <w:szCs w:val="21"/>
          <w:highlight w:val="none"/>
        </w:rPr>
        <w:t>内容</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2.1.1 监理范围包括：</w:t>
      </w:r>
      <w:r>
        <w:rPr>
          <w:rFonts w:hint="eastAsia"/>
          <w:color w:val="auto"/>
          <w:spacing w:val="-4"/>
          <w:highlight w:val="none"/>
          <w:u w:val="single" w:color="000000"/>
        </w:rPr>
        <w:t>本工程施工准备、设计阶段、建设阶段、竣工结算阶段、保修阶段的质量控制、安全生产监督管理、投资控制、进度控制、合同管理、信息管理、组织协调等监理工作以及缺陷责任期内的监理服务和相关专业技术咨询服务等现行监理条例所规定全部内容的建设工程监理</w:t>
      </w:r>
      <w:r>
        <w:rPr>
          <w:rFonts w:hint="eastAsia"/>
          <w:color w:val="auto"/>
          <w:spacing w:val="-4"/>
          <w:highlight w:val="none"/>
          <w:u w:val="single" w:color="000000"/>
          <w:lang w:eastAsia="zh-CN"/>
        </w:rPr>
        <w:t>。</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2.1.2 监理工作内容还包括：</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包括本工程的</w:t>
      </w:r>
      <w:r>
        <w:rPr>
          <w:rFonts w:hint="eastAsia" w:ascii="宋体" w:hAnsi="宋体" w:eastAsia="宋体" w:cs="Times New Roman"/>
          <w:color w:val="auto"/>
          <w:szCs w:val="21"/>
          <w:highlight w:val="none"/>
          <w:u w:val="single"/>
        </w:rPr>
        <w:t xml:space="preserve">  项目前期阶段、施工准备阶段、施工阶段、竣工结算阶段及工程质量保修阶段（含缺陷责任期） </w:t>
      </w:r>
      <w:r>
        <w:rPr>
          <w:rFonts w:hint="eastAsia" w:ascii="宋体" w:hAnsi="宋体" w:eastAsia="宋体" w:cs="Times New Roman"/>
          <w:color w:val="auto"/>
          <w:szCs w:val="21"/>
          <w:highlight w:val="none"/>
        </w:rPr>
        <w:t>的建设监理工作，包括</w:t>
      </w:r>
      <w:r>
        <w:rPr>
          <w:rFonts w:hint="eastAsia" w:ascii="宋体" w:hAnsi="宋体" w:eastAsia="宋体" w:cs="Times New Roman"/>
          <w:color w:val="auto"/>
          <w:szCs w:val="21"/>
          <w:highlight w:val="none"/>
          <w:lang w:val="en-US" w:eastAsia="zh-CN"/>
        </w:rPr>
        <w:t>但不限于</w:t>
      </w:r>
      <w:r>
        <w:rPr>
          <w:rFonts w:hint="eastAsia" w:ascii="宋体" w:hAnsi="宋体" w:eastAsia="宋体" w:cs="Times New Roman"/>
          <w:color w:val="auto"/>
          <w:szCs w:val="21"/>
          <w:highlight w:val="none"/>
        </w:rPr>
        <w:t>工程量清单复核、增减工程量审核、工程结算复核等，且各项监理工作须符合《建设工程监理规范》（GB/T50319-2013）的要求。</w:t>
      </w:r>
    </w:p>
    <w:p>
      <w:pPr>
        <w:keepNext w:val="0"/>
        <w:keepLines w:val="0"/>
        <w:widowControl w:val="0"/>
        <w:numPr>
          <w:ilvl w:val="0"/>
          <w:numId w:val="2"/>
        </w:numPr>
        <w:kinsoku/>
        <w:wordWrap/>
        <w:overflowPunct/>
        <w:topLinePunct w:val="0"/>
        <w:bidi w:val="0"/>
        <w:adjustRightInd w:val="0"/>
        <w:snapToGrid w:val="0"/>
        <w:spacing w:line="360" w:lineRule="auto"/>
        <w:ind w:left="785" w:hanging="36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前期阶段 </w:t>
      </w:r>
    </w:p>
    <w:p>
      <w:pPr>
        <w:widowControl w:val="0"/>
        <w:spacing w:after="120"/>
        <w:ind w:firstLine="420" w:firstLineChars="20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根据合同督促总承包方进行包括但不限于施工图、施工图预算、图纸审查等进度、质量审查、考核工作；</w:t>
      </w:r>
    </w:p>
    <w:p>
      <w:pPr>
        <w:spacing w:line="360" w:lineRule="auto"/>
        <w:ind w:firstLine="42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根据合同约定制定相应的设计、施工等奖惩制度，对违反进度、质量、安全等的行为进行纠正、处罚；</w:t>
      </w:r>
    </w:p>
    <w:p>
      <w:pPr>
        <w:keepNext w:val="0"/>
        <w:keepLines w:val="0"/>
        <w:widowControl w:val="0"/>
        <w:kinsoku/>
        <w:wordWrap/>
        <w:overflowPunct/>
        <w:topLinePunct w:val="0"/>
        <w:bidi w:val="0"/>
        <w:adjustRightInd w:val="0"/>
        <w:snapToGrid w:val="0"/>
        <w:spacing w:line="360" w:lineRule="auto"/>
        <w:ind w:left="42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监理人根据委托人提供的有关资料，协助委托人或在委托人委托下办理下列各项报建： </w:t>
      </w:r>
    </w:p>
    <w:p>
      <w:pPr>
        <w:keepNext w:val="0"/>
        <w:keepLines w:val="0"/>
        <w:widowControl w:val="0"/>
        <w:kinsoku/>
        <w:wordWrap/>
        <w:overflowPunct/>
        <w:topLinePunct w:val="0"/>
        <w:bidi w:val="0"/>
        <w:adjustRightInd w:val="0"/>
        <w:snapToGrid w:val="0"/>
        <w:spacing w:line="360" w:lineRule="auto"/>
        <w:ind w:left="42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办理《建设工程规划许可证》 ；</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办理初步设计报批； </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办理建筑报建； </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督促施工单位申办施工许可证；</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办理各单项报建（消防、人防、供水、供配电、劳动安全、卫生防疫、供气、电信、绿化、道路等） 及派专职人员协助业主整理各项报建资料文件。</w:t>
      </w:r>
    </w:p>
    <w:p>
      <w:pPr>
        <w:keepNext w:val="0"/>
        <w:keepLines w:val="0"/>
        <w:widowControl w:val="0"/>
        <w:numPr>
          <w:ilvl w:val="0"/>
          <w:numId w:val="2"/>
        </w:numPr>
        <w:kinsoku/>
        <w:wordWrap/>
        <w:overflowPunct/>
        <w:topLinePunct w:val="0"/>
        <w:bidi w:val="0"/>
        <w:adjustRightInd w:val="0"/>
        <w:snapToGrid w:val="0"/>
        <w:spacing w:line="360" w:lineRule="auto"/>
        <w:ind w:left="785" w:hanging="36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施工准备阶段 </w:t>
      </w:r>
    </w:p>
    <w:p>
      <w:pPr>
        <w:keepNext w:val="0"/>
        <w:keepLines w:val="0"/>
        <w:widowControl w:val="0"/>
        <w:kinsoku/>
        <w:wordWrap/>
        <w:overflowPunct/>
        <w:topLinePunct w:val="0"/>
        <w:bidi w:val="0"/>
        <w:adjustRightInd w:val="0"/>
        <w:snapToGrid w:val="0"/>
        <w:spacing w:line="360" w:lineRule="auto"/>
        <w:ind w:left="42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监理工程师应对施工单位提交的原始基准点、基准线和基准高程的复测结果进行审核和平行复测。当双方复测结果一致并满足规范要求时，监理工程师应在合同规定的期限内批复； </w:t>
      </w:r>
    </w:p>
    <w:p>
      <w:pPr>
        <w:keepNext w:val="0"/>
        <w:keepLines w:val="0"/>
        <w:widowControl w:val="0"/>
        <w:kinsoku/>
        <w:wordWrap/>
        <w:overflowPunct/>
        <w:topLinePunct w:val="0"/>
        <w:bidi w:val="0"/>
        <w:adjustRightInd w:val="0"/>
        <w:snapToGrid w:val="0"/>
        <w:spacing w:line="360" w:lineRule="auto"/>
        <w:ind w:left="42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组织施工图纸会审；</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审查施工组织设计及施工方案； </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协助委托人协调设计，在不影响使用的前提下，方便施工，以确保施工质量，与施工单位同时进行各种平行标准试验，校核施工单位标准试验结果； </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检查工程材料、半成品、构件和设备质量，并检验合格证、质保书及试验报告； </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审查承包商提交的施工总进度计划，并提交委托人批准，按批准后的进度计划监督承包商执行；</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初审承包商提交的各分项工程的施工进度计划，并提出建议交委托人批准。 </w:t>
      </w:r>
    </w:p>
    <w:p>
      <w:pPr>
        <w:keepNext w:val="0"/>
        <w:keepLines w:val="0"/>
        <w:widowControl w:val="0"/>
        <w:numPr>
          <w:ilvl w:val="0"/>
          <w:numId w:val="2"/>
        </w:numPr>
        <w:kinsoku/>
        <w:wordWrap/>
        <w:overflowPunct/>
        <w:topLinePunct w:val="0"/>
        <w:bidi w:val="0"/>
        <w:adjustRightInd w:val="0"/>
        <w:snapToGrid w:val="0"/>
        <w:spacing w:line="360" w:lineRule="auto"/>
        <w:ind w:left="785" w:hanging="36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施工阶段</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在监理实施过程中，监理人应当认真对</w:t>
      </w:r>
      <w:r>
        <w:rPr>
          <w:rFonts w:hint="eastAsia" w:ascii="宋体" w:hAnsi="宋体" w:eastAsia="宋体" w:cs="Times New Roman"/>
          <w:b/>
          <w:color w:val="auto"/>
          <w:szCs w:val="21"/>
          <w:highlight w:val="none"/>
        </w:rPr>
        <w:t>质量、进度、安全、投资</w:t>
      </w:r>
      <w:r>
        <w:rPr>
          <w:rFonts w:hint="eastAsia" w:ascii="宋体" w:hAnsi="宋体" w:eastAsia="宋体" w:cs="Times New Roman"/>
          <w:color w:val="auto"/>
          <w:szCs w:val="21"/>
          <w:highlight w:val="none"/>
        </w:rPr>
        <w:t>进行“四控制”，以及对施工安全防护和文明施工进行监督。</w:t>
      </w:r>
    </w:p>
    <w:p>
      <w:pPr>
        <w:keepNext w:val="0"/>
        <w:keepLines w:val="0"/>
        <w:widowControl w:val="0"/>
        <w:numPr>
          <w:ilvl w:val="0"/>
          <w:numId w:val="2"/>
        </w:numPr>
        <w:kinsoku/>
        <w:wordWrap/>
        <w:overflowPunct/>
        <w:topLinePunct w:val="0"/>
        <w:bidi w:val="0"/>
        <w:adjustRightInd w:val="0"/>
        <w:snapToGrid w:val="0"/>
        <w:spacing w:line="360" w:lineRule="auto"/>
        <w:ind w:left="785" w:hanging="36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质量控制 </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切实落实施工图会审的制度，组织由委托人、设计院、监理人、质监站、施工单位参加的各项工程图纸会审，解决工程方面存在的问题； </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建立完善的施工图和设计资料的签发制度，即设计单位→委托人→监理人→施工单位。施工图和设计资料必须加盖设计单位公章，并注明收发时间。参加设计技术交底会议； </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检查、督促施工单位健全施工质量、安全、文明管理体系，定期组织质量安全大检查以消除影响安全的隐患，文明施工，全面提高施工质量； </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审查各项工程施工组织计划；</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根据国家和有关部门的现行标准、规范，编辑本工程适用的质量验收的有关条例，作为本工程验收的依据；</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结合本工程施工现场实际情况，健全工程质量检查和验收程序。完善隐蔽工程签证制度。分项工程及其检验和实测项目的各工序完成后，经过施工单位自检，再经过现场监理人员确认其质量符合设计要求并作出检查记录后，方可进入下一道工序；统一制订有关质量检查的表格，报请委托人批准，对施工过程中使用的主要原材料及各种混合料进行抽检，抽检频率不应低于施工单位自检频率的 20％，其余材料不低于 10％，对已完工程实体质量的抽检频率不低于施工单位自检频率的 30％；监理工程师应审查施工单位申报的原材料、混合料试验资料，对原材料应独立取样进行平行试验；对混合料在施工单位标准试验的基础上进行试验验证，必要时做标准试验，在合同规定的期限内予以批复；对施工单位申请使用的商品混凝土或商品混合料配合比进行审查，并进行试验验证；</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根据施工实际情况，如发现材质可能存在质量问题，事先知会委托人后可以要求施工单位对材质进行再试验，其试验单位可由当地质监部门指定；如试验合格，其费用由委托人支付，否则由施工单位支付；</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督促施工单位文明施工和安全施工，积极配合城监大队及其他相关政府部门的工作，确保施工现场和周围居民的人身安全；</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编制监理日报表、周报表、月报表，按时上报质量控制报表给委托人； </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发现施工质量和施工安全等方面的严重问题，总监理工程师可以签发停工命令，但应事先知会委托人；</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出现质量事故，监理人须协助委托人审理事故调查报告，分析事故原因和事故性质，于事故发生之日起3个工作日内，提出处理意见供委托人决策，并向有关部门汇报，组织事故处理鉴定会议，将事故结论的资料归档。 </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本合同工程实行分项工程样板引路制。监理人必须在各分项工程、特殊的工艺、重要的部位及新材料新工艺的应用方面把好样板审核关，明确工艺流程和质量标准，经审查合格后方可大面积展开。</w:t>
      </w:r>
    </w:p>
    <w:p>
      <w:pPr>
        <w:keepNext w:val="0"/>
        <w:keepLines w:val="0"/>
        <w:widowControl w:val="0"/>
        <w:numPr>
          <w:ilvl w:val="0"/>
          <w:numId w:val="2"/>
        </w:numPr>
        <w:kinsoku/>
        <w:wordWrap/>
        <w:overflowPunct/>
        <w:topLinePunct w:val="0"/>
        <w:bidi w:val="0"/>
        <w:adjustRightInd w:val="0"/>
        <w:snapToGrid w:val="0"/>
        <w:spacing w:line="360" w:lineRule="auto"/>
        <w:ind w:left="785" w:hanging="36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进度控制</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按照委托人的要求，根据国家的工期定额，以及政府的有关规定，编制项目总体计划，前期工作计划、设计计划、施工计划根据总体计划来制定；</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定期向委托人汇报总进度计划控制情况； </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在施工阶段，督促施工单位编制工程进度月计划和“人员、设备需求图”，监理人员将按图分解落实；</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检查工程进度、绘制“工程形象进度图”，每周及每月上报“进度控制报表”；“进度控制报表”内容包括：工程计划进度、实际进度、总进度的调整等，并对进度控制提出咨询意见；</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协调各专业施工单位的工作交叉时间，与委托人共同努力使之不互相影响； </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定期组织工地协调会，解决影响施工进度的问题。</w:t>
      </w:r>
    </w:p>
    <w:p>
      <w:pPr>
        <w:keepNext w:val="0"/>
        <w:keepLines w:val="0"/>
        <w:widowControl w:val="0"/>
        <w:numPr>
          <w:ilvl w:val="0"/>
          <w:numId w:val="2"/>
        </w:numPr>
        <w:kinsoku/>
        <w:wordWrap/>
        <w:overflowPunct/>
        <w:topLinePunct w:val="0"/>
        <w:bidi w:val="0"/>
        <w:adjustRightInd w:val="0"/>
        <w:snapToGrid w:val="0"/>
        <w:spacing w:line="360" w:lineRule="auto"/>
        <w:ind w:left="785" w:hanging="36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安全控制 </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坚持“科学施工，安全生产”的原则和“安全第一，预防为主”的方针，督促施工单位进行施工生产，实现安全目标。工程施工期间根据工程实际情况制定相关措施确保安全施工，要求施工单位加强安全管理，对职工进行安全教育，并将危险源告知工人以便施工中注意安全施工。</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严格审查组织设计中安全技术措施和专项工程技术，进行监理对安全工作交底，提出现场统一要求，抓好预控工作。施工进场现场会议上进行监理工作的交底，明确监理安全管理工作的内容及采取的方法和措施。</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严格执行验收规范及规程、强制性条文。加大工程质量控制力度，严格执行 23 条禁令；定期组织安全、文明施工专项检查，对于存在的问题及安全隐患进行记录。</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对于施工单位不积极采取措施排除安全事故的隐患，施工中不积极采取安全技术措施，违章施工，施工单位安全管理人员不到位、不负责任的，以及没有被批准的施工方案，就进行施工的，下达暂停施工令，报告建设单位要求施工单位停工整改。对于不戴安全帽进场施工，监理同样采取暂停施工措施。</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监理人员必须坚持安全第一、预防为主的原则。对于看到的安全事故隐患和施工人员处于危险之中的，及时口头指令，提醒改正，消防可能发生的安全事故。对于拒不整改，同一隐患长期出现的，给予经济处罚。</w:t>
      </w:r>
    </w:p>
    <w:p>
      <w:pPr>
        <w:keepNext w:val="0"/>
        <w:keepLines w:val="0"/>
        <w:widowControl w:val="0"/>
        <w:numPr>
          <w:ilvl w:val="0"/>
          <w:numId w:val="2"/>
        </w:numPr>
        <w:kinsoku/>
        <w:wordWrap/>
        <w:overflowPunct/>
        <w:topLinePunct w:val="0"/>
        <w:bidi w:val="0"/>
        <w:adjustRightInd w:val="0"/>
        <w:snapToGrid w:val="0"/>
        <w:spacing w:line="360" w:lineRule="auto"/>
        <w:ind w:left="785" w:hanging="360"/>
        <w:textAlignment w:val="auto"/>
        <w:rPr>
          <w:rFonts w:ascii="宋体" w:hAnsi="宋体" w:eastAsia="宋体" w:cs="Times New Roman"/>
          <w:color w:val="auto"/>
          <w:szCs w:val="21"/>
          <w:highlight w:val="none"/>
        </w:rPr>
      </w:pPr>
      <w:r>
        <w:rPr>
          <w:rFonts w:ascii="宋体" w:hAnsi="宋体" w:eastAsia="宋体" w:cs="Times New Roman"/>
          <w:color w:val="auto"/>
          <w:szCs w:val="21"/>
          <w:highlight w:val="none"/>
        </w:rPr>
        <w:t>投资</w:t>
      </w:r>
      <w:r>
        <w:rPr>
          <w:rFonts w:hint="eastAsia" w:ascii="宋体" w:hAnsi="宋体" w:eastAsia="宋体" w:cs="Times New Roman"/>
          <w:color w:val="auto"/>
          <w:szCs w:val="21"/>
          <w:highlight w:val="none"/>
        </w:rPr>
        <w:t>管理</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审查</w:t>
      </w:r>
      <w:r>
        <w:rPr>
          <w:rFonts w:ascii="宋体" w:hAnsi="宋体" w:eastAsia="宋体" w:cs="Times New Roman"/>
          <w:color w:val="auto"/>
          <w:szCs w:val="21"/>
          <w:highlight w:val="none"/>
        </w:rPr>
        <w:t>施工单位提交的工程款支付申请</w:t>
      </w:r>
      <w:r>
        <w:rPr>
          <w:rFonts w:hint="eastAsia" w:ascii="宋体" w:hAnsi="宋体" w:eastAsia="宋体" w:cs="Times New Roman"/>
          <w:color w:val="auto"/>
          <w:szCs w:val="21"/>
          <w:highlight w:val="none"/>
        </w:rPr>
        <w:t>资料</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签发</w:t>
      </w:r>
      <w:r>
        <w:rPr>
          <w:rFonts w:ascii="宋体" w:hAnsi="宋体" w:eastAsia="宋体" w:cs="Times New Roman"/>
          <w:color w:val="auto"/>
          <w:szCs w:val="21"/>
          <w:highlight w:val="none"/>
        </w:rPr>
        <w:t>或出具工程款支付证书，并报委托人审核</w:t>
      </w:r>
      <w:r>
        <w:rPr>
          <w:rFonts w:hint="eastAsia" w:ascii="宋体" w:hAnsi="宋体" w:eastAsia="宋体" w:cs="Times New Roman"/>
          <w:color w:val="auto"/>
          <w:szCs w:val="21"/>
          <w:highlight w:val="none"/>
        </w:rPr>
        <w:t>、批</w:t>
      </w:r>
      <w:r>
        <w:rPr>
          <w:rFonts w:ascii="宋体" w:hAnsi="宋体" w:eastAsia="宋体" w:cs="Times New Roman"/>
          <w:color w:val="auto"/>
          <w:szCs w:val="21"/>
          <w:highlight w:val="none"/>
        </w:rPr>
        <w:t>准；</w:t>
      </w:r>
      <w:r>
        <w:rPr>
          <w:rFonts w:hint="eastAsia" w:ascii="宋体" w:hAnsi="宋体" w:eastAsia="宋体" w:cs="Times New Roman"/>
          <w:color w:val="auto"/>
          <w:szCs w:val="21"/>
          <w:highlight w:val="none"/>
        </w:rPr>
        <w:t>审查</w:t>
      </w:r>
      <w:r>
        <w:rPr>
          <w:rFonts w:ascii="宋体" w:hAnsi="宋体" w:eastAsia="宋体" w:cs="Times New Roman"/>
          <w:color w:val="auto"/>
          <w:szCs w:val="21"/>
          <w:highlight w:val="none"/>
        </w:rPr>
        <w:t>施工单位提交的工程变更申请</w:t>
      </w:r>
      <w:r>
        <w:rPr>
          <w:rFonts w:hint="eastAsia" w:ascii="宋体" w:hAnsi="宋体" w:eastAsia="宋体" w:cs="Times New Roman"/>
          <w:color w:val="auto"/>
          <w:szCs w:val="21"/>
          <w:highlight w:val="none"/>
        </w:rPr>
        <w:t>资料</w:t>
      </w:r>
      <w:r>
        <w:rPr>
          <w:rFonts w:ascii="宋体" w:hAnsi="宋体" w:eastAsia="宋体" w:cs="Times New Roman"/>
          <w:color w:val="auto"/>
          <w:szCs w:val="21"/>
          <w:highlight w:val="none"/>
        </w:rPr>
        <w:t>，协调处理施工费用索赔、合同争议等</w:t>
      </w:r>
      <w:r>
        <w:rPr>
          <w:rFonts w:hint="eastAsia" w:ascii="宋体" w:hAnsi="宋体" w:eastAsia="宋体" w:cs="Times New Roman"/>
          <w:color w:val="auto"/>
          <w:szCs w:val="21"/>
          <w:highlight w:val="none"/>
        </w:rPr>
        <w:t>事项</w:t>
      </w:r>
      <w:r>
        <w:rPr>
          <w:rFonts w:ascii="宋体" w:hAnsi="宋体" w:eastAsia="宋体" w:cs="Times New Roman"/>
          <w:color w:val="auto"/>
          <w:szCs w:val="21"/>
          <w:highlight w:val="none"/>
        </w:rPr>
        <w:t>；审查施工单位提交的竣工结算申请</w:t>
      </w:r>
      <w:r>
        <w:rPr>
          <w:rFonts w:hint="eastAsia" w:ascii="宋体" w:hAnsi="宋体" w:eastAsia="宋体" w:cs="Times New Roman"/>
          <w:color w:val="auto"/>
          <w:szCs w:val="21"/>
          <w:highlight w:val="none"/>
        </w:rPr>
        <w:t>文件</w:t>
      </w:r>
      <w:r>
        <w:rPr>
          <w:rFonts w:ascii="宋体" w:hAnsi="宋体" w:eastAsia="宋体" w:cs="Times New Roman"/>
          <w:color w:val="auto"/>
          <w:szCs w:val="21"/>
          <w:highlight w:val="none"/>
        </w:rPr>
        <w:t>并报委托人。</w:t>
      </w:r>
    </w:p>
    <w:p>
      <w:pPr>
        <w:keepNext w:val="0"/>
        <w:keepLines w:val="0"/>
        <w:widowControl w:val="0"/>
        <w:numPr>
          <w:ilvl w:val="0"/>
          <w:numId w:val="2"/>
        </w:numPr>
        <w:kinsoku/>
        <w:wordWrap/>
        <w:overflowPunct/>
        <w:topLinePunct w:val="0"/>
        <w:bidi w:val="0"/>
        <w:adjustRightInd w:val="0"/>
        <w:snapToGrid w:val="0"/>
        <w:spacing w:line="360" w:lineRule="auto"/>
        <w:ind w:left="785" w:hanging="36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合同管理 </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监理工程师定期检查合同执行情况，并向委托人上报各有关合同的执行情况，包括从进度控制、质量控制的角度分析合同执行中可能出现问题的隐患，尽量降低委托人被索赔的可能性； </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收集和积累有关现场设计变更、签证和合同执行情况等资料，作为索赔文件，在委托人要求时参加索赔谈判，协助委托人处理法律纠纷； </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督促施工单位制定完整的施工安全、城市环境卫生措施，确保施工现场人员和施工现场周围行人人身安全、交通便利和安全；督促施工单位采取有效措施，按照有关规定文明施工。 </w:t>
      </w:r>
    </w:p>
    <w:p>
      <w:pPr>
        <w:keepNext w:val="0"/>
        <w:keepLines w:val="0"/>
        <w:widowControl w:val="0"/>
        <w:numPr>
          <w:ilvl w:val="0"/>
          <w:numId w:val="2"/>
        </w:numPr>
        <w:kinsoku/>
        <w:wordWrap/>
        <w:overflowPunct/>
        <w:topLinePunct w:val="0"/>
        <w:bidi w:val="0"/>
        <w:adjustRightInd w:val="0"/>
        <w:snapToGrid w:val="0"/>
        <w:spacing w:line="360" w:lineRule="auto"/>
        <w:ind w:left="785" w:hanging="36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验收阶段</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审查</w:t>
      </w:r>
      <w:r>
        <w:rPr>
          <w:rFonts w:ascii="宋体" w:hAnsi="宋体" w:eastAsia="宋体" w:cs="Times New Roman"/>
          <w:color w:val="auto"/>
          <w:szCs w:val="21"/>
          <w:highlight w:val="none"/>
        </w:rPr>
        <w:t>施工单位提交的竣工验收申请资料，编写工程质量评估报告；</w:t>
      </w:r>
      <w:r>
        <w:rPr>
          <w:rFonts w:hint="eastAsia" w:ascii="宋体" w:hAnsi="宋体" w:eastAsia="宋体" w:cs="Times New Roman"/>
          <w:color w:val="auto"/>
          <w:szCs w:val="21"/>
          <w:highlight w:val="none"/>
        </w:rPr>
        <w:t xml:space="preserve">审核竣工验收报告，督促办理竣工验收手续；安排由其他方进行的各种验收，并与委托人在场监督及见证；与委托人一起开列工程上有缺陷及未完成部分清单，以便委托人可向施工单位发出有关资料；施工单位为有缺陷部分完成修复后，重新进行验收，以便作最后验收；审查施工单位竣工验收档案；协助委托人办理试投产手续；协助委托人在竣工验收后负责整理项目建设竣工资料；协助委托人办理工程竣工验收移交使用工作。 </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10）保修期阶段</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协助委托人检查工程状况，督促保修。 </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rPr>
        <w:t>）建设单位的常驻代表：</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rPr>
        <w:tab/>
      </w:r>
      <w:r>
        <w:rPr>
          <w:rFonts w:hint="eastAsia" w:ascii="宋体" w:hAnsi="宋体" w:eastAsia="宋体" w:cs="Times New Roman"/>
          <w:color w:val="auto"/>
          <w:szCs w:val="21"/>
          <w:highlight w:val="none"/>
        </w:rPr>
        <w:t>。</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rPr>
        <w:t>）监理单位在施工现场成立项目监理机构，项目监理组机构主要人员：</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rPr>
        <w:tab/>
      </w:r>
      <w:r>
        <w:rPr>
          <w:rFonts w:hint="eastAsia" w:ascii="宋体" w:hAnsi="宋体" w:eastAsia="宋体" w:cs="Times New Roman"/>
          <w:color w:val="auto"/>
          <w:szCs w:val="21"/>
          <w:highlight w:val="none"/>
        </w:rPr>
        <w:t xml:space="preserve">人。 </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总监理工程师：</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，注册号：</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 xml:space="preserve">   </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总监代表：</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 xml:space="preserve">。 </w:t>
      </w:r>
    </w:p>
    <w:p>
      <w:pPr>
        <w:keepNext w:val="0"/>
        <w:keepLines w:val="0"/>
        <w:widowControl w:val="0"/>
        <w:kinsoku/>
        <w:wordWrap/>
        <w:overflowPunct/>
        <w:topLinePunct w:val="0"/>
        <w:bidi w:val="0"/>
        <w:spacing w:line="360" w:lineRule="auto"/>
        <w:ind w:firstLine="205" w:firstLineChars="98"/>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2.2 监理与相关服务依据</w:t>
      </w:r>
    </w:p>
    <w:p>
      <w:pPr>
        <w:keepNext w:val="0"/>
        <w:keepLines w:val="0"/>
        <w:widowControl w:val="0"/>
        <w:kinsoku/>
        <w:wordWrap/>
        <w:overflowPunct/>
        <w:topLinePunct w:val="0"/>
        <w:bidi w:val="0"/>
        <w:spacing w:line="360" w:lineRule="auto"/>
        <w:ind w:firstLine="420" w:firstLineChars="20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2.2.1 监理依据包括：</w:t>
      </w:r>
    </w:p>
    <w:p>
      <w:pPr>
        <w:keepNext w:val="0"/>
        <w:keepLines w:val="0"/>
        <w:widowControl w:val="0"/>
        <w:kinsoku/>
        <w:wordWrap/>
        <w:overflowPunct/>
        <w:topLinePunct w:val="0"/>
        <w:bidi w:val="0"/>
        <w:spacing w:after="120" w:line="408" w:lineRule="auto"/>
        <w:ind w:left="536" w:right="211"/>
        <w:jc w:val="both"/>
        <w:textAlignment w:val="auto"/>
        <w:rPr>
          <w:rFonts w:ascii="Times New Roman" w:hAnsi="Times New Roman" w:eastAsia="宋体" w:cs="宋体"/>
          <w:color w:val="auto"/>
          <w:kern w:val="2"/>
          <w:sz w:val="21"/>
          <w:szCs w:val="24"/>
          <w:highlight w:val="none"/>
          <w:lang w:val="en-US" w:eastAsia="zh-CN" w:bidi="ar-SA"/>
        </w:rPr>
      </w:pPr>
      <w:r>
        <w:rPr>
          <w:rFonts w:ascii="宋体" w:hAnsi="宋体" w:eastAsia="宋体" w:cs="宋体"/>
          <w:color w:val="auto"/>
          <w:kern w:val="2"/>
          <w:sz w:val="21"/>
          <w:szCs w:val="24"/>
          <w:highlight w:val="none"/>
          <w:u w:val="single" w:color="000000"/>
          <w:lang w:val="en-US" w:eastAsia="zh-CN" w:bidi="ar-SA"/>
        </w:rPr>
        <w:t>a</w:t>
      </w:r>
      <w:r>
        <w:rPr>
          <w:rFonts w:hint="eastAsia" w:ascii="宋体" w:hAnsi="宋体" w:cs="宋体"/>
          <w:color w:val="auto"/>
          <w:kern w:val="2"/>
          <w:sz w:val="21"/>
          <w:szCs w:val="24"/>
          <w:highlight w:val="none"/>
          <w:u w:val="single" w:color="000000"/>
          <w:lang w:val="en-US" w:eastAsia="zh-CN" w:bidi="ar-SA"/>
        </w:rPr>
        <w:t xml:space="preserve"> </w:t>
      </w:r>
      <w:r>
        <w:rPr>
          <w:rFonts w:ascii="Times New Roman" w:hAnsi="Times New Roman" w:eastAsia="宋体" w:cs="Times New Roman"/>
          <w:color w:val="auto"/>
          <w:spacing w:val="-6"/>
          <w:kern w:val="2"/>
          <w:sz w:val="21"/>
          <w:szCs w:val="24"/>
          <w:highlight w:val="none"/>
          <w:u w:val="single" w:color="000000"/>
          <w:lang w:val="en-US" w:eastAsia="zh-CN" w:bidi="ar-SA"/>
        </w:rPr>
        <w:t>《中华人民共和国建筑法》、《广东省建设工程监理条例》、《建设工程监理规范》（</w:t>
      </w:r>
      <w:r>
        <w:rPr>
          <w:rFonts w:ascii="宋体" w:hAnsi="宋体" w:eastAsia="宋体" w:cs="宋体"/>
          <w:color w:val="auto"/>
          <w:spacing w:val="-6"/>
          <w:kern w:val="2"/>
          <w:sz w:val="21"/>
          <w:szCs w:val="24"/>
          <w:highlight w:val="none"/>
          <w:u w:val="single" w:color="000000"/>
          <w:lang w:val="en-US" w:eastAsia="zh-CN" w:bidi="ar-SA"/>
        </w:rPr>
        <w:t>GB/T50319</w:t>
      </w:r>
      <w:r>
        <w:rPr>
          <w:rFonts w:ascii="Times New Roman" w:hAnsi="Times New Roman" w:eastAsia="宋体" w:cs="Times New Roman"/>
          <w:color w:val="auto"/>
          <w:kern w:val="2"/>
          <w:sz w:val="21"/>
          <w:szCs w:val="24"/>
          <w:highlight w:val="none"/>
          <w:u w:val="single" w:color="000000"/>
          <w:lang w:val="en-US" w:eastAsia="zh-CN" w:bidi="ar-SA"/>
        </w:rPr>
        <w:t>－</w:t>
      </w:r>
      <w:r>
        <w:rPr>
          <w:rFonts w:ascii="宋体" w:hAnsi="宋体" w:eastAsia="宋体" w:cs="宋体"/>
          <w:color w:val="auto"/>
          <w:kern w:val="2"/>
          <w:sz w:val="21"/>
          <w:szCs w:val="24"/>
          <w:highlight w:val="none"/>
          <w:u w:val="single" w:color="000000"/>
          <w:lang w:val="en-US" w:eastAsia="zh-CN" w:bidi="ar-SA"/>
        </w:rPr>
        <w:t>2013</w:t>
      </w:r>
      <w:r>
        <w:rPr>
          <w:rFonts w:ascii="Times New Roman" w:hAnsi="Times New Roman" w:eastAsia="宋体" w:cs="Times New Roman"/>
          <w:color w:val="auto"/>
          <w:kern w:val="2"/>
          <w:sz w:val="21"/>
          <w:szCs w:val="24"/>
          <w:highlight w:val="none"/>
          <w:u w:val="single" w:color="000000"/>
          <w:lang w:val="en-US" w:eastAsia="zh-CN" w:bidi="ar-SA"/>
        </w:rPr>
        <w:t>）以及国家工程建设法律、法规、除此以外的有关政策规定，主管部门批准的建设计划、规划、设计、招标文件。</w:t>
      </w:r>
    </w:p>
    <w:p>
      <w:pPr>
        <w:keepNext w:val="0"/>
        <w:keepLines w:val="0"/>
        <w:widowControl w:val="0"/>
        <w:kinsoku/>
        <w:wordWrap/>
        <w:overflowPunct/>
        <w:topLinePunct w:val="0"/>
        <w:bidi w:val="0"/>
        <w:spacing w:after="120" w:line="408" w:lineRule="auto"/>
        <w:ind w:left="536" w:right="211"/>
        <w:jc w:val="both"/>
        <w:textAlignment w:val="auto"/>
        <w:rPr>
          <w:rFonts w:hint="eastAsia" w:ascii="Times New Roman" w:hAnsi="Times New Roman" w:eastAsia="宋体" w:cs="宋体"/>
          <w:color w:val="auto"/>
          <w:kern w:val="2"/>
          <w:sz w:val="21"/>
          <w:szCs w:val="24"/>
          <w:highlight w:val="none"/>
          <w:lang w:val="en-US" w:eastAsia="zh-CN" w:bidi="ar-SA"/>
        </w:rPr>
      </w:pPr>
      <w:r>
        <w:rPr>
          <w:rFonts w:ascii="宋体" w:hAnsi="宋体" w:eastAsia="宋体" w:cs="宋体"/>
          <w:color w:val="auto"/>
          <w:kern w:val="2"/>
          <w:sz w:val="21"/>
          <w:szCs w:val="24"/>
          <w:highlight w:val="none"/>
          <w:u w:val="single" w:color="000000"/>
          <w:lang w:val="en-US" w:eastAsia="zh-CN" w:bidi="ar-SA"/>
        </w:rPr>
        <w:t>b</w:t>
      </w:r>
      <w:r>
        <w:rPr>
          <w:rFonts w:ascii="宋体" w:hAnsi="宋体" w:eastAsia="宋体" w:cs="宋体"/>
          <w:color w:val="auto"/>
          <w:spacing w:val="-3"/>
          <w:kern w:val="2"/>
          <w:sz w:val="21"/>
          <w:szCs w:val="24"/>
          <w:highlight w:val="none"/>
          <w:u w:val="single" w:color="000000"/>
          <w:lang w:val="en-US" w:eastAsia="zh-CN" w:bidi="ar-SA"/>
        </w:rPr>
        <w:t xml:space="preserve"> </w:t>
      </w:r>
      <w:r>
        <w:rPr>
          <w:rFonts w:ascii="Times New Roman" w:hAnsi="Times New Roman" w:eastAsia="宋体" w:cs="Times New Roman"/>
          <w:color w:val="auto"/>
          <w:kern w:val="2"/>
          <w:sz w:val="21"/>
          <w:szCs w:val="24"/>
          <w:highlight w:val="none"/>
          <w:u w:val="single" w:color="000000"/>
          <w:lang w:val="en-US" w:eastAsia="zh-CN" w:bidi="ar-SA"/>
        </w:rPr>
        <w:t>委托人与设计、承建单位签订的合同或协议。</w:t>
      </w:r>
    </w:p>
    <w:p>
      <w:pPr>
        <w:keepNext w:val="0"/>
        <w:keepLines w:val="0"/>
        <w:widowControl w:val="0"/>
        <w:kinsoku/>
        <w:wordWrap/>
        <w:overflowPunct/>
        <w:topLinePunct w:val="0"/>
        <w:bidi w:val="0"/>
        <w:spacing w:before="36" w:after="120"/>
        <w:ind w:left="536" w:right="101"/>
        <w:jc w:val="both"/>
        <w:textAlignment w:val="auto"/>
        <w:rPr>
          <w:rFonts w:ascii="Times New Roman" w:hAnsi="Times New Roman" w:eastAsia="宋体" w:cs="Times New Roman"/>
          <w:color w:val="auto"/>
          <w:kern w:val="2"/>
          <w:sz w:val="21"/>
          <w:szCs w:val="24"/>
          <w:highlight w:val="none"/>
          <w:lang w:val="en-US" w:eastAsia="zh-CN" w:bidi="ar-SA"/>
        </w:rPr>
      </w:pPr>
      <w:r>
        <w:rPr>
          <w:rFonts w:ascii="宋体" w:hAnsi="宋体" w:eastAsia="宋体" w:cs="宋体"/>
          <w:color w:val="auto"/>
          <w:kern w:val="2"/>
          <w:sz w:val="21"/>
          <w:szCs w:val="24"/>
          <w:highlight w:val="none"/>
          <w:u w:val="single" w:color="000000"/>
          <w:lang w:val="en-US" w:eastAsia="zh-CN" w:bidi="ar-SA"/>
        </w:rPr>
        <w:t>c</w:t>
      </w:r>
      <w:r>
        <w:rPr>
          <w:rFonts w:ascii="宋体" w:hAnsi="宋体" w:eastAsia="宋体" w:cs="宋体"/>
          <w:color w:val="auto"/>
          <w:spacing w:val="-3"/>
          <w:kern w:val="2"/>
          <w:sz w:val="21"/>
          <w:szCs w:val="24"/>
          <w:highlight w:val="none"/>
          <w:u w:val="single" w:color="000000"/>
          <w:lang w:val="en-US" w:eastAsia="zh-CN" w:bidi="ar-SA"/>
        </w:rPr>
        <w:t xml:space="preserve"> </w:t>
      </w:r>
      <w:r>
        <w:rPr>
          <w:rFonts w:ascii="Times New Roman" w:hAnsi="Times New Roman" w:eastAsia="宋体" w:cs="Times New Roman"/>
          <w:color w:val="auto"/>
          <w:kern w:val="2"/>
          <w:sz w:val="21"/>
          <w:szCs w:val="24"/>
          <w:highlight w:val="none"/>
          <w:u w:val="single" w:color="000000"/>
          <w:lang w:val="en-US" w:eastAsia="zh-CN" w:bidi="ar-SA"/>
        </w:rPr>
        <w:t>经批准的施工</w:t>
      </w:r>
      <w:r>
        <w:rPr>
          <w:rFonts w:hint="eastAsia" w:ascii="Times New Roman" w:hAnsi="Times New Roman" w:eastAsia="宋体" w:cs="Times New Roman"/>
          <w:color w:val="auto"/>
          <w:kern w:val="2"/>
          <w:sz w:val="21"/>
          <w:szCs w:val="24"/>
          <w:highlight w:val="none"/>
          <w:u w:val="single" w:color="000000"/>
          <w:lang w:val="en-US" w:eastAsia="zh-CN" w:bidi="ar-SA"/>
        </w:rPr>
        <w:t>图</w:t>
      </w:r>
      <w:r>
        <w:rPr>
          <w:rFonts w:ascii="Times New Roman" w:hAnsi="Times New Roman" w:eastAsia="宋体" w:cs="Times New Roman"/>
          <w:color w:val="auto"/>
          <w:kern w:val="2"/>
          <w:sz w:val="21"/>
          <w:szCs w:val="24"/>
          <w:highlight w:val="none"/>
          <w:u w:val="single" w:color="000000"/>
          <w:lang w:val="en-US" w:eastAsia="zh-CN" w:bidi="ar-SA"/>
        </w:rPr>
        <w:t>纸及说明，经图纸会审确定的修改设计通知书。</w:t>
      </w:r>
    </w:p>
    <w:p>
      <w:pPr>
        <w:keepNext w:val="0"/>
        <w:keepLines w:val="0"/>
        <w:widowControl w:val="0"/>
        <w:kinsoku/>
        <w:wordWrap/>
        <w:overflowPunct/>
        <w:topLinePunct w:val="0"/>
        <w:bidi w:val="0"/>
        <w:textAlignment w:val="auto"/>
        <w:rPr>
          <w:rFonts w:ascii="宋体" w:hAnsi="宋体" w:eastAsia="宋体" w:cs="宋体"/>
          <w:color w:val="auto"/>
          <w:sz w:val="12"/>
          <w:szCs w:val="12"/>
          <w:highlight w:val="none"/>
        </w:rPr>
      </w:pPr>
    </w:p>
    <w:p>
      <w:pPr>
        <w:keepNext w:val="0"/>
        <w:keepLines w:val="0"/>
        <w:widowControl w:val="0"/>
        <w:kinsoku/>
        <w:wordWrap/>
        <w:overflowPunct/>
        <w:topLinePunct w:val="0"/>
        <w:bidi w:val="0"/>
        <w:spacing w:before="36" w:after="120"/>
        <w:ind w:left="536" w:right="101"/>
        <w:jc w:val="both"/>
        <w:textAlignment w:val="auto"/>
        <w:rPr>
          <w:rFonts w:ascii="Times New Roman" w:hAnsi="Times New Roman" w:eastAsia="宋体" w:cs="Times New Roman"/>
          <w:color w:val="auto"/>
          <w:kern w:val="2"/>
          <w:sz w:val="21"/>
          <w:szCs w:val="24"/>
          <w:highlight w:val="none"/>
          <w:lang w:val="en-US" w:eastAsia="zh-CN" w:bidi="ar-SA"/>
        </w:rPr>
      </w:pPr>
      <w:r>
        <w:rPr>
          <w:rFonts w:ascii="宋体" w:hAnsi="宋体" w:eastAsia="宋体" w:cs="宋体"/>
          <w:color w:val="auto"/>
          <w:kern w:val="2"/>
          <w:sz w:val="21"/>
          <w:szCs w:val="24"/>
          <w:highlight w:val="none"/>
          <w:u w:val="single" w:color="000000"/>
          <w:lang w:val="en-US" w:eastAsia="zh-CN" w:bidi="ar-SA"/>
        </w:rPr>
        <w:t>d</w:t>
      </w:r>
      <w:r>
        <w:rPr>
          <w:rFonts w:ascii="宋体" w:hAnsi="宋体" w:eastAsia="宋体" w:cs="宋体"/>
          <w:color w:val="auto"/>
          <w:spacing w:val="-2"/>
          <w:kern w:val="2"/>
          <w:sz w:val="21"/>
          <w:szCs w:val="24"/>
          <w:highlight w:val="none"/>
          <w:u w:val="single" w:color="000000"/>
          <w:lang w:val="en-US" w:eastAsia="zh-CN" w:bidi="ar-SA"/>
        </w:rPr>
        <w:t xml:space="preserve"> </w:t>
      </w:r>
      <w:r>
        <w:rPr>
          <w:rFonts w:ascii="Times New Roman" w:hAnsi="Times New Roman" w:eastAsia="宋体" w:cs="Times New Roman"/>
          <w:color w:val="auto"/>
          <w:kern w:val="2"/>
          <w:sz w:val="21"/>
          <w:szCs w:val="24"/>
          <w:highlight w:val="none"/>
          <w:u w:val="single" w:color="000000"/>
          <w:lang w:val="en-US" w:eastAsia="zh-CN" w:bidi="ar-SA"/>
        </w:rPr>
        <w:t>国家和地方现行的建筑工程质量评审标准及施工验收规范。</w:t>
      </w:r>
    </w:p>
    <w:p>
      <w:pPr>
        <w:keepNext w:val="0"/>
        <w:keepLines w:val="0"/>
        <w:widowControl w:val="0"/>
        <w:kinsoku/>
        <w:wordWrap/>
        <w:overflowPunct/>
        <w:topLinePunct w:val="0"/>
        <w:bidi w:val="0"/>
        <w:spacing w:before="13"/>
        <w:textAlignment w:val="auto"/>
        <w:rPr>
          <w:rFonts w:ascii="宋体" w:hAnsi="宋体" w:eastAsia="宋体" w:cs="宋体"/>
          <w:color w:val="auto"/>
          <w:sz w:val="11"/>
          <w:szCs w:val="11"/>
          <w:highlight w:val="none"/>
        </w:rPr>
      </w:pPr>
    </w:p>
    <w:p>
      <w:pPr>
        <w:keepNext w:val="0"/>
        <w:keepLines w:val="0"/>
        <w:widowControl w:val="0"/>
        <w:kinsoku/>
        <w:wordWrap/>
        <w:overflowPunct/>
        <w:topLinePunct w:val="0"/>
        <w:bidi w:val="0"/>
        <w:spacing w:before="36" w:after="120"/>
        <w:ind w:left="536" w:right="101"/>
        <w:jc w:val="both"/>
        <w:textAlignment w:val="auto"/>
        <w:rPr>
          <w:rFonts w:ascii="Times New Roman" w:hAnsi="Times New Roman" w:eastAsia="宋体" w:cs="Times New Roman"/>
          <w:color w:val="auto"/>
          <w:kern w:val="2"/>
          <w:sz w:val="21"/>
          <w:szCs w:val="24"/>
          <w:highlight w:val="none"/>
          <w:lang w:val="en-US" w:eastAsia="zh-CN" w:bidi="ar-SA"/>
        </w:rPr>
      </w:pPr>
      <w:r>
        <w:rPr>
          <w:rFonts w:ascii="宋体" w:hAnsi="宋体" w:eastAsia="宋体" w:cs="宋体"/>
          <w:color w:val="auto"/>
          <w:kern w:val="2"/>
          <w:sz w:val="21"/>
          <w:szCs w:val="24"/>
          <w:highlight w:val="none"/>
          <w:u w:val="single" w:color="000000"/>
          <w:lang w:val="en-US" w:eastAsia="zh-CN" w:bidi="ar-SA"/>
        </w:rPr>
        <w:t>e</w:t>
      </w:r>
      <w:r>
        <w:rPr>
          <w:rFonts w:ascii="宋体" w:hAnsi="宋体" w:eastAsia="宋体" w:cs="宋体"/>
          <w:color w:val="auto"/>
          <w:spacing w:val="-2"/>
          <w:kern w:val="2"/>
          <w:sz w:val="21"/>
          <w:szCs w:val="24"/>
          <w:highlight w:val="none"/>
          <w:u w:val="single" w:color="000000"/>
          <w:lang w:val="en-US" w:eastAsia="zh-CN" w:bidi="ar-SA"/>
        </w:rPr>
        <w:t xml:space="preserve"> </w:t>
      </w:r>
      <w:r>
        <w:rPr>
          <w:rFonts w:ascii="Times New Roman" w:hAnsi="Times New Roman" w:eastAsia="宋体" w:cs="Times New Roman"/>
          <w:color w:val="auto"/>
          <w:kern w:val="2"/>
          <w:sz w:val="21"/>
          <w:szCs w:val="24"/>
          <w:highlight w:val="none"/>
          <w:u w:val="single" w:color="000000"/>
          <w:lang w:val="en-US" w:eastAsia="zh-CN" w:bidi="ar-SA"/>
        </w:rPr>
        <w:t>当地现行预算定额、收费标准和有关建设管理办法。</w:t>
      </w:r>
    </w:p>
    <w:p>
      <w:pPr>
        <w:keepNext w:val="0"/>
        <w:keepLines w:val="0"/>
        <w:widowControl w:val="0"/>
        <w:kinsoku/>
        <w:wordWrap/>
        <w:overflowPunct/>
        <w:topLinePunct w:val="0"/>
        <w:bidi w:val="0"/>
        <w:spacing w:before="13"/>
        <w:textAlignment w:val="auto"/>
        <w:rPr>
          <w:rFonts w:ascii="宋体" w:hAnsi="宋体" w:eastAsia="宋体" w:cs="宋体"/>
          <w:color w:val="auto"/>
          <w:sz w:val="11"/>
          <w:szCs w:val="11"/>
          <w:highlight w:val="none"/>
        </w:rPr>
      </w:pPr>
    </w:p>
    <w:p>
      <w:pPr>
        <w:keepNext w:val="0"/>
        <w:keepLines w:val="0"/>
        <w:widowControl w:val="0"/>
        <w:kinsoku/>
        <w:wordWrap/>
        <w:overflowPunct/>
        <w:topLinePunct w:val="0"/>
        <w:bidi w:val="0"/>
        <w:spacing w:before="36" w:after="120"/>
        <w:ind w:left="536" w:right="4296"/>
        <w:jc w:val="both"/>
        <w:textAlignment w:val="auto"/>
        <w:rPr>
          <w:rFonts w:hint="eastAsia" w:ascii="Times New Roman" w:hAnsi="Times New Roman" w:eastAsia="宋体" w:cs="Times New Roman"/>
          <w:color w:val="auto"/>
          <w:kern w:val="2"/>
          <w:sz w:val="21"/>
          <w:szCs w:val="24"/>
          <w:highlight w:val="none"/>
          <w:u w:val="single" w:color="000000"/>
          <w:lang w:val="en-US" w:eastAsia="zh-CN" w:bidi="ar-SA"/>
        </w:rPr>
      </w:pPr>
      <w:r>
        <w:rPr>
          <w:rFonts w:ascii="宋体" w:hAnsi="宋体" w:eastAsia="宋体" w:cs="宋体"/>
          <w:color w:val="auto"/>
          <w:kern w:val="2"/>
          <w:sz w:val="21"/>
          <w:szCs w:val="24"/>
          <w:highlight w:val="none"/>
          <w:u w:val="single" w:color="000000"/>
          <w:lang w:val="en-US" w:eastAsia="zh-CN" w:bidi="ar-SA"/>
        </w:rPr>
        <w:t xml:space="preserve">f </w:t>
      </w:r>
      <w:r>
        <w:rPr>
          <w:rFonts w:ascii="Times New Roman" w:hAnsi="Times New Roman" w:eastAsia="宋体" w:cs="Times New Roman"/>
          <w:color w:val="auto"/>
          <w:kern w:val="2"/>
          <w:sz w:val="21"/>
          <w:szCs w:val="24"/>
          <w:highlight w:val="none"/>
          <w:u w:val="single" w:color="000000"/>
          <w:lang w:val="en-US" w:eastAsia="zh-CN" w:bidi="ar-SA"/>
        </w:rPr>
        <w:t>当地建设行政主管部门的有关法规等。</w:t>
      </w:r>
    </w:p>
    <w:p>
      <w:pPr>
        <w:keepNext w:val="0"/>
        <w:keepLines w:val="0"/>
        <w:widowControl w:val="0"/>
        <w:kinsoku/>
        <w:wordWrap/>
        <w:overflowPunct/>
        <w:topLinePunct w:val="0"/>
        <w:bidi w:val="0"/>
        <w:spacing w:before="36" w:after="120"/>
        <w:ind w:left="536" w:right="4296"/>
        <w:jc w:val="both"/>
        <w:textAlignment w:val="auto"/>
        <w:rPr>
          <w:rFonts w:hint="eastAsia" w:ascii="Times New Roman" w:hAnsi="Times New Roman" w:eastAsia="宋体" w:cs="Times New Roman"/>
          <w:color w:val="auto"/>
          <w:kern w:val="2"/>
          <w:sz w:val="21"/>
          <w:szCs w:val="24"/>
          <w:highlight w:val="none"/>
          <w:u w:val="single" w:color="000000"/>
          <w:lang w:val="en-US" w:eastAsia="zh-CN" w:bidi="ar-SA"/>
        </w:rPr>
      </w:pP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ascii="宋体" w:hAnsi="宋体" w:eastAsia="宋体" w:cs="宋体"/>
          <w:color w:val="auto"/>
          <w:sz w:val="11"/>
          <w:szCs w:val="11"/>
          <w:highlight w:val="none"/>
        </w:rPr>
      </w:pPr>
      <w:r>
        <w:rPr>
          <w:rFonts w:hint="eastAsia" w:ascii="宋体" w:hAnsi="宋体" w:eastAsia="宋体" w:cs="Times New Roman"/>
          <w:color w:val="auto"/>
          <w:szCs w:val="21"/>
          <w:highlight w:val="none"/>
        </w:rPr>
        <w:t>在合同期间，前述监理依据有变动且根据变动后的监理依据，本工程应当遵守变动后的内容的，监理依据则以变动后的为准。</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dstrike/>
          <w:color w:val="auto"/>
          <w:szCs w:val="21"/>
          <w:highlight w:val="none"/>
        </w:rPr>
      </w:pPr>
      <w:r>
        <w:rPr>
          <w:rFonts w:hint="eastAsia" w:ascii="宋体" w:hAnsi="宋体" w:eastAsia="宋体" w:cs="Times New Roman"/>
          <w:color w:val="auto"/>
          <w:szCs w:val="21"/>
          <w:highlight w:val="none"/>
        </w:rPr>
        <w:t>2.2.2 相关服务依据包括：</w:t>
      </w:r>
      <w:r>
        <w:rPr>
          <w:rFonts w:hint="eastAsia" w:ascii="宋体" w:hAnsi="宋体" w:eastAsia="宋体" w:cs="Times New Roman"/>
          <w:color w:val="auto"/>
          <w:szCs w:val="21"/>
          <w:highlight w:val="none"/>
          <w:u w:val="single"/>
        </w:rPr>
        <w:t xml:space="preserve">          </w:t>
      </w:r>
      <w:r>
        <w:rPr>
          <w:rFonts w:ascii="宋体" w:hAnsi="宋体" w:eastAsia="宋体" w:cs="宋体"/>
          <w:color w:val="auto"/>
          <w:highlight w:val="none"/>
          <w:u w:val="single" w:color="000000"/>
        </w:rPr>
        <w:t>/</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w:t>
      </w:r>
    </w:p>
    <w:p>
      <w:pPr>
        <w:keepNext w:val="0"/>
        <w:keepLines w:val="0"/>
        <w:widowControl w:val="0"/>
        <w:kinsoku/>
        <w:wordWrap/>
        <w:overflowPunct/>
        <w:topLinePunct w:val="0"/>
        <w:bidi w:val="0"/>
        <w:spacing w:line="360" w:lineRule="auto"/>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w:t>
      </w:r>
      <w:r>
        <w:rPr>
          <w:rFonts w:hint="eastAsia" w:ascii="宋体" w:hAnsi="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2.3</w:t>
      </w:r>
      <w:r>
        <w:rPr>
          <w:rFonts w:hint="eastAsia" w:ascii="宋体" w:hAnsi="宋体" w:eastAsia="宋体" w:cs="宋体"/>
          <w:color w:val="auto"/>
          <w:kern w:val="0"/>
          <w:szCs w:val="21"/>
          <w:highlight w:val="none"/>
        </w:rPr>
        <w:t>项目监理机构和人员、</w:t>
      </w:r>
      <w:r>
        <w:rPr>
          <w:rFonts w:hint="eastAsia" w:ascii="宋体" w:hAnsi="宋体" w:eastAsia="宋体" w:cs="Times New Roman"/>
          <w:color w:val="auto"/>
          <w:kern w:val="0"/>
          <w:szCs w:val="21"/>
          <w:highlight w:val="none"/>
        </w:rPr>
        <w:t>主要工作设备</w:t>
      </w:r>
    </w:p>
    <w:p>
      <w:pPr>
        <w:keepNext w:val="0"/>
        <w:keepLines w:val="0"/>
        <w:widowControl w:val="0"/>
        <w:kinsoku/>
        <w:wordWrap/>
        <w:overflowPunct/>
        <w:topLinePunct w:val="0"/>
        <w:bidi w:val="0"/>
        <w:spacing w:line="360" w:lineRule="auto"/>
        <w:ind w:firstLine="420"/>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2.3.4</w:t>
      </w:r>
      <w:r>
        <w:rPr>
          <w:rFonts w:hint="eastAsia" w:ascii="宋体" w:hAnsi="宋体" w:eastAsia="宋体" w:cs="Times New Roman"/>
          <w:color w:val="auto"/>
          <w:kern w:val="0"/>
          <w:szCs w:val="21"/>
          <w:highlight w:val="none"/>
        </w:rPr>
        <w:t>有更换监理人员的其他情形：</w:t>
      </w:r>
    </w:p>
    <w:p>
      <w:pPr>
        <w:keepNext w:val="0"/>
        <w:keepLines w:val="0"/>
        <w:widowControl w:val="0"/>
        <w:kinsoku/>
        <w:wordWrap/>
        <w:overflowPunct/>
        <w:topLinePunct w:val="0"/>
        <w:bidi w:val="0"/>
        <w:spacing w:line="400" w:lineRule="exact"/>
        <w:ind w:firstLine="42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下列情况之一者可提出更换总监理工程师申请：</w:t>
      </w:r>
    </w:p>
    <w:p>
      <w:pPr>
        <w:keepNext w:val="0"/>
        <w:keepLines w:val="0"/>
        <w:widowControl w:val="0"/>
        <w:kinsoku/>
        <w:wordWrap/>
        <w:overflowPunct/>
        <w:topLinePunct w:val="0"/>
        <w:bidi w:val="0"/>
        <w:spacing w:line="400" w:lineRule="exact"/>
        <w:ind w:firstLine="42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2.3.4.1 拟投入的总监理工程师出现意外伤亡的；</w:t>
      </w:r>
    </w:p>
    <w:p>
      <w:pPr>
        <w:keepNext w:val="0"/>
        <w:keepLines w:val="0"/>
        <w:widowControl w:val="0"/>
        <w:kinsoku/>
        <w:wordWrap/>
        <w:overflowPunct/>
        <w:topLinePunct w:val="0"/>
        <w:bidi w:val="0"/>
        <w:spacing w:line="400" w:lineRule="exact"/>
        <w:ind w:firstLine="42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2.3.4.2 拟投入的总监理工程师调动不在本公司工作的。</w:t>
      </w:r>
    </w:p>
    <w:p>
      <w:pPr>
        <w:adjustRightInd w:val="0"/>
        <w:snapToGrid w:val="0"/>
        <w:spacing w:line="400" w:lineRule="exact"/>
        <w:ind w:firstLine="420"/>
        <w:rPr>
          <w:rFonts w:hint="eastAsia"/>
        </w:rPr>
      </w:pPr>
      <w:r>
        <w:rPr>
          <w:rFonts w:hint="eastAsia" w:ascii="宋体" w:hAnsi="宋体" w:eastAsia="宋体" w:cs="Times New Roman"/>
          <w:color w:val="auto"/>
          <w:kern w:val="0"/>
          <w:szCs w:val="21"/>
          <w:highlight w:val="none"/>
          <w:lang w:val="en-US" w:eastAsia="zh-CN"/>
        </w:rPr>
        <w:t>2.3.4.3拟投入的总监理工程师因重病或不可抗力原因无法完成监理工作的。</w:t>
      </w:r>
    </w:p>
    <w:p>
      <w:pPr>
        <w:keepNext w:val="0"/>
        <w:keepLines w:val="0"/>
        <w:widowControl w:val="0"/>
        <w:kinsoku/>
        <w:wordWrap/>
        <w:overflowPunct/>
        <w:topLinePunct w:val="0"/>
        <w:bidi w:val="0"/>
        <w:adjustRightInd w:val="0"/>
        <w:snapToGrid w:val="0"/>
        <w:spacing w:line="400" w:lineRule="exact"/>
        <w:ind w:firstLine="420"/>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办理报建手续时，监理提供的项目总监理工程师、总监理代表必须与投标文件一致，否则委托人有权终止本合同并由监理人向委托人支付赔偿金；监理人委派的项目总监理工程师，须严格执行并落实总监负责制，全面领导和负责本项目的监理工作，常驻现场。除委托人原因以外，无论何时因何事更换总监理工程师造成损失的，均由监理人向委托人支付赔偿金，赔偿更换造成的损失。</w:t>
      </w:r>
    </w:p>
    <w:p>
      <w:pPr>
        <w:keepNext w:val="0"/>
        <w:keepLines w:val="0"/>
        <w:widowControl w:val="0"/>
        <w:kinsoku/>
        <w:wordWrap/>
        <w:overflowPunct/>
        <w:topLinePunct w:val="0"/>
        <w:bidi w:val="0"/>
        <w:adjustRightInd w:val="0"/>
        <w:snapToGrid w:val="0"/>
        <w:spacing w:line="400" w:lineRule="exact"/>
        <w:ind w:firstLine="420"/>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2.3.5 委托人可要求监理人更换存在通用条件2.3.4任意情形的项目监理机构人员。</w:t>
      </w:r>
    </w:p>
    <w:p>
      <w:pPr>
        <w:keepNext w:val="0"/>
        <w:keepLines w:val="0"/>
        <w:widowControl w:val="0"/>
        <w:kinsoku/>
        <w:wordWrap/>
        <w:overflowPunct/>
        <w:topLinePunct w:val="0"/>
        <w:bidi w:val="0"/>
        <w:spacing w:line="500" w:lineRule="exact"/>
        <w:ind w:firstLine="424" w:firstLineChars="202"/>
        <w:jc w:val="left"/>
        <w:textAlignment w:val="auto"/>
        <w:rPr>
          <w:rFonts w:hint="eastAsia" w:ascii="宋体" w:hAnsi="宋体" w:eastAsia="宋体" w:cs="Times New Roman"/>
          <w:b/>
          <w:bCs/>
          <w:color w:val="auto"/>
          <w:sz w:val="28"/>
          <w:highlight w:val="none"/>
        </w:rPr>
      </w:pPr>
      <w:r>
        <w:rPr>
          <w:rFonts w:hint="eastAsia" w:ascii="宋体" w:hAnsi="宋体" w:eastAsia="宋体" w:cs="Times New Roman"/>
          <w:color w:val="auto"/>
          <w:kern w:val="0"/>
          <w:szCs w:val="21"/>
          <w:highlight w:val="none"/>
        </w:rPr>
        <w:t>2.3.6监理人应按投标承诺投入主要工作设备。</w:t>
      </w:r>
    </w:p>
    <w:p>
      <w:pPr>
        <w:keepNext w:val="0"/>
        <w:keepLines w:val="0"/>
        <w:widowControl w:val="0"/>
        <w:kinsoku/>
        <w:wordWrap/>
        <w:overflowPunct/>
        <w:topLinePunct w:val="0"/>
        <w:bidi w:val="0"/>
        <w:spacing w:line="500" w:lineRule="exact"/>
        <w:ind w:firstLine="525" w:firstLineChars="250"/>
        <w:jc w:val="left"/>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监理人投入的主要工作设备</w:t>
      </w:r>
    </w:p>
    <w:p>
      <w:pPr>
        <w:keepNext w:val="0"/>
        <w:keepLines w:val="0"/>
        <w:widowControl w:val="0"/>
        <w:kinsoku/>
        <w:wordWrap/>
        <w:overflowPunct/>
        <w:topLinePunct w:val="0"/>
        <w:bidi w:val="0"/>
        <w:spacing w:line="500" w:lineRule="exact"/>
        <w:ind w:firstLine="525" w:firstLineChars="250"/>
        <w:jc w:val="left"/>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设备名称：</w:t>
      </w:r>
      <w:r>
        <w:rPr>
          <w:rFonts w:hint="eastAsia" w:ascii="宋体" w:hAnsi="宋体" w:eastAsia="宋体" w:cs="Times New Roman"/>
          <w:color w:val="auto"/>
          <w:szCs w:val="21"/>
          <w:highlight w:val="none"/>
          <w:u w:val="single"/>
        </w:rPr>
        <w:t xml:space="preserve">     </w:t>
      </w:r>
      <w:r>
        <w:rPr>
          <w:rFonts w:ascii="宋体" w:hAnsi="宋体" w:eastAsia="宋体" w:cs="宋体"/>
          <w:color w:val="auto"/>
          <w:highlight w:val="none"/>
          <w:u w:val="single" w:color="000000"/>
        </w:rPr>
        <w:t>/</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；投入时间：</w:t>
      </w:r>
      <w:r>
        <w:rPr>
          <w:rFonts w:hint="eastAsia" w:ascii="宋体" w:hAnsi="宋体" w:eastAsia="宋体" w:cs="Times New Roman"/>
          <w:color w:val="auto"/>
          <w:szCs w:val="21"/>
          <w:highlight w:val="none"/>
          <w:u w:val="single"/>
        </w:rPr>
        <w:t xml:space="preserve">    </w:t>
      </w:r>
      <w:r>
        <w:rPr>
          <w:rFonts w:ascii="宋体" w:hAnsi="宋体" w:eastAsia="宋体" w:cs="宋体"/>
          <w:color w:val="auto"/>
          <w:highlight w:val="none"/>
          <w:u w:val="single" w:color="000000"/>
        </w:rPr>
        <w:t>/</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 xml:space="preserve"> 至</w:t>
      </w:r>
      <w:r>
        <w:rPr>
          <w:rFonts w:hint="eastAsia" w:ascii="宋体" w:hAnsi="宋体" w:eastAsia="宋体" w:cs="Times New Roman"/>
          <w:color w:val="auto"/>
          <w:szCs w:val="21"/>
          <w:highlight w:val="none"/>
          <w:u w:val="single"/>
        </w:rPr>
        <w:t xml:space="preserve">    </w:t>
      </w:r>
      <w:r>
        <w:rPr>
          <w:rFonts w:ascii="宋体" w:hAnsi="宋体" w:eastAsia="宋体" w:cs="宋体"/>
          <w:color w:val="auto"/>
          <w:highlight w:val="none"/>
          <w:u w:val="single" w:color="000000"/>
        </w:rPr>
        <w:t>/</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 xml:space="preserve"> ；欠缺此设备</w:t>
      </w:r>
      <w:r>
        <w:rPr>
          <w:rFonts w:hint="eastAsia" w:ascii="宋体" w:hAnsi="宋体" w:eastAsia="宋体" w:cs="Times New Roman"/>
          <w:color w:val="auto"/>
          <w:kern w:val="0"/>
          <w:szCs w:val="21"/>
          <w:highlight w:val="none"/>
        </w:rPr>
        <w:t>扣款</w:t>
      </w:r>
      <w:r>
        <w:rPr>
          <w:rFonts w:hint="eastAsia" w:ascii="宋体" w:hAnsi="宋体" w:eastAsia="宋体" w:cs="Times New Roman"/>
          <w:color w:val="auto"/>
          <w:kern w:val="0"/>
          <w:szCs w:val="21"/>
          <w:highlight w:val="none"/>
          <w:u w:val="single"/>
        </w:rPr>
        <w:t xml:space="preserve">    </w:t>
      </w:r>
      <w:r>
        <w:rPr>
          <w:rFonts w:ascii="宋体" w:hAnsi="宋体" w:eastAsia="宋体" w:cs="宋体"/>
          <w:color w:val="auto"/>
          <w:highlight w:val="none"/>
          <w:u w:val="single" w:color="000000"/>
        </w:rPr>
        <w:t>/</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元。</w:t>
      </w:r>
    </w:p>
    <w:p>
      <w:pPr>
        <w:keepNext w:val="0"/>
        <w:keepLines w:val="0"/>
        <w:widowControl w:val="0"/>
        <w:kinsoku/>
        <w:wordWrap/>
        <w:overflowPunct/>
        <w:topLinePunct w:val="0"/>
        <w:bidi w:val="0"/>
        <w:spacing w:line="500" w:lineRule="exact"/>
        <w:ind w:firstLine="525" w:firstLineChars="250"/>
        <w:jc w:val="left"/>
        <w:textAlignment w:val="auto"/>
        <w:rPr>
          <w:rFonts w:hint="eastAsia" w:ascii="宋体" w:hAnsi="宋体" w:eastAsia="宋体" w:cs="Times New Roman"/>
          <w:color w:val="auto"/>
          <w:kern w:val="0"/>
          <w:szCs w:val="21"/>
          <w:highlight w:val="none"/>
          <w:u w:val="single"/>
        </w:rPr>
      </w:pPr>
      <w:r>
        <w:rPr>
          <w:rFonts w:hint="eastAsia" w:ascii="宋体" w:hAnsi="宋体" w:eastAsia="宋体" w:cs="Times New Roman"/>
          <w:color w:val="auto"/>
          <w:szCs w:val="21"/>
          <w:highlight w:val="none"/>
        </w:rPr>
        <w:t>设备名称：</w:t>
      </w:r>
      <w:r>
        <w:rPr>
          <w:rFonts w:hint="eastAsia" w:ascii="宋体" w:hAnsi="宋体" w:eastAsia="宋体" w:cs="Times New Roman"/>
          <w:color w:val="auto"/>
          <w:szCs w:val="21"/>
          <w:highlight w:val="none"/>
          <w:u w:val="single"/>
        </w:rPr>
        <w:t xml:space="preserve">      </w:t>
      </w:r>
      <w:r>
        <w:rPr>
          <w:rFonts w:ascii="宋体" w:hAnsi="宋体" w:eastAsia="宋体" w:cs="宋体"/>
          <w:color w:val="auto"/>
          <w:highlight w:val="none"/>
          <w:u w:val="single" w:color="000000"/>
        </w:rPr>
        <w:t>/</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；投入时间：</w:t>
      </w:r>
      <w:r>
        <w:rPr>
          <w:rFonts w:hint="eastAsia" w:ascii="宋体" w:hAnsi="宋体" w:eastAsia="宋体" w:cs="Times New Roman"/>
          <w:color w:val="auto"/>
          <w:szCs w:val="21"/>
          <w:highlight w:val="none"/>
          <w:u w:val="single"/>
        </w:rPr>
        <w:t xml:space="preserve">    </w:t>
      </w:r>
      <w:r>
        <w:rPr>
          <w:rFonts w:ascii="宋体" w:hAnsi="宋体" w:eastAsia="宋体" w:cs="宋体"/>
          <w:color w:val="auto"/>
          <w:highlight w:val="none"/>
          <w:u w:val="single" w:color="000000"/>
        </w:rPr>
        <w:t>/</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 xml:space="preserve"> 至</w:t>
      </w:r>
      <w:r>
        <w:rPr>
          <w:rFonts w:hint="eastAsia" w:ascii="宋体" w:hAnsi="宋体" w:eastAsia="宋体" w:cs="Times New Roman"/>
          <w:color w:val="auto"/>
          <w:szCs w:val="21"/>
          <w:highlight w:val="none"/>
          <w:u w:val="single"/>
        </w:rPr>
        <w:t xml:space="preserve">   </w:t>
      </w:r>
      <w:r>
        <w:rPr>
          <w:rFonts w:ascii="宋体" w:hAnsi="宋体" w:eastAsia="宋体" w:cs="宋体"/>
          <w:color w:val="auto"/>
          <w:highlight w:val="none"/>
          <w:u w:val="single" w:color="000000"/>
        </w:rPr>
        <w:t>/</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 xml:space="preserve"> ；欠缺此设备</w:t>
      </w:r>
      <w:r>
        <w:rPr>
          <w:rFonts w:hint="eastAsia" w:ascii="宋体" w:hAnsi="宋体" w:eastAsia="宋体" w:cs="Times New Roman"/>
          <w:color w:val="auto"/>
          <w:kern w:val="0"/>
          <w:szCs w:val="21"/>
          <w:highlight w:val="none"/>
        </w:rPr>
        <w:t>扣款</w:t>
      </w:r>
      <w:r>
        <w:rPr>
          <w:rFonts w:hint="eastAsia" w:ascii="宋体" w:hAnsi="宋体" w:eastAsia="宋体" w:cs="Times New Roman"/>
          <w:color w:val="auto"/>
          <w:kern w:val="0"/>
          <w:szCs w:val="21"/>
          <w:highlight w:val="none"/>
          <w:u w:val="single"/>
        </w:rPr>
        <w:t xml:space="preserve">   </w:t>
      </w:r>
      <w:r>
        <w:rPr>
          <w:rFonts w:ascii="宋体" w:hAnsi="宋体" w:eastAsia="宋体" w:cs="宋体"/>
          <w:color w:val="auto"/>
          <w:highlight w:val="none"/>
          <w:u w:val="single" w:color="000000"/>
        </w:rPr>
        <w:t>/</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元。</w:t>
      </w:r>
    </w:p>
    <w:p>
      <w:pPr>
        <w:keepNext w:val="0"/>
        <w:keepLines w:val="0"/>
        <w:widowControl w:val="0"/>
        <w:kinsoku/>
        <w:wordWrap/>
        <w:overflowPunct/>
        <w:topLinePunct w:val="0"/>
        <w:bidi w:val="0"/>
        <w:spacing w:line="500" w:lineRule="exact"/>
        <w:ind w:firstLine="525" w:firstLineChars="250"/>
        <w:jc w:val="left"/>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设备名称：</w:t>
      </w:r>
      <w:r>
        <w:rPr>
          <w:rFonts w:hint="eastAsia" w:ascii="宋体" w:hAnsi="宋体" w:eastAsia="宋体" w:cs="Times New Roman"/>
          <w:color w:val="auto"/>
          <w:szCs w:val="21"/>
          <w:highlight w:val="none"/>
          <w:u w:val="single"/>
        </w:rPr>
        <w:t xml:space="preserve">      </w:t>
      </w:r>
      <w:r>
        <w:rPr>
          <w:rFonts w:ascii="宋体" w:hAnsi="宋体" w:eastAsia="宋体" w:cs="宋体"/>
          <w:color w:val="auto"/>
          <w:highlight w:val="none"/>
          <w:u w:val="single" w:color="000000"/>
        </w:rPr>
        <w:t>/</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；投入时间：</w:t>
      </w:r>
      <w:r>
        <w:rPr>
          <w:rFonts w:hint="eastAsia" w:ascii="宋体" w:hAnsi="宋体" w:eastAsia="宋体" w:cs="Times New Roman"/>
          <w:color w:val="auto"/>
          <w:szCs w:val="21"/>
          <w:highlight w:val="none"/>
          <w:u w:val="single"/>
        </w:rPr>
        <w:t xml:space="preserve">    </w:t>
      </w:r>
      <w:r>
        <w:rPr>
          <w:rFonts w:ascii="宋体" w:hAnsi="宋体" w:eastAsia="宋体" w:cs="宋体"/>
          <w:color w:val="auto"/>
          <w:highlight w:val="none"/>
          <w:u w:val="single" w:color="000000"/>
        </w:rPr>
        <w:t>/</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 xml:space="preserve"> 至</w:t>
      </w:r>
      <w:r>
        <w:rPr>
          <w:rFonts w:hint="eastAsia" w:ascii="宋体" w:hAnsi="宋体" w:eastAsia="宋体" w:cs="Times New Roman"/>
          <w:color w:val="auto"/>
          <w:szCs w:val="21"/>
          <w:highlight w:val="none"/>
          <w:u w:val="single"/>
        </w:rPr>
        <w:t xml:space="preserve">   </w:t>
      </w:r>
      <w:r>
        <w:rPr>
          <w:rFonts w:ascii="宋体" w:hAnsi="宋体" w:eastAsia="宋体" w:cs="宋体"/>
          <w:color w:val="auto"/>
          <w:highlight w:val="none"/>
          <w:u w:val="single" w:color="000000"/>
        </w:rPr>
        <w:t>/</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 xml:space="preserve"> ；欠缺此设备</w:t>
      </w:r>
      <w:r>
        <w:rPr>
          <w:rFonts w:hint="eastAsia" w:ascii="宋体" w:hAnsi="宋体" w:eastAsia="宋体" w:cs="Times New Roman"/>
          <w:color w:val="auto"/>
          <w:kern w:val="0"/>
          <w:szCs w:val="21"/>
          <w:highlight w:val="none"/>
        </w:rPr>
        <w:t>扣款</w:t>
      </w:r>
      <w:r>
        <w:rPr>
          <w:rFonts w:hint="eastAsia" w:ascii="宋体" w:hAnsi="宋体" w:eastAsia="宋体" w:cs="Times New Roman"/>
          <w:color w:val="auto"/>
          <w:kern w:val="0"/>
          <w:szCs w:val="21"/>
          <w:highlight w:val="none"/>
          <w:u w:val="single"/>
        </w:rPr>
        <w:t xml:space="preserve">   </w:t>
      </w:r>
      <w:r>
        <w:rPr>
          <w:rFonts w:ascii="宋体" w:hAnsi="宋体" w:eastAsia="宋体" w:cs="宋体"/>
          <w:color w:val="auto"/>
          <w:highlight w:val="none"/>
          <w:u w:val="single" w:color="000000"/>
        </w:rPr>
        <w:t>/</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元。</w:t>
      </w:r>
    </w:p>
    <w:p>
      <w:pPr>
        <w:keepNext w:val="0"/>
        <w:keepLines w:val="0"/>
        <w:widowControl w:val="0"/>
        <w:kinsoku/>
        <w:wordWrap/>
        <w:overflowPunct/>
        <w:topLinePunct w:val="0"/>
        <w:bidi w:val="0"/>
        <w:spacing w:line="400" w:lineRule="exact"/>
        <w:ind w:firstLine="315" w:firstLineChars="150"/>
        <w:jc w:val="left"/>
        <w:textAlignment w:val="auto"/>
        <w:rPr>
          <w:rFonts w:hint="eastAsia" w:ascii="宋体" w:hAnsi="宋体" w:eastAsia="宋体" w:cs="Times New Roman"/>
          <w:b/>
          <w:bCs/>
          <w:color w:val="auto"/>
          <w:sz w:val="28"/>
          <w:highlight w:val="none"/>
        </w:rPr>
      </w:pPr>
      <w:r>
        <w:rPr>
          <w:rFonts w:hint="eastAsia" w:ascii="宋体" w:hAnsi="宋体" w:eastAsia="宋体" w:cs="Times New Roman"/>
          <w:color w:val="auto"/>
          <w:kern w:val="0"/>
          <w:szCs w:val="21"/>
          <w:highlight w:val="none"/>
        </w:rPr>
        <w:t>2.3.7 未经委托人事先书面同意，监理人不得将本合同全部或部分义务转委托任何第三方履行。对于委托方事先书面同意的转委托，监理人应当对受托方的资质和能力进行审查，并对受托方的行为承担连带责任。</w:t>
      </w:r>
    </w:p>
    <w:p>
      <w:pPr>
        <w:keepNext w:val="0"/>
        <w:keepLines w:val="0"/>
        <w:widowControl w:val="0"/>
        <w:kinsoku/>
        <w:wordWrap/>
        <w:overflowPunct/>
        <w:topLinePunct w:val="0"/>
        <w:bidi w:val="0"/>
        <w:spacing w:line="360" w:lineRule="auto"/>
        <w:ind w:firstLine="205" w:firstLineChars="98"/>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2.4 </w:t>
      </w:r>
      <w:r>
        <w:rPr>
          <w:rFonts w:hint="eastAsia" w:ascii="宋体" w:hAnsi="宋体" w:eastAsia="宋体" w:cs="宋体"/>
          <w:color w:val="auto"/>
          <w:kern w:val="0"/>
          <w:szCs w:val="21"/>
          <w:highlight w:val="none"/>
        </w:rPr>
        <w:t>履行职责</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2.4.3 对监理人的授权范围：</w:t>
      </w:r>
      <w:r>
        <w:rPr>
          <w:rFonts w:hint="eastAsia" w:ascii="宋体" w:hAnsi="宋体" w:eastAsia="宋体" w:cs="Times New Roman"/>
          <w:color w:val="auto"/>
          <w:szCs w:val="21"/>
          <w:highlight w:val="none"/>
          <w:u w:val="single"/>
        </w:rPr>
        <w:t xml:space="preserve">本工程监理范围为项目前期阶段（包括协助建设单位对周边道路房屋、现状管线排查等工作）、准备阶段、施工阶段、竣工结算阶段及工程质量保修阶段的质量控制、安全生产监督管理、投资控制、进度控制、合同管理、信息管理、组织协调、变更工程等监理工作。变更增加或减少的工程严格按照《关于进一步加强政府投资建设项目工程变更管理实施意见》（新府办【2018】1号）执行。 </w:t>
      </w:r>
    </w:p>
    <w:p>
      <w:pPr>
        <w:keepNext w:val="0"/>
        <w:keepLines w:val="0"/>
        <w:widowControl w:val="0"/>
        <w:kinsoku/>
        <w:wordWrap/>
        <w:overflowPunct/>
        <w:topLinePunct w:val="0"/>
        <w:bidi w:val="0"/>
        <w:adjustRightInd w:val="0"/>
        <w:snapToGrid w:val="0"/>
        <w:spacing w:line="360" w:lineRule="auto"/>
        <w:ind w:firstLine="420" w:firstLineChars="200"/>
        <w:textAlignment w:val="auto"/>
        <w:outlineLvl w:val="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在涉及工程延期</w:t>
      </w:r>
      <w:r>
        <w:rPr>
          <w:rFonts w:hint="eastAsia" w:ascii="宋体" w:hAnsi="宋体" w:eastAsia="宋体" w:cs="Times New Roman"/>
          <w:color w:val="auto"/>
          <w:szCs w:val="21"/>
          <w:highlight w:val="none"/>
          <w:u w:val="single"/>
        </w:rPr>
        <w:t xml:space="preserve">  </w:t>
      </w:r>
      <w:r>
        <w:rPr>
          <w:rFonts w:ascii="宋体" w:hAnsi="宋体" w:eastAsia="宋体" w:cs="宋体"/>
          <w:color w:val="auto"/>
          <w:highlight w:val="none"/>
          <w:u w:val="single" w:color="000000"/>
        </w:rPr>
        <w:t>/</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天内和（或）金额</w:t>
      </w:r>
      <w:r>
        <w:rPr>
          <w:rFonts w:hint="eastAsia" w:ascii="宋体" w:hAnsi="宋体" w:eastAsia="宋体" w:cs="Times New Roman"/>
          <w:color w:val="auto"/>
          <w:szCs w:val="21"/>
          <w:highlight w:val="none"/>
          <w:u w:val="single"/>
        </w:rPr>
        <w:t xml:space="preserve">   </w:t>
      </w:r>
      <w:r>
        <w:rPr>
          <w:rFonts w:ascii="宋体" w:hAnsi="宋体" w:eastAsia="宋体" w:cs="宋体"/>
          <w:color w:val="auto"/>
          <w:highlight w:val="none"/>
          <w:u w:val="single" w:color="000000"/>
        </w:rPr>
        <w:t>/</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万元内的变更，监理人不需请示委托人即可向承包人发布变更通知。</w:t>
      </w:r>
    </w:p>
    <w:p>
      <w:pPr>
        <w:keepNext w:val="0"/>
        <w:keepLines w:val="0"/>
        <w:widowControl w:val="0"/>
        <w:kinsoku/>
        <w:wordWrap/>
        <w:overflowPunct/>
        <w:topLinePunct w:val="0"/>
        <w:bidi w:val="0"/>
        <w:adjustRightInd w:val="0"/>
        <w:snapToGrid w:val="0"/>
        <w:spacing w:line="360" w:lineRule="auto"/>
        <w:ind w:firstLine="315" w:firstLineChars="15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kern w:val="0"/>
          <w:szCs w:val="21"/>
          <w:highlight w:val="none"/>
        </w:rPr>
        <w:t>2.4.4 监理人有权要求承包人调换其人员</w:t>
      </w:r>
      <w:r>
        <w:rPr>
          <w:rFonts w:hint="eastAsia" w:ascii="宋体" w:hAnsi="宋体" w:eastAsia="宋体" w:cs="Times New Roman"/>
          <w:color w:val="auto"/>
          <w:szCs w:val="21"/>
          <w:highlight w:val="none"/>
        </w:rPr>
        <w:t>的限制条件：</w:t>
      </w:r>
      <w:r>
        <w:rPr>
          <w:rFonts w:hint="eastAsia" w:ascii="宋体" w:hAnsi="宋体" w:eastAsia="宋体" w:cs="Times New Roman"/>
          <w:color w:val="auto"/>
          <w:szCs w:val="21"/>
          <w:highlight w:val="none"/>
          <w:u w:val="single"/>
        </w:rPr>
        <w:t>在监理过程中如发现工程承包人的人员不能胜任本职工作的，监理机构有权要求承包人调换有关人员，但要先征得委托人同意</w:t>
      </w:r>
      <w:r>
        <w:rPr>
          <w:rFonts w:hint="eastAsia" w:ascii="宋体" w:hAnsi="宋体" w:eastAsia="宋体" w:cs="Times New Roman"/>
          <w:color w:val="auto"/>
          <w:szCs w:val="21"/>
          <w:highlight w:val="none"/>
        </w:rPr>
        <w:t xml:space="preserve">。  </w:t>
      </w:r>
    </w:p>
    <w:p>
      <w:pPr>
        <w:keepNext w:val="0"/>
        <w:keepLines w:val="0"/>
        <w:widowControl w:val="0"/>
        <w:kinsoku/>
        <w:wordWrap/>
        <w:overflowPunct/>
        <w:topLinePunct w:val="0"/>
        <w:bidi w:val="0"/>
        <w:adjustRightInd w:val="0"/>
        <w:snapToGrid w:val="0"/>
        <w:spacing w:line="360" w:lineRule="auto"/>
        <w:ind w:firstLine="105" w:firstLineChars="5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kern w:val="0"/>
          <w:szCs w:val="21"/>
          <w:highlight w:val="none"/>
        </w:rPr>
        <w:t xml:space="preserve">2.5 </w:t>
      </w:r>
      <w:r>
        <w:rPr>
          <w:rFonts w:hint="eastAsia" w:ascii="宋体" w:hAnsi="宋体" w:eastAsia="宋体" w:cs="Times New Roman"/>
          <w:color w:val="auto"/>
          <w:szCs w:val="21"/>
          <w:highlight w:val="none"/>
        </w:rPr>
        <w:t>提交</w:t>
      </w:r>
      <w:r>
        <w:rPr>
          <w:rFonts w:hint="eastAsia" w:ascii="宋体" w:hAnsi="宋体" w:eastAsia="宋体" w:cs="宋体"/>
          <w:color w:val="auto"/>
          <w:kern w:val="0"/>
          <w:szCs w:val="21"/>
          <w:highlight w:val="none"/>
        </w:rPr>
        <w:t>报告</w:t>
      </w:r>
    </w:p>
    <w:p>
      <w:pPr>
        <w:keepNext w:val="0"/>
        <w:keepLines w:val="0"/>
        <w:widowControl w:val="0"/>
        <w:kinsoku/>
        <w:wordWrap/>
        <w:overflowPunct/>
        <w:topLinePunct w:val="0"/>
        <w:bidi w:val="0"/>
        <w:adjustRightInd w:val="0"/>
        <w:snapToGrid w:val="0"/>
        <w:spacing w:line="360" w:lineRule="auto"/>
        <w:ind w:firstLine="525"/>
        <w:textAlignment w:val="auto"/>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监理人应提交报告的种类(</w:t>
      </w:r>
      <w:r>
        <w:rPr>
          <w:rFonts w:hint="eastAsia" w:ascii="宋体" w:hAnsi="宋体" w:eastAsia="宋体" w:cs="宋体"/>
          <w:color w:val="auto"/>
          <w:kern w:val="0"/>
          <w:szCs w:val="21"/>
          <w:highlight w:val="none"/>
        </w:rPr>
        <w:t>包括监理规划、监理月报及约定的专项报告)</w:t>
      </w:r>
      <w:r>
        <w:rPr>
          <w:rFonts w:hint="eastAsia" w:ascii="宋体" w:hAnsi="宋体" w:eastAsia="宋体" w:cs="Times New Roman"/>
          <w:color w:val="auto"/>
          <w:szCs w:val="21"/>
          <w:highlight w:val="none"/>
        </w:rPr>
        <w:t>、时间和份数</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1"/>
          <w:highlight w:val="none"/>
          <w:u w:val="single"/>
        </w:rPr>
        <w:t>委托人要求监理人提交监理工作月报、会议纪要、监理业务范围内的有关监理资料，以及施工监理过程中的监理工作指令、分项开工申请批复等文件。所有资料应及时提交给委托人，提交份数为一式一份。 监理月报提交时间为次月 5 日前</w:t>
      </w:r>
      <w:r>
        <w:rPr>
          <w:rFonts w:hint="eastAsia" w:ascii="宋体" w:hAnsi="宋体" w:eastAsia="宋体" w:cs="Times New Roman"/>
          <w:color w:val="auto"/>
          <w:szCs w:val="21"/>
          <w:highlight w:val="none"/>
        </w:rPr>
        <w:t>。</w:t>
      </w:r>
    </w:p>
    <w:p>
      <w:pPr>
        <w:keepNext w:val="0"/>
        <w:keepLines w:val="0"/>
        <w:widowControl w:val="0"/>
        <w:kinsoku/>
        <w:wordWrap/>
        <w:overflowPunct/>
        <w:topLinePunct w:val="0"/>
        <w:bidi w:val="0"/>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 xml:space="preserve"> 2.7 </w:t>
      </w:r>
      <w:r>
        <w:rPr>
          <w:rFonts w:hint="eastAsia" w:ascii="宋体" w:hAnsi="宋体" w:eastAsia="宋体" w:cs="宋体"/>
          <w:color w:val="auto"/>
          <w:kern w:val="0"/>
          <w:szCs w:val="21"/>
          <w:highlight w:val="none"/>
        </w:rPr>
        <w:t>使用委托人的财产</w:t>
      </w:r>
    </w:p>
    <w:p>
      <w:pPr>
        <w:keepNext w:val="0"/>
        <w:keepLines w:val="0"/>
        <w:widowControl w:val="0"/>
        <w:kinsoku/>
        <w:wordWrap/>
        <w:overflowPunct/>
        <w:topLinePunct w:val="0"/>
        <w:bidi w:val="0"/>
        <w:spacing w:line="360" w:lineRule="auto"/>
        <w:textAlignment w:val="auto"/>
        <w:rPr>
          <w:rFonts w:hint="eastAsia"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Times New Roman"/>
          <w:color w:val="auto"/>
          <w:kern w:val="0"/>
          <w:szCs w:val="21"/>
          <w:highlight w:val="none"/>
        </w:rPr>
        <w:t xml:space="preserve">   </w:t>
      </w:r>
      <w:r>
        <w:rPr>
          <w:rFonts w:hint="eastAsia" w:ascii="宋体" w:hAnsi="宋体" w:eastAsia="宋体" w:cs="Times New Roman"/>
          <w:color w:val="auto"/>
          <w:szCs w:val="21"/>
          <w:highlight w:val="none"/>
        </w:rPr>
        <w:t>附录B中由委托人无偿提供的房屋、设备的所有权属于：</w:t>
      </w:r>
      <w:r>
        <w:rPr>
          <w:rFonts w:hint="eastAsia" w:ascii="宋体" w:hAnsi="宋体" w:eastAsia="宋体" w:cs="Times New Roman"/>
          <w:color w:val="auto"/>
          <w:szCs w:val="21"/>
          <w:highlight w:val="none"/>
          <w:u w:val="single"/>
        </w:rPr>
        <w:t>委托人不无偿提供房屋、设备</w:t>
      </w:r>
      <w:r>
        <w:rPr>
          <w:rFonts w:hint="eastAsia" w:ascii="宋体" w:hAnsi="宋体" w:eastAsia="宋体" w:cs="Times New Roman"/>
          <w:color w:val="auto"/>
          <w:szCs w:val="21"/>
          <w:highlight w:val="none"/>
        </w:rPr>
        <w:t>。</w:t>
      </w:r>
    </w:p>
    <w:p>
      <w:pPr>
        <w:keepNext w:val="0"/>
        <w:keepLines w:val="0"/>
        <w:widowControl w:val="0"/>
        <w:kinsoku/>
        <w:wordWrap/>
        <w:overflowPunct/>
        <w:topLinePunct w:val="0"/>
        <w:bidi w:val="0"/>
        <w:spacing w:line="360" w:lineRule="auto"/>
        <w:ind w:firstLine="420" w:firstLineChars="200"/>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监理人应在本合同终止后</w:t>
      </w:r>
      <w:r>
        <w:rPr>
          <w:rFonts w:hint="eastAsia" w:ascii="宋体" w:hAnsi="宋体" w:eastAsia="宋体" w:cs="Times New Roman"/>
          <w:color w:val="auto"/>
          <w:szCs w:val="21"/>
          <w:highlight w:val="none"/>
          <w:u w:val="single"/>
        </w:rPr>
        <w:t xml:space="preserve">   </w:t>
      </w:r>
      <w:r>
        <w:rPr>
          <w:rFonts w:ascii="宋体" w:hAnsi="宋体" w:eastAsia="宋体" w:cs="宋体"/>
          <w:color w:val="auto"/>
          <w:highlight w:val="none"/>
          <w:u w:val="single" w:color="000000"/>
        </w:rPr>
        <w:t>/</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天内移交委托人无偿提供的房屋、设备，移交的时间和方式为：</w:t>
      </w:r>
      <w:r>
        <w:rPr>
          <w:rFonts w:hint="eastAsia" w:ascii="宋体" w:hAnsi="宋体" w:eastAsia="宋体" w:cs="Times New Roman"/>
          <w:color w:val="auto"/>
          <w:szCs w:val="21"/>
          <w:highlight w:val="none"/>
          <w:u w:val="single"/>
        </w:rPr>
        <w:t xml:space="preserve">       </w:t>
      </w:r>
      <w:r>
        <w:rPr>
          <w:rFonts w:ascii="宋体" w:hAnsi="宋体" w:eastAsia="宋体" w:cs="宋体"/>
          <w:color w:val="auto"/>
          <w:highlight w:val="none"/>
          <w:u w:val="single" w:color="000000"/>
        </w:rPr>
        <w:t>/</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w:t>
      </w:r>
    </w:p>
    <w:p>
      <w:pPr>
        <w:keepNext w:val="0"/>
        <w:keepLines w:val="0"/>
        <w:widowControl w:val="0"/>
        <w:kinsoku/>
        <w:wordWrap/>
        <w:overflowPunct/>
        <w:topLinePunct w:val="0"/>
        <w:bidi w:val="0"/>
        <w:adjustRightInd w:val="0"/>
        <w:snapToGrid w:val="0"/>
        <w:spacing w:line="360" w:lineRule="auto"/>
        <w:textAlignment w:val="auto"/>
        <w:rPr>
          <w:rFonts w:hint="eastAsia" w:ascii="宋体" w:hAnsi="宋体" w:eastAsia="宋体" w:cs="Times New Roman"/>
          <w:b/>
          <w:color w:val="auto"/>
          <w:szCs w:val="21"/>
          <w:highlight w:val="none"/>
        </w:rPr>
      </w:pPr>
      <w:r>
        <w:rPr>
          <w:rFonts w:hint="eastAsia" w:ascii="宋体" w:hAnsi="宋体" w:eastAsia="宋体" w:cs="Times New Roman"/>
          <w:b/>
          <w:color w:val="auto"/>
          <w:kern w:val="0"/>
          <w:szCs w:val="21"/>
          <w:highlight w:val="none"/>
        </w:rPr>
        <w:t xml:space="preserve">3. 委托人义务  </w:t>
      </w:r>
    </w:p>
    <w:p>
      <w:pPr>
        <w:keepNext w:val="0"/>
        <w:keepLines w:val="0"/>
        <w:widowControl w:val="0"/>
        <w:kinsoku/>
        <w:wordWrap/>
        <w:overflowPunct/>
        <w:topLinePunct w:val="0"/>
        <w:bidi w:val="0"/>
        <w:snapToGrid w:val="0"/>
        <w:spacing w:line="360" w:lineRule="auto"/>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kern w:val="0"/>
          <w:szCs w:val="21"/>
          <w:highlight w:val="none"/>
        </w:rPr>
        <w:t xml:space="preserve">3.4 </w:t>
      </w:r>
      <w:r>
        <w:rPr>
          <w:rFonts w:hint="eastAsia" w:ascii="宋体" w:hAnsi="宋体" w:eastAsia="宋体" w:cs="宋体"/>
          <w:color w:val="auto"/>
          <w:kern w:val="0"/>
          <w:szCs w:val="21"/>
          <w:highlight w:val="none"/>
        </w:rPr>
        <w:t>委托人代表</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委托人代表为：</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w:t>
      </w:r>
    </w:p>
    <w:p>
      <w:pPr>
        <w:keepNext w:val="0"/>
        <w:keepLines w:val="0"/>
        <w:widowControl w:val="0"/>
        <w:kinsoku/>
        <w:wordWrap/>
        <w:overflowPunct/>
        <w:topLinePunct w:val="0"/>
        <w:bidi w:val="0"/>
        <w:adjustRightInd w:val="0"/>
        <w:snapToGrid w:val="0"/>
        <w:spacing w:line="360" w:lineRule="auto"/>
        <w:ind w:firstLine="205" w:firstLineChars="98"/>
        <w:textAlignment w:val="auto"/>
        <w:rPr>
          <w:rFonts w:hint="eastAsia"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 xml:space="preserve">3.6 </w:t>
      </w:r>
      <w:r>
        <w:rPr>
          <w:rFonts w:hint="eastAsia" w:ascii="宋体" w:hAnsi="宋体" w:eastAsia="宋体" w:cs="宋体"/>
          <w:color w:val="auto"/>
          <w:kern w:val="0"/>
          <w:szCs w:val="21"/>
          <w:highlight w:val="none"/>
        </w:rPr>
        <w:t>答复</w:t>
      </w:r>
    </w:p>
    <w:p>
      <w:pPr>
        <w:keepNext w:val="0"/>
        <w:keepLines w:val="0"/>
        <w:widowControl w:val="0"/>
        <w:kinsoku/>
        <w:wordWrap/>
        <w:overflowPunct/>
        <w:topLinePunct w:val="0"/>
        <w:bidi w:val="0"/>
        <w:snapToGrid w:val="0"/>
        <w:spacing w:line="360" w:lineRule="auto"/>
        <w:ind w:firstLine="525" w:firstLineChars="25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委托人同意在</w:t>
      </w:r>
      <w:r>
        <w:rPr>
          <w:rFonts w:hint="eastAsia" w:ascii="宋体" w:hAnsi="宋体" w:eastAsia="宋体" w:cs="Times New Roman"/>
          <w:color w:val="auto"/>
          <w:szCs w:val="21"/>
          <w:highlight w:val="none"/>
          <w:u w:val="single"/>
        </w:rPr>
        <w:t xml:space="preserve">   </w:t>
      </w:r>
      <w:r>
        <w:rPr>
          <w:rFonts w:ascii="宋体" w:hAnsi="宋体" w:eastAsia="宋体" w:cs="宋体"/>
          <w:color w:val="auto"/>
          <w:highlight w:val="none"/>
          <w:u w:val="single" w:color="000000"/>
        </w:rPr>
        <w:t>7</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天内，对监理人书面提交并要求做出决定的事宜给予书面答复。逾期未答复的，监理人应当向委托人发送催告函，催告函应当至少包含以下内容：</w:t>
      </w:r>
    </w:p>
    <w:p>
      <w:pPr>
        <w:keepNext w:val="0"/>
        <w:keepLines w:val="0"/>
        <w:widowControl w:val="0"/>
        <w:kinsoku/>
        <w:wordWrap/>
        <w:overflowPunct/>
        <w:topLinePunct w:val="0"/>
        <w:bidi w:val="0"/>
        <w:snapToGrid w:val="0"/>
        <w:spacing w:line="360" w:lineRule="auto"/>
        <w:ind w:firstLine="525" w:firstLineChars="25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3.6.1 应当作出决定的事项内容以及监理人的建议；</w:t>
      </w:r>
    </w:p>
    <w:p>
      <w:pPr>
        <w:keepNext w:val="0"/>
        <w:keepLines w:val="0"/>
        <w:widowControl w:val="0"/>
        <w:kinsoku/>
        <w:wordWrap/>
        <w:overflowPunct/>
        <w:topLinePunct w:val="0"/>
        <w:bidi w:val="0"/>
        <w:snapToGrid w:val="0"/>
        <w:spacing w:line="360" w:lineRule="auto"/>
        <w:ind w:firstLine="525" w:firstLineChars="25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3.6.2 监理人给予委托人答复的期限（若早于委托人收到催告函后2个工作日的，则该期限为委托人收到催告函后的2个工作日内）；</w:t>
      </w:r>
    </w:p>
    <w:p>
      <w:pPr>
        <w:keepNext w:val="0"/>
        <w:keepLines w:val="0"/>
        <w:widowControl w:val="0"/>
        <w:kinsoku/>
        <w:wordWrap/>
        <w:overflowPunct/>
        <w:topLinePunct w:val="0"/>
        <w:bidi w:val="0"/>
        <w:snapToGrid w:val="0"/>
        <w:spacing w:line="360" w:lineRule="auto"/>
        <w:ind w:firstLine="525" w:firstLineChars="25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3.6.3 委托人在催告期限内仍不答复的后果为“视为委托人认可监理人的建议”。</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监理人按照前述要求催告后，委托人逾期未答复的，视为委托人认可监理人的建议。</w:t>
      </w:r>
    </w:p>
    <w:p>
      <w:pPr>
        <w:keepNext w:val="0"/>
        <w:keepLines w:val="0"/>
        <w:widowControl w:val="0"/>
        <w:kinsoku/>
        <w:wordWrap/>
        <w:overflowPunct/>
        <w:topLinePunct w:val="0"/>
        <w:bidi w:val="0"/>
        <w:snapToGrid w:val="0"/>
        <w:spacing w:line="360" w:lineRule="auto"/>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4. 违约责任</w:t>
      </w:r>
    </w:p>
    <w:p>
      <w:pPr>
        <w:keepNext w:val="0"/>
        <w:keepLines w:val="0"/>
        <w:widowControl w:val="0"/>
        <w:kinsoku/>
        <w:wordWrap/>
        <w:overflowPunct/>
        <w:topLinePunct w:val="0"/>
        <w:bidi w:val="0"/>
        <w:spacing w:line="360" w:lineRule="auto"/>
        <w:ind w:left="210" w:leftChars="100"/>
        <w:textAlignment w:val="auto"/>
        <w:rPr>
          <w:rFonts w:hint="eastAsia"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 xml:space="preserve">4.1 </w:t>
      </w:r>
      <w:r>
        <w:rPr>
          <w:rFonts w:hint="eastAsia" w:ascii="宋体" w:hAnsi="宋体" w:eastAsia="宋体" w:cs="宋体"/>
          <w:color w:val="auto"/>
          <w:kern w:val="0"/>
          <w:szCs w:val="21"/>
          <w:highlight w:val="none"/>
        </w:rPr>
        <w:t>监理人的违约责任</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4.1.1监理人赔偿金额按下列方法确定：</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Times New Roman"/>
          <w:color w:val="auto"/>
          <w:szCs w:val="21"/>
          <w:highlight w:val="none"/>
        </w:rPr>
        <w:t>赔偿金＝直接经济损失</w:t>
      </w:r>
      <w:r>
        <w:rPr>
          <w:rFonts w:hint="eastAsia" w:ascii="宋体" w:hAnsi="宋体"/>
          <w:color w:val="auto"/>
          <w:szCs w:val="21"/>
          <w:highlight w:val="none"/>
        </w:rPr>
        <w:t>×监理人的</w:t>
      </w:r>
      <w:r>
        <w:rPr>
          <w:rFonts w:hint="eastAsia" w:ascii="宋体" w:hAnsi="宋体" w:eastAsia="宋体" w:cs="Times New Roman"/>
          <w:color w:val="auto"/>
          <w:szCs w:val="21"/>
          <w:highlight w:val="none"/>
        </w:rPr>
        <w:t>正常工作酬金÷工程概算</w:t>
      </w:r>
      <w:r>
        <w:rPr>
          <w:rFonts w:hint="eastAsia" w:ascii="宋体" w:hAnsi="宋体" w:eastAsia="宋体" w:cs="宋体"/>
          <w:color w:val="auto"/>
          <w:kern w:val="0"/>
          <w:szCs w:val="21"/>
          <w:highlight w:val="none"/>
        </w:rPr>
        <w:t>投资额（或建筑安装工程费，以高者为准）</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根据委托人与承包人签订的</w:t>
      </w:r>
      <w:r>
        <w:rPr>
          <w:rFonts w:ascii="Times New Roman" w:hAnsi="Times New Roman" w:eastAsia="宋体" w:cs="Times New Roman"/>
          <w:color w:val="auto"/>
          <w:highlight w:val="none"/>
        </w:rPr>
        <w:t>《广东省建设工程标准施工合同》（</w:t>
      </w:r>
      <w:r>
        <w:rPr>
          <w:rFonts w:ascii="宋体" w:hAnsi="宋体" w:eastAsia="宋体" w:cs="宋体"/>
          <w:color w:val="auto"/>
          <w:highlight w:val="none"/>
        </w:rPr>
        <w:t>2009</w:t>
      </w:r>
      <w:r>
        <w:rPr>
          <w:rFonts w:ascii="Times New Roman" w:hAnsi="Times New Roman" w:eastAsia="宋体" w:cs="Times New Roman"/>
          <w:color w:val="auto"/>
          <w:highlight w:val="none"/>
        </w:rPr>
        <w:t>年版）</w:t>
      </w:r>
      <w:r>
        <w:rPr>
          <w:rFonts w:hint="eastAsia" w:ascii="宋体" w:hAnsi="宋体" w:eastAsia="宋体" w:cs="宋体"/>
          <w:color w:val="auto"/>
          <w:kern w:val="0"/>
          <w:szCs w:val="21"/>
          <w:highlight w:val="none"/>
        </w:rPr>
        <w:t>，因监理人原因造成委托人向承包人支付赔偿、补偿、违约金、多支付金额及其他性质的款项的，以及因监理人原因造成其他第三方向委托人追究责任的，不适用本条赔偿金额计算方法，而应当由监理人全额赔偿委托人。</w:t>
      </w:r>
    </w:p>
    <w:p>
      <w:pPr>
        <w:keepNext w:val="0"/>
        <w:keepLines w:val="0"/>
        <w:widowControl w:val="0"/>
        <w:kinsoku/>
        <w:wordWrap/>
        <w:overflowPunct/>
        <w:topLinePunct w:val="0"/>
        <w:bidi w:val="0"/>
        <w:snapToGrid w:val="0"/>
        <w:spacing w:line="360" w:lineRule="auto"/>
        <w:ind w:firstLine="210" w:firstLineChars="100"/>
        <w:textAlignment w:val="auto"/>
        <w:rPr>
          <w:rFonts w:hint="eastAsia"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4.2 委</w:t>
      </w:r>
      <w:r>
        <w:rPr>
          <w:rFonts w:hint="eastAsia" w:ascii="宋体" w:hAnsi="宋体" w:eastAsia="宋体" w:cs="宋体"/>
          <w:color w:val="auto"/>
          <w:kern w:val="0"/>
          <w:szCs w:val="21"/>
          <w:highlight w:val="none"/>
        </w:rPr>
        <w:t>托人的违约责任</w:t>
      </w:r>
    </w:p>
    <w:p>
      <w:pPr>
        <w:keepNext w:val="0"/>
        <w:keepLines w:val="0"/>
        <w:widowControl w:val="0"/>
        <w:kinsoku/>
        <w:wordWrap/>
        <w:overflowPunct/>
        <w:topLinePunct w:val="0"/>
        <w:bidi w:val="0"/>
        <w:spacing w:line="360" w:lineRule="auto"/>
        <w:ind w:firstLine="420" w:firstLineChars="200"/>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4.2.3 委托人</w:t>
      </w:r>
      <w:r>
        <w:rPr>
          <w:rFonts w:hint="eastAsia" w:ascii="宋体" w:hAnsi="宋体" w:eastAsia="宋体" w:cs="Times New Roman"/>
          <w:color w:val="auto"/>
          <w:kern w:val="0"/>
          <w:szCs w:val="21"/>
          <w:highlight w:val="none"/>
        </w:rPr>
        <w:t>逾期付款利息按下列方法确定：</w:t>
      </w:r>
    </w:p>
    <w:p>
      <w:pPr>
        <w:keepNext w:val="0"/>
        <w:keepLines w:val="0"/>
        <w:widowControl w:val="0"/>
        <w:kinsoku/>
        <w:wordWrap/>
        <w:overflowPunct/>
        <w:topLinePunct w:val="0"/>
        <w:bidi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逾期付款利息＝当期应付款总额×</w:t>
      </w:r>
      <w:r>
        <w:rPr>
          <w:rFonts w:hint="eastAsia" w:ascii="宋体" w:hAnsi="宋体" w:cs="Times New Roman"/>
          <w:color w:val="auto"/>
          <w:szCs w:val="21"/>
          <w:highlight w:val="none"/>
          <w:lang w:val="en-US" w:eastAsia="zh-CN"/>
        </w:rPr>
        <w:t>按当月全国银行间同业拆借中心公布的贷款市场报价利率（一年期）</w:t>
      </w:r>
      <w:r>
        <w:rPr>
          <w:rFonts w:hint="eastAsia" w:ascii="宋体" w:hAnsi="宋体" w:eastAsia="宋体" w:cs="Times New Roman"/>
          <w:color w:val="auto"/>
          <w:szCs w:val="21"/>
          <w:highlight w:val="none"/>
        </w:rPr>
        <w:t>×拖延支付天数</w:t>
      </w:r>
    </w:p>
    <w:p>
      <w:pPr>
        <w:keepNext w:val="0"/>
        <w:keepLines w:val="0"/>
        <w:widowControl w:val="0"/>
        <w:kinsoku/>
        <w:wordWrap/>
        <w:overflowPunct/>
        <w:topLinePunct w:val="0"/>
        <w:bidi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赔偿金=直接经济损失×监理人的正常工作酬金÷工程概算</w:t>
      </w:r>
      <w:r>
        <w:rPr>
          <w:rFonts w:hint="eastAsia" w:ascii="宋体" w:hAnsi="宋体" w:eastAsia="宋体" w:cs="宋体"/>
          <w:color w:val="auto"/>
          <w:kern w:val="0"/>
          <w:szCs w:val="21"/>
          <w:highlight w:val="none"/>
        </w:rPr>
        <w:t>投资额（或建筑安装工程费，以高者为准）</w:t>
      </w:r>
    </w:p>
    <w:p>
      <w:pPr>
        <w:keepNext w:val="0"/>
        <w:keepLines w:val="0"/>
        <w:widowControl w:val="0"/>
        <w:suppressLineNumbers w:val="0"/>
        <w:spacing w:before="271" w:beforeAutospacing="0" w:after="0" w:afterAutospacing="0" w:line="360" w:lineRule="auto"/>
        <w:ind w:left="424" w:right="0"/>
        <w:jc w:val="both"/>
        <w:outlineLvl w:val="9"/>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5</w:t>
      </w:r>
      <w:r>
        <w:rPr>
          <w:rFonts w:hint="eastAsia" w:ascii="宋体" w:hAnsi="宋体" w:eastAsia="宋体" w:cs="宋体"/>
          <w:spacing w:val="5"/>
          <w:kern w:val="2"/>
          <w:sz w:val="21"/>
          <w:szCs w:val="21"/>
          <w:lang w:val="en-US" w:eastAsia="zh-CN" w:bidi="ar"/>
        </w:rPr>
        <w:t>.支付</w:t>
      </w:r>
    </w:p>
    <w:p>
      <w:pPr>
        <w:keepNext w:val="0"/>
        <w:keepLines w:val="0"/>
        <w:widowControl w:val="0"/>
        <w:suppressLineNumbers w:val="0"/>
        <w:spacing w:before="158" w:beforeAutospacing="0" w:after="0" w:afterAutospacing="0" w:line="360" w:lineRule="auto"/>
        <w:ind w:left="4" w:right="0" w:firstLine="524"/>
        <w:jc w:val="both"/>
        <w:rPr>
          <w:rFonts w:hint="eastAsia" w:ascii="宋体" w:hAnsi="宋体" w:eastAsia="宋体" w:cs="宋体"/>
          <w:spacing w:val="2"/>
          <w:kern w:val="2"/>
          <w:sz w:val="21"/>
          <w:szCs w:val="21"/>
        </w:rPr>
      </w:pPr>
      <w:r>
        <w:rPr>
          <w:rFonts w:hint="eastAsia" w:ascii="宋体" w:hAnsi="宋体" w:eastAsia="宋体" w:cs="宋体"/>
          <w:spacing w:val="2"/>
          <w:kern w:val="2"/>
          <w:sz w:val="21"/>
          <w:szCs w:val="21"/>
          <w:lang w:val="en-US" w:eastAsia="zh-CN" w:bidi="ar"/>
        </w:rPr>
        <w:t>5.1 支付货币</w:t>
      </w:r>
    </w:p>
    <w:p>
      <w:pPr>
        <w:keepNext w:val="0"/>
        <w:keepLines w:val="0"/>
        <w:widowControl w:val="0"/>
        <w:suppressLineNumbers w:val="0"/>
        <w:spacing w:before="158" w:beforeAutospacing="0" w:after="0" w:afterAutospacing="0" w:line="360" w:lineRule="auto"/>
        <w:ind w:left="4" w:right="0" w:firstLine="524"/>
        <w:jc w:val="both"/>
        <w:rPr>
          <w:rFonts w:hint="eastAsia" w:ascii="宋体" w:hAnsi="宋体" w:eastAsia="宋体" w:cs="宋体"/>
          <w:spacing w:val="2"/>
          <w:kern w:val="2"/>
          <w:sz w:val="21"/>
          <w:szCs w:val="21"/>
        </w:rPr>
      </w:pPr>
      <w:r>
        <w:rPr>
          <w:rFonts w:hint="eastAsia" w:ascii="宋体" w:hAnsi="宋体" w:eastAsia="宋体" w:cs="宋体"/>
          <w:spacing w:val="2"/>
          <w:kern w:val="2"/>
          <w:sz w:val="21"/>
          <w:szCs w:val="21"/>
          <w:lang w:val="en-US" w:eastAsia="zh-CN" w:bidi="ar"/>
        </w:rPr>
        <w:t>币种为：</w:t>
      </w:r>
      <w:r>
        <w:rPr>
          <w:rFonts w:hint="eastAsia" w:ascii="宋体" w:hAnsi="宋体" w:eastAsia="宋体" w:cs="宋体"/>
          <w:spacing w:val="2"/>
          <w:kern w:val="2"/>
          <w:sz w:val="21"/>
          <w:szCs w:val="21"/>
          <w:u w:val="single"/>
          <w:lang w:val="en-US" w:eastAsia="zh-CN" w:bidi="ar"/>
        </w:rPr>
        <w:t xml:space="preserve"> 人民币</w:t>
      </w:r>
      <w:r>
        <w:rPr>
          <w:rFonts w:hint="eastAsia" w:ascii="宋体" w:hAnsi="宋体" w:eastAsia="宋体" w:cs="宋体"/>
          <w:spacing w:val="2"/>
          <w:kern w:val="2"/>
          <w:sz w:val="21"/>
          <w:szCs w:val="21"/>
          <w:lang w:val="en-US" w:eastAsia="zh-CN" w:bidi="ar"/>
        </w:rPr>
        <w:t>，比例为：</w:t>
      </w:r>
      <w:r>
        <w:rPr>
          <w:rFonts w:hint="eastAsia" w:ascii="宋体" w:hAnsi="宋体" w:eastAsia="宋体" w:cs="宋体"/>
          <w:spacing w:val="2"/>
          <w:kern w:val="2"/>
          <w:sz w:val="21"/>
          <w:szCs w:val="21"/>
          <w:u w:val="single"/>
          <w:lang w:val="en-US" w:eastAsia="zh-CN" w:bidi="ar"/>
        </w:rPr>
        <w:t xml:space="preserve">  无  </w:t>
      </w:r>
      <w:r>
        <w:rPr>
          <w:rFonts w:hint="eastAsia" w:ascii="宋体" w:hAnsi="宋体" w:eastAsia="宋体" w:cs="宋体"/>
          <w:spacing w:val="2"/>
          <w:kern w:val="2"/>
          <w:sz w:val="21"/>
          <w:szCs w:val="21"/>
          <w:lang w:val="en-US" w:eastAsia="zh-CN" w:bidi="ar"/>
        </w:rPr>
        <w:t>，汇率为：</w:t>
      </w:r>
      <w:r>
        <w:rPr>
          <w:rFonts w:hint="eastAsia" w:ascii="宋体" w:hAnsi="宋体" w:eastAsia="宋体" w:cs="宋体"/>
          <w:spacing w:val="2"/>
          <w:kern w:val="2"/>
          <w:sz w:val="21"/>
          <w:szCs w:val="21"/>
          <w:u w:val="single"/>
          <w:lang w:val="en-US" w:eastAsia="zh-CN" w:bidi="ar"/>
        </w:rPr>
        <w:t xml:space="preserve">  无  </w:t>
      </w:r>
      <w:r>
        <w:rPr>
          <w:rFonts w:hint="eastAsia" w:ascii="宋体" w:hAnsi="宋体" w:eastAsia="宋体" w:cs="宋体"/>
          <w:spacing w:val="2"/>
          <w:kern w:val="2"/>
          <w:sz w:val="21"/>
          <w:szCs w:val="21"/>
          <w:lang w:val="en-US" w:eastAsia="zh-CN" w:bidi="ar"/>
        </w:rPr>
        <w:t>。</w:t>
      </w:r>
    </w:p>
    <w:p>
      <w:pPr>
        <w:keepNext w:val="0"/>
        <w:keepLines w:val="0"/>
        <w:widowControl w:val="0"/>
        <w:suppressLineNumbers w:val="0"/>
        <w:spacing w:before="256" w:beforeAutospacing="0" w:after="0" w:afterAutospacing="0" w:line="360" w:lineRule="auto"/>
        <w:ind w:left="216" w:right="0" w:firstLine="368" w:firstLineChars="200"/>
        <w:jc w:val="both"/>
        <w:rPr>
          <w:rFonts w:hint="eastAsia" w:ascii="宋体" w:hAnsi="宋体" w:eastAsia="宋体" w:cs="宋体"/>
          <w:kern w:val="2"/>
          <w:sz w:val="21"/>
          <w:szCs w:val="21"/>
        </w:rPr>
      </w:pPr>
      <w:r>
        <w:rPr>
          <w:rFonts w:hint="eastAsia" w:ascii="宋体" w:hAnsi="宋体" w:eastAsia="宋体" w:cs="宋体"/>
          <w:spacing w:val="-13"/>
          <w:kern w:val="2"/>
          <w:sz w:val="21"/>
          <w:szCs w:val="21"/>
          <w:lang w:val="en-US" w:eastAsia="zh-CN" w:bidi="ar"/>
        </w:rPr>
        <w:t>5</w:t>
      </w:r>
      <w:r>
        <w:rPr>
          <w:rFonts w:hint="eastAsia" w:ascii="宋体" w:hAnsi="宋体" w:eastAsia="宋体" w:cs="宋体"/>
          <w:spacing w:val="-7"/>
          <w:kern w:val="2"/>
          <w:sz w:val="21"/>
          <w:szCs w:val="21"/>
          <w:lang w:val="en-US" w:eastAsia="zh-CN" w:bidi="ar"/>
        </w:rPr>
        <w:t>.2 支付申请</w:t>
      </w:r>
    </w:p>
    <w:p>
      <w:pPr>
        <w:keepNext w:val="0"/>
        <w:keepLines w:val="0"/>
        <w:widowControl w:val="0"/>
        <w:suppressLineNumbers w:val="0"/>
        <w:spacing w:before="158" w:beforeAutospacing="0" w:after="0" w:afterAutospacing="0" w:line="360" w:lineRule="auto"/>
        <w:ind w:left="4" w:right="0" w:firstLine="524"/>
        <w:jc w:val="both"/>
        <w:rPr>
          <w:rFonts w:hint="eastAsia" w:ascii="宋体" w:hAnsi="宋体" w:eastAsia="宋体" w:cs="宋体"/>
          <w:spacing w:val="2"/>
          <w:kern w:val="2"/>
          <w:sz w:val="21"/>
          <w:szCs w:val="21"/>
          <w:lang w:val="en-US" w:eastAsia="zh-CN" w:bidi="ar"/>
        </w:rPr>
      </w:pPr>
      <w:r>
        <w:rPr>
          <w:rFonts w:hint="eastAsia" w:ascii="宋体" w:hAnsi="宋体" w:eastAsia="宋体" w:cs="宋体"/>
          <w:spacing w:val="2"/>
          <w:kern w:val="2"/>
          <w:sz w:val="21"/>
          <w:szCs w:val="21"/>
          <w:lang w:val="en-US" w:eastAsia="zh-CN" w:bidi="ar"/>
        </w:rPr>
        <w:t>监理人应在本合同约定的每次应付款时间的 7 天前，向委托人提交支付申请书。支付申请书应当说明当期应付款总额，并列出当期应支付的款项及其金额，同时开具等额、合法有效的增值税普通发票</w:t>
      </w:r>
      <w:r>
        <w:rPr>
          <w:rFonts w:hint="eastAsia" w:ascii="宋体" w:hAnsi="宋体" w:cs="宋体"/>
          <w:spacing w:val="2"/>
          <w:kern w:val="2"/>
          <w:sz w:val="21"/>
          <w:szCs w:val="21"/>
          <w:lang w:val="en-US" w:eastAsia="zh-CN" w:bidi="ar"/>
        </w:rPr>
        <w:t>，</w:t>
      </w:r>
      <w:r>
        <w:rPr>
          <w:rFonts w:hint="eastAsia" w:ascii="宋体" w:hAnsi="宋体" w:cs="宋体"/>
          <w:spacing w:val="2"/>
          <w:szCs w:val="21"/>
          <w:lang w:bidi="ar"/>
        </w:rPr>
        <w:t>监理人未按约定提供发票的，委托人有权迟延付款且不属违约</w:t>
      </w:r>
      <w:r>
        <w:rPr>
          <w:rFonts w:hint="eastAsia" w:ascii="宋体" w:hAnsi="宋体" w:eastAsia="宋体" w:cs="宋体"/>
          <w:spacing w:val="2"/>
          <w:kern w:val="2"/>
          <w:sz w:val="21"/>
          <w:szCs w:val="21"/>
          <w:lang w:val="en-US" w:eastAsia="zh-CN" w:bidi="ar"/>
        </w:rPr>
        <w:t>。</w:t>
      </w:r>
    </w:p>
    <w:p>
      <w:pPr>
        <w:keepNext w:val="0"/>
        <w:keepLines w:val="0"/>
        <w:widowControl w:val="0"/>
        <w:suppressLineNumbers w:val="0"/>
        <w:spacing w:before="158" w:beforeAutospacing="0" w:after="0" w:afterAutospacing="0" w:line="360" w:lineRule="auto"/>
        <w:ind w:left="4" w:right="0" w:firstLine="524"/>
        <w:jc w:val="both"/>
        <w:rPr>
          <w:rFonts w:hint="eastAsia" w:ascii="宋体" w:hAnsi="宋体" w:eastAsia="宋体" w:cs="宋体"/>
          <w:color w:val="auto"/>
          <w:spacing w:val="2"/>
          <w:kern w:val="2"/>
          <w:sz w:val="21"/>
          <w:szCs w:val="21"/>
          <w:highlight w:val="none"/>
        </w:rPr>
      </w:pPr>
      <w:r>
        <w:rPr>
          <w:rFonts w:hint="eastAsia" w:ascii="宋体" w:hAnsi="宋体" w:eastAsia="宋体" w:cs="宋体"/>
          <w:spacing w:val="2"/>
          <w:kern w:val="2"/>
          <w:sz w:val="21"/>
          <w:szCs w:val="21"/>
          <w:lang w:val="en-US" w:eastAsia="zh-CN" w:bidi="ar"/>
        </w:rPr>
        <w:t>根据江财法【2016】16号文要求：如监理人为外县</w:t>
      </w:r>
      <w:r>
        <w:rPr>
          <w:rFonts w:hint="eastAsia" w:ascii="宋体" w:hAnsi="宋体" w:eastAsia="宋体" w:cs="宋体"/>
          <w:color w:val="auto"/>
          <w:spacing w:val="2"/>
          <w:kern w:val="2"/>
          <w:sz w:val="21"/>
          <w:szCs w:val="21"/>
          <w:highlight w:val="none"/>
          <w:lang w:val="en-US" w:eastAsia="zh-CN" w:bidi="ar"/>
        </w:rPr>
        <w:t>(市、区)建筑服务单位的，监理人需提供增值税发票及对应销售额已在建筑服务发生地预缴税款的增值税完税凭证复印件（加盖纳税人公章或监理项目部印章）及对应的《增值税预缴税款表》复印件(加盖纳税人公章)给委托</w:t>
      </w:r>
      <w:r>
        <w:rPr>
          <w:rFonts w:hint="eastAsia" w:ascii="宋体" w:hAnsi="宋体" w:cs="宋体"/>
          <w:color w:val="auto"/>
          <w:spacing w:val="2"/>
          <w:kern w:val="2"/>
          <w:sz w:val="21"/>
          <w:szCs w:val="21"/>
          <w:highlight w:val="none"/>
          <w:lang w:val="en-US" w:eastAsia="zh-CN" w:bidi="ar"/>
        </w:rPr>
        <w:t>人</w:t>
      </w:r>
      <w:r>
        <w:rPr>
          <w:rFonts w:hint="eastAsia" w:ascii="宋体" w:hAnsi="宋体" w:eastAsia="宋体" w:cs="宋体"/>
          <w:color w:val="auto"/>
          <w:spacing w:val="2"/>
          <w:kern w:val="2"/>
          <w:sz w:val="21"/>
          <w:szCs w:val="21"/>
          <w:highlight w:val="none"/>
          <w:lang w:val="en-US" w:eastAsia="zh-CN" w:bidi="ar"/>
        </w:rPr>
        <w:t>作为支付当期监理费的必备资料，并报财政部门审核，确认预缴税款已完税后再支付当期监理费，如因此导致延迟付款的情况，委托人无需承担责任。</w:t>
      </w:r>
    </w:p>
    <w:p>
      <w:pPr>
        <w:keepNext w:val="0"/>
        <w:keepLines w:val="0"/>
        <w:widowControl w:val="0"/>
        <w:suppressLineNumbers w:val="0"/>
        <w:spacing w:before="118" w:beforeAutospacing="0" w:after="0" w:afterAutospacing="0" w:line="360" w:lineRule="auto"/>
        <w:ind w:left="216"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spacing w:val="-2"/>
          <w:kern w:val="2"/>
          <w:sz w:val="21"/>
          <w:szCs w:val="21"/>
          <w:highlight w:val="none"/>
          <w:lang w:val="en-US" w:eastAsia="zh-CN" w:bidi="ar"/>
        </w:rPr>
        <w:t>5</w:t>
      </w:r>
      <w:r>
        <w:rPr>
          <w:rFonts w:hint="eastAsia" w:ascii="宋体" w:hAnsi="宋体" w:eastAsia="宋体" w:cs="宋体"/>
          <w:color w:val="auto"/>
          <w:spacing w:val="-1"/>
          <w:kern w:val="2"/>
          <w:sz w:val="21"/>
          <w:szCs w:val="21"/>
          <w:highlight w:val="none"/>
          <w:lang w:val="en-US" w:eastAsia="zh-CN" w:bidi="ar"/>
        </w:rPr>
        <w:t>.3 支付酬金</w:t>
      </w:r>
    </w:p>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28" w:firstLineChars="200"/>
        <w:jc w:val="both"/>
        <w:textAlignment w:val="baseline"/>
        <w:rPr>
          <w:rFonts w:hint="eastAsia" w:ascii="宋体" w:hAnsi="宋体" w:eastAsia="宋体" w:cs="宋体"/>
          <w:color w:val="auto"/>
          <w:spacing w:val="2"/>
          <w:kern w:val="2"/>
          <w:sz w:val="21"/>
          <w:szCs w:val="21"/>
          <w:highlight w:val="none"/>
          <w:vertAlign w:val="baseline"/>
          <w:lang w:val="en-US" w:eastAsia="zh-CN"/>
        </w:rPr>
      </w:pPr>
      <w:r>
        <w:rPr>
          <w:rFonts w:hint="eastAsia" w:ascii="宋体" w:hAnsi="宋体" w:eastAsia="宋体" w:cs="宋体"/>
          <w:color w:val="auto"/>
          <w:spacing w:val="2"/>
          <w:kern w:val="2"/>
          <w:sz w:val="21"/>
          <w:szCs w:val="21"/>
          <w:highlight w:val="none"/>
          <w:vertAlign w:val="baseline"/>
          <w:lang w:val="en-US" w:eastAsia="zh-CN" w:bidi="ar"/>
        </w:rPr>
        <w:t>5.3.1，如监理业务属招标项目的，则监理结算费用将根据中标单位投标时所报下浮率和经审定的结算建安工程费用作为监理服务计费额进行计算；如监理业务属直接委托的，则监理结算费用将根据监理单位签订合同时所报的下浮率和经审定的结算建安工程费用作为监理服务收费计费额进行计算。</w:t>
      </w:r>
      <w:r>
        <w:rPr>
          <w:rFonts w:hint="eastAsia" w:ascii="宋体" w:hAnsi="宋体" w:cs="宋体"/>
          <w:color w:val="auto"/>
          <w:spacing w:val="2"/>
          <w:kern w:val="2"/>
          <w:sz w:val="21"/>
          <w:szCs w:val="21"/>
          <w:highlight w:val="none"/>
          <w:vertAlign w:val="baseline"/>
          <w:lang w:val="en-US" w:eastAsia="zh-CN" w:bidi="ar"/>
        </w:rPr>
        <w:t>监理费结算价不得超</w:t>
      </w:r>
      <w:r>
        <w:rPr>
          <w:rFonts w:hint="eastAsia" w:ascii="宋体" w:hAnsi="宋体" w:cs="宋体"/>
          <w:color w:val="auto"/>
          <w:spacing w:val="2"/>
          <w:szCs w:val="21"/>
          <w:highlight w:val="none"/>
          <w:lang w:bidi="ar"/>
        </w:rPr>
        <w:t>监理合同酬金</w:t>
      </w:r>
      <w:r>
        <w:rPr>
          <w:rFonts w:hint="eastAsia" w:ascii="宋体" w:hAnsi="宋体" w:cs="宋体"/>
          <w:color w:val="auto"/>
          <w:spacing w:val="2"/>
          <w:szCs w:val="21"/>
          <w:highlight w:val="none"/>
          <w:lang w:eastAsia="zh-CN" w:bidi="ar"/>
        </w:rPr>
        <w:t>。</w:t>
      </w:r>
    </w:p>
    <w:p>
      <w:pPr>
        <w:keepNext w:val="0"/>
        <w:keepLines w:val="0"/>
        <w:widowControl w:val="0"/>
        <w:suppressLineNumbers w:val="0"/>
        <w:spacing w:before="0" w:beforeAutospacing="0" w:after="0" w:afterAutospacing="0" w:line="360" w:lineRule="auto"/>
        <w:ind w:left="425"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spacing w:val="-4"/>
          <w:kern w:val="2"/>
          <w:sz w:val="21"/>
          <w:szCs w:val="21"/>
          <w:highlight w:val="none"/>
          <w:lang w:val="en-US" w:eastAsia="zh-CN" w:bidi="ar"/>
        </w:rPr>
        <w:t>5.3.2 正常工作酬金的支付</w:t>
      </w:r>
      <w:r>
        <w:rPr>
          <w:rFonts w:hint="eastAsia" w:ascii="宋体" w:hAnsi="宋体" w:eastAsia="宋体" w:cs="宋体"/>
          <w:color w:val="auto"/>
          <w:spacing w:val="-3"/>
          <w:kern w:val="2"/>
          <w:sz w:val="21"/>
          <w:szCs w:val="21"/>
          <w:highlight w:val="none"/>
          <w:lang w:val="en-US" w:eastAsia="zh-CN" w:bidi="ar"/>
        </w:rPr>
        <w:t>：</w:t>
      </w:r>
    </w:p>
    <w:tbl>
      <w:tblPr>
        <w:tblStyle w:val="22"/>
        <w:tblW w:w="10131" w:type="dxa"/>
        <w:tblInd w:w="-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2"/>
        <w:gridCol w:w="2932"/>
        <w:gridCol w:w="55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622" w:type="dxa"/>
            <w:noWrap w:val="0"/>
            <w:vAlign w:val="top"/>
          </w:tcPr>
          <w:p>
            <w:pPr>
              <w:keepNext w:val="0"/>
              <w:keepLines w:val="0"/>
              <w:suppressLineNumbers w:val="0"/>
              <w:spacing w:before="132" w:beforeAutospacing="0" w:after="0" w:afterAutospacing="0" w:line="360" w:lineRule="auto"/>
              <w:ind w:left="0" w:right="0"/>
              <w:jc w:val="center"/>
              <w:rPr>
                <w:rFonts w:hint="default" w:ascii="宋体" w:hAnsi="宋体" w:cs="宋体"/>
                <w:color w:val="auto"/>
                <w:sz w:val="21"/>
                <w:szCs w:val="21"/>
                <w:highlight w:val="none"/>
              </w:rPr>
            </w:pPr>
            <w:r>
              <w:rPr>
                <w:rFonts w:hint="eastAsia" w:ascii="宋体" w:hAnsi="宋体" w:cs="宋体"/>
                <w:color w:val="auto"/>
                <w:spacing w:val="-2"/>
                <w:sz w:val="21"/>
                <w:szCs w:val="21"/>
                <w:highlight w:val="none"/>
              </w:rPr>
              <w:t>支付</w:t>
            </w:r>
            <w:r>
              <w:rPr>
                <w:rFonts w:hint="eastAsia" w:ascii="宋体" w:hAnsi="宋体" w:cs="宋体"/>
                <w:color w:val="auto"/>
                <w:spacing w:val="-1"/>
                <w:sz w:val="21"/>
                <w:szCs w:val="21"/>
                <w:highlight w:val="none"/>
              </w:rPr>
              <w:t>次数</w:t>
            </w:r>
          </w:p>
        </w:tc>
        <w:tc>
          <w:tcPr>
            <w:tcW w:w="2932" w:type="dxa"/>
            <w:noWrap w:val="0"/>
            <w:vAlign w:val="top"/>
          </w:tcPr>
          <w:p>
            <w:pPr>
              <w:keepNext w:val="0"/>
              <w:keepLines w:val="0"/>
              <w:suppressLineNumbers w:val="0"/>
              <w:spacing w:before="132" w:beforeAutospacing="0" w:after="0" w:afterAutospacing="0" w:line="360" w:lineRule="auto"/>
              <w:ind w:left="0" w:right="0"/>
              <w:jc w:val="center"/>
              <w:rPr>
                <w:rFonts w:hint="default" w:ascii="宋体" w:hAnsi="宋体" w:cs="宋体"/>
                <w:color w:val="auto"/>
                <w:sz w:val="21"/>
                <w:szCs w:val="21"/>
                <w:highlight w:val="none"/>
              </w:rPr>
            </w:pPr>
            <w:r>
              <w:rPr>
                <w:rFonts w:hint="eastAsia" w:ascii="宋体" w:hAnsi="宋体" w:cs="宋体"/>
                <w:color w:val="auto"/>
                <w:spacing w:val="-2"/>
                <w:sz w:val="21"/>
                <w:szCs w:val="21"/>
                <w:highlight w:val="none"/>
              </w:rPr>
              <w:t>支付</w:t>
            </w:r>
            <w:r>
              <w:rPr>
                <w:rFonts w:hint="eastAsia" w:ascii="宋体" w:hAnsi="宋体" w:cs="宋体"/>
                <w:color w:val="auto"/>
                <w:spacing w:val="-1"/>
                <w:sz w:val="21"/>
                <w:szCs w:val="21"/>
                <w:highlight w:val="none"/>
              </w:rPr>
              <w:t>时间</w:t>
            </w:r>
          </w:p>
        </w:tc>
        <w:tc>
          <w:tcPr>
            <w:tcW w:w="5577" w:type="dxa"/>
            <w:tcBorders>
              <w:right w:val="single" w:color="000000" w:sz="4" w:space="0"/>
            </w:tcBorders>
            <w:noWrap w:val="0"/>
            <w:vAlign w:val="top"/>
          </w:tcPr>
          <w:p>
            <w:pPr>
              <w:keepNext w:val="0"/>
              <w:keepLines w:val="0"/>
              <w:suppressLineNumbers w:val="0"/>
              <w:spacing w:before="132" w:beforeAutospacing="0" w:after="0" w:afterAutospacing="0" w:line="360" w:lineRule="auto"/>
              <w:ind w:left="0" w:right="0"/>
              <w:jc w:val="center"/>
              <w:rPr>
                <w:rFonts w:hint="default" w:ascii="宋体" w:hAnsi="宋体" w:cs="宋体"/>
                <w:color w:val="auto"/>
                <w:sz w:val="21"/>
                <w:szCs w:val="21"/>
                <w:highlight w:val="none"/>
              </w:rPr>
            </w:pPr>
            <w:r>
              <w:rPr>
                <w:rFonts w:hint="eastAsia" w:ascii="宋体" w:hAnsi="宋体" w:cs="宋体"/>
                <w:color w:val="auto"/>
                <w:spacing w:val="-2"/>
                <w:sz w:val="21"/>
                <w:szCs w:val="21"/>
                <w:highlight w:val="none"/>
              </w:rPr>
              <w:t>支付</w:t>
            </w:r>
            <w:r>
              <w:rPr>
                <w:rFonts w:hint="eastAsia" w:ascii="宋体" w:hAnsi="宋体" w:cs="宋体"/>
                <w:color w:val="auto"/>
                <w:spacing w:val="-1"/>
                <w:sz w:val="21"/>
                <w:szCs w:val="21"/>
                <w:highlight w:val="none"/>
              </w:rPr>
              <w:t>比例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622" w:type="dxa"/>
            <w:noWrap w:val="0"/>
            <w:vAlign w:val="center"/>
          </w:tcPr>
          <w:p>
            <w:pPr>
              <w:keepNext w:val="0"/>
              <w:keepLines w:val="0"/>
              <w:suppressLineNumbers w:val="0"/>
              <w:spacing w:before="197" w:beforeAutospacing="0" w:after="0" w:afterAutospacing="0" w:line="360" w:lineRule="auto"/>
              <w:ind w:left="0" w:right="0"/>
              <w:jc w:val="center"/>
              <w:rPr>
                <w:rFonts w:hint="default" w:ascii="宋体" w:hAnsi="宋体" w:cs="宋体"/>
                <w:color w:val="auto"/>
                <w:sz w:val="21"/>
                <w:szCs w:val="21"/>
                <w:highlight w:val="none"/>
              </w:rPr>
            </w:pPr>
            <w:r>
              <w:rPr>
                <w:rFonts w:hint="eastAsia" w:ascii="宋体" w:hAnsi="宋体" w:cs="宋体"/>
                <w:color w:val="auto"/>
                <w:spacing w:val="-2"/>
                <w:sz w:val="21"/>
                <w:szCs w:val="21"/>
                <w:highlight w:val="none"/>
              </w:rPr>
              <w:t>首付款</w:t>
            </w:r>
          </w:p>
        </w:tc>
        <w:tc>
          <w:tcPr>
            <w:tcW w:w="2932" w:type="dxa"/>
            <w:noWrap w:val="0"/>
            <w:vAlign w:val="center"/>
          </w:tcPr>
          <w:p>
            <w:pPr>
              <w:keepNext w:val="0"/>
              <w:keepLines w:val="0"/>
              <w:suppressLineNumbers w:val="0"/>
              <w:spacing w:before="60" w:beforeAutospacing="0" w:after="0" w:afterAutospacing="0" w:line="360" w:lineRule="auto"/>
              <w:ind w:left="0" w:right="150"/>
              <w:rPr>
                <w:rFonts w:hint="default" w:ascii="宋体" w:hAnsi="宋体" w:cs="宋体"/>
                <w:color w:val="auto"/>
                <w:sz w:val="21"/>
                <w:szCs w:val="21"/>
                <w:highlight w:val="none"/>
              </w:rPr>
            </w:pPr>
            <w:r>
              <w:rPr>
                <w:rFonts w:hint="eastAsia" w:ascii="宋体" w:hAnsi="宋体" w:cs="宋体"/>
                <w:color w:val="auto"/>
                <w:spacing w:val="-1"/>
                <w:sz w:val="21"/>
                <w:szCs w:val="21"/>
                <w:highlight w:val="none"/>
              </w:rPr>
              <w:t>本合同签订</w:t>
            </w:r>
            <w:r>
              <w:rPr>
                <w:rFonts w:hint="eastAsia" w:ascii="宋体" w:hAnsi="宋体" w:cs="宋体"/>
                <w:color w:val="auto"/>
                <w:spacing w:val="-11"/>
                <w:sz w:val="21"/>
                <w:szCs w:val="21"/>
                <w:highlight w:val="none"/>
              </w:rPr>
              <w:t>后30天内</w:t>
            </w:r>
          </w:p>
        </w:tc>
        <w:tc>
          <w:tcPr>
            <w:tcW w:w="5577" w:type="dxa"/>
            <w:tcBorders>
              <w:right w:val="single" w:color="000000" w:sz="4" w:space="0"/>
            </w:tcBorders>
            <w:noWrap w:val="0"/>
            <w:vAlign w:val="center"/>
          </w:tcPr>
          <w:p>
            <w:pPr>
              <w:keepNext w:val="0"/>
              <w:keepLines w:val="0"/>
              <w:suppressLineNumbers w:val="0"/>
              <w:spacing w:before="0" w:beforeAutospacing="0" w:after="0" w:afterAutospacing="0" w:line="360" w:lineRule="auto"/>
              <w:ind w:left="0" w:right="0"/>
              <w:rPr>
                <w:rFonts w:hint="default" w:ascii="宋体" w:hAnsi="宋体" w:cs="宋体"/>
                <w:color w:val="auto"/>
                <w:sz w:val="21"/>
                <w:szCs w:val="21"/>
                <w:highlight w:val="none"/>
              </w:rPr>
            </w:pPr>
            <w:r>
              <w:rPr>
                <w:rFonts w:hint="eastAsia" w:ascii="宋体" w:hAnsi="宋体" w:cs="宋体"/>
                <w:color w:val="auto"/>
                <w:spacing w:val="-6"/>
                <w:szCs w:val="21"/>
                <w:highlight w:val="none"/>
              </w:rPr>
              <w:t>监理合同酬金</w:t>
            </w:r>
            <w:r>
              <w:rPr>
                <w:rFonts w:hint="eastAsia" w:ascii="宋体" w:hAnsi="宋体" w:cs="宋体"/>
                <w:color w:val="auto"/>
                <w:spacing w:val="-6"/>
                <w:sz w:val="21"/>
                <w:szCs w:val="21"/>
                <w:highlight w:val="none"/>
              </w:rPr>
              <w:t>的30</w:t>
            </w:r>
            <w:r>
              <w:rPr>
                <w:rFonts w:hint="eastAsia" w:ascii="宋体" w:hAnsi="宋体" w:cs="宋体"/>
                <w:color w:val="auto"/>
                <w:spacing w:val="-5"/>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622" w:type="dxa"/>
            <w:noWrap w:val="0"/>
            <w:vAlign w:val="center"/>
          </w:tcPr>
          <w:p>
            <w:pPr>
              <w:keepNext w:val="0"/>
              <w:keepLines w:val="0"/>
              <w:suppressLineNumbers w:val="0"/>
              <w:spacing w:before="69" w:beforeAutospacing="0" w:after="0" w:afterAutospacing="0" w:line="360" w:lineRule="auto"/>
              <w:ind w:left="0" w:right="0"/>
              <w:jc w:val="center"/>
              <w:rPr>
                <w:rFonts w:hint="default" w:ascii="宋体" w:hAnsi="宋体" w:cs="宋体"/>
                <w:color w:val="auto"/>
                <w:sz w:val="21"/>
                <w:szCs w:val="21"/>
                <w:highlight w:val="none"/>
              </w:rPr>
            </w:pPr>
            <w:r>
              <w:rPr>
                <w:rFonts w:hint="eastAsia" w:ascii="宋体" w:hAnsi="宋体" w:cs="宋体"/>
                <w:color w:val="auto"/>
                <w:spacing w:val="-1"/>
                <w:sz w:val="21"/>
                <w:szCs w:val="21"/>
                <w:highlight w:val="none"/>
              </w:rPr>
              <w:t>施工阶段付</w:t>
            </w:r>
            <w:r>
              <w:rPr>
                <w:rFonts w:hint="eastAsia" w:ascii="宋体" w:hAnsi="宋体" w:cs="宋体"/>
                <w:color w:val="auto"/>
                <w:sz w:val="21"/>
                <w:szCs w:val="21"/>
                <w:highlight w:val="none"/>
              </w:rPr>
              <w:t>款</w:t>
            </w:r>
          </w:p>
        </w:tc>
        <w:tc>
          <w:tcPr>
            <w:tcW w:w="2932" w:type="dxa"/>
            <w:noWrap w:val="0"/>
            <w:vAlign w:val="center"/>
          </w:tcPr>
          <w:p>
            <w:pPr>
              <w:keepNext w:val="0"/>
              <w:keepLines w:val="0"/>
              <w:suppressLineNumbers w:val="0"/>
              <w:spacing w:before="69" w:beforeAutospacing="0" w:after="0" w:afterAutospacing="0" w:line="360" w:lineRule="auto"/>
              <w:ind w:left="0" w:right="150"/>
              <w:rPr>
                <w:rFonts w:hint="default" w:ascii="宋体" w:hAnsi="宋体" w:cs="宋体"/>
                <w:color w:val="auto"/>
                <w:sz w:val="21"/>
                <w:szCs w:val="21"/>
                <w:highlight w:val="none"/>
              </w:rPr>
            </w:pPr>
            <w:r>
              <w:rPr>
                <w:rFonts w:hint="eastAsia" w:ascii="宋体" w:hAnsi="宋体" w:cs="宋体"/>
                <w:color w:val="auto"/>
                <w:spacing w:val="-1"/>
                <w:sz w:val="21"/>
                <w:szCs w:val="21"/>
                <w:highlight w:val="none"/>
              </w:rPr>
              <w:t>按工程实际施工进度申请后的30天内</w:t>
            </w:r>
          </w:p>
        </w:tc>
        <w:tc>
          <w:tcPr>
            <w:tcW w:w="5577" w:type="dxa"/>
            <w:tcBorders>
              <w:right w:val="single" w:color="000000" w:sz="4" w:space="0"/>
            </w:tcBorders>
            <w:noWrap w:val="0"/>
            <w:vAlign w:val="center"/>
          </w:tcPr>
          <w:p>
            <w:pPr>
              <w:keepNext w:val="0"/>
              <w:keepLines w:val="0"/>
              <w:suppressLineNumbers w:val="0"/>
              <w:spacing w:before="0" w:beforeAutospacing="0" w:after="0" w:afterAutospacing="0" w:line="360" w:lineRule="auto"/>
              <w:ind w:left="0" w:right="0"/>
              <w:rPr>
                <w:rFonts w:hint="default" w:ascii="宋体" w:hAnsi="宋体" w:cs="宋体"/>
                <w:color w:val="auto"/>
                <w:sz w:val="21"/>
                <w:szCs w:val="21"/>
                <w:highlight w:val="none"/>
              </w:rPr>
            </w:pPr>
            <w:r>
              <w:rPr>
                <w:rFonts w:hint="eastAsia" w:ascii="宋体" w:hAnsi="宋体" w:cs="宋体"/>
                <w:color w:val="auto"/>
                <w:spacing w:val="-1"/>
                <w:sz w:val="21"/>
                <w:szCs w:val="21"/>
                <w:highlight w:val="none"/>
              </w:rPr>
              <w:t>按照同期施工进度累计完成比例支付</w:t>
            </w:r>
            <w:r>
              <w:rPr>
                <w:rFonts w:hint="eastAsia" w:ascii="宋体" w:hAnsi="宋体" w:cs="宋体"/>
                <w:color w:val="auto"/>
                <w:spacing w:val="-6"/>
                <w:szCs w:val="21"/>
                <w:highlight w:val="none"/>
              </w:rPr>
              <w:t>监理合同酬金</w:t>
            </w:r>
            <w:r>
              <w:rPr>
                <w:rFonts w:hint="eastAsia" w:ascii="宋体" w:hAnsi="宋体" w:cs="宋体"/>
                <w:color w:val="auto"/>
                <w:spacing w:val="-1"/>
                <w:sz w:val="21"/>
                <w:szCs w:val="21"/>
                <w:highlight w:val="none"/>
              </w:rPr>
              <w:t>，</w:t>
            </w:r>
            <w:r>
              <w:rPr>
                <w:rFonts w:hint="eastAsia" w:ascii="宋体" w:hAnsi="宋体" w:cs="宋体"/>
                <w:color w:val="auto"/>
                <w:spacing w:val="-6"/>
                <w:szCs w:val="21"/>
                <w:highlight w:val="none"/>
              </w:rPr>
              <w:t>监理合同酬金</w:t>
            </w:r>
            <w:r>
              <w:rPr>
                <w:rFonts w:hint="eastAsia" w:ascii="宋体" w:hAnsi="宋体" w:cs="宋体"/>
                <w:color w:val="auto"/>
                <w:spacing w:val="-1"/>
                <w:sz w:val="21"/>
                <w:szCs w:val="21"/>
                <w:highlight w:val="none"/>
              </w:rPr>
              <w:t>用累计支付</w:t>
            </w:r>
            <w:r>
              <w:rPr>
                <w:rFonts w:hint="default" w:ascii="宋体" w:hAnsi="宋体" w:cs="宋体"/>
                <w:color w:val="auto"/>
                <w:spacing w:val="-1"/>
                <w:sz w:val="21"/>
                <w:szCs w:val="21"/>
                <w:highlight w:val="none"/>
              </w:rPr>
              <w:t>50%</w:t>
            </w:r>
            <w:r>
              <w:rPr>
                <w:rFonts w:hint="eastAsia" w:ascii="宋体" w:hAnsi="宋体" w:cs="宋体"/>
                <w:color w:val="auto"/>
                <w:spacing w:val="-1"/>
                <w:sz w:val="21"/>
                <w:szCs w:val="21"/>
                <w:highlight w:val="none"/>
              </w:rPr>
              <w:t>后，每期支付扣除</w:t>
            </w:r>
            <w:r>
              <w:rPr>
                <w:rFonts w:hint="default" w:ascii="宋体" w:hAnsi="宋体" w:cs="宋体"/>
                <w:color w:val="auto"/>
                <w:spacing w:val="-1"/>
                <w:sz w:val="21"/>
                <w:szCs w:val="21"/>
                <w:highlight w:val="none"/>
              </w:rPr>
              <w:t>10%</w:t>
            </w:r>
            <w:r>
              <w:rPr>
                <w:rFonts w:hint="eastAsia" w:ascii="宋体" w:hAnsi="宋体" w:cs="宋体"/>
                <w:color w:val="auto"/>
                <w:spacing w:val="-1"/>
                <w:sz w:val="21"/>
                <w:szCs w:val="21"/>
                <w:highlight w:val="none"/>
              </w:rPr>
              <w:t>的</w:t>
            </w:r>
            <w:r>
              <w:rPr>
                <w:rFonts w:hint="eastAsia" w:ascii="宋体" w:hAnsi="宋体" w:cs="宋体"/>
                <w:color w:val="auto"/>
                <w:spacing w:val="-6"/>
                <w:szCs w:val="21"/>
                <w:highlight w:val="none"/>
              </w:rPr>
              <w:t>监理合同酬金</w:t>
            </w:r>
            <w:r>
              <w:rPr>
                <w:rFonts w:hint="eastAsia" w:ascii="宋体" w:hAnsi="宋体" w:cs="宋体"/>
                <w:color w:val="auto"/>
                <w:spacing w:val="-1"/>
                <w:sz w:val="21"/>
                <w:szCs w:val="21"/>
                <w:highlight w:val="none"/>
              </w:rPr>
              <w:t>进度款，扣完</w:t>
            </w:r>
            <w:r>
              <w:rPr>
                <w:rFonts w:hint="default" w:ascii="宋体" w:hAnsi="宋体" w:cs="宋体"/>
                <w:color w:val="auto"/>
                <w:spacing w:val="-1"/>
                <w:sz w:val="21"/>
                <w:szCs w:val="21"/>
                <w:highlight w:val="none"/>
              </w:rPr>
              <w:t>3</w:t>
            </w:r>
            <w:r>
              <w:rPr>
                <w:rFonts w:hint="eastAsia" w:ascii="宋体" w:hAnsi="宋体" w:cs="宋体"/>
                <w:color w:val="auto"/>
                <w:spacing w:val="-1"/>
                <w:sz w:val="21"/>
                <w:szCs w:val="21"/>
                <w:highlight w:val="none"/>
              </w:rPr>
              <w:t>次为止，完成工程投产后，最高支付至</w:t>
            </w:r>
            <w:r>
              <w:rPr>
                <w:rFonts w:hint="eastAsia" w:ascii="宋体" w:hAnsi="宋体" w:cs="宋体"/>
                <w:color w:val="auto"/>
                <w:spacing w:val="-6"/>
                <w:szCs w:val="21"/>
                <w:highlight w:val="none"/>
              </w:rPr>
              <w:t>监理合同酬金</w:t>
            </w:r>
            <w:r>
              <w:rPr>
                <w:rFonts w:hint="eastAsia" w:ascii="宋体" w:hAnsi="宋体" w:cs="宋体"/>
                <w:color w:val="auto"/>
                <w:spacing w:val="-1"/>
                <w:sz w:val="21"/>
                <w:szCs w:val="21"/>
                <w:highlight w:val="none"/>
              </w:rPr>
              <w:t>的</w:t>
            </w:r>
            <w:r>
              <w:rPr>
                <w:rFonts w:hint="default" w:ascii="宋体" w:hAnsi="宋体" w:cs="宋体"/>
                <w:color w:val="auto"/>
                <w:spacing w:val="-1"/>
                <w:sz w:val="21"/>
                <w:szCs w:val="21"/>
                <w:highlight w:val="none"/>
              </w:rPr>
              <w:t>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622" w:type="dxa"/>
            <w:noWrap w:val="0"/>
            <w:vAlign w:val="center"/>
          </w:tcPr>
          <w:p>
            <w:pPr>
              <w:keepNext w:val="0"/>
              <w:keepLines w:val="0"/>
              <w:suppressLineNumbers w:val="0"/>
              <w:spacing w:before="68" w:beforeAutospacing="0" w:after="0" w:afterAutospacing="0" w:line="360" w:lineRule="auto"/>
              <w:ind w:left="0" w:right="0"/>
              <w:jc w:val="center"/>
              <w:rPr>
                <w:rFonts w:hint="default" w:ascii="宋体" w:hAnsi="宋体" w:cs="宋体"/>
                <w:color w:val="auto"/>
                <w:sz w:val="21"/>
                <w:szCs w:val="21"/>
                <w:highlight w:val="none"/>
              </w:rPr>
            </w:pPr>
            <w:r>
              <w:rPr>
                <w:rFonts w:hint="eastAsia" w:ascii="宋体" w:hAnsi="宋体" w:cs="宋体"/>
                <w:color w:val="auto"/>
                <w:spacing w:val="-2"/>
                <w:sz w:val="21"/>
                <w:szCs w:val="21"/>
                <w:highlight w:val="none"/>
              </w:rPr>
              <w:t>结算阶段付</w:t>
            </w:r>
            <w:r>
              <w:rPr>
                <w:rFonts w:hint="eastAsia" w:ascii="宋体" w:hAnsi="宋体" w:cs="宋体"/>
                <w:color w:val="auto"/>
                <w:spacing w:val="-1"/>
                <w:sz w:val="21"/>
                <w:szCs w:val="21"/>
                <w:highlight w:val="none"/>
              </w:rPr>
              <w:t>款</w:t>
            </w:r>
          </w:p>
        </w:tc>
        <w:tc>
          <w:tcPr>
            <w:tcW w:w="2932" w:type="dxa"/>
            <w:noWrap w:val="0"/>
            <w:vAlign w:val="center"/>
          </w:tcPr>
          <w:p>
            <w:pPr>
              <w:keepNext w:val="0"/>
              <w:keepLines w:val="0"/>
              <w:suppressLineNumbers w:val="0"/>
              <w:spacing w:before="69" w:beforeAutospacing="0" w:after="0" w:afterAutospacing="0" w:line="360" w:lineRule="auto"/>
              <w:ind w:left="0" w:right="150"/>
              <w:rPr>
                <w:rFonts w:hint="default" w:ascii="宋体" w:hAnsi="宋体" w:cs="宋体"/>
                <w:color w:val="auto"/>
                <w:sz w:val="21"/>
                <w:szCs w:val="21"/>
                <w:highlight w:val="none"/>
              </w:rPr>
            </w:pPr>
            <w:r>
              <w:rPr>
                <w:rFonts w:hint="eastAsia" w:ascii="宋体" w:hAnsi="宋体" w:cs="宋体"/>
                <w:color w:val="auto"/>
                <w:spacing w:val="-1"/>
                <w:sz w:val="21"/>
                <w:szCs w:val="21"/>
                <w:highlight w:val="none"/>
              </w:rPr>
              <w:t>工程竣工验收并结</w:t>
            </w:r>
            <w:r>
              <w:rPr>
                <w:rFonts w:hint="eastAsia" w:ascii="宋体" w:hAnsi="宋体" w:cs="宋体"/>
                <w:color w:val="auto"/>
                <w:sz w:val="21"/>
                <w:szCs w:val="21"/>
                <w:highlight w:val="none"/>
              </w:rPr>
              <w:t>算后</w:t>
            </w:r>
            <w:r>
              <w:rPr>
                <w:rFonts w:hint="eastAsia" w:ascii="宋体" w:hAnsi="宋体" w:cs="宋体"/>
                <w:color w:val="auto"/>
                <w:spacing w:val="-1"/>
                <w:sz w:val="21"/>
                <w:szCs w:val="21"/>
                <w:highlight w:val="none"/>
              </w:rPr>
              <w:t>3</w:t>
            </w:r>
            <w:r>
              <w:rPr>
                <w:rFonts w:hint="eastAsia" w:ascii="宋体" w:hAnsi="宋体" w:cs="宋体"/>
                <w:color w:val="auto"/>
                <w:sz w:val="21"/>
                <w:szCs w:val="21"/>
                <w:highlight w:val="none"/>
              </w:rPr>
              <w:t>0天内</w:t>
            </w:r>
          </w:p>
        </w:tc>
        <w:tc>
          <w:tcPr>
            <w:tcW w:w="5577" w:type="dxa"/>
            <w:tcBorders>
              <w:right w:val="single" w:color="000000" w:sz="4" w:space="0"/>
            </w:tcBorders>
            <w:noWrap w:val="0"/>
            <w:vAlign w:val="center"/>
          </w:tcPr>
          <w:p>
            <w:pPr>
              <w:keepNext w:val="0"/>
              <w:keepLines w:val="0"/>
              <w:suppressLineNumbers w:val="0"/>
              <w:spacing w:before="0" w:beforeAutospacing="0" w:after="0" w:afterAutospacing="0" w:line="360" w:lineRule="auto"/>
              <w:ind w:left="0" w:right="0"/>
              <w:rPr>
                <w:rFonts w:hint="default" w:ascii="宋体" w:hAnsi="宋体" w:cs="宋体"/>
                <w:color w:val="auto"/>
                <w:sz w:val="21"/>
                <w:szCs w:val="21"/>
                <w:highlight w:val="none"/>
              </w:rPr>
            </w:pPr>
            <w:r>
              <w:rPr>
                <w:rFonts w:hint="eastAsia" w:ascii="宋体" w:hAnsi="宋体" w:cs="宋体"/>
                <w:color w:val="auto"/>
                <w:szCs w:val="21"/>
                <w:highlight w:val="none"/>
              </w:rPr>
              <w:t>支付至监理</w:t>
            </w:r>
            <w:r>
              <w:rPr>
                <w:rFonts w:hint="eastAsia" w:ascii="宋体" w:hAnsi="宋体" w:cs="宋体"/>
                <w:color w:val="auto"/>
                <w:szCs w:val="21"/>
                <w:highlight w:val="none"/>
                <w:lang w:val="en-US" w:eastAsia="zh-CN"/>
              </w:rPr>
              <w:t>费结算价</w:t>
            </w:r>
            <w:r>
              <w:rPr>
                <w:rFonts w:hint="eastAsia" w:ascii="宋体" w:hAnsi="宋体" w:cs="宋体"/>
                <w:color w:val="auto"/>
                <w:szCs w:val="21"/>
                <w:highlight w:val="none"/>
              </w:rPr>
              <w:t>的</w:t>
            </w:r>
            <w:r>
              <w:rPr>
                <w:rFonts w:hint="default" w:ascii="宋体" w:hAnsi="宋体" w:cs="宋体"/>
                <w:color w:val="auto"/>
                <w:sz w:val="21"/>
                <w:szCs w:val="21"/>
                <w:highlight w:val="none"/>
              </w:rPr>
              <w:t>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622" w:type="dxa"/>
            <w:noWrap w:val="0"/>
            <w:vAlign w:val="center"/>
          </w:tcPr>
          <w:p>
            <w:pPr>
              <w:keepNext w:val="0"/>
              <w:keepLines w:val="0"/>
              <w:suppressLineNumbers w:val="0"/>
              <w:spacing w:before="69" w:beforeAutospacing="0" w:after="0" w:afterAutospacing="0" w:line="360" w:lineRule="auto"/>
              <w:ind w:left="0" w:right="0"/>
              <w:jc w:val="center"/>
              <w:rPr>
                <w:rFonts w:hint="default" w:ascii="宋体" w:hAnsi="宋体" w:cs="宋体"/>
                <w:color w:val="auto"/>
                <w:sz w:val="21"/>
                <w:szCs w:val="21"/>
                <w:highlight w:val="none"/>
              </w:rPr>
            </w:pPr>
            <w:r>
              <w:rPr>
                <w:rFonts w:hint="eastAsia" w:ascii="宋体" w:hAnsi="宋体" w:cs="宋体"/>
                <w:color w:val="auto"/>
                <w:spacing w:val="-2"/>
                <w:sz w:val="21"/>
                <w:szCs w:val="21"/>
                <w:highlight w:val="none"/>
              </w:rPr>
              <w:t>保</w:t>
            </w:r>
            <w:r>
              <w:rPr>
                <w:rFonts w:hint="eastAsia" w:ascii="宋体" w:hAnsi="宋体" w:cs="宋体"/>
                <w:color w:val="auto"/>
                <w:spacing w:val="-1"/>
                <w:sz w:val="21"/>
                <w:szCs w:val="21"/>
                <w:highlight w:val="none"/>
              </w:rPr>
              <w:t>修阶段付款</w:t>
            </w:r>
          </w:p>
        </w:tc>
        <w:tc>
          <w:tcPr>
            <w:tcW w:w="2932" w:type="dxa"/>
            <w:noWrap w:val="0"/>
            <w:vAlign w:val="center"/>
          </w:tcPr>
          <w:p>
            <w:pPr>
              <w:keepNext w:val="0"/>
              <w:keepLines w:val="0"/>
              <w:suppressLineNumbers w:val="0"/>
              <w:spacing w:before="68" w:beforeAutospacing="0" w:after="0" w:afterAutospacing="0" w:line="360" w:lineRule="auto"/>
              <w:ind w:left="0" w:right="0"/>
              <w:rPr>
                <w:rFonts w:hint="default" w:ascii="宋体" w:hAnsi="宋体" w:cs="宋体"/>
                <w:color w:val="auto"/>
                <w:sz w:val="21"/>
                <w:szCs w:val="21"/>
                <w:highlight w:val="none"/>
              </w:rPr>
            </w:pPr>
            <w:r>
              <w:rPr>
                <w:rFonts w:hint="eastAsia" w:ascii="宋体" w:hAnsi="宋体" w:cs="宋体"/>
                <w:color w:val="auto"/>
                <w:spacing w:val="-5"/>
                <w:sz w:val="21"/>
                <w:szCs w:val="21"/>
                <w:highlight w:val="none"/>
              </w:rPr>
              <w:t>质量缺陷期满后30天</w:t>
            </w:r>
            <w:r>
              <w:rPr>
                <w:rFonts w:hint="eastAsia" w:ascii="宋体" w:hAnsi="宋体" w:cs="宋体"/>
                <w:color w:val="auto"/>
                <w:spacing w:val="-4"/>
                <w:sz w:val="21"/>
                <w:szCs w:val="21"/>
                <w:highlight w:val="none"/>
              </w:rPr>
              <w:t>内</w:t>
            </w:r>
          </w:p>
        </w:tc>
        <w:tc>
          <w:tcPr>
            <w:tcW w:w="5577" w:type="dxa"/>
            <w:tcBorders>
              <w:right w:val="single" w:color="000000" w:sz="4" w:space="0"/>
            </w:tcBorders>
            <w:noWrap w:val="0"/>
            <w:vAlign w:val="center"/>
          </w:tcPr>
          <w:p>
            <w:pPr>
              <w:keepNext w:val="0"/>
              <w:keepLines w:val="0"/>
              <w:suppressLineNumbers w:val="0"/>
              <w:spacing w:before="0" w:beforeAutospacing="0" w:after="0" w:afterAutospacing="0" w:line="360" w:lineRule="auto"/>
              <w:ind w:left="0" w:right="0"/>
              <w:rPr>
                <w:rFonts w:hint="default" w:ascii="宋体" w:hAnsi="宋体" w:cs="宋体"/>
                <w:color w:val="auto"/>
                <w:sz w:val="21"/>
                <w:szCs w:val="21"/>
                <w:highlight w:val="none"/>
              </w:rPr>
            </w:pPr>
            <w:r>
              <w:rPr>
                <w:rFonts w:hint="eastAsia" w:ascii="宋体" w:hAnsi="宋体" w:cs="宋体"/>
                <w:color w:val="auto"/>
                <w:szCs w:val="21"/>
                <w:highlight w:val="none"/>
              </w:rPr>
              <w:t>支付至监理费结算价</w:t>
            </w:r>
            <w:r>
              <w:rPr>
                <w:rFonts w:hint="eastAsia" w:ascii="宋体" w:hAnsi="宋体" w:cs="宋体"/>
                <w:color w:val="auto"/>
                <w:sz w:val="21"/>
                <w:szCs w:val="21"/>
                <w:highlight w:val="none"/>
              </w:rPr>
              <w:t>的</w:t>
            </w:r>
            <w:r>
              <w:rPr>
                <w:rFonts w:hint="default" w:ascii="宋体" w:hAnsi="宋体" w:cs="宋体"/>
                <w:color w:val="auto"/>
                <w:sz w:val="21"/>
                <w:szCs w:val="21"/>
                <w:highlight w:val="none"/>
              </w:rPr>
              <w:t>100%</w:t>
            </w:r>
          </w:p>
        </w:tc>
      </w:tr>
    </w:tbl>
    <w:p>
      <w:pPr>
        <w:spacing w:line="360" w:lineRule="auto"/>
        <w:rPr>
          <w:rFonts w:ascii="宋体" w:hAnsi="宋体" w:cs="宋体"/>
          <w:color w:val="auto"/>
          <w:sz w:val="24"/>
          <w:highlight w:val="none"/>
        </w:rPr>
      </w:pPr>
    </w:p>
    <w:p>
      <w:pPr>
        <w:spacing w:before="68" w:line="360" w:lineRule="auto"/>
        <w:rPr>
          <w:rFonts w:ascii="宋体" w:hAnsi="宋体" w:cs="宋体"/>
          <w:color w:val="auto"/>
          <w:sz w:val="21"/>
          <w:szCs w:val="21"/>
          <w:highlight w:val="none"/>
        </w:rPr>
      </w:pPr>
      <w:r>
        <w:rPr>
          <w:rFonts w:hint="eastAsia" w:ascii="宋体" w:hAnsi="宋体" w:cs="宋体"/>
          <w:color w:val="auto"/>
          <w:spacing w:val="-4"/>
          <w:sz w:val="21"/>
          <w:szCs w:val="21"/>
          <w:highlight w:val="none"/>
        </w:rPr>
        <w:t>注：根据被委托人所报的</w:t>
      </w:r>
      <w:r>
        <w:rPr>
          <w:rFonts w:hint="eastAsia" w:ascii="宋体" w:hAnsi="宋体" w:cs="宋体"/>
          <w:color w:val="auto"/>
          <w:spacing w:val="-6"/>
          <w:szCs w:val="21"/>
          <w:highlight w:val="none"/>
        </w:rPr>
        <w:t>监理合同酬金</w:t>
      </w:r>
      <w:r>
        <w:rPr>
          <w:rFonts w:hint="eastAsia" w:ascii="宋体" w:hAnsi="宋体" w:cs="宋体"/>
          <w:color w:val="auto"/>
          <w:spacing w:val="-2"/>
          <w:sz w:val="21"/>
          <w:szCs w:val="21"/>
          <w:highlight w:val="none"/>
        </w:rPr>
        <w:t>除于项目建安工程投资计算得出，监理费</w:t>
      </w:r>
      <w:r>
        <w:rPr>
          <w:rFonts w:hint="eastAsia" w:ascii="宋体" w:hAnsi="宋体" w:cs="宋体"/>
          <w:color w:val="auto"/>
          <w:spacing w:val="-2"/>
          <w:sz w:val="21"/>
          <w:szCs w:val="21"/>
          <w:highlight w:val="none"/>
          <w:lang w:val="en-US" w:eastAsia="zh-CN"/>
        </w:rPr>
        <w:t>率</w:t>
      </w:r>
      <w:r>
        <w:rPr>
          <w:rFonts w:hint="eastAsia" w:ascii="宋体" w:hAnsi="宋体" w:cs="宋体"/>
          <w:color w:val="auto"/>
          <w:spacing w:val="-2"/>
          <w:sz w:val="21"/>
          <w:szCs w:val="21"/>
          <w:highlight w:val="none"/>
        </w:rPr>
        <w:t>为</w:t>
      </w:r>
      <w:r>
        <w:rPr>
          <w:rFonts w:hint="eastAsia" w:ascii="宋体" w:hAnsi="宋体" w:cs="宋体"/>
          <w:color w:val="auto"/>
          <w:spacing w:val="-2"/>
          <w:sz w:val="21"/>
          <w:szCs w:val="21"/>
          <w:highlight w:val="none"/>
          <w:u w:val="single"/>
        </w:rPr>
        <w:t xml:space="preserve">     %。</w:t>
      </w:r>
    </w:p>
    <w:p>
      <w:pPr>
        <w:keepNext w:val="0"/>
        <w:keepLines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
          <w:color w:val="auto"/>
          <w:szCs w:val="21"/>
          <w:highlight w:val="none"/>
          <w:u w:val="single"/>
        </w:rPr>
      </w:pPr>
    </w:p>
    <w:p>
      <w:pPr>
        <w:keepNext w:val="0"/>
        <w:keepLines w:val="0"/>
        <w:widowControl w:val="0"/>
        <w:kinsoku/>
        <w:wordWrap/>
        <w:overflowPunct/>
        <w:topLinePunct w:val="0"/>
        <w:bidi w:val="0"/>
        <w:snapToGrid w:val="0"/>
        <w:spacing w:line="360" w:lineRule="auto"/>
        <w:textAlignment w:val="auto"/>
        <w:rPr>
          <w:rFonts w:hint="eastAsia" w:ascii="宋体" w:hAnsi="宋体" w:eastAsia="宋体" w:cs="Times New Roman"/>
          <w:b/>
          <w:bCs/>
          <w:color w:val="auto"/>
          <w:szCs w:val="21"/>
          <w:highlight w:val="none"/>
        </w:rPr>
      </w:pPr>
      <w:r>
        <w:rPr>
          <w:rFonts w:hint="eastAsia" w:ascii="宋体" w:hAnsi="宋体" w:eastAsia="宋体" w:cs="Times New Roman"/>
          <w:bCs/>
          <w:color w:val="auto"/>
          <w:szCs w:val="21"/>
          <w:highlight w:val="none"/>
        </w:rPr>
        <w:t>6</w:t>
      </w:r>
      <w:r>
        <w:rPr>
          <w:rFonts w:hint="eastAsia" w:ascii="宋体" w:hAnsi="宋体" w:eastAsia="宋体" w:cs="Times New Roman"/>
          <w:b/>
          <w:bCs/>
          <w:color w:val="auto"/>
          <w:szCs w:val="21"/>
          <w:highlight w:val="none"/>
        </w:rPr>
        <w:t>. 合同生效、变更、暂停、解除与终止</w:t>
      </w:r>
    </w:p>
    <w:p>
      <w:pPr>
        <w:keepNext w:val="0"/>
        <w:keepLines w:val="0"/>
        <w:widowControl w:val="0"/>
        <w:kinsoku/>
        <w:wordWrap/>
        <w:overflowPunct/>
        <w:topLinePunct w:val="0"/>
        <w:bidi w:val="0"/>
        <w:adjustRightInd w:val="0"/>
        <w:snapToGrid w:val="0"/>
        <w:spacing w:line="360" w:lineRule="auto"/>
        <w:ind w:firstLine="210" w:firstLineChars="1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6.1 生效</w:t>
      </w:r>
    </w:p>
    <w:p>
      <w:pPr>
        <w:keepNext w:val="0"/>
        <w:keepLines w:val="0"/>
        <w:widowControl w:val="0"/>
        <w:kinsoku/>
        <w:wordWrap/>
        <w:overflowPunct/>
        <w:topLinePunct w:val="0"/>
        <w:bidi w:val="0"/>
        <w:adjustRightInd w:val="0"/>
        <w:snapToGrid w:val="0"/>
        <w:spacing w:line="360" w:lineRule="auto"/>
        <w:ind w:firstLine="48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本合同生效条件：</w:t>
      </w:r>
      <w:r>
        <w:rPr>
          <w:rFonts w:hint="eastAsia" w:ascii="宋体" w:hAnsi="宋体" w:eastAsia="宋体" w:cs="Times New Roman"/>
          <w:color w:val="auto"/>
          <w:szCs w:val="21"/>
          <w:highlight w:val="none"/>
          <w:u w:val="single"/>
        </w:rPr>
        <w:t xml:space="preserve">  经双方加盖公章或合同章后生效   </w:t>
      </w:r>
      <w:r>
        <w:rPr>
          <w:rFonts w:hint="eastAsia" w:ascii="宋体" w:hAnsi="宋体" w:eastAsia="宋体" w:cs="Times New Roman"/>
          <w:color w:val="auto"/>
          <w:szCs w:val="21"/>
          <w:highlight w:val="none"/>
        </w:rPr>
        <w:t>。</w:t>
      </w:r>
    </w:p>
    <w:p>
      <w:pPr>
        <w:keepNext w:val="0"/>
        <w:keepLines w:val="0"/>
        <w:widowControl w:val="0"/>
        <w:kinsoku/>
        <w:wordWrap/>
        <w:overflowPunct/>
        <w:topLinePunct w:val="0"/>
        <w:bidi w:val="0"/>
        <w:adjustRightInd w:val="0"/>
        <w:snapToGrid w:val="0"/>
        <w:spacing w:line="360" w:lineRule="auto"/>
        <w:ind w:firstLine="205" w:firstLineChars="98"/>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6.2 变更</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6.2.2 除不可抗力外， 因非监理人原因导致本合同期限延长时，附加工作酬金按下列方法确定：</w:t>
      </w:r>
    </w:p>
    <w:p>
      <w:pPr>
        <w:keepNext w:val="0"/>
        <w:keepLines w:val="0"/>
        <w:widowControl w:val="0"/>
        <w:kinsoku/>
        <w:wordWrap/>
        <w:overflowPunct/>
        <w:topLinePunct w:val="0"/>
        <w:bidi w:val="0"/>
        <w:snapToGrid w:val="0"/>
        <w:spacing w:line="360" w:lineRule="auto"/>
        <w:ind w:firstLine="422" w:firstLineChars="200"/>
        <w:textAlignment w:val="auto"/>
        <w:rPr>
          <w:rFonts w:hint="eastAsia" w:ascii="宋体" w:hAnsi="宋体" w:eastAsia="宋体" w:cs="Times New Roman"/>
          <w:color w:val="auto"/>
          <w:kern w:val="0"/>
          <w:szCs w:val="21"/>
          <w:highlight w:val="none"/>
          <w:u w:val="single"/>
        </w:rPr>
      </w:pPr>
      <w:r>
        <w:rPr>
          <w:rFonts w:hint="eastAsia" w:ascii="宋体" w:hAnsi="宋体" w:eastAsia="宋体" w:cs="Times New Roman"/>
          <w:b/>
          <w:color w:val="auto"/>
          <w:kern w:val="0"/>
          <w:szCs w:val="21"/>
          <w:highlight w:val="none"/>
          <w:u w:val="single"/>
        </w:rPr>
        <w:t>不另外支付酬金</w:t>
      </w:r>
      <w:r>
        <w:rPr>
          <w:rFonts w:hint="eastAsia" w:ascii="宋体" w:hAnsi="宋体" w:eastAsia="宋体" w:cs="Times New Roman"/>
          <w:color w:val="auto"/>
          <w:kern w:val="0"/>
          <w:szCs w:val="21"/>
          <w:highlight w:val="none"/>
          <w:u w:val="single"/>
        </w:rPr>
        <w:t>。</w:t>
      </w:r>
    </w:p>
    <w:p>
      <w:pPr>
        <w:keepNext w:val="0"/>
        <w:keepLines w:val="0"/>
        <w:widowControl w:val="0"/>
        <w:kinsoku/>
        <w:wordWrap/>
        <w:overflowPunct/>
        <w:topLinePunct w:val="0"/>
        <w:bidi w:val="0"/>
        <w:snapToGrid w:val="0"/>
        <w:spacing w:line="360" w:lineRule="auto"/>
        <w:ind w:firstLine="420" w:firstLineChars="200"/>
        <w:textAlignment w:val="auto"/>
        <w:rPr>
          <w:rFonts w:hint="eastAsia" w:ascii="宋体" w:hAnsi="宋体" w:eastAsia="宋体" w:cs="Times New Roman"/>
          <w:color w:val="auto"/>
          <w:kern w:val="0"/>
          <w:szCs w:val="21"/>
          <w:highlight w:val="none"/>
          <w:u w:val="single"/>
        </w:rPr>
      </w:pPr>
      <w:r>
        <w:rPr>
          <w:rFonts w:hint="eastAsia" w:ascii="宋体" w:hAnsi="宋体" w:eastAsia="宋体" w:cs="Times New Roman"/>
          <w:color w:val="auto"/>
          <w:szCs w:val="21"/>
          <w:highlight w:val="none"/>
        </w:rPr>
        <w:t>6.2.3附加工作酬金按下列方法确定：</w:t>
      </w:r>
      <w:r>
        <w:rPr>
          <w:rFonts w:hint="eastAsia" w:ascii="宋体" w:hAnsi="宋体" w:eastAsia="宋体" w:cs="Times New Roman"/>
          <w:b/>
          <w:color w:val="auto"/>
          <w:kern w:val="0"/>
          <w:szCs w:val="21"/>
          <w:highlight w:val="none"/>
          <w:u w:val="single"/>
        </w:rPr>
        <w:t>不另外支付酬金</w:t>
      </w:r>
      <w:r>
        <w:rPr>
          <w:rFonts w:hint="eastAsia" w:ascii="宋体" w:hAnsi="宋体" w:eastAsia="宋体" w:cs="Times New Roman"/>
          <w:color w:val="auto"/>
          <w:kern w:val="0"/>
          <w:szCs w:val="21"/>
          <w:highlight w:val="none"/>
          <w:u w:val="single"/>
        </w:rPr>
        <w:t>。</w:t>
      </w:r>
    </w:p>
    <w:p>
      <w:pPr>
        <w:keepNext w:val="0"/>
        <w:keepLines w:val="0"/>
        <w:widowControl w:val="0"/>
        <w:kinsoku/>
        <w:wordWrap/>
        <w:overflowPunct/>
        <w:topLinePunct w:val="0"/>
        <w:bidi w:val="0"/>
        <w:snapToGrid w:val="0"/>
        <w:spacing w:line="360" w:lineRule="auto"/>
        <w:ind w:firstLine="420" w:firstLineChars="200"/>
        <w:textAlignment w:val="auto"/>
        <w:rPr>
          <w:rFonts w:hint="eastAsia" w:ascii="宋体" w:hAnsi="宋体" w:eastAsia="宋体" w:cs="Times New Roman"/>
          <w:color w:val="auto"/>
          <w:kern w:val="0"/>
          <w:szCs w:val="21"/>
          <w:highlight w:val="none"/>
          <w:u w:val="single"/>
        </w:rPr>
      </w:pPr>
      <w:r>
        <w:rPr>
          <w:rFonts w:hint="eastAsia" w:ascii="宋体" w:hAnsi="宋体" w:eastAsia="宋体" w:cs="Times New Roman"/>
          <w:color w:val="auto"/>
          <w:szCs w:val="21"/>
          <w:highlight w:val="none"/>
        </w:rPr>
        <w:t>6.2.5 正常工作酬金增加额按下列方法确定：</w:t>
      </w:r>
      <w:r>
        <w:rPr>
          <w:rFonts w:hint="eastAsia" w:ascii="宋体" w:hAnsi="宋体" w:eastAsia="宋体" w:cs="Times New Roman"/>
          <w:b/>
          <w:color w:val="auto"/>
          <w:kern w:val="0"/>
          <w:szCs w:val="21"/>
          <w:highlight w:val="none"/>
          <w:u w:val="single"/>
        </w:rPr>
        <w:t>不另外支付酬金</w:t>
      </w:r>
      <w:r>
        <w:rPr>
          <w:rFonts w:hint="eastAsia" w:ascii="宋体" w:hAnsi="宋体" w:eastAsia="宋体" w:cs="Times New Roman"/>
          <w:color w:val="auto"/>
          <w:kern w:val="0"/>
          <w:szCs w:val="21"/>
          <w:highlight w:val="none"/>
          <w:u w:val="single"/>
        </w:rPr>
        <w:t>。</w:t>
      </w:r>
    </w:p>
    <w:p>
      <w:pPr>
        <w:keepNext w:val="0"/>
        <w:keepLines w:val="0"/>
        <w:widowControl w:val="0"/>
        <w:kinsoku/>
        <w:wordWrap/>
        <w:overflowPunct/>
        <w:topLinePunct w:val="0"/>
        <w:bidi w:val="0"/>
        <w:snapToGrid w:val="0"/>
        <w:spacing w:line="360" w:lineRule="auto"/>
        <w:ind w:firstLine="420" w:firstLineChars="200"/>
        <w:textAlignment w:val="auto"/>
        <w:rPr>
          <w:rFonts w:hint="eastAsia" w:ascii="宋体" w:hAnsi="宋体" w:eastAsia="宋体" w:cs="Times New Roman"/>
          <w:b/>
          <w:color w:val="auto"/>
          <w:szCs w:val="21"/>
          <w:highlight w:val="none"/>
        </w:rPr>
      </w:pPr>
      <w:r>
        <w:rPr>
          <w:rFonts w:hint="eastAsia" w:ascii="宋体" w:hAnsi="宋体" w:eastAsia="宋体" w:cs="Times New Roman"/>
          <w:color w:val="auto"/>
          <w:szCs w:val="21"/>
          <w:highlight w:val="none"/>
        </w:rPr>
        <w:t xml:space="preserve">6.2.6 </w:t>
      </w:r>
      <w:r>
        <w:rPr>
          <w:rFonts w:hint="eastAsia" w:ascii="宋体" w:hAnsi="宋体" w:eastAsia="宋体" w:cs="Times New Roman"/>
          <w:b/>
          <w:color w:val="auto"/>
          <w:szCs w:val="21"/>
          <w:highlight w:val="none"/>
        </w:rPr>
        <w:t>因工程规模、监理范围的变化导致监理人的正常工作量减少时，按减少工作量的比例从协议书约定的正常工作酬金中扣减相同比例的酬金。</w:t>
      </w:r>
    </w:p>
    <w:p>
      <w:pPr>
        <w:keepNext w:val="0"/>
        <w:keepLines w:val="0"/>
        <w:widowControl w:val="0"/>
        <w:kinsoku/>
        <w:wordWrap/>
        <w:overflowPunct/>
        <w:topLinePunct w:val="0"/>
        <w:bidi w:val="0"/>
        <w:snapToGrid w:val="0"/>
        <w:spacing w:line="360" w:lineRule="auto"/>
        <w:ind w:left="210" w:leftChars="100" w:firstLine="210" w:firstLineChars="1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6.3 暂停与解除</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color w:val="auto"/>
          <w:szCs w:val="21"/>
          <w:highlight w:val="none"/>
        </w:rPr>
        <w:t>6.3.2 在本合同有效期内，因非监理人的原因导致工程施工全部或部分暂停，委托人可通知监理人要求暂停全部或部分工作。监理人应立即安排停止工作，并将开支减至最小。</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color w:val="auto"/>
          <w:szCs w:val="21"/>
          <w:highlight w:val="none"/>
        </w:rPr>
      </w:pPr>
      <w:r>
        <w:rPr>
          <w:rFonts w:hint="eastAsia" w:ascii="宋体" w:hAnsi="宋体" w:eastAsia="宋体" w:cs="Times New Roman"/>
          <w:color w:val="auto"/>
          <w:szCs w:val="21"/>
          <w:highlight w:val="none"/>
        </w:rPr>
        <w:t xml:space="preserve">6.3.3 </w:t>
      </w:r>
      <w:r>
        <w:rPr>
          <w:rFonts w:hint="eastAsia" w:ascii="宋体" w:hAnsi="宋体"/>
          <w:color w:val="auto"/>
          <w:szCs w:val="21"/>
          <w:highlight w:val="none"/>
        </w:rPr>
        <w:t>监理人无正当理由未履行本合同约定的义务、未能正确履行本合同义务或无正当理由解除合同的，均视为违约，委托人有权通知监理人限期改正。若委托人在监理人接到通知后的7天内未收到监理人书面形式的合理解释也未见妥善改正，则委托人有权在限期届满之日起的任意时间发出解除本合同的通知，</w:t>
      </w:r>
      <w:r>
        <w:rPr>
          <w:rFonts w:hint="eastAsia" w:ascii="宋体" w:hAnsi="宋体"/>
          <w:color w:val="auto"/>
          <w:szCs w:val="21"/>
          <w:highlight w:val="none"/>
          <w:lang w:val="en-US" w:eastAsia="zh-CN"/>
        </w:rPr>
        <w:t>解除合同到达监理人签订本协议所提供的本人电子邮箱、解除通知送达监理人在本项目的工作室由本人或工作人员收取均视为解除合同通知已送达监理人，委托人可单方解除合同</w:t>
      </w:r>
      <w:r>
        <w:rPr>
          <w:rFonts w:hint="eastAsia" w:ascii="宋体" w:hAnsi="宋体"/>
          <w:color w:val="auto"/>
          <w:szCs w:val="21"/>
          <w:highlight w:val="none"/>
        </w:rPr>
        <w:t>。委托人解除合同的，委托人应将监理与相关服务的酬金支付至限期改正通知到达监理人之日，如监理人因此造成工程工期延误或委托人其他损失的，监理人还需承担赔偿责任。</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监理人未正确履行合同义务的情形包括但不限于∶</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（1）未完成合同约定范围内的工作；</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（2）未按法律法规、监理规范、有关规程及规范技术标准进行监理的；</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（3）未按正确数据、资料进行判断而向施工承包人发出错误指令的；</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（4）未能及时发出相关指令，导致工程实施进程发生重大延误或混乱；</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（5）发出错误指令，导致工程受到损失；</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color w:val="auto"/>
          <w:szCs w:val="21"/>
          <w:highlight w:val="none"/>
        </w:rPr>
        <w:t>（6）其他未能正确履行合同义务的情形。</w:t>
      </w:r>
    </w:p>
    <w:p>
      <w:pPr>
        <w:keepNext w:val="0"/>
        <w:keepLines w:val="0"/>
        <w:widowControl w:val="0"/>
        <w:kinsoku/>
        <w:wordWrap/>
        <w:overflowPunct/>
        <w:topLinePunct w:val="0"/>
        <w:bidi w:val="0"/>
        <w:snapToGrid w:val="0"/>
        <w:spacing w:line="360" w:lineRule="auto"/>
        <w:ind w:left="210" w:leftChars="100" w:firstLine="210" w:firstLineChars="100"/>
        <w:textAlignment w:val="auto"/>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 xml:space="preserve">6.4 </w:t>
      </w:r>
      <w:r>
        <w:rPr>
          <w:rFonts w:hint="eastAsia" w:ascii="宋体" w:hAnsi="宋体" w:eastAsia="宋体" w:cs="Times New Roman"/>
          <w:bCs/>
          <w:color w:val="auto"/>
          <w:szCs w:val="21"/>
          <w:highlight w:val="none"/>
        </w:rPr>
        <w:t>终止</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以下条件全部满足时，本合同即告终止：</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（1）监理人完成本合同约定的全部工作；</w:t>
      </w:r>
    </w:p>
    <w:p>
      <w:pPr>
        <w:keepNext w:val="0"/>
        <w:keepLines w:val="0"/>
        <w:widowControl w:val="0"/>
        <w:kinsoku/>
        <w:wordWrap/>
        <w:overflowPunct/>
        <w:topLinePunct w:val="0"/>
        <w:bidi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（2）委托人与监理人结清并支付全部酬金。</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（3）委托人无故提前30日书面通知监理人终止合同决定的，本合同终止。监理人已开始工作的，委托人根据监理人已完成的实际工作量支付监理费，委托人不承担其他违约责任。</w:t>
      </w:r>
    </w:p>
    <w:p>
      <w:pPr>
        <w:keepNext w:val="0"/>
        <w:keepLines w:val="0"/>
        <w:widowControl w:val="0"/>
        <w:kinsoku/>
        <w:wordWrap/>
        <w:overflowPunct/>
        <w:topLinePunct w:val="0"/>
        <w:bidi w:val="0"/>
        <w:snapToGrid w:val="0"/>
        <w:spacing w:line="360" w:lineRule="auto"/>
        <w:textAlignment w:val="auto"/>
        <w:rPr>
          <w:rFonts w:hint="eastAsia" w:ascii="宋体" w:hAnsi="宋体" w:eastAsia="宋体" w:cs="Times New Roman"/>
          <w:b/>
          <w:color w:val="auto"/>
          <w:szCs w:val="21"/>
          <w:highlight w:val="none"/>
        </w:rPr>
      </w:pPr>
      <w:r>
        <w:rPr>
          <w:rFonts w:hint="eastAsia" w:ascii="宋体" w:hAnsi="宋体" w:eastAsia="宋体" w:cs="Times New Roman"/>
          <w:b/>
          <w:bCs/>
          <w:color w:val="auto"/>
          <w:szCs w:val="21"/>
          <w:highlight w:val="none"/>
        </w:rPr>
        <w:t>7. 争议解决</w:t>
      </w:r>
    </w:p>
    <w:p>
      <w:pPr>
        <w:keepNext w:val="0"/>
        <w:keepLines w:val="0"/>
        <w:widowControl w:val="0"/>
        <w:kinsoku/>
        <w:wordWrap/>
        <w:overflowPunct/>
        <w:topLinePunct w:val="0"/>
        <w:bidi w:val="0"/>
        <w:snapToGrid w:val="0"/>
        <w:spacing w:line="360" w:lineRule="auto"/>
        <w:ind w:firstLine="205" w:firstLineChars="98"/>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7.2 </w:t>
      </w:r>
      <w:r>
        <w:rPr>
          <w:rFonts w:hint="eastAsia" w:ascii="宋体" w:hAnsi="宋体" w:eastAsia="宋体" w:cs="Times New Roman"/>
          <w:bCs/>
          <w:color w:val="auto"/>
          <w:szCs w:val="21"/>
          <w:highlight w:val="none"/>
        </w:rPr>
        <w:t>调解</w:t>
      </w:r>
    </w:p>
    <w:p>
      <w:pPr>
        <w:keepNext w:val="0"/>
        <w:keepLines w:val="0"/>
        <w:widowControl w:val="0"/>
        <w:kinsoku/>
        <w:wordWrap/>
        <w:overflowPunct/>
        <w:topLinePunct w:val="0"/>
        <w:bidi w:val="0"/>
        <w:snapToGrid w:val="0"/>
        <w:spacing w:line="360" w:lineRule="auto"/>
        <w:ind w:firstLine="411" w:firstLineChars="196"/>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本合同争议进行调解时，可提交</w:t>
      </w:r>
      <w:r>
        <w:rPr>
          <w:rFonts w:hint="eastAsia" w:ascii="宋体" w:hAnsi="宋体" w:eastAsia="宋体" w:cs="Times New Roman"/>
          <w:color w:val="auto"/>
          <w:szCs w:val="21"/>
          <w:highlight w:val="none"/>
          <w:u w:val="single"/>
        </w:rPr>
        <w:t xml:space="preserve"> 建设</w:t>
      </w:r>
      <w:r>
        <w:rPr>
          <w:rFonts w:ascii="宋体" w:hAnsi="宋体" w:eastAsia="宋体" w:cs="Times New Roman"/>
          <w:color w:val="auto"/>
          <w:szCs w:val="21"/>
          <w:highlight w:val="none"/>
          <w:u w:val="single"/>
        </w:rPr>
        <w:t>主管部门</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进行调解。</w:t>
      </w:r>
    </w:p>
    <w:p>
      <w:pPr>
        <w:keepNext w:val="0"/>
        <w:keepLines w:val="0"/>
        <w:widowControl w:val="0"/>
        <w:kinsoku/>
        <w:wordWrap/>
        <w:overflowPunct/>
        <w:topLinePunct w:val="0"/>
        <w:bidi w:val="0"/>
        <w:snapToGrid w:val="0"/>
        <w:spacing w:line="360" w:lineRule="auto"/>
        <w:ind w:firstLine="205" w:firstLineChars="98"/>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7.3 </w:t>
      </w:r>
      <w:r>
        <w:rPr>
          <w:rFonts w:hint="eastAsia" w:ascii="宋体" w:hAnsi="宋体" w:eastAsia="宋体" w:cs="Times New Roman"/>
          <w:bCs/>
          <w:color w:val="auto"/>
          <w:szCs w:val="21"/>
          <w:highlight w:val="none"/>
        </w:rPr>
        <w:t>仲裁或诉讼</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合同争议的最终解决方式为下列第</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u w:val="single"/>
        </w:rPr>
        <w:t>2</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种方式：</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（1）提请</w:t>
      </w:r>
      <w:r>
        <w:rPr>
          <w:rFonts w:hint="eastAsia" w:ascii="宋体" w:hAnsi="宋体" w:eastAsia="宋体" w:cs="Times New Roman"/>
          <w:color w:val="auto"/>
          <w:szCs w:val="21"/>
          <w:highlight w:val="none"/>
          <w:u w:val="single"/>
        </w:rPr>
        <w:t xml:space="preserve"> 江门  </w:t>
      </w:r>
      <w:r>
        <w:rPr>
          <w:rFonts w:hint="eastAsia" w:ascii="宋体" w:hAnsi="宋体" w:eastAsia="宋体" w:cs="Times New Roman"/>
          <w:color w:val="auto"/>
          <w:szCs w:val="21"/>
          <w:highlight w:val="none"/>
        </w:rPr>
        <w:t>仲裁委员会进行仲裁。</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（2）向</w:t>
      </w:r>
      <w:r>
        <w:rPr>
          <w:rFonts w:hint="eastAsia" w:ascii="宋体" w:hAnsi="宋体" w:eastAsia="宋体" w:cs="Times New Roman"/>
          <w:color w:val="auto"/>
          <w:szCs w:val="21"/>
          <w:highlight w:val="none"/>
          <w:u w:val="single"/>
        </w:rPr>
        <w:t xml:space="preserve"> 委托人所在地 </w:t>
      </w:r>
      <w:r>
        <w:rPr>
          <w:rFonts w:hint="eastAsia" w:ascii="宋体" w:hAnsi="宋体" w:eastAsia="宋体" w:cs="Times New Roman"/>
          <w:color w:val="auto"/>
          <w:szCs w:val="21"/>
          <w:highlight w:val="none"/>
        </w:rPr>
        <w:t>人民法院提起诉讼</w:t>
      </w:r>
      <w:r>
        <w:rPr>
          <w:rFonts w:hint="eastAsia" w:ascii="宋体" w:hAnsi="宋体"/>
          <w:color w:val="auto"/>
          <w:szCs w:val="21"/>
          <w:highlight w:val="none"/>
        </w:rPr>
        <w:t>，包括但不限于诉讼费、保全费、鉴定费、公证费、保全保险费等因维权而支出的一切费用均由违约方承担</w:t>
      </w:r>
      <w:r>
        <w:rPr>
          <w:rFonts w:hint="eastAsia" w:ascii="宋体" w:hAnsi="宋体" w:eastAsia="宋体" w:cs="Times New Roman"/>
          <w:color w:val="auto"/>
          <w:szCs w:val="21"/>
          <w:highlight w:val="none"/>
        </w:rPr>
        <w:t>。</w:t>
      </w:r>
    </w:p>
    <w:p>
      <w:pPr>
        <w:keepNext w:val="0"/>
        <w:keepLines w:val="0"/>
        <w:widowControl w:val="0"/>
        <w:kinsoku/>
        <w:wordWrap/>
        <w:overflowPunct/>
        <w:topLinePunct w:val="0"/>
        <w:bidi w:val="0"/>
        <w:adjustRightInd w:val="0"/>
        <w:snapToGrid w:val="0"/>
        <w:spacing w:line="360" w:lineRule="auto"/>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8. 其他</w:t>
      </w:r>
    </w:p>
    <w:p>
      <w:pPr>
        <w:keepNext w:val="0"/>
        <w:keepLines w:val="0"/>
        <w:widowControl w:val="0"/>
        <w:kinsoku/>
        <w:wordWrap/>
        <w:overflowPunct/>
        <w:topLinePunct w:val="0"/>
        <w:bidi w:val="0"/>
        <w:adjustRightInd w:val="0"/>
        <w:snapToGrid w:val="0"/>
        <w:spacing w:line="360" w:lineRule="auto"/>
        <w:textAlignment w:val="auto"/>
        <w:rPr>
          <w:rFonts w:hint="eastAsia" w:ascii="宋体" w:hAnsi="宋体" w:eastAsia="宋体" w:cs="Times New Roman"/>
          <w:bCs/>
          <w:color w:val="auto"/>
          <w:szCs w:val="21"/>
          <w:highlight w:val="none"/>
        </w:rPr>
      </w:pPr>
      <w:r>
        <w:rPr>
          <w:rFonts w:hint="eastAsia" w:ascii="宋体" w:hAnsi="宋体" w:eastAsia="宋体" w:cs="Times New Roman"/>
          <w:b/>
          <w:bCs/>
          <w:color w:val="auto"/>
          <w:szCs w:val="21"/>
          <w:highlight w:val="none"/>
        </w:rPr>
        <w:t xml:space="preserve">  </w:t>
      </w:r>
      <w:r>
        <w:rPr>
          <w:rFonts w:hint="eastAsia" w:ascii="宋体" w:hAnsi="宋体" w:eastAsia="宋体" w:cs="Times New Roman"/>
          <w:bCs/>
          <w:color w:val="auto"/>
          <w:szCs w:val="21"/>
          <w:highlight w:val="none"/>
        </w:rPr>
        <w:t>8.2 检测费用</w:t>
      </w:r>
    </w:p>
    <w:p>
      <w:pPr>
        <w:keepNext w:val="0"/>
        <w:keepLines w:val="0"/>
        <w:widowControl w:val="0"/>
        <w:kinsoku/>
        <w:wordWrap/>
        <w:overflowPunct/>
        <w:topLinePunct w:val="0"/>
        <w:bidi w:val="0"/>
        <w:adjustRightInd w:val="0"/>
        <w:snapToGrid w:val="0"/>
        <w:spacing w:line="360" w:lineRule="auto"/>
        <w:textAlignment w:val="auto"/>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 xml:space="preserve">    委托人应在检测工作完成后</w:t>
      </w:r>
      <w:r>
        <w:rPr>
          <w:rFonts w:hint="eastAsia" w:ascii="宋体" w:hAnsi="宋体" w:eastAsia="宋体" w:cs="Times New Roman"/>
          <w:color w:val="auto"/>
          <w:szCs w:val="21"/>
          <w:highlight w:val="none"/>
          <w:u w:val="single"/>
        </w:rPr>
        <w:t xml:space="preserve">  </w:t>
      </w:r>
      <w:r>
        <w:rPr>
          <w:rFonts w:ascii="宋体" w:hAnsi="宋体" w:eastAsia="宋体" w:cs="宋体"/>
          <w:color w:val="auto"/>
          <w:highlight w:val="none"/>
          <w:u w:val="single" w:color="000000"/>
        </w:rPr>
        <w:t>/</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bCs/>
          <w:color w:val="auto"/>
          <w:szCs w:val="21"/>
          <w:highlight w:val="none"/>
        </w:rPr>
        <w:t>天内支付检测费用。</w:t>
      </w:r>
    </w:p>
    <w:p>
      <w:pPr>
        <w:keepNext w:val="0"/>
        <w:keepLines w:val="0"/>
        <w:widowControl w:val="0"/>
        <w:kinsoku/>
        <w:wordWrap/>
        <w:overflowPunct/>
        <w:topLinePunct w:val="0"/>
        <w:bidi w:val="0"/>
        <w:adjustRightInd w:val="0"/>
        <w:snapToGrid w:val="0"/>
        <w:spacing w:line="360" w:lineRule="auto"/>
        <w:textAlignment w:val="auto"/>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 xml:space="preserve">  8.3 咨询费用</w:t>
      </w:r>
    </w:p>
    <w:p>
      <w:pPr>
        <w:keepNext w:val="0"/>
        <w:keepLines w:val="0"/>
        <w:widowControl w:val="0"/>
        <w:kinsoku/>
        <w:wordWrap/>
        <w:overflowPunct/>
        <w:topLinePunct w:val="0"/>
        <w:bidi w:val="0"/>
        <w:adjustRightInd w:val="0"/>
        <w:snapToGrid w:val="0"/>
        <w:spacing w:line="360" w:lineRule="auto"/>
        <w:textAlignment w:val="auto"/>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 xml:space="preserve">    委托人应在咨询工作完成后</w:t>
      </w:r>
      <w:r>
        <w:rPr>
          <w:rFonts w:hint="eastAsia" w:ascii="宋体" w:hAnsi="宋体" w:eastAsia="宋体" w:cs="Times New Roman"/>
          <w:color w:val="auto"/>
          <w:szCs w:val="21"/>
          <w:highlight w:val="none"/>
          <w:u w:val="single"/>
        </w:rPr>
        <w:t xml:space="preserve">  </w:t>
      </w:r>
      <w:r>
        <w:rPr>
          <w:rFonts w:ascii="宋体" w:hAnsi="宋体" w:eastAsia="宋体" w:cs="宋体"/>
          <w:color w:val="auto"/>
          <w:highlight w:val="none"/>
          <w:u w:val="single" w:color="000000"/>
        </w:rPr>
        <w:t>/</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bCs/>
          <w:color w:val="auto"/>
          <w:szCs w:val="21"/>
          <w:highlight w:val="none"/>
        </w:rPr>
        <w:t>天内支付咨询费用。</w:t>
      </w:r>
    </w:p>
    <w:p>
      <w:pPr>
        <w:keepNext w:val="0"/>
        <w:keepLines w:val="0"/>
        <w:widowControl w:val="0"/>
        <w:kinsoku/>
        <w:wordWrap/>
        <w:overflowPunct/>
        <w:topLinePunct w:val="0"/>
        <w:bidi w:val="0"/>
        <w:snapToGrid w:val="0"/>
        <w:spacing w:line="360" w:lineRule="auto"/>
        <w:ind w:firstLine="205" w:firstLineChars="98"/>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8.4 奖励</w:t>
      </w:r>
    </w:p>
    <w:p>
      <w:pPr>
        <w:keepNext w:val="0"/>
        <w:keepLines w:val="0"/>
        <w:widowControl w:val="0"/>
        <w:kinsoku/>
        <w:wordWrap/>
        <w:overflowPunct/>
        <w:topLinePunct w:val="0"/>
        <w:bidi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合理化建议的奖励金额按下列方法确定为：</w:t>
      </w:r>
    </w:p>
    <w:p>
      <w:pPr>
        <w:keepNext w:val="0"/>
        <w:keepLines w:val="0"/>
        <w:widowControl w:val="0"/>
        <w:kinsoku/>
        <w:wordWrap/>
        <w:overflowPunct/>
        <w:topLinePunct w:val="0"/>
        <w:bidi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奖励金额＝工程投资节省额×奖励金额的比率；</w:t>
      </w:r>
    </w:p>
    <w:p>
      <w:pPr>
        <w:keepNext w:val="0"/>
        <w:keepLines w:val="0"/>
        <w:widowControl w:val="0"/>
        <w:kinsoku/>
        <w:wordWrap/>
        <w:overflowPunct/>
        <w:topLinePunct w:val="0"/>
        <w:bidi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奖励金额的比率为</w:t>
      </w:r>
      <w:r>
        <w:rPr>
          <w:rFonts w:hint="eastAsia" w:ascii="宋体" w:hAnsi="宋体" w:eastAsia="宋体" w:cs="Times New Roman"/>
          <w:color w:val="auto"/>
          <w:szCs w:val="21"/>
          <w:highlight w:val="none"/>
          <w:u w:val="single"/>
        </w:rPr>
        <w:t xml:space="preserve">   </w:t>
      </w:r>
      <w:r>
        <w:rPr>
          <w:rFonts w:ascii="宋体" w:hAnsi="宋体" w:eastAsia="宋体" w:cs="宋体"/>
          <w:color w:val="auto"/>
          <w:highlight w:val="none"/>
          <w:u w:val="single" w:color="000000"/>
        </w:rPr>
        <w:t>/</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%。不另外支付奖励。</w:t>
      </w:r>
    </w:p>
    <w:p>
      <w:pPr>
        <w:keepNext w:val="0"/>
        <w:keepLines w:val="0"/>
        <w:widowControl w:val="0"/>
        <w:kinsoku/>
        <w:wordWrap/>
        <w:overflowPunct/>
        <w:topLinePunct w:val="0"/>
        <w:bidi w:val="0"/>
        <w:adjustRightInd w:val="0"/>
        <w:snapToGrid w:val="0"/>
        <w:spacing w:line="360" w:lineRule="auto"/>
        <w:ind w:firstLine="205" w:firstLineChars="98"/>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8.6 保密</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委托人申明的保密事项和期限：</w:t>
      </w:r>
      <w:r>
        <w:rPr>
          <w:rFonts w:hint="eastAsia" w:ascii="宋体" w:hAnsi="宋体" w:eastAsia="宋体" w:cs="Times New Roman"/>
          <w:color w:val="auto"/>
          <w:szCs w:val="21"/>
          <w:highlight w:val="none"/>
          <w:u w:val="single"/>
        </w:rPr>
        <w:t xml:space="preserve">  按国家法律法规执行     </w:t>
      </w:r>
      <w:r>
        <w:rPr>
          <w:rFonts w:hint="eastAsia" w:ascii="宋体" w:hAnsi="宋体" w:eastAsia="宋体" w:cs="Times New Roman"/>
          <w:color w:val="auto"/>
          <w:szCs w:val="21"/>
          <w:highlight w:val="none"/>
        </w:rPr>
        <w:t>。</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监理人申明的保密事项和期限：</w:t>
      </w:r>
      <w:r>
        <w:rPr>
          <w:rFonts w:hint="eastAsia" w:ascii="宋体" w:hAnsi="宋体" w:eastAsia="宋体" w:cs="Times New Roman"/>
          <w:color w:val="auto"/>
          <w:szCs w:val="21"/>
          <w:highlight w:val="none"/>
          <w:u w:val="single"/>
        </w:rPr>
        <w:t xml:space="preserve">  按国家法律法规执行     </w:t>
      </w:r>
      <w:r>
        <w:rPr>
          <w:rFonts w:hint="eastAsia" w:ascii="宋体" w:hAnsi="宋体" w:eastAsia="宋体" w:cs="Times New Roman"/>
          <w:color w:val="auto"/>
          <w:szCs w:val="21"/>
          <w:highlight w:val="none"/>
        </w:rPr>
        <w:t>。</w:t>
      </w:r>
    </w:p>
    <w:p>
      <w:pPr>
        <w:keepNext w:val="0"/>
        <w:keepLines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第三方申明的保密事项和期限：</w:t>
      </w:r>
      <w:r>
        <w:rPr>
          <w:rFonts w:hint="eastAsia" w:ascii="宋体" w:hAnsi="宋体" w:eastAsia="宋体" w:cs="Times New Roman"/>
          <w:color w:val="auto"/>
          <w:szCs w:val="21"/>
          <w:highlight w:val="none"/>
          <w:u w:val="single"/>
        </w:rPr>
        <w:t xml:space="preserve">  按国家法律法规执行     </w:t>
      </w:r>
      <w:r>
        <w:rPr>
          <w:rFonts w:hint="eastAsia" w:ascii="宋体" w:hAnsi="宋体" w:eastAsia="宋体" w:cs="Times New Roman"/>
          <w:color w:val="auto"/>
          <w:szCs w:val="21"/>
          <w:highlight w:val="none"/>
        </w:rPr>
        <w:t>。</w:t>
      </w:r>
    </w:p>
    <w:p>
      <w:pPr>
        <w:keepNext w:val="0"/>
        <w:keepLines w:val="0"/>
        <w:widowControl w:val="0"/>
        <w:kinsoku/>
        <w:wordWrap/>
        <w:overflowPunct/>
        <w:topLinePunct w:val="0"/>
        <w:bidi w:val="0"/>
        <w:snapToGrid w:val="0"/>
        <w:spacing w:line="360" w:lineRule="auto"/>
        <w:ind w:firstLine="205" w:firstLineChars="98"/>
        <w:textAlignment w:val="auto"/>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8.8</w:t>
      </w:r>
      <w:r>
        <w:rPr>
          <w:rFonts w:hint="eastAsia" w:ascii="宋体" w:hAnsi="宋体" w:eastAsia="宋体" w:cs="Times New Roman"/>
          <w:bCs/>
          <w:color w:val="auto"/>
          <w:szCs w:val="21"/>
          <w:highlight w:val="none"/>
        </w:rPr>
        <w:t>著作权</w:t>
      </w:r>
    </w:p>
    <w:p>
      <w:pPr>
        <w:keepNext w:val="0"/>
        <w:keepLines w:val="0"/>
        <w:widowControl w:val="0"/>
        <w:kinsoku/>
        <w:wordWrap/>
        <w:overflowPunct/>
        <w:topLinePunct w:val="0"/>
        <w:bidi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监理人在本合同履行期间及本合同终止后两年内出版涉及本工程的有关监理与相关服务的资料的限制条件：</w:t>
      </w:r>
      <w:r>
        <w:rPr>
          <w:rFonts w:hint="eastAsia" w:ascii="宋体" w:hAnsi="宋体" w:eastAsia="宋体" w:cs="Times New Roman"/>
          <w:color w:val="auto"/>
          <w:szCs w:val="21"/>
          <w:highlight w:val="none"/>
          <w:u w:val="single"/>
        </w:rPr>
        <w:t xml:space="preserve">应当征得委托人的同意 </w:t>
      </w:r>
      <w:r>
        <w:rPr>
          <w:rFonts w:hint="eastAsia" w:ascii="宋体" w:hAnsi="宋体" w:eastAsia="宋体" w:cs="Times New Roman"/>
          <w:color w:val="auto"/>
          <w:szCs w:val="21"/>
          <w:highlight w:val="none"/>
        </w:rPr>
        <w:t>。</w:t>
      </w:r>
    </w:p>
    <w:p>
      <w:pPr>
        <w:keepNext w:val="0"/>
        <w:keepLines w:val="0"/>
        <w:widowControl w:val="0"/>
        <w:kinsoku/>
        <w:wordWrap/>
        <w:overflowPunct/>
        <w:topLinePunct w:val="0"/>
        <w:bidi w:val="0"/>
        <w:adjustRightInd w:val="0"/>
        <w:snapToGrid w:val="0"/>
        <w:spacing w:before="156" w:beforeLines="50" w:after="156" w:afterLines="50" w:line="360" w:lineRule="auto"/>
        <w:ind w:firstLine="210" w:firstLineChars="10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9. 补充条款</w:t>
      </w:r>
    </w:p>
    <w:p>
      <w:pPr>
        <w:keepNext w:val="0"/>
        <w:keepLines w:val="0"/>
        <w:widowControl w:val="0"/>
        <w:kinsoku/>
        <w:wordWrap/>
        <w:overflowPunct/>
        <w:topLinePunct w:val="0"/>
        <w:bidi w:val="0"/>
        <w:adjustRightInd w:val="0"/>
        <w:snapToGrid w:val="0"/>
        <w:spacing w:before="156" w:beforeLines="50" w:after="156" w:afterLines="50" w:line="360" w:lineRule="auto"/>
        <w:ind w:firstLine="210" w:firstLineChars="100"/>
        <w:textAlignment w:val="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一、有关的约束条款和违约处理规定</w:t>
      </w:r>
    </w:p>
    <w:p>
      <w:pPr>
        <w:keepNext w:val="0"/>
        <w:keepLines w:val="0"/>
        <w:widowControl w:val="0"/>
        <w:kinsoku/>
        <w:wordWrap/>
        <w:overflowPunct/>
        <w:topLinePunct w:val="0"/>
        <w:bidi w:val="0"/>
        <w:adjustRightInd w:val="0"/>
        <w:snapToGrid w:val="0"/>
        <w:spacing w:before="156" w:beforeLines="50" w:after="156" w:afterLines="50" w:line="360" w:lineRule="auto"/>
        <w:ind w:firstLine="210" w:firstLineChars="1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（一）监理人在工程开工一个月内，所承诺的设备未能投入到施工现场或在当地租赁的每拖延一个月扣减监理费</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rPr>
        <w:t>万元，超过3个月的委托人有权</w:t>
      </w:r>
      <w:r>
        <w:rPr>
          <w:rFonts w:hint="eastAsia" w:ascii="宋体" w:hAnsi="宋体" w:cs="Times New Roman"/>
          <w:color w:val="auto"/>
          <w:szCs w:val="21"/>
          <w:highlight w:val="none"/>
          <w:lang w:val="en-US" w:eastAsia="zh-CN"/>
        </w:rPr>
        <w:t>解除</w:t>
      </w:r>
      <w:r>
        <w:rPr>
          <w:rFonts w:hint="eastAsia" w:ascii="宋体" w:hAnsi="宋体" w:eastAsia="宋体" w:cs="Times New Roman"/>
          <w:color w:val="auto"/>
          <w:szCs w:val="21"/>
          <w:highlight w:val="none"/>
        </w:rPr>
        <w:t>合同。</w:t>
      </w:r>
    </w:p>
    <w:p>
      <w:pPr>
        <w:keepNext w:val="0"/>
        <w:keepLines w:val="0"/>
        <w:widowControl w:val="0"/>
        <w:kinsoku/>
        <w:wordWrap/>
        <w:overflowPunct/>
        <w:topLinePunct w:val="0"/>
        <w:bidi w:val="0"/>
        <w:adjustRightInd w:val="0"/>
        <w:snapToGrid w:val="0"/>
        <w:spacing w:before="156" w:beforeLines="50" w:after="156" w:afterLines="50" w:line="360" w:lineRule="auto"/>
        <w:ind w:firstLine="210" w:firstLineChars="10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（二）监理人必须做好以下工作，否则，委托人将在监理费中扣减相应违约金：</w:t>
      </w:r>
    </w:p>
    <w:p>
      <w:pPr>
        <w:keepNext w:val="0"/>
        <w:keepLines w:val="0"/>
        <w:widowControl w:val="0"/>
        <w:kinsoku/>
        <w:wordWrap/>
        <w:overflowPunct/>
        <w:topLinePunct w:val="0"/>
        <w:bidi w:val="0"/>
        <w:adjustRightInd w:val="0"/>
        <w:snapToGrid w:val="0"/>
        <w:spacing w:before="156" w:beforeLines="50" w:after="156" w:afterLines="50" w:line="360" w:lineRule="auto"/>
        <w:ind w:firstLine="210" w:firstLineChars="10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 监理人委派的项目总监理工程师，须严格执行并落实总监负责制，全面领导和负责本项目的监理工作，常驻现场，并承诺确保一星期不少于五天在施工现场，如果少于五天，每缺一天扣减</w:t>
      </w:r>
      <w:r>
        <w:rPr>
          <w:rFonts w:ascii="宋体" w:hAnsi="宋体" w:eastAsia="宋体" w:cs="Times New Roman"/>
          <w:color w:val="auto"/>
          <w:szCs w:val="21"/>
          <w:highlight w:val="none"/>
        </w:rPr>
        <w:t>监理</w:t>
      </w:r>
      <w:r>
        <w:rPr>
          <w:rFonts w:hint="eastAsia" w:ascii="宋体" w:hAnsi="宋体" w:eastAsia="宋体" w:cs="Times New Roman"/>
          <w:color w:val="auto"/>
          <w:szCs w:val="21"/>
          <w:highlight w:val="none"/>
        </w:rPr>
        <w:t>费签约合同价的千分之二，累计超过10天的除扣减违约金外，委托人并有权要求更换项目总监人员。现场监理人员每天工作时间与施工单位上班时间一致，并做到24小时现场有监理工程师值班，能及时处理发生的问题，否则每发现一次违反本约定的情形，扣减监理费签约合同价的千分之二，累计超过10次的除扣减违约金外，</w:t>
      </w:r>
      <w:r>
        <w:rPr>
          <w:rFonts w:hint="eastAsia" w:ascii="宋体" w:hAnsi="宋体"/>
          <w:color w:val="auto"/>
          <w:szCs w:val="21"/>
          <w:highlight w:val="none"/>
        </w:rPr>
        <w:t>委托人并有权要求更换项目监理人员，如更换后仍然不能满足招投标文件要求的，委托人有权单方解除合同，并将监理人按不响应招标文件通报上级主管部门处理。</w:t>
      </w:r>
    </w:p>
    <w:p>
      <w:pPr>
        <w:keepNext w:val="0"/>
        <w:keepLines w:val="0"/>
        <w:widowControl w:val="0"/>
        <w:kinsoku/>
        <w:wordWrap/>
        <w:overflowPunct/>
        <w:topLinePunct w:val="0"/>
        <w:bidi w:val="0"/>
        <w:adjustRightInd w:val="0"/>
        <w:snapToGrid w:val="0"/>
        <w:spacing w:before="156" w:beforeLines="50" w:after="156" w:afterLines="50" w:line="360" w:lineRule="auto"/>
        <w:ind w:firstLine="210" w:firstLineChars="10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 监理人选派到该项目监理的监理工程师、各专业人员和人数必须与投标文件中所提交一致，并依照监理人提供的监理规划及旁站监理方案来执行，不到位者(不可抗力原因除外)，委托人第一次发现扣款</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rPr>
        <w:t>000元/人次，第二次扣款</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rPr>
        <w:t>000元/人次，第三次扣款</w:t>
      </w:r>
      <w:r>
        <w:rPr>
          <w:rFonts w:ascii="宋体" w:hAnsi="宋体" w:eastAsia="宋体" w:cs="Times New Roman"/>
          <w:color w:val="auto"/>
          <w:szCs w:val="21"/>
          <w:highlight w:val="none"/>
        </w:rPr>
        <w:t>5</w:t>
      </w:r>
      <w:r>
        <w:rPr>
          <w:rFonts w:hint="eastAsia" w:ascii="宋体" w:hAnsi="宋体" w:eastAsia="宋体" w:cs="Times New Roman"/>
          <w:color w:val="auto"/>
          <w:szCs w:val="21"/>
          <w:highlight w:val="none"/>
        </w:rPr>
        <w:t>000元/人次，扣款超过三次的除所扣款项不退还外。委托人有权要求更换同等条件的监理人员，直至其满足投标文件要求；如更换后仍然不能满足招投标文件要求的，委托人有权单方解除合同，并将监理人按不响应招标文件通报上级主管部门处理。</w:t>
      </w:r>
    </w:p>
    <w:p>
      <w:pPr>
        <w:keepNext w:val="0"/>
        <w:keepLines w:val="0"/>
        <w:widowControl w:val="0"/>
        <w:kinsoku/>
        <w:wordWrap/>
        <w:overflowPunct/>
        <w:topLinePunct w:val="0"/>
        <w:bidi w:val="0"/>
        <w:adjustRightInd w:val="0"/>
        <w:snapToGrid w:val="0"/>
        <w:spacing w:before="156" w:beforeLines="50" w:after="156" w:afterLines="50" w:line="360" w:lineRule="auto"/>
        <w:ind w:firstLine="210" w:firstLineChars="10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3. </w:t>
      </w:r>
      <w:r>
        <w:rPr>
          <w:rFonts w:hint="eastAsia" w:ascii="宋体" w:hAnsi="宋体"/>
          <w:color w:val="auto"/>
          <w:szCs w:val="21"/>
          <w:highlight w:val="none"/>
        </w:rPr>
        <w:t>若委托人提前一天通知项目总监理工程师参加工程有关会议，总监理工程师迟到15分钟以上的，第一次书面警告，以后每次扣减签约合同价的千分之二，并且所扣款项不退还。</w:t>
      </w:r>
    </w:p>
    <w:p>
      <w:pPr>
        <w:keepNext w:val="0"/>
        <w:keepLines w:val="0"/>
        <w:widowControl w:val="0"/>
        <w:kinsoku/>
        <w:wordWrap/>
        <w:overflowPunct/>
        <w:topLinePunct w:val="0"/>
        <w:bidi w:val="0"/>
        <w:adjustRightInd w:val="0"/>
        <w:snapToGrid w:val="0"/>
        <w:spacing w:before="156" w:beforeLines="50" w:after="156" w:afterLines="50" w:line="360" w:lineRule="auto"/>
        <w:ind w:firstLine="210" w:firstLineChars="100"/>
        <w:textAlignment w:val="auto"/>
        <w:rPr>
          <w:rFonts w:ascii="宋体" w:hAnsi="宋体" w:eastAsia="宋体" w:cs="Times New Roman"/>
          <w:color w:val="auto"/>
          <w:szCs w:val="21"/>
          <w:highlight w:val="none"/>
        </w:rPr>
      </w:pPr>
      <w:r>
        <w:rPr>
          <w:rFonts w:ascii="宋体" w:hAnsi="宋体" w:eastAsia="宋体" w:cs="Times New Roman"/>
          <w:color w:val="auto"/>
          <w:szCs w:val="21"/>
          <w:highlight w:val="none"/>
        </w:rPr>
        <w:t>4</w:t>
      </w:r>
      <w:r>
        <w:rPr>
          <w:rFonts w:hint="eastAsia" w:ascii="宋体" w:hAnsi="宋体" w:eastAsia="宋体" w:cs="Times New Roman"/>
          <w:color w:val="auto"/>
          <w:szCs w:val="21"/>
          <w:highlight w:val="none"/>
        </w:rPr>
        <w:t xml:space="preserve">. </w:t>
      </w:r>
      <w:r>
        <w:rPr>
          <w:rFonts w:hint="eastAsia" w:ascii="宋体" w:hAnsi="宋体"/>
          <w:color w:val="auto"/>
          <w:szCs w:val="21"/>
          <w:highlight w:val="none"/>
        </w:rPr>
        <w:t>监理人严格把好质量关，遵守《广东省建设工程监理条例》的规定，总监理工程师、监理工程师违反该规定的，第一次发出警告，第二次扣款1000元；工作严重失职或过错，造成质量事故的，视为违约，除赔偿造成委托人的经济损失并承担违约责任外，情况严重的，委托人有权终止合同。</w:t>
      </w:r>
    </w:p>
    <w:p>
      <w:pPr>
        <w:keepNext w:val="0"/>
        <w:keepLines w:val="0"/>
        <w:widowControl w:val="0"/>
        <w:kinsoku/>
        <w:wordWrap/>
        <w:overflowPunct/>
        <w:topLinePunct w:val="0"/>
        <w:bidi w:val="0"/>
        <w:adjustRightInd w:val="0"/>
        <w:snapToGrid w:val="0"/>
        <w:spacing w:before="156" w:beforeLines="50" w:after="156" w:afterLines="50" w:line="360" w:lineRule="auto"/>
        <w:ind w:firstLine="210" w:firstLineChars="100"/>
        <w:textAlignment w:val="auto"/>
        <w:rPr>
          <w:rFonts w:ascii="宋体" w:hAnsi="宋体" w:eastAsia="宋体" w:cs="Times New Roman"/>
          <w:color w:val="auto"/>
          <w:szCs w:val="21"/>
          <w:highlight w:val="none"/>
        </w:rPr>
      </w:pPr>
      <w:r>
        <w:rPr>
          <w:rFonts w:ascii="宋体" w:hAnsi="宋体" w:eastAsia="宋体" w:cs="Times New Roman"/>
          <w:color w:val="auto"/>
          <w:szCs w:val="21"/>
          <w:highlight w:val="none"/>
        </w:rPr>
        <w:t>5</w:t>
      </w:r>
      <w:r>
        <w:rPr>
          <w:rFonts w:hint="eastAsia" w:ascii="宋体" w:hAnsi="宋体" w:eastAsia="宋体" w:cs="Times New Roman"/>
          <w:color w:val="auto"/>
          <w:szCs w:val="21"/>
          <w:highlight w:val="none"/>
        </w:rPr>
        <w:t>.</w:t>
      </w:r>
      <w:r>
        <w:rPr>
          <w:rFonts w:hint="eastAsia" w:ascii="宋体" w:hAnsi="宋体"/>
          <w:color w:val="auto"/>
          <w:szCs w:val="21"/>
          <w:highlight w:val="none"/>
        </w:rPr>
        <w:t>监理人签收工程结算书后14天内，必须完成工程结算审核工作，并将审核工程结算资料提交委托人。否则从延期的第一天起，</w:t>
      </w:r>
      <w:r>
        <w:rPr>
          <w:rFonts w:hint="eastAsia" w:ascii="宋体" w:hAnsi="宋体" w:cs="Times New Roman"/>
          <w:color w:val="auto"/>
          <w:szCs w:val="21"/>
          <w:highlight w:val="none"/>
          <w:lang w:val="en-US" w:eastAsia="zh-CN"/>
        </w:rPr>
        <w:t>每延期一日</w:t>
      </w:r>
      <w:r>
        <w:rPr>
          <w:rFonts w:hint="eastAsia" w:ascii="宋体" w:hAnsi="宋体" w:eastAsia="宋体" w:cs="Times New Roman"/>
          <w:color w:val="auto"/>
          <w:szCs w:val="21"/>
          <w:highlight w:val="none"/>
        </w:rPr>
        <w:t>扣减监理费</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rPr>
        <w:t>000元。</w:t>
      </w:r>
    </w:p>
    <w:p>
      <w:pPr>
        <w:keepNext w:val="0"/>
        <w:keepLines w:val="0"/>
        <w:widowControl w:val="0"/>
        <w:kinsoku/>
        <w:wordWrap/>
        <w:overflowPunct/>
        <w:topLinePunct w:val="0"/>
        <w:bidi w:val="0"/>
        <w:adjustRightInd w:val="0"/>
        <w:snapToGrid w:val="0"/>
        <w:spacing w:before="156" w:beforeLines="50" w:after="156" w:afterLines="50" w:line="360" w:lineRule="auto"/>
        <w:ind w:firstLine="210" w:firstLineChars="10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（三）在确定中标单位后，监理人必须认真监督施工单位做好以下工作，否则，委托人将视情况扣减工程监理费用：</w:t>
      </w:r>
    </w:p>
    <w:p>
      <w:pPr>
        <w:keepNext w:val="0"/>
        <w:keepLines w:val="0"/>
        <w:widowControl w:val="0"/>
        <w:kinsoku/>
        <w:wordWrap/>
        <w:overflowPunct/>
        <w:topLinePunct w:val="0"/>
        <w:bidi w:val="0"/>
        <w:adjustRightInd w:val="0"/>
        <w:snapToGrid w:val="0"/>
        <w:spacing w:before="156" w:beforeLines="50" w:after="156" w:afterLines="50" w:line="360" w:lineRule="auto"/>
        <w:ind w:firstLine="210" w:firstLineChars="1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1、确定施工中标单位后，并在发出中标通知书和收到委托人提交的施工图纸之日起15天内，监理人应督促施工单位按规定提交各项专项方案,并完成审查工作。如施工单位未能按时提交专项方案的，监理人必须对施工单位发出处理意见，并同时以书面报委托人处理；若施工单位未能按时提交专项方案，而监理人又没对施工单位发出任何处理意见，或没及时提交书面报委托人处理的，</w:t>
      </w:r>
      <w:r>
        <w:rPr>
          <w:rFonts w:hint="eastAsia" w:ascii="宋体" w:hAnsi="宋体"/>
          <w:color w:val="auto"/>
          <w:szCs w:val="21"/>
          <w:highlight w:val="none"/>
        </w:rPr>
        <w:t>或者监理人未能按时完成审查工作的，每迟延一日，将扣减监理费2000元。</w:t>
      </w:r>
    </w:p>
    <w:p>
      <w:pPr>
        <w:keepNext w:val="0"/>
        <w:keepLines w:val="0"/>
        <w:widowControl w:val="0"/>
        <w:kinsoku/>
        <w:wordWrap/>
        <w:overflowPunct/>
        <w:topLinePunct w:val="0"/>
        <w:bidi w:val="0"/>
        <w:adjustRightInd w:val="0"/>
        <w:snapToGrid w:val="0"/>
        <w:spacing w:before="156" w:beforeLines="50" w:after="156" w:afterLines="50" w:line="360" w:lineRule="auto"/>
        <w:ind w:firstLine="210" w:firstLineChars="10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确定施工中标单位后，并在发出中标通知书之日起15天内，监理人应督促施工单位按规定提交经认可的施工报建资料。如施工单位未能按时提交相关资料，监理单位必须对施工单位发出处理意见，并同时以书面报给委托人处理；若施工单位未能按时提交相关资料，而监理人又没对施工单位发出任何处理意见，</w:t>
      </w:r>
      <w:r>
        <w:rPr>
          <w:rFonts w:hint="eastAsia" w:ascii="宋体" w:hAnsi="宋体"/>
          <w:color w:val="auto"/>
          <w:szCs w:val="21"/>
          <w:highlight w:val="none"/>
        </w:rPr>
        <w:t>或没及时提交书面报委托人处理的，每迟延一日，将扣减监理费2000元。</w:t>
      </w:r>
    </w:p>
    <w:p>
      <w:pPr>
        <w:keepNext w:val="0"/>
        <w:keepLines w:val="0"/>
        <w:widowControl w:val="0"/>
        <w:kinsoku/>
        <w:wordWrap/>
        <w:overflowPunct/>
        <w:topLinePunct w:val="0"/>
        <w:bidi w:val="0"/>
        <w:adjustRightInd w:val="0"/>
        <w:snapToGrid w:val="0"/>
        <w:spacing w:before="156" w:beforeLines="50" w:after="156" w:afterLines="50" w:line="360" w:lineRule="auto"/>
        <w:ind w:firstLine="202" w:firstLineChars="100"/>
        <w:textAlignment w:val="auto"/>
        <w:rPr>
          <w:rFonts w:ascii="Times New Roman" w:hAnsi="Times New Roman" w:eastAsia="宋体" w:cs="Times New Roman"/>
          <w:color w:val="auto"/>
          <w:spacing w:val="-4"/>
          <w:highlight w:val="none"/>
        </w:rPr>
      </w:pPr>
      <w:r>
        <w:rPr>
          <w:rFonts w:ascii="宋体" w:hAnsi="宋体" w:eastAsia="宋体" w:cs="宋体"/>
          <w:color w:val="auto"/>
          <w:spacing w:val="-4"/>
          <w:highlight w:val="none"/>
        </w:rPr>
        <w:t>3</w:t>
      </w:r>
      <w:r>
        <w:rPr>
          <w:rFonts w:ascii="Times New Roman" w:hAnsi="Times New Roman" w:eastAsia="宋体" w:cs="Times New Roman"/>
          <w:color w:val="auto"/>
          <w:spacing w:val="-4"/>
          <w:highlight w:val="none"/>
        </w:rPr>
        <w:t>、确定施工中标单位后，并在发出中标通知书和收到委托人提交的施工图纸之日起</w:t>
      </w:r>
      <w:r>
        <w:rPr>
          <w:rFonts w:ascii="宋体" w:hAnsi="宋体" w:eastAsia="宋体" w:cs="宋体"/>
          <w:color w:val="auto"/>
          <w:highlight w:val="none"/>
        </w:rPr>
        <w:t>15</w:t>
      </w:r>
      <w:r>
        <w:rPr>
          <w:rFonts w:ascii="Times New Roman" w:hAnsi="Times New Roman" w:eastAsia="宋体" w:cs="Times New Roman"/>
          <w:color w:val="auto"/>
          <w:spacing w:val="-6"/>
          <w:highlight w:val="none"/>
        </w:rPr>
        <w:t>天内，监理人应</w:t>
      </w:r>
      <w:r>
        <w:rPr>
          <w:rFonts w:ascii="Times New Roman" w:hAnsi="Times New Roman" w:eastAsia="宋体" w:cs="Times New Roman"/>
          <w:color w:val="auto"/>
          <w:spacing w:val="-58"/>
          <w:highlight w:val="none"/>
        </w:rPr>
        <w:t xml:space="preserve"> </w:t>
      </w:r>
      <w:r>
        <w:rPr>
          <w:rFonts w:ascii="Times New Roman" w:hAnsi="Times New Roman" w:eastAsia="宋体" w:cs="Times New Roman"/>
          <w:color w:val="auto"/>
          <w:spacing w:val="-4"/>
          <w:highlight w:val="none"/>
        </w:rPr>
        <w:t>督促施工单位提交施工组织设计或方案和施工总进度计划，并提交审核意见。如施工单位未能按规定提交相关资料的，监理人必须对施工单位发出处理意见，并同时以书面报给委托人处理；若施工单位未能</w:t>
      </w:r>
      <w:r>
        <w:rPr>
          <w:rFonts w:ascii="Times New Roman" w:hAnsi="Times New Roman" w:eastAsia="宋体" w:cs="Times New Roman"/>
          <w:color w:val="auto"/>
          <w:spacing w:val="-2"/>
          <w:highlight w:val="none"/>
        </w:rPr>
        <w:t>按时提交相关资料，而监理人没对施工单位发出任何处理意见，</w:t>
      </w:r>
      <w:r>
        <w:rPr>
          <w:rFonts w:hint="eastAsia" w:ascii="Times New Roman" w:hAnsi="Times New Roman" w:eastAsia="宋体" w:cs="Times New Roman"/>
          <w:color w:val="auto"/>
          <w:spacing w:val="-2"/>
          <w:highlight w:val="none"/>
        </w:rPr>
        <w:t>或</w:t>
      </w:r>
      <w:r>
        <w:rPr>
          <w:rFonts w:ascii="Times New Roman" w:hAnsi="Times New Roman" w:eastAsia="宋体" w:cs="Times New Roman"/>
          <w:color w:val="auto"/>
          <w:spacing w:val="-2"/>
          <w:highlight w:val="none"/>
        </w:rPr>
        <w:t>没及时提交书面报委托人处理的，</w:t>
      </w:r>
      <w:r>
        <w:rPr>
          <w:rFonts w:hint="eastAsia"/>
          <w:color w:val="auto"/>
          <w:spacing w:val="-2"/>
          <w:highlight w:val="none"/>
        </w:rPr>
        <w:t>或者监理人未按时提交审核意见的，每迟延一日，将扣减监理费1000 元。</w:t>
      </w:r>
    </w:p>
    <w:p>
      <w:pPr>
        <w:keepNext w:val="0"/>
        <w:keepLines w:val="0"/>
        <w:widowControl w:val="0"/>
        <w:kinsoku/>
        <w:wordWrap/>
        <w:overflowPunct/>
        <w:topLinePunct w:val="0"/>
        <w:bidi w:val="0"/>
        <w:adjustRightInd w:val="0"/>
        <w:snapToGrid w:val="0"/>
        <w:spacing w:before="156" w:beforeLines="50" w:after="156" w:afterLines="50" w:line="360" w:lineRule="auto"/>
        <w:ind w:firstLine="202" w:firstLineChars="100"/>
        <w:textAlignment w:val="auto"/>
        <w:rPr>
          <w:rFonts w:ascii="宋体" w:hAnsi="宋体" w:eastAsia="宋体" w:cs="宋体"/>
          <w:color w:val="auto"/>
          <w:sz w:val="11"/>
          <w:szCs w:val="11"/>
          <w:highlight w:val="none"/>
        </w:rPr>
      </w:pPr>
      <w:r>
        <w:rPr>
          <w:rFonts w:ascii="Times New Roman" w:hAnsi="Times New Roman" w:eastAsia="宋体" w:cs="Times New Roman"/>
          <w:color w:val="auto"/>
          <w:spacing w:val="-4"/>
          <w:highlight w:val="none"/>
        </w:rPr>
        <w:t>（四）在该工程施工过程中，监理人必须认真监督施工单位做好以下工作，</w:t>
      </w:r>
      <w:r>
        <w:rPr>
          <w:rFonts w:hint="eastAsia"/>
          <w:color w:val="auto"/>
          <w:spacing w:val="-4"/>
          <w:highlight w:val="none"/>
        </w:rPr>
        <w:t>否则，委托人将视情况扣减工程监理费用，情况严重的委托人可以解除本合同，未支付的监理费不予支付，要求监理人退还已收取的监理费，并依法追究监理人相关法律责任</w:t>
      </w:r>
      <w:r>
        <w:rPr>
          <w:rFonts w:ascii="Times New Roman" w:hAnsi="Times New Roman" w:eastAsia="宋体" w:cs="Times New Roman"/>
          <w:color w:val="auto"/>
          <w:highlight w:val="none"/>
        </w:rPr>
        <w:t>：</w:t>
      </w:r>
      <w:r>
        <w:rPr>
          <w:rFonts w:ascii="宋体" w:hAnsi="宋体" w:eastAsia="宋体" w:cs="宋体"/>
          <w:color w:val="auto"/>
          <w:sz w:val="11"/>
          <w:szCs w:val="11"/>
          <w:highlight w:val="none"/>
        </w:rPr>
        <w:t xml:space="preserve"> </w:t>
      </w:r>
    </w:p>
    <w:p>
      <w:pPr>
        <w:keepNext w:val="0"/>
        <w:keepLines w:val="0"/>
        <w:widowControl w:val="0"/>
        <w:kinsoku/>
        <w:wordWrap/>
        <w:overflowPunct/>
        <w:topLinePunct w:val="0"/>
        <w:bidi w:val="0"/>
        <w:adjustRightInd w:val="0"/>
        <w:snapToGrid w:val="0"/>
        <w:spacing w:before="156" w:beforeLines="50" w:after="156" w:afterLines="50" w:line="360" w:lineRule="auto"/>
        <w:ind w:firstLine="210" w:firstLineChars="100"/>
        <w:textAlignment w:val="auto"/>
        <w:rPr>
          <w:rFonts w:ascii="Times New Roman" w:hAnsi="Times New Roman" w:eastAsia="宋体" w:cs="Times New Roman"/>
          <w:color w:val="auto"/>
          <w:highlight w:val="none"/>
        </w:rPr>
      </w:pPr>
      <w:r>
        <w:rPr>
          <w:rFonts w:ascii="宋体" w:hAnsi="宋体" w:eastAsia="宋体" w:cs="宋体"/>
          <w:color w:val="auto"/>
          <w:highlight w:val="none"/>
        </w:rPr>
        <w:t>1.</w:t>
      </w:r>
      <w:r>
        <w:rPr>
          <w:rFonts w:ascii="宋体" w:hAnsi="宋体" w:eastAsia="宋体" w:cs="宋体"/>
          <w:color w:val="auto"/>
          <w:spacing w:val="4"/>
          <w:highlight w:val="none"/>
        </w:rPr>
        <w:t xml:space="preserve"> </w:t>
      </w:r>
      <w:r>
        <w:rPr>
          <w:rFonts w:ascii="Times New Roman" w:hAnsi="Times New Roman" w:eastAsia="宋体" w:cs="Times New Roman"/>
          <w:color w:val="auto"/>
          <w:highlight w:val="none"/>
        </w:rPr>
        <w:t>必须监督施工单位履行其投标文件中对业主的所有承诺，若监理单位出现监督不到位的情况，相应监理费视情况进行扣减</w:t>
      </w:r>
      <w:r>
        <w:rPr>
          <w:rFonts w:hint="eastAsia" w:ascii="宋体" w:hAnsi="宋体" w:eastAsia="宋体" w:cs="Times New Roman"/>
          <w:color w:val="auto"/>
          <w:szCs w:val="21"/>
          <w:highlight w:val="none"/>
        </w:rPr>
        <w:t>（委托人有权自由裁量）</w:t>
      </w:r>
      <w:r>
        <w:rPr>
          <w:rFonts w:ascii="Times New Roman" w:hAnsi="Times New Roman" w:eastAsia="宋体" w:cs="Times New Roman"/>
          <w:color w:val="auto"/>
          <w:highlight w:val="none"/>
        </w:rPr>
        <w:t>。</w:t>
      </w:r>
    </w:p>
    <w:p>
      <w:pPr>
        <w:keepNext w:val="0"/>
        <w:keepLines w:val="0"/>
        <w:widowControl w:val="0"/>
        <w:kinsoku/>
        <w:wordWrap/>
        <w:overflowPunct/>
        <w:topLinePunct w:val="0"/>
        <w:bidi w:val="0"/>
        <w:adjustRightInd w:val="0"/>
        <w:snapToGrid w:val="0"/>
        <w:spacing w:before="156" w:beforeLines="50" w:after="156" w:afterLines="50" w:line="360" w:lineRule="auto"/>
        <w:ind w:firstLine="210" w:firstLineChars="100"/>
        <w:textAlignment w:val="auto"/>
        <w:rPr>
          <w:rFonts w:ascii="Times New Roman" w:hAnsi="Times New Roman" w:eastAsia="宋体" w:cs="Times New Roman"/>
          <w:color w:val="auto"/>
          <w:spacing w:val="-3"/>
          <w:highlight w:val="none"/>
        </w:rPr>
      </w:pPr>
      <w:r>
        <w:rPr>
          <w:rFonts w:ascii="宋体" w:hAnsi="宋体" w:eastAsia="宋体" w:cs="宋体"/>
          <w:color w:val="auto"/>
          <w:highlight w:val="none"/>
        </w:rPr>
        <w:t>2.</w:t>
      </w:r>
      <w:r>
        <w:rPr>
          <w:rFonts w:ascii="宋体" w:hAnsi="宋体" w:eastAsia="宋体" w:cs="宋体"/>
          <w:color w:val="auto"/>
          <w:spacing w:val="4"/>
          <w:highlight w:val="none"/>
        </w:rPr>
        <w:t xml:space="preserve"> </w:t>
      </w:r>
      <w:r>
        <w:rPr>
          <w:rFonts w:ascii="Times New Roman" w:hAnsi="Times New Roman" w:eastAsia="宋体" w:cs="Times New Roman"/>
          <w:color w:val="auto"/>
          <w:highlight w:val="none"/>
        </w:rPr>
        <w:t>必须做好预控工作，若委托人在施工过程中发现“四控制”出现问题并发出有关“四控制”整改通知的，委托人将按每份整改通知扣减监理费</w:t>
      </w:r>
      <w:r>
        <w:rPr>
          <w:rFonts w:ascii="Times New Roman" w:hAnsi="Times New Roman" w:eastAsia="宋体" w:cs="Times New Roman"/>
          <w:color w:val="auto"/>
          <w:spacing w:val="-53"/>
          <w:highlight w:val="none"/>
        </w:rPr>
        <w:t xml:space="preserve"> </w:t>
      </w:r>
      <w:r>
        <w:rPr>
          <w:rFonts w:ascii="宋体" w:hAnsi="宋体" w:eastAsia="宋体" w:cs="宋体"/>
          <w:color w:val="auto"/>
          <w:highlight w:val="none"/>
        </w:rPr>
        <w:t>2000</w:t>
      </w:r>
      <w:r>
        <w:rPr>
          <w:rFonts w:ascii="宋体" w:hAnsi="宋体" w:eastAsia="宋体" w:cs="宋体"/>
          <w:color w:val="auto"/>
          <w:spacing w:val="-55"/>
          <w:highlight w:val="none"/>
        </w:rPr>
        <w:t xml:space="preserve"> </w:t>
      </w:r>
      <w:r>
        <w:rPr>
          <w:rFonts w:ascii="Times New Roman" w:hAnsi="Times New Roman" w:eastAsia="宋体" w:cs="Times New Roman"/>
          <w:color w:val="auto"/>
          <w:spacing w:val="-3"/>
          <w:highlight w:val="none"/>
        </w:rPr>
        <w:t>元。</w:t>
      </w:r>
    </w:p>
    <w:p>
      <w:pPr>
        <w:keepNext w:val="0"/>
        <w:keepLines w:val="0"/>
        <w:widowControl w:val="0"/>
        <w:kinsoku/>
        <w:wordWrap/>
        <w:overflowPunct/>
        <w:topLinePunct w:val="0"/>
        <w:bidi w:val="0"/>
        <w:adjustRightInd w:val="0"/>
        <w:snapToGrid w:val="0"/>
        <w:spacing w:before="156" w:beforeLines="50" w:after="156" w:afterLines="50" w:line="360" w:lineRule="auto"/>
        <w:ind w:firstLine="210" w:firstLineChars="100"/>
        <w:textAlignment w:val="auto"/>
        <w:rPr>
          <w:rFonts w:ascii="Times New Roman" w:hAnsi="Times New Roman" w:eastAsia="宋体" w:cs="Times New Roman"/>
          <w:color w:val="auto"/>
          <w:highlight w:val="none"/>
        </w:rPr>
      </w:pPr>
      <w:r>
        <w:rPr>
          <w:rFonts w:ascii="宋体" w:hAnsi="宋体" w:eastAsia="宋体" w:cs="宋体"/>
          <w:color w:val="auto"/>
          <w:highlight w:val="none"/>
        </w:rPr>
        <w:t>3.</w:t>
      </w:r>
      <w:r>
        <w:rPr>
          <w:rFonts w:ascii="宋体" w:hAnsi="宋体" w:eastAsia="宋体" w:cs="宋体"/>
          <w:color w:val="auto"/>
          <w:spacing w:val="-3"/>
          <w:highlight w:val="none"/>
        </w:rPr>
        <w:t xml:space="preserve"> </w:t>
      </w:r>
      <w:r>
        <w:rPr>
          <w:rFonts w:ascii="Times New Roman" w:hAnsi="Times New Roman" w:eastAsia="宋体" w:cs="Times New Roman"/>
          <w:color w:val="auto"/>
          <w:highlight w:val="none"/>
        </w:rPr>
        <w:t>监理人对委托人提出的有关“四控制”和合同管理问题，须在</w:t>
      </w:r>
      <w:r>
        <w:rPr>
          <w:rFonts w:ascii="宋体" w:hAnsi="宋体" w:eastAsia="宋体" w:cs="宋体"/>
          <w:color w:val="auto"/>
          <w:highlight w:val="none"/>
        </w:rPr>
        <w:t>7</w:t>
      </w:r>
      <w:r>
        <w:rPr>
          <w:rFonts w:ascii="Times New Roman" w:hAnsi="Times New Roman" w:eastAsia="宋体" w:cs="Times New Roman"/>
          <w:color w:val="auto"/>
          <w:highlight w:val="none"/>
        </w:rPr>
        <w:t>天内书面回复实质性意见，不可以施工单位未提交相关资料</w:t>
      </w:r>
      <w:r>
        <w:rPr>
          <w:rFonts w:hint="eastAsia" w:ascii="Times New Roman" w:hAnsi="Times New Roman" w:eastAsia="宋体" w:cs="Times New Roman"/>
          <w:color w:val="auto"/>
          <w:highlight w:val="none"/>
        </w:rPr>
        <w:t>或其他原因</w:t>
      </w:r>
      <w:r>
        <w:rPr>
          <w:rFonts w:ascii="Times New Roman" w:hAnsi="Times New Roman" w:eastAsia="宋体" w:cs="Times New Roman"/>
          <w:color w:val="auto"/>
          <w:highlight w:val="none"/>
        </w:rPr>
        <w:t>为由</w:t>
      </w:r>
      <w:r>
        <w:rPr>
          <w:rFonts w:hint="eastAsia" w:ascii="Times New Roman" w:hAnsi="Times New Roman" w:eastAsia="宋体" w:cs="Times New Roman"/>
          <w:color w:val="auto"/>
          <w:highlight w:val="none"/>
        </w:rPr>
        <w:t>而延误</w:t>
      </w:r>
      <w:r>
        <w:rPr>
          <w:rFonts w:ascii="Times New Roman" w:hAnsi="Times New Roman" w:eastAsia="宋体" w:cs="Times New Roman"/>
          <w:color w:val="auto"/>
          <w:highlight w:val="none"/>
        </w:rPr>
        <w:t>，延误一天将扣减监理费</w:t>
      </w:r>
      <w:r>
        <w:rPr>
          <w:rFonts w:ascii="Times New Roman" w:hAnsi="Times New Roman" w:eastAsia="宋体" w:cs="Times New Roman"/>
          <w:color w:val="auto"/>
          <w:spacing w:val="-53"/>
          <w:highlight w:val="none"/>
        </w:rPr>
        <w:t xml:space="preserve"> </w:t>
      </w:r>
      <w:r>
        <w:rPr>
          <w:rFonts w:ascii="宋体" w:hAnsi="宋体" w:eastAsia="宋体" w:cs="宋体"/>
          <w:color w:val="auto"/>
          <w:highlight w:val="none"/>
        </w:rPr>
        <w:t>2000</w:t>
      </w:r>
      <w:r>
        <w:rPr>
          <w:rFonts w:ascii="宋体" w:hAnsi="宋体" w:eastAsia="宋体" w:cs="宋体"/>
          <w:color w:val="auto"/>
          <w:spacing w:val="-55"/>
          <w:highlight w:val="none"/>
        </w:rPr>
        <w:t xml:space="preserve"> </w:t>
      </w:r>
      <w:r>
        <w:rPr>
          <w:rFonts w:ascii="Times New Roman" w:hAnsi="Times New Roman" w:eastAsia="宋体" w:cs="Times New Roman"/>
          <w:color w:val="auto"/>
          <w:highlight w:val="none"/>
        </w:rPr>
        <w:t>元。</w:t>
      </w:r>
    </w:p>
    <w:p>
      <w:pPr>
        <w:keepNext w:val="0"/>
        <w:keepLines w:val="0"/>
        <w:widowControl w:val="0"/>
        <w:kinsoku/>
        <w:wordWrap/>
        <w:overflowPunct/>
        <w:topLinePunct w:val="0"/>
        <w:bidi w:val="0"/>
        <w:adjustRightInd w:val="0"/>
        <w:snapToGrid w:val="0"/>
        <w:spacing w:before="156" w:beforeLines="50" w:after="156" w:afterLines="50" w:line="360" w:lineRule="auto"/>
        <w:ind w:firstLine="210" w:firstLineChars="100"/>
        <w:textAlignment w:val="auto"/>
        <w:rPr>
          <w:rFonts w:ascii="Times New Roman" w:hAnsi="Times New Roman" w:eastAsia="宋体" w:cs="Times New Roman"/>
          <w:color w:val="auto"/>
          <w:spacing w:val="-3"/>
          <w:highlight w:val="none"/>
        </w:rPr>
      </w:pPr>
      <w:r>
        <w:rPr>
          <w:rFonts w:ascii="宋体" w:hAnsi="宋体" w:eastAsia="宋体" w:cs="宋体"/>
          <w:color w:val="auto"/>
          <w:highlight w:val="none"/>
        </w:rPr>
        <w:t>4.</w:t>
      </w:r>
      <w:r>
        <w:rPr>
          <w:rFonts w:ascii="宋体" w:hAnsi="宋体" w:eastAsia="宋体" w:cs="宋体"/>
          <w:color w:val="auto"/>
          <w:spacing w:val="4"/>
          <w:highlight w:val="none"/>
        </w:rPr>
        <w:t xml:space="preserve"> </w:t>
      </w:r>
      <w:r>
        <w:rPr>
          <w:rFonts w:ascii="Times New Roman" w:hAnsi="Times New Roman" w:eastAsia="宋体" w:cs="Times New Roman"/>
          <w:color w:val="auto"/>
          <w:highlight w:val="none"/>
        </w:rPr>
        <w:t>监理人在工程施工过程中必须做好各项“预控”工作并进行动态控制，若在施工过程中因没有做好“预控”而出现问题的，每次扣减监理费</w:t>
      </w:r>
      <w:r>
        <w:rPr>
          <w:rFonts w:ascii="Times New Roman" w:hAnsi="Times New Roman" w:eastAsia="宋体" w:cs="Times New Roman"/>
          <w:color w:val="auto"/>
          <w:spacing w:val="-54"/>
          <w:highlight w:val="none"/>
        </w:rPr>
        <w:t xml:space="preserve"> </w:t>
      </w:r>
      <w:r>
        <w:rPr>
          <w:rFonts w:ascii="宋体" w:hAnsi="宋体" w:eastAsia="宋体" w:cs="宋体"/>
          <w:color w:val="auto"/>
          <w:highlight w:val="none"/>
        </w:rPr>
        <w:t>2000</w:t>
      </w:r>
      <w:r>
        <w:rPr>
          <w:rFonts w:ascii="宋体" w:hAnsi="宋体" w:eastAsia="宋体" w:cs="宋体"/>
          <w:color w:val="auto"/>
          <w:spacing w:val="-53"/>
          <w:highlight w:val="none"/>
        </w:rPr>
        <w:t xml:space="preserve"> </w:t>
      </w:r>
      <w:r>
        <w:rPr>
          <w:rFonts w:ascii="Times New Roman" w:hAnsi="Times New Roman" w:eastAsia="宋体" w:cs="Times New Roman"/>
          <w:color w:val="auto"/>
          <w:spacing w:val="-3"/>
          <w:highlight w:val="none"/>
        </w:rPr>
        <w:t>元。</w:t>
      </w:r>
    </w:p>
    <w:p>
      <w:pPr>
        <w:keepNext w:val="0"/>
        <w:keepLines w:val="0"/>
        <w:widowControl w:val="0"/>
        <w:kinsoku/>
        <w:wordWrap/>
        <w:overflowPunct/>
        <w:topLinePunct w:val="0"/>
        <w:bidi w:val="0"/>
        <w:adjustRightInd w:val="0"/>
        <w:snapToGrid w:val="0"/>
        <w:spacing w:before="156" w:beforeLines="50" w:after="156" w:afterLines="50" w:line="360" w:lineRule="auto"/>
        <w:ind w:firstLine="210" w:firstLineChars="100"/>
        <w:textAlignment w:val="auto"/>
        <w:rPr>
          <w:rFonts w:ascii="Times New Roman" w:hAnsi="Times New Roman" w:eastAsia="宋体" w:cs="Times New Roman"/>
          <w:color w:val="auto"/>
          <w:highlight w:val="none"/>
        </w:rPr>
      </w:pPr>
      <w:r>
        <w:rPr>
          <w:rFonts w:ascii="宋体" w:hAnsi="宋体" w:eastAsia="宋体" w:cs="宋体"/>
          <w:color w:val="auto"/>
          <w:highlight w:val="none"/>
        </w:rPr>
        <w:t>5.</w:t>
      </w:r>
      <w:r>
        <w:rPr>
          <w:rFonts w:ascii="宋体" w:hAnsi="宋体" w:eastAsia="宋体" w:cs="宋体"/>
          <w:color w:val="auto"/>
          <w:spacing w:val="4"/>
          <w:highlight w:val="none"/>
        </w:rPr>
        <w:t xml:space="preserve"> </w:t>
      </w:r>
      <w:r>
        <w:rPr>
          <w:rFonts w:ascii="Times New Roman" w:hAnsi="Times New Roman" w:eastAsia="宋体" w:cs="Times New Roman"/>
          <w:color w:val="auto"/>
          <w:highlight w:val="none"/>
        </w:rPr>
        <w:t>对施工过程中项目周围的环境污染及文明施工进行监督管理，若监理人未能及时处理而造成委托人</w:t>
      </w:r>
      <w:r>
        <w:rPr>
          <w:rFonts w:ascii="Times New Roman" w:hAnsi="Times New Roman" w:eastAsia="宋体" w:cs="Times New Roman"/>
          <w:color w:val="auto"/>
          <w:spacing w:val="-4"/>
          <w:highlight w:val="none"/>
        </w:rPr>
        <w:t>自行发出整改通知的（含口头通知），委托人将按每份整改通知扣减监理费</w:t>
      </w:r>
      <w:r>
        <w:rPr>
          <w:rFonts w:ascii="宋体" w:hAnsi="宋体" w:eastAsia="宋体" w:cs="宋体"/>
          <w:color w:val="auto"/>
          <w:highlight w:val="none"/>
        </w:rPr>
        <w:t>500</w:t>
      </w:r>
      <w:r>
        <w:rPr>
          <w:rFonts w:ascii="Times New Roman" w:hAnsi="Times New Roman" w:eastAsia="宋体" w:cs="Times New Roman"/>
          <w:color w:val="auto"/>
          <w:spacing w:val="-4"/>
          <w:highlight w:val="none"/>
        </w:rPr>
        <w:t>元。如属监理人发出通</w:t>
      </w:r>
      <w:r>
        <w:rPr>
          <w:rFonts w:ascii="Times New Roman" w:hAnsi="Times New Roman" w:eastAsia="宋体" w:cs="Times New Roman"/>
          <w:color w:val="auto"/>
          <w:highlight w:val="none"/>
        </w:rPr>
        <w:t>知，施工单位不及时进行整改的，由委托人给予施工单位扣款。</w:t>
      </w:r>
    </w:p>
    <w:p>
      <w:pPr>
        <w:keepNext w:val="0"/>
        <w:keepLines w:val="0"/>
        <w:widowControl w:val="0"/>
        <w:kinsoku/>
        <w:wordWrap/>
        <w:overflowPunct/>
        <w:topLinePunct w:val="0"/>
        <w:bidi w:val="0"/>
        <w:adjustRightInd w:val="0"/>
        <w:snapToGrid w:val="0"/>
        <w:spacing w:before="156" w:beforeLines="50" w:after="156" w:afterLines="50" w:line="360" w:lineRule="auto"/>
        <w:ind w:firstLine="210" w:firstLineChars="100"/>
        <w:textAlignment w:val="auto"/>
        <w:rPr>
          <w:rFonts w:ascii="Times New Roman" w:hAnsi="Times New Roman" w:eastAsia="宋体" w:cs="Times New Roman"/>
          <w:color w:val="auto"/>
          <w:highlight w:val="none"/>
        </w:rPr>
      </w:pPr>
      <w:r>
        <w:rPr>
          <w:rFonts w:ascii="宋体" w:hAnsi="宋体" w:eastAsia="宋体" w:cs="宋体"/>
          <w:color w:val="auto"/>
          <w:highlight w:val="none"/>
        </w:rPr>
        <w:t>7.</w:t>
      </w:r>
      <w:r>
        <w:rPr>
          <w:rFonts w:ascii="宋体" w:hAnsi="宋体" w:eastAsia="宋体" w:cs="宋体"/>
          <w:color w:val="auto"/>
          <w:spacing w:val="4"/>
          <w:highlight w:val="none"/>
        </w:rPr>
        <w:t xml:space="preserve"> </w:t>
      </w:r>
      <w:r>
        <w:rPr>
          <w:rFonts w:ascii="Times New Roman" w:hAnsi="Times New Roman" w:eastAsia="宋体" w:cs="Times New Roman"/>
          <w:color w:val="auto"/>
          <w:highlight w:val="none"/>
        </w:rPr>
        <w:t>必须监督施工单位做好安全生产、文明施工工作，工程的安全文明施工应达到《建筑施工安全检查</w:t>
      </w:r>
      <w:r>
        <w:rPr>
          <w:rFonts w:ascii="Times New Roman" w:hAnsi="Times New Roman" w:eastAsia="宋体" w:cs="Times New Roman"/>
          <w:color w:val="auto"/>
          <w:spacing w:val="-3"/>
          <w:highlight w:val="none"/>
        </w:rPr>
        <w:t>标准》（</w:t>
      </w:r>
      <w:r>
        <w:rPr>
          <w:rFonts w:ascii="宋体" w:hAnsi="宋体" w:eastAsia="宋体" w:cs="宋体"/>
          <w:color w:val="auto"/>
          <w:spacing w:val="-3"/>
          <w:highlight w:val="none"/>
        </w:rPr>
        <w:t>JGJ59-2011</w:t>
      </w:r>
      <w:r>
        <w:rPr>
          <w:rFonts w:ascii="Times New Roman" w:hAnsi="Times New Roman" w:eastAsia="宋体" w:cs="Times New Roman"/>
          <w:color w:val="auto"/>
          <w:spacing w:val="-3"/>
          <w:highlight w:val="none"/>
        </w:rPr>
        <w:t>）及其它现行的安全标准和安全生产目标，</w:t>
      </w:r>
      <w:r>
        <w:rPr>
          <w:rFonts w:hint="eastAsia" w:ascii="Times New Roman" w:hAnsi="Times New Roman" w:eastAsia="宋体" w:cs="Times New Roman"/>
          <w:color w:val="auto"/>
          <w:spacing w:val="-3"/>
          <w:highlight w:val="none"/>
        </w:rPr>
        <w:t>符合当地相关主管部门的管理要求，</w:t>
      </w:r>
      <w:r>
        <w:rPr>
          <w:rFonts w:ascii="Times New Roman" w:hAnsi="Times New Roman" w:eastAsia="宋体" w:cs="Times New Roman"/>
          <w:color w:val="auto"/>
          <w:spacing w:val="-3"/>
          <w:highlight w:val="none"/>
        </w:rPr>
        <w:t>没有落实监督措施每次扣减监理费</w:t>
      </w:r>
      <w:r>
        <w:rPr>
          <w:rFonts w:ascii="宋体" w:hAnsi="宋体" w:eastAsia="宋体" w:cs="宋体"/>
          <w:color w:val="auto"/>
          <w:spacing w:val="-3"/>
          <w:highlight w:val="none"/>
        </w:rPr>
        <w:t>500</w:t>
      </w:r>
      <w:r>
        <w:rPr>
          <w:rFonts w:ascii="Times New Roman" w:hAnsi="Times New Roman" w:eastAsia="宋体" w:cs="Times New Roman"/>
          <w:color w:val="auto"/>
          <w:highlight w:val="none"/>
        </w:rPr>
        <w:t>元。</w:t>
      </w:r>
    </w:p>
    <w:p>
      <w:pPr>
        <w:keepNext w:val="0"/>
        <w:keepLines w:val="0"/>
        <w:widowControl w:val="0"/>
        <w:kinsoku/>
        <w:wordWrap/>
        <w:overflowPunct/>
        <w:topLinePunct w:val="0"/>
        <w:bidi w:val="0"/>
        <w:adjustRightInd w:val="0"/>
        <w:snapToGrid w:val="0"/>
        <w:spacing w:before="156" w:beforeLines="50" w:after="156" w:afterLines="50" w:line="360" w:lineRule="auto"/>
        <w:ind w:firstLine="210" w:firstLineChars="100"/>
        <w:textAlignment w:val="auto"/>
        <w:rPr>
          <w:rFonts w:ascii="Times New Roman" w:hAnsi="Times New Roman" w:eastAsia="宋体" w:cs="Times New Roman"/>
          <w:color w:val="auto"/>
          <w:spacing w:val="-3"/>
          <w:highlight w:val="none"/>
        </w:rPr>
      </w:pPr>
      <w:r>
        <w:rPr>
          <w:rFonts w:ascii="宋体" w:hAnsi="宋体" w:eastAsia="宋体" w:cs="宋体"/>
          <w:color w:val="auto"/>
          <w:highlight w:val="none"/>
        </w:rPr>
        <w:t>8.</w:t>
      </w:r>
      <w:r>
        <w:rPr>
          <w:rFonts w:ascii="宋体" w:hAnsi="宋体" w:eastAsia="宋体" w:cs="宋体"/>
          <w:color w:val="auto"/>
          <w:spacing w:val="4"/>
          <w:highlight w:val="none"/>
        </w:rPr>
        <w:t xml:space="preserve"> </w:t>
      </w:r>
      <w:r>
        <w:rPr>
          <w:rFonts w:ascii="Times New Roman" w:hAnsi="Times New Roman" w:eastAsia="宋体" w:cs="Times New Roman"/>
          <w:color w:val="auto"/>
          <w:highlight w:val="none"/>
        </w:rPr>
        <w:t>必须监督施工单位的项目经理、各类专业人员的配备和到位率，没有落实监督措施每次扣减监理费</w:t>
      </w:r>
      <w:r>
        <w:rPr>
          <w:rFonts w:ascii="宋体" w:hAnsi="宋体" w:eastAsia="宋体" w:cs="宋体"/>
          <w:color w:val="auto"/>
          <w:highlight w:val="none"/>
        </w:rPr>
        <w:t>500</w:t>
      </w:r>
      <w:r>
        <w:rPr>
          <w:rFonts w:ascii="宋体" w:hAnsi="宋体" w:eastAsia="宋体" w:cs="宋体"/>
          <w:color w:val="auto"/>
          <w:spacing w:val="-49"/>
          <w:highlight w:val="none"/>
        </w:rPr>
        <w:t xml:space="preserve"> </w:t>
      </w:r>
      <w:r>
        <w:rPr>
          <w:rFonts w:ascii="Times New Roman" w:hAnsi="Times New Roman" w:eastAsia="宋体" w:cs="Times New Roman"/>
          <w:color w:val="auto"/>
          <w:spacing w:val="-3"/>
          <w:highlight w:val="none"/>
        </w:rPr>
        <w:t>元。</w:t>
      </w:r>
    </w:p>
    <w:p>
      <w:pPr>
        <w:keepNext w:val="0"/>
        <w:keepLines w:val="0"/>
        <w:widowControl w:val="0"/>
        <w:kinsoku/>
        <w:wordWrap/>
        <w:overflowPunct/>
        <w:topLinePunct w:val="0"/>
        <w:bidi w:val="0"/>
        <w:adjustRightInd w:val="0"/>
        <w:snapToGrid w:val="0"/>
        <w:spacing w:before="156" w:beforeLines="50" w:after="156" w:afterLines="50" w:line="360" w:lineRule="auto"/>
        <w:ind w:firstLine="204" w:firstLineChars="100"/>
        <w:textAlignment w:val="auto"/>
        <w:rPr>
          <w:rFonts w:hint="eastAsia"/>
          <w:color w:val="auto"/>
          <w:spacing w:val="-3"/>
          <w:highlight w:val="none"/>
        </w:rPr>
      </w:pPr>
      <w:r>
        <w:rPr>
          <w:rFonts w:hint="eastAsia"/>
          <w:color w:val="auto"/>
          <w:spacing w:val="-3"/>
          <w:highlight w:val="none"/>
        </w:rPr>
        <w:t>（1）因监理人的原因工程施工质量、施工现场安全文明未达到施工合同要求或施工过程中由于监理力度不够造成施工现场发生质量事故、安全事故；</w:t>
      </w:r>
    </w:p>
    <w:p>
      <w:pPr>
        <w:keepNext w:val="0"/>
        <w:keepLines w:val="0"/>
        <w:widowControl w:val="0"/>
        <w:kinsoku/>
        <w:wordWrap/>
        <w:overflowPunct/>
        <w:topLinePunct w:val="0"/>
        <w:bidi w:val="0"/>
        <w:adjustRightInd w:val="0"/>
        <w:snapToGrid w:val="0"/>
        <w:spacing w:before="156" w:beforeLines="50" w:after="156" w:afterLines="50" w:line="360" w:lineRule="auto"/>
        <w:ind w:firstLine="204" w:firstLineChars="100"/>
        <w:textAlignment w:val="auto"/>
        <w:rPr>
          <w:rFonts w:hint="eastAsia"/>
          <w:color w:val="auto"/>
          <w:spacing w:val="-3"/>
          <w:highlight w:val="none"/>
        </w:rPr>
      </w:pPr>
      <w:r>
        <w:rPr>
          <w:rFonts w:hint="eastAsia"/>
          <w:color w:val="auto"/>
          <w:spacing w:val="-3"/>
          <w:highlight w:val="none"/>
        </w:rPr>
        <w:t>（2）施工过程中监理人发现质量、安全问题隐瞒不报或擅自处理的；</w:t>
      </w:r>
    </w:p>
    <w:p>
      <w:pPr>
        <w:keepNext w:val="0"/>
        <w:keepLines w:val="0"/>
        <w:widowControl w:val="0"/>
        <w:kinsoku/>
        <w:wordWrap/>
        <w:overflowPunct/>
        <w:topLinePunct w:val="0"/>
        <w:bidi w:val="0"/>
        <w:adjustRightInd w:val="0"/>
        <w:snapToGrid w:val="0"/>
        <w:spacing w:before="156" w:beforeLines="50" w:after="156" w:afterLines="50" w:line="360" w:lineRule="auto"/>
        <w:ind w:firstLine="204" w:firstLineChars="100"/>
        <w:textAlignment w:val="auto"/>
        <w:rPr>
          <w:rFonts w:hint="eastAsia"/>
          <w:color w:val="auto"/>
          <w:spacing w:val="-3"/>
          <w:highlight w:val="none"/>
        </w:rPr>
      </w:pPr>
      <w:r>
        <w:rPr>
          <w:rFonts w:hint="eastAsia"/>
          <w:color w:val="auto"/>
          <w:spacing w:val="-3"/>
          <w:highlight w:val="none"/>
        </w:rPr>
        <w:t>（3）委托人发现监理人对隐蔽验收工程有不符合事实的签字的；</w:t>
      </w:r>
    </w:p>
    <w:p>
      <w:pPr>
        <w:keepNext w:val="0"/>
        <w:keepLines w:val="0"/>
        <w:widowControl w:val="0"/>
        <w:kinsoku/>
        <w:wordWrap/>
        <w:overflowPunct/>
        <w:topLinePunct w:val="0"/>
        <w:bidi w:val="0"/>
        <w:adjustRightInd w:val="0"/>
        <w:snapToGrid w:val="0"/>
        <w:spacing w:before="156" w:beforeLines="50" w:after="156" w:afterLines="50" w:line="360" w:lineRule="auto"/>
        <w:ind w:firstLine="204" w:firstLineChars="100"/>
        <w:textAlignment w:val="auto"/>
        <w:rPr>
          <w:rFonts w:hint="eastAsia"/>
          <w:color w:val="auto"/>
          <w:spacing w:val="-3"/>
          <w:highlight w:val="none"/>
        </w:rPr>
      </w:pPr>
      <w:r>
        <w:rPr>
          <w:rFonts w:hint="eastAsia"/>
          <w:color w:val="auto"/>
          <w:spacing w:val="-3"/>
          <w:highlight w:val="none"/>
        </w:rPr>
        <w:t>（4）委托人发现监理人对现场签证进行越权签证和于承包人串通签证的；</w:t>
      </w:r>
    </w:p>
    <w:p>
      <w:pPr>
        <w:keepNext w:val="0"/>
        <w:keepLines w:val="0"/>
        <w:widowControl w:val="0"/>
        <w:kinsoku/>
        <w:wordWrap/>
        <w:overflowPunct/>
        <w:topLinePunct w:val="0"/>
        <w:bidi w:val="0"/>
        <w:adjustRightInd w:val="0"/>
        <w:snapToGrid w:val="0"/>
        <w:spacing w:before="156" w:beforeLines="50" w:after="156" w:afterLines="50" w:line="360" w:lineRule="auto"/>
        <w:ind w:firstLine="204" w:firstLineChars="100"/>
        <w:textAlignment w:val="auto"/>
        <w:rPr>
          <w:rFonts w:hint="eastAsia"/>
          <w:color w:val="auto"/>
          <w:spacing w:val="-3"/>
          <w:highlight w:val="none"/>
        </w:rPr>
      </w:pPr>
      <w:r>
        <w:rPr>
          <w:rFonts w:hint="eastAsia"/>
          <w:color w:val="auto"/>
          <w:spacing w:val="-3"/>
          <w:highlight w:val="none"/>
        </w:rPr>
        <w:t>（5）监理人将本合同项下的权利义务转包给第三人，或未经发包人的书面同意进行分包的；</w:t>
      </w:r>
    </w:p>
    <w:p>
      <w:pPr>
        <w:keepNext w:val="0"/>
        <w:keepLines w:val="0"/>
        <w:widowControl w:val="0"/>
        <w:kinsoku/>
        <w:wordWrap/>
        <w:overflowPunct/>
        <w:topLinePunct w:val="0"/>
        <w:bidi w:val="0"/>
        <w:adjustRightInd w:val="0"/>
        <w:snapToGrid w:val="0"/>
        <w:spacing w:before="156" w:beforeLines="50" w:after="156" w:afterLines="50" w:line="360" w:lineRule="auto"/>
        <w:ind w:firstLine="204" w:firstLineChars="100"/>
        <w:textAlignment w:val="auto"/>
        <w:rPr>
          <w:rFonts w:ascii="Times New Roman" w:hAnsi="Times New Roman" w:eastAsia="宋体" w:cs="Times New Roman"/>
          <w:color w:val="auto"/>
          <w:spacing w:val="-4"/>
          <w:highlight w:val="none"/>
        </w:rPr>
      </w:pPr>
      <w:r>
        <w:rPr>
          <w:rFonts w:hint="eastAsia"/>
          <w:color w:val="auto"/>
          <w:spacing w:val="-3"/>
          <w:highlight w:val="none"/>
        </w:rPr>
        <w:t>（</w:t>
      </w:r>
      <w:r>
        <w:rPr>
          <w:rFonts w:hint="eastAsia"/>
          <w:color w:val="auto"/>
          <w:spacing w:val="-3"/>
          <w:highlight w:val="none"/>
          <w:lang w:eastAsia="zh-CN"/>
        </w:rPr>
        <w:t>6</w:t>
      </w:r>
      <w:r>
        <w:rPr>
          <w:rFonts w:hint="eastAsia"/>
          <w:color w:val="auto"/>
          <w:spacing w:val="-3"/>
          <w:highlight w:val="none"/>
        </w:rPr>
        <w:t>）监理人未按照相关法律法规、行业规程及本合同约定履行职责的其他情形。</w:t>
      </w:r>
    </w:p>
    <w:p>
      <w:pPr>
        <w:keepNext w:val="0"/>
        <w:keepLines w:val="0"/>
        <w:widowControl w:val="0"/>
        <w:kinsoku/>
        <w:wordWrap/>
        <w:overflowPunct/>
        <w:topLinePunct w:val="0"/>
        <w:bidi w:val="0"/>
        <w:adjustRightInd w:val="0"/>
        <w:snapToGrid w:val="0"/>
        <w:spacing w:before="156" w:beforeLines="50" w:after="156" w:afterLines="50" w:line="360" w:lineRule="auto"/>
        <w:ind w:firstLine="202" w:firstLineChars="100"/>
        <w:textAlignment w:val="auto"/>
        <w:rPr>
          <w:rFonts w:ascii="Times New Roman" w:hAnsi="Times New Roman" w:eastAsia="宋体" w:cs="Times New Roman"/>
          <w:color w:val="auto"/>
          <w:highlight w:val="none"/>
        </w:rPr>
      </w:pPr>
      <w:r>
        <w:rPr>
          <w:rFonts w:ascii="Times New Roman" w:hAnsi="Times New Roman" w:eastAsia="宋体" w:cs="Times New Roman"/>
          <w:color w:val="auto"/>
          <w:spacing w:val="-4"/>
          <w:highlight w:val="none"/>
        </w:rPr>
        <w:t>二、监理人必须对图纸进行严格审查，负责对图纸质量，设计内容进行把关，发现图纸问题要即时向委</w:t>
      </w:r>
      <w:r>
        <w:rPr>
          <w:rFonts w:ascii="Times New Roman" w:hAnsi="Times New Roman" w:eastAsia="宋体" w:cs="Times New Roman"/>
          <w:color w:val="auto"/>
          <w:highlight w:val="none"/>
        </w:rPr>
        <w:t>托人汇报。并且在工程开始招标前把所有施工图纸的审查意见报送委托人。</w:t>
      </w:r>
    </w:p>
    <w:p>
      <w:pPr>
        <w:keepNext w:val="0"/>
        <w:keepLines w:val="0"/>
        <w:widowControl w:val="0"/>
        <w:kinsoku/>
        <w:wordWrap/>
        <w:overflowPunct/>
        <w:topLinePunct w:val="0"/>
        <w:bidi w:val="0"/>
        <w:adjustRightInd w:val="0"/>
        <w:snapToGrid w:val="0"/>
        <w:spacing w:before="156" w:beforeLines="50" w:after="156" w:afterLines="50" w:line="360" w:lineRule="auto"/>
        <w:ind w:firstLine="210" w:firstLineChars="100"/>
        <w:textAlignment w:val="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三、监理人必须监督施工单位每月民工工资发放公示的工作，以免施工单位发生拖欠民工工资的情况。</w:t>
      </w:r>
      <w:r>
        <w:rPr>
          <w:rFonts w:hint="eastAsia" w:ascii="Times New Roman" w:hAnsi="Times New Roman" w:eastAsia="宋体" w:cs="Times New Roman"/>
          <w:color w:val="auto"/>
          <w:highlight w:val="none"/>
        </w:rPr>
        <w:t>监理人必须督促施工单位及时依法办理施工单位人员的劳动保护和保险。</w:t>
      </w:r>
    </w:p>
    <w:p>
      <w:pPr>
        <w:keepNext w:val="0"/>
        <w:keepLines w:val="0"/>
        <w:widowControl w:val="0"/>
        <w:kinsoku/>
        <w:wordWrap/>
        <w:overflowPunct/>
        <w:topLinePunct w:val="0"/>
        <w:bidi w:val="0"/>
        <w:adjustRightInd w:val="0"/>
        <w:snapToGrid w:val="0"/>
        <w:spacing w:before="156" w:beforeLines="50" w:after="156" w:afterLines="50" w:line="360" w:lineRule="auto"/>
        <w:ind w:firstLine="202" w:firstLineChars="100"/>
        <w:textAlignment w:val="auto"/>
        <w:rPr>
          <w:rFonts w:ascii="Times New Roman" w:hAnsi="Times New Roman" w:eastAsia="宋体" w:cs="Times New Roman"/>
          <w:color w:val="auto"/>
          <w:spacing w:val="-4"/>
          <w:highlight w:val="none"/>
        </w:rPr>
      </w:pPr>
      <w:r>
        <w:rPr>
          <w:rFonts w:ascii="Times New Roman" w:hAnsi="Times New Roman" w:eastAsia="宋体" w:cs="Times New Roman"/>
          <w:color w:val="auto"/>
          <w:spacing w:val="-4"/>
          <w:highlight w:val="none"/>
        </w:rPr>
        <w:t>四、监理人必须全程跟踪、督促、落实每项保修工作，不能以施工单位未响应</w:t>
      </w:r>
      <w:r>
        <w:rPr>
          <w:rFonts w:hint="eastAsia" w:ascii="Times New Roman" w:hAnsi="Times New Roman" w:eastAsia="宋体" w:cs="Times New Roman"/>
          <w:color w:val="auto"/>
          <w:spacing w:val="-4"/>
          <w:highlight w:val="none"/>
        </w:rPr>
        <w:t>或其他原因</w:t>
      </w:r>
      <w:r>
        <w:rPr>
          <w:rFonts w:ascii="Times New Roman" w:hAnsi="Times New Roman" w:eastAsia="宋体" w:cs="Times New Roman"/>
          <w:color w:val="auto"/>
          <w:spacing w:val="-4"/>
          <w:highlight w:val="none"/>
        </w:rPr>
        <w:t>为由拖延保修，延误一次</w:t>
      </w:r>
      <w:r>
        <w:rPr>
          <w:rFonts w:hint="eastAsia" w:ascii="Times New Roman" w:hAnsi="Times New Roman" w:eastAsia="宋体" w:cs="Times New Roman"/>
          <w:color w:val="auto"/>
          <w:spacing w:val="-4"/>
          <w:highlight w:val="none"/>
        </w:rPr>
        <w:t>将扣减监理费1000元。</w:t>
      </w:r>
    </w:p>
    <w:p>
      <w:pPr>
        <w:keepNext w:val="0"/>
        <w:keepLines w:val="0"/>
        <w:widowControl w:val="0"/>
        <w:kinsoku/>
        <w:wordWrap/>
        <w:overflowPunct/>
        <w:topLinePunct w:val="0"/>
        <w:bidi w:val="0"/>
        <w:adjustRightInd w:val="0"/>
        <w:snapToGrid w:val="0"/>
        <w:spacing w:before="156" w:beforeLines="50" w:after="156" w:afterLines="50" w:line="360" w:lineRule="auto"/>
        <w:ind w:firstLine="202" w:firstLineChars="100"/>
        <w:textAlignment w:val="auto"/>
        <w:rPr>
          <w:rFonts w:ascii="Times New Roman" w:hAnsi="Times New Roman" w:eastAsia="宋体" w:cs="Times New Roman"/>
          <w:color w:val="auto"/>
          <w:highlight w:val="none"/>
        </w:rPr>
      </w:pPr>
      <w:r>
        <w:rPr>
          <w:rFonts w:ascii="Times New Roman" w:hAnsi="Times New Roman" w:eastAsia="宋体" w:cs="Times New Roman"/>
          <w:color w:val="auto"/>
          <w:spacing w:val="-4"/>
          <w:highlight w:val="none"/>
        </w:rPr>
        <w:t>五、监理人必须严格按照其职责履行合同管理，积极督促施工单位按照相关合同履约，对上述工作应督促施工单位按规定按期完成，对施工单位不履约的行为应按照相关合同约定或有关法律法规的要求作出有效的处理。若监理人对上述工作不予有效作为或自身原因不作为，将视为违约行为，并按上述有关约</w:t>
      </w:r>
      <w:r>
        <w:rPr>
          <w:rFonts w:ascii="Times New Roman" w:hAnsi="Times New Roman" w:eastAsia="宋体" w:cs="Times New Roman"/>
          <w:color w:val="auto"/>
          <w:highlight w:val="none"/>
        </w:rPr>
        <w:t>定扣减监理费用。</w:t>
      </w:r>
    </w:p>
    <w:p>
      <w:pPr>
        <w:keepNext w:val="0"/>
        <w:keepLines w:val="0"/>
        <w:widowControl w:val="0"/>
        <w:kinsoku/>
        <w:wordWrap/>
        <w:overflowPunct/>
        <w:topLinePunct w:val="0"/>
        <w:bidi w:val="0"/>
        <w:adjustRightInd w:val="0"/>
        <w:snapToGrid w:val="0"/>
        <w:spacing w:before="156" w:beforeLines="50" w:after="156" w:afterLines="50" w:line="360" w:lineRule="auto"/>
        <w:ind w:firstLine="202" w:firstLineChars="100"/>
        <w:textAlignment w:val="auto"/>
        <w:rPr>
          <w:rFonts w:ascii="Times New Roman" w:hAnsi="Times New Roman" w:eastAsia="宋体" w:cs="Times New Roman"/>
          <w:color w:val="auto"/>
          <w:highlight w:val="none"/>
        </w:rPr>
      </w:pPr>
      <w:r>
        <w:rPr>
          <w:rFonts w:ascii="Times New Roman" w:hAnsi="Times New Roman" w:eastAsia="宋体" w:cs="Times New Roman"/>
          <w:color w:val="auto"/>
          <w:spacing w:val="-4"/>
          <w:highlight w:val="none"/>
        </w:rPr>
        <w:t>六、若委托人发现监理人存在以上所提及的违约行为，委托人可暂缓支付本月监理服务费，直至整改完</w:t>
      </w:r>
      <w:r>
        <w:rPr>
          <w:rFonts w:ascii="Times New Roman" w:hAnsi="Times New Roman" w:eastAsia="宋体" w:cs="Times New Roman"/>
          <w:color w:val="auto"/>
          <w:spacing w:val="-34"/>
          <w:highlight w:val="none"/>
        </w:rPr>
        <w:t xml:space="preserve"> </w:t>
      </w:r>
      <w:r>
        <w:rPr>
          <w:rFonts w:ascii="Times New Roman" w:hAnsi="Times New Roman" w:eastAsia="宋体" w:cs="Times New Roman"/>
          <w:color w:val="auto"/>
          <w:highlight w:val="none"/>
        </w:rPr>
        <w:t>善为止。</w:t>
      </w:r>
    </w:p>
    <w:p>
      <w:pPr>
        <w:keepNext w:val="0"/>
        <w:keepLines w:val="0"/>
        <w:widowControl w:val="0"/>
        <w:kinsoku/>
        <w:wordWrap/>
        <w:overflowPunct/>
        <w:topLinePunct w:val="0"/>
        <w:bidi w:val="0"/>
        <w:adjustRightInd w:val="0"/>
        <w:snapToGrid w:val="0"/>
        <w:spacing w:before="156" w:beforeLines="50" w:after="156" w:afterLines="50" w:line="360" w:lineRule="auto"/>
        <w:ind w:firstLine="210" w:firstLineChars="100"/>
        <w:textAlignment w:val="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七、监理人协助委托人开展以上工作，所需费用包括在本工程监理报价中。</w:t>
      </w:r>
    </w:p>
    <w:p>
      <w:pPr>
        <w:keepNext w:val="0"/>
        <w:keepLines w:val="0"/>
        <w:widowControl w:val="0"/>
        <w:kinsoku/>
        <w:wordWrap/>
        <w:overflowPunct/>
        <w:topLinePunct w:val="0"/>
        <w:bidi w:val="0"/>
        <w:adjustRightInd w:val="0"/>
        <w:snapToGrid w:val="0"/>
        <w:spacing w:before="156" w:beforeLines="50" w:after="156" w:afterLines="50" w:line="360" w:lineRule="auto"/>
        <w:ind w:firstLine="210" w:firstLineChars="100"/>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八</w:t>
      </w:r>
      <w:r>
        <w:rPr>
          <w:rFonts w:ascii="Times New Roman" w:hAnsi="Times New Roman" w:eastAsia="宋体" w:cs="Times New Roman"/>
          <w:color w:val="auto"/>
          <w:highlight w:val="none"/>
        </w:rPr>
        <w:t>、监理人有义务协助委托人完成就工程建设有关事宜进行的一切协调工作，工作报酬不作额外计算。</w:t>
      </w:r>
    </w:p>
    <w:p>
      <w:pPr>
        <w:keepNext w:val="0"/>
        <w:keepLines w:val="0"/>
        <w:widowControl w:val="0"/>
        <w:kinsoku/>
        <w:wordWrap/>
        <w:overflowPunct/>
        <w:topLinePunct w:val="0"/>
        <w:bidi w:val="0"/>
        <w:adjustRightInd w:val="0"/>
        <w:snapToGrid w:val="0"/>
        <w:spacing w:before="156" w:beforeLines="50" w:after="156" w:afterLines="50" w:line="360" w:lineRule="auto"/>
        <w:ind w:firstLine="210" w:firstLineChars="100"/>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九</w:t>
      </w:r>
      <w:r>
        <w:rPr>
          <w:rFonts w:ascii="Times New Roman" w:hAnsi="Times New Roman" w:eastAsia="宋体" w:cs="Times New Roman"/>
          <w:color w:val="auto"/>
          <w:highlight w:val="none"/>
        </w:rPr>
        <w:t>、监理工程师除需履行合同约定的有关职责外，还需按</w:t>
      </w:r>
      <w:r>
        <w:rPr>
          <w:rFonts w:hint="eastAsia" w:ascii="Times New Roman" w:hAnsi="Times New Roman" w:eastAsia="宋体" w:cs="Times New Roman"/>
          <w:color w:val="auto"/>
          <w:highlight w:val="none"/>
        </w:rPr>
        <w:t>委托人与承包人签订的</w:t>
      </w:r>
      <w:r>
        <w:rPr>
          <w:rFonts w:ascii="Times New Roman" w:hAnsi="Times New Roman" w:eastAsia="宋体" w:cs="Times New Roman"/>
          <w:color w:val="auto"/>
          <w:highlight w:val="none"/>
        </w:rPr>
        <w:t>《广东省建设工程标准施工合同》（</w:t>
      </w:r>
      <w:r>
        <w:rPr>
          <w:rFonts w:ascii="宋体" w:hAnsi="宋体" w:eastAsia="宋体" w:cs="宋体"/>
          <w:color w:val="auto"/>
          <w:highlight w:val="none"/>
        </w:rPr>
        <w:t>2009</w:t>
      </w:r>
      <w:r>
        <w:rPr>
          <w:rFonts w:ascii="Times New Roman" w:hAnsi="Times New Roman" w:eastAsia="宋体" w:cs="Times New Roman"/>
          <w:color w:val="auto"/>
          <w:highlight w:val="none"/>
        </w:rPr>
        <w:t>年版）中的第</w:t>
      </w:r>
      <w:r>
        <w:rPr>
          <w:rFonts w:ascii="Times New Roman" w:hAnsi="Times New Roman" w:eastAsia="宋体" w:cs="Times New Roman"/>
          <w:color w:val="auto"/>
          <w:spacing w:val="-55"/>
          <w:highlight w:val="none"/>
        </w:rPr>
        <w:t xml:space="preserve"> </w:t>
      </w:r>
      <w:r>
        <w:rPr>
          <w:rFonts w:ascii="宋体" w:hAnsi="宋体" w:eastAsia="宋体" w:cs="宋体"/>
          <w:color w:val="auto"/>
          <w:highlight w:val="none"/>
        </w:rPr>
        <w:t>23.3</w:t>
      </w:r>
      <w:r>
        <w:rPr>
          <w:rFonts w:ascii="宋体" w:hAnsi="宋体" w:eastAsia="宋体" w:cs="宋体"/>
          <w:color w:val="auto"/>
          <w:spacing w:val="-55"/>
          <w:highlight w:val="none"/>
        </w:rPr>
        <w:t xml:space="preserve"> </w:t>
      </w:r>
      <w:r>
        <w:rPr>
          <w:rFonts w:ascii="Times New Roman" w:hAnsi="Times New Roman" w:eastAsia="宋体" w:cs="Times New Roman"/>
          <w:color w:val="auto"/>
          <w:highlight w:val="none"/>
        </w:rPr>
        <w:t>条</w:t>
      </w:r>
      <w:r>
        <w:rPr>
          <w:rFonts w:hint="eastAsia" w:ascii="Times New Roman" w:hAnsi="Times New Roman" w:eastAsia="宋体" w:cs="Times New Roman"/>
          <w:color w:val="auto"/>
          <w:highlight w:val="none"/>
        </w:rPr>
        <w:t>和其他</w:t>
      </w:r>
      <w:r>
        <w:rPr>
          <w:rFonts w:ascii="Times New Roman" w:hAnsi="Times New Roman" w:eastAsia="宋体" w:cs="Times New Roman"/>
          <w:color w:val="auto"/>
          <w:highlight w:val="none"/>
        </w:rPr>
        <w:t>有关</w:t>
      </w:r>
      <w:r>
        <w:rPr>
          <w:rFonts w:hint="eastAsia" w:ascii="Times New Roman" w:hAnsi="Times New Roman" w:eastAsia="宋体" w:cs="Times New Roman"/>
          <w:color w:val="auto"/>
          <w:highlight w:val="none"/>
        </w:rPr>
        <w:t>监理人履行职责的条款</w:t>
      </w:r>
      <w:r>
        <w:rPr>
          <w:rFonts w:ascii="Times New Roman" w:hAnsi="Times New Roman" w:eastAsia="宋体" w:cs="Times New Roman"/>
          <w:color w:val="auto"/>
          <w:highlight w:val="none"/>
        </w:rPr>
        <w:t>约定执行。</w:t>
      </w:r>
    </w:p>
    <w:p>
      <w:pPr>
        <w:keepNext w:val="0"/>
        <w:keepLines w:val="0"/>
        <w:widowControl w:val="0"/>
        <w:kinsoku/>
        <w:wordWrap/>
        <w:overflowPunct/>
        <w:topLinePunct w:val="0"/>
        <w:bidi w:val="0"/>
        <w:adjustRightInd w:val="0"/>
        <w:snapToGrid w:val="0"/>
        <w:spacing w:before="156" w:beforeLines="50" w:after="156" w:afterLines="50" w:line="360" w:lineRule="auto"/>
        <w:ind w:firstLine="202" w:firstLineChars="100"/>
        <w:textAlignment w:val="auto"/>
        <w:rPr>
          <w:rFonts w:ascii="宋体" w:hAnsi="宋体" w:eastAsia="宋体" w:cs="宋体"/>
          <w:color w:val="auto"/>
          <w:sz w:val="11"/>
          <w:szCs w:val="11"/>
          <w:highlight w:val="none"/>
        </w:rPr>
      </w:pPr>
      <w:r>
        <w:rPr>
          <w:rFonts w:ascii="Times New Roman" w:hAnsi="Times New Roman" w:eastAsia="宋体" w:cs="Times New Roman"/>
          <w:color w:val="auto"/>
          <w:spacing w:val="-4"/>
          <w:highlight w:val="none"/>
        </w:rPr>
        <w:t>十、该项目若分期建设，监理范围已包含项目建设的全部监理内容，监理人不得以此为由要求委托人</w:t>
      </w:r>
      <w:r>
        <w:rPr>
          <w:rFonts w:ascii="Times New Roman" w:hAnsi="Times New Roman" w:eastAsia="宋体" w:cs="Times New Roman"/>
          <w:color w:val="auto"/>
          <w:highlight w:val="none"/>
        </w:rPr>
        <w:t>补偿监理费用。</w:t>
      </w:r>
    </w:p>
    <w:p>
      <w:pPr>
        <w:keepNext w:val="0"/>
        <w:keepLines w:val="0"/>
        <w:widowControl w:val="0"/>
        <w:kinsoku/>
        <w:wordWrap/>
        <w:overflowPunct/>
        <w:topLinePunct w:val="0"/>
        <w:bidi w:val="0"/>
        <w:adjustRightInd w:val="0"/>
        <w:snapToGrid w:val="0"/>
        <w:spacing w:before="156" w:beforeLines="50" w:after="156" w:afterLines="50" w:line="360" w:lineRule="auto"/>
        <w:ind w:firstLine="206" w:firstLineChars="100"/>
        <w:textAlignment w:val="auto"/>
        <w:rPr>
          <w:rFonts w:hint="eastAsia" w:ascii="Times New Roman" w:hAnsi="Times New Roman" w:eastAsia="宋体" w:cs="Times New Roman"/>
          <w:color w:val="auto"/>
          <w:highlight w:val="none"/>
        </w:rPr>
      </w:pPr>
      <w:r>
        <w:rPr>
          <w:rFonts w:ascii="Times New Roman" w:hAnsi="Times New Roman" w:eastAsia="宋体" w:cs="Times New Roman"/>
          <w:color w:val="auto"/>
          <w:spacing w:val="-2"/>
          <w:highlight w:val="none"/>
        </w:rPr>
        <w:t>十</w:t>
      </w:r>
      <w:r>
        <w:rPr>
          <w:rFonts w:hint="eastAsia" w:ascii="Times New Roman" w:hAnsi="Times New Roman" w:eastAsia="宋体" w:cs="Times New Roman"/>
          <w:color w:val="auto"/>
          <w:spacing w:val="-2"/>
          <w:highlight w:val="none"/>
        </w:rPr>
        <w:t>一</w:t>
      </w:r>
      <w:r>
        <w:rPr>
          <w:rFonts w:ascii="Times New Roman" w:hAnsi="Times New Roman" w:eastAsia="宋体" w:cs="Times New Roman"/>
          <w:color w:val="auto"/>
          <w:spacing w:val="-2"/>
          <w:highlight w:val="none"/>
        </w:rPr>
        <w:t>、本工程施工过程中发生的工程变更，按</w:t>
      </w:r>
      <w:r>
        <w:rPr>
          <w:rFonts w:hint="eastAsia" w:ascii="宋体" w:hAnsi="宋体" w:eastAsia="宋体" w:cs="Times New Roman"/>
          <w:color w:val="auto"/>
          <w:szCs w:val="21"/>
          <w:highlight w:val="none"/>
        </w:rPr>
        <w:t>《关于进一步加强政府投资建设项目工程变更管理实施意见》（新府办【2018】1号）</w:t>
      </w:r>
      <w:r>
        <w:rPr>
          <w:rFonts w:ascii="Times New Roman" w:hAnsi="Times New Roman" w:eastAsia="宋体" w:cs="Times New Roman"/>
          <w:color w:val="auto"/>
          <w:highlight w:val="none"/>
        </w:rPr>
        <w:t>执行。</w:t>
      </w:r>
    </w:p>
    <w:p>
      <w:pPr>
        <w:keepNext w:val="0"/>
        <w:keepLines w:val="0"/>
        <w:widowControl w:val="0"/>
        <w:kinsoku/>
        <w:wordWrap/>
        <w:overflowPunct/>
        <w:topLinePunct w:val="0"/>
        <w:bidi w:val="0"/>
        <w:adjustRightInd w:val="0"/>
        <w:snapToGrid w:val="0"/>
        <w:spacing w:before="156" w:beforeLines="50" w:after="156" w:afterLines="50" w:line="360" w:lineRule="auto"/>
        <w:ind w:firstLine="210" w:firstLineChars="100"/>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十二、重大质量问题、重大安全隐患或其他重大问题不能及时发现或处理的，委托人有权无条件</w:t>
      </w:r>
      <w:r>
        <w:rPr>
          <w:rFonts w:hint="eastAsia" w:cs="Times New Roman"/>
          <w:color w:val="auto"/>
          <w:highlight w:val="none"/>
          <w:lang w:val="en-US" w:eastAsia="zh-CN"/>
        </w:rPr>
        <w:t>解除</w:t>
      </w:r>
      <w:r>
        <w:rPr>
          <w:rFonts w:hint="eastAsia" w:ascii="Times New Roman" w:hAnsi="Times New Roman" w:eastAsia="宋体" w:cs="Times New Roman"/>
          <w:color w:val="auto"/>
          <w:highlight w:val="none"/>
        </w:rPr>
        <w:t>本合同，并要求监理人支付赔偿金。</w:t>
      </w:r>
    </w:p>
    <w:p>
      <w:pPr>
        <w:keepNext w:val="0"/>
        <w:keepLines w:val="0"/>
        <w:widowControl w:val="0"/>
        <w:kinsoku/>
        <w:wordWrap/>
        <w:overflowPunct/>
        <w:topLinePunct w:val="0"/>
        <w:bidi w:val="0"/>
        <w:adjustRightInd w:val="0"/>
        <w:snapToGrid w:val="0"/>
        <w:spacing w:before="156" w:beforeLines="50" w:after="156" w:afterLines="50" w:line="360" w:lineRule="auto"/>
        <w:ind w:firstLine="210" w:firstLineChars="100"/>
        <w:textAlignment w:val="auto"/>
        <w:rPr>
          <w:rFonts w:ascii="宋体" w:hAnsi="宋体" w:eastAsia="宋体" w:cs="宋体"/>
          <w:color w:val="auto"/>
          <w:sz w:val="11"/>
          <w:szCs w:val="11"/>
          <w:highlight w:val="none"/>
        </w:rPr>
      </w:pPr>
      <w:r>
        <w:rPr>
          <w:rFonts w:hint="eastAsia" w:ascii="Times New Roman" w:hAnsi="Times New Roman" w:eastAsia="宋体" w:cs="Times New Roman"/>
          <w:color w:val="auto"/>
          <w:highlight w:val="none"/>
        </w:rPr>
        <w:t>十三、监理人履行本合同义务的人员应当具有相应的资质和能力，监理人应当与其建立合法的劳动合同关系或劳务派遣关系，及时足额购买社会保险及法律法规规定必须购买的其他保险，及时足额发放工资，不得违法用工。监理人应当为该些人员提供劳动保护用品，并进行职业卫生安全培训，确保该些人员安全文明作业。该些人员在履行本合同过程中发生自身的或者引发他人的财产损失、人身伤亡等，均由监理人承担责任，委托人因此被第三方追责的，监理人应当赔偿委托人的损失。监理人有权向有责任的第三方追偿。</w:t>
      </w:r>
    </w:p>
    <w:p>
      <w:pPr>
        <w:keepNext w:val="0"/>
        <w:keepLines w:val="0"/>
        <w:widowControl w:val="0"/>
        <w:kinsoku/>
        <w:wordWrap/>
        <w:overflowPunct/>
        <w:topLinePunct w:val="0"/>
        <w:bidi w:val="0"/>
        <w:adjustRightInd w:val="0"/>
        <w:snapToGrid w:val="0"/>
        <w:spacing w:before="156" w:beforeLines="50" w:after="156" w:afterLines="50" w:line="360" w:lineRule="auto"/>
        <w:textAlignment w:val="auto"/>
        <w:rPr>
          <w:rFonts w:ascii="宋体" w:hAnsi="宋体" w:eastAsia="宋体" w:cs="Times New Roman"/>
          <w:b/>
          <w:bCs/>
          <w:color w:val="auto"/>
          <w:szCs w:val="21"/>
          <w:highlight w:val="none"/>
        </w:rPr>
      </w:pPr>
    </w:p>
    <w:p>
      <w:pPr>
        <w:keepNext w:val="0"/>
        <w:keepLines w:val="0"/>
        <w:widowControl w:val="0"/>
        <w:kinsoku/>
        <w:wordWrap/>
        <w:overflowPunct/>
        <w:topLinePunct w:val="0"/>
        <w:bidi w:val="0"/>
        <w:adjustRightInd w:val="0"/>
        <w:snapToGrid w:val="0"/>
        <w:spacing w:before="156" w:beforeLines="50" w:after="156" w:afterLines="50" w:line="360" w:lineRule="auto"/>
        <w:textAlignment w:val="auto"/>
        <w:outlineLvl w:val="1"/>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附录A  相关服务的范围和内容</w:t>
      </w:r>
    </w:p>
    <w:p>
      <w:pPr>
        <w:keepNext w:val="0"/>
        <w:keepLines w:val="0"/>
        <w:widowControl w:val="0"/>
        <w:kinsoku/>
        <w:wordWrap/>
        <w:overflowPunct/>
        <w:topLinePunct w:val="0"/>
        <w:bidi w:val="0"/>
        <w:snapToGrid w:val="0"/>
        <w:spacing w:before="156" w:beforeLines="50" w:after="156" w:afterLines="50" w:line="360" w:lineRule="auto"/>
        <w:ind w:firstLine="840" w:firstLineChars="400"/>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A-1 勘察阶段：审查勘察方案，校验现场基准点，对勘察全过程进行抽查，确保勘察人严格按照勘察方案内容、执行勘察相关规范、完成科学可靠高质量的勘察成果。</w:t>
      </w:r>
    </w:p>
    <w:p>
      <w:pPr>
        <w:keepNext w:val="0"/>
        <w:keepLines w:val="0"/>
        <w:widowControl w:val="0"/>
        <w:kinsoku/>
        <w:wordWrap/>
        <w:overflowPunct/>
        <w:topLinePunct w:val="0"/>
        <w:bidi w:val="0"/>
        <w:snapToGrid w:val="0"/>
        <w:spacing w:before="156" w:beforeLines="50" w:after="156" w:afterLines="50" w:line="360" w:lineRule="auto"/>
        <w:ind w:firstLine="840" w:firstLineChars="400"/>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A-2 设计阶段：参与方案设计、初步设计、施工图设计全过程审查，确保设计人严格按照设计任务书、执行设计相关规范、完成科学可靠高质量的设计成果。</w:t>
      </w:r>
    </w:p>
    <w:p>
      <w:pPr>
        <w:keepNext w:val="0"/>
        <w:keepLines w:val="0"/>
        <w:widowControl w:val="0"/>
        <w:kinsoku/>
        <w:wordWrap/>
        <w:overflowPunct/>
        <w:topLinePunct w:val="0"/>
        <w:bidi w:val="0"/>
        <w:snapToGrid w:val="0"/>
        <w:spacing w:before="156" w:beforeLines="50" w:after="156" w:afterLines="50" w:line="360" w:lineRule="auto"/>
        <w:ind w:firstLine="840" w:firstLineChars="400"/>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A-3 保修阶段：保修期内每月对项目主体进行巡查，发现质量问题及时向委托人报告，并函告给施工单位相关质量问题和缺陷修复建议，对保修期间产生的质量修复工程进行全过程监理，签发相关质量验收、质保期终止意见等资料，配合委托人做好一切保修期工作。</w:t>
      </w:r>
    </w:p>
    <w:p>
      <w:pPr>
        <w:keepNext w:val="0"/>
        <w:keepLines w:val="0"/>
        <w:widowControl w:val="0"/>
        <w:kinsoku/>
        <w:wordWrap/>
        <w:overflowPunct/>
        <w:topLinePunct w:val="0"/>
        <w:bidi w:val="0"/>
        <w:snapToGrid w:val="0"/>
        <w:spacing w:before="156" w:beforeLines="50" w:after="156" w:afterLines="50" w:line="360" w:lineRule="auto"/>
        <w:ind w:firstLine="840" w:firstLineChars="4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kern w:val="0"/>
          <w:szCs w:val="21"/>
          <w:highlight w:val="none"/>
        </w:rPr>
        <w:t xml:space="preserve">A-4 </w:t>
      </w:r>
      <w:r>
        <w:rPr>
          <w:rFonts w:hint="eastAsia" w:ascii="宋体" w:hAnsi="宋体" w:eastAsia="宋体" w:cs="Times New Roman"/>
          <w:color w:val="auto"/>
          <w:szCs w:val="21"/>
          <w:highlight w:val="none"/>
        </w:rPr>
        <w:t>其他（专业技术咨询、外部协调工作等）：协助委托人或受委托人委托做好工程范围内的搬迁和保护地下管线、架空管线，建设程序协调沟通，施工专项方案意见咨询等各方面工作。</w:t>
      </w:r>
    </w:p>
    <w:p>
      <w:pPr>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br w:type="page"/>
      </w:r>
    </w:p>
    <w:p>
      <w:pPr>
        <w:keepNext w:val="0"/>
        <w:keepLines w:val="0"/>
        <w:widowControl w:val="0"/>
        <w:kinsoku/>
        <w:wordWrap/>
        <w:overflowPunct/>
        <w:topLinePunct w:val="0"/>
        <w:bidi w:val="0"/>
        <w:snapToGrid w:val="0"/>
        <w:spacing w:before="156" w:beforeLines="50" w:after="156" w:afterLines="50" w:line="560" w:lineRule="exact"/>
        <w:jc w:val="both"/>
        <w:textAlignment w:val="auto"/>
        <w:outlineLvl w:val="1"/>
        <w:rPr>
          <w:rFonts w:hint="eastAsia" w:ascii="宋体" w:hAnsi="宋体" w:eastAsia="宋体" w:cs="Times New Roman"/>
          <w:color w:val="auto"/>
          <w:szCs w:val="21"/>
          <w:highlight w:val="none"/>
          <w:u w:val="single"/>
        </w:rPr>
      </w:pPr>
      <w:r>
        <w:rPr>
          <w:rFonts w:hint="eastAsia" w:ascii="宋体" w:hAnsi="宋体" w:eastAsia="宋体" w:cs="Times New Roman"/>
          <w:b/>
          <w:bCs/>
          <w:color w:val="auto"/>
          <w:szCs w:val="21"/>
          <w:highlight w:val="none"/>
        </w:rPr>
        <w:t>附录B  委托人派遣的人员和提供的房屋、资料、设备（方框内划X表示委托人不需提供）</w:t>
      </w:r>
    </w:p>
    <w:p>
      <w:pPr>
        <w:keepNext w:val="0"/>
        <w:keepLines w:val="0"/>
        <w:widowControl w:val="0"/>
        <w:kinsoku/>
        <w:wordWrap/>
        <w:overflowPunct/>
        <w:topLinePunct w:val="0"/>
        <w:bidi w:val="0"/>
        <w:spacing w:before="156" w:beforeLines="50" w:line="360" w:lineRule="auto"/>
        <w:textAlignment w:val="auto"/>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B-1  委托人派遣的人员</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名称</w:t>
            </w:r>
          </w:p>
        </w:tc>
        <w:tc>
          <w:tcPr>
            <w:tcW w:w="1770"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数量</w:t>
            </w:r>
          </w:p>
        </w:tc>
        <w:tc>
          <w:tcPr>
            <w:tcW w:w="2130"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工作要求</w:t>
            </w:r>
          </w:p>
        </w:tc>
        <w:tc>
          <w:tcPr>
            <w:tcW w:w="1860"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1. 工程技术人员 </w:t>
            </w:r>
          </w:p>
        </w:tc>
        <w:tc>
          <w:tcPr>
            <w:tcW w:w="1770"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Times New Roman"/>
                <w:color w:val="auto"/>
                <w:szCs w:val="21"/>
                <w:highlight w:val="none"/>
              </w:rPr>
            </w:pPr>
          </w:p>
        </w:tc>
        <w:tc>
          <w:tcPr>
            <w:tcW w:w="2130"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Times New Roman"/>
                <w:color w:val="auto"/>
                <w:szCs w:val="21"/>
                <w:highlight w:val="none"/>
              </w:rPr>
            </w:pPr>
          </w:p>
        </w:tc>
        <w:tc>
          <w:tcPr>
            <w:tcW w:w="1860"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 辅助工作人员</w:t>
            </w:r>
          </w:p>
        </w:tc>
        <w:tc>
          <w:tcPr>
            <w:tcW w:w="1770"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Times New Roman"/>
                <w:color w:val="auto"/>
                <w:szCs w:val="21"/>
                <w:highlight w:val="none"/>
              </w:rPr>
            </w:pPr>
          </w:p>
        </w:tc>
        <w:tc>
          <w:tcPr>
            <w:tcW w:w="2130"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Times New Roman"/>
                <w:color w:val="auto"/>
                <w:szCs w:val="21"/>
                <w:highlight w:val="none"/>
              </w:rPr>
            </w:pPr>
          </w:p>
        </w:tc>
        <w:tc>
          <w:tcPr>
            <w:tcW w:w="1860"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 其他人员</w:t>
            </w:r>
          </w:p>
        </w:tc>
        <w:tc>
          <w:tcPr>
            <w:tcW w:w="1770"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Times New Roman"/>
                <w:color w:val="auto"/>
                <w:szCs w:val="21"/>
                <w:highlight w:val="none"/>
              </w:rPr>
            </w:pPr>
          </w:p>
        </w:tc>
        <w:tc>
          <w:tcPr>
            <w:tcW w:w="2130"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Times New Roman"/>
                <w:color w:val="auto"/>
                <w:szCs w:val="21"/>
                <w:highlight w:val="none"/>
              </w:rPr>
            </w:pPr>
          </w:p>
        </w:tc>
        <w:tc>
          <w:tcPr>
            <w:tcW w:w="1860"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Times New Roman"/>
                <w:color w:val="auto"/>
                <w:szCs w:val="21"/>
                <w:highlight w:val="none"/>
              </w:rPr>
            </w:pPr>
          </w:p>
        </w:tc>
        <w:tc>
          <w:tcPr>
            <w:tcW w:w="1770"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Times New Roman"/>
                <w:color w:val="auto"/>
                <w:szCs w:val="21"/>
                <w:highlight w:val="none"/>
              </w:rPr>
            </w:pPr>
          </w:p>
        </w:tc>
        <w:tc>
          <w:tcPr>
            <w:tcW w:w="2130"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Times New Roman"/>
                <w:color w:val="auto"/>
                <w:szCs w:val="21"/>
                <w:highlight w:val="none"/>
              </w:rPr>
            </w:pPr>
          </w:p>
        </w:tc>
        <w:tc>
          <w:tcPr>
            <w:tcW w:w="1860"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Times New Roman"/>
                <w:color w:val="auto"/>
                <w:szCs w:val="21"/>
                <w:highlight w:val="none"/>
              </w:rPr>
            </w:pPr>
          </w:p>
        </w:tc>
      </w:tr>
    </w:tbl>
    <w:p>
      <w:pPr>
        <w:keepNext w:val="0"/>
        <w:keepLines w:val="0"/>
        <w:widowControl w:val="0"/>
        <w:kinsoku/>
        <w:wordWrap/>
        <w:overflowPunct/>
        <w:topLinePunct w:val="0"/>
        <w:bidi w:val="0"/>
        <w:spacing w:before="156" w:beforeLines="50" w:line="360" w:lineRule="auto"/>
        <w:textAlignment w:val="auto"/>
        <w:outlineLvl w:val="9"/>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B-2  委托人提供的房屋</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名称</w:t>
            </w:r>
          </w:p>
        </w:tc>
        <w:tc>
          <w:tcPr>
            <w:tcW w:w="2130"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数量</w:t>
            </w:r>
          </w:p>
        </w:tc>
        <w:tc>
          <w:tcPr>
            <w:tcW w:w="2130"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面积</w:t>
            </w:r>
          </w:p>
        </w:tc>
        <w:tc>
          <w:tcPr>
            <w:tcW w:w="1860"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outlineLvl w:val="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 办公用房</w:t>
            </w:r>
          </w:p>
        </w:tc>
        <w:tc>
          <w:tcPr>
            <w:tcW w:w="2130"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firstLine="210" w:firstLineChars="100"/>
              <w:textAlignment w:val="auto"/>
              <w:outlineLvl w:val="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w:t>
            </w:r>
          </w:p>
        </w:tc>
        <w:tc>
          <w:tcPr>
            <w:tcW w:w="2130"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firstLine="210" w:firstLineChars="100"/>
              <w:textAlignment w:val="auto"/>
              <w:outlineLvl w:val="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w:t>
            </w:r>
          </w:p>
        </w:tc>
        <w:tc>
          <w:tcPr>
            <w:tcW w:w="1860"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outlineLvl w:val="9"/>
              <w:rPr>
                <w:rFonts w:hint="eastAsia"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outlineLvl w:val="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 生活用房</w:t>
            </w:r>
          </w:p>
        </w:tc>
        <w:tc>
          <w:tcPr>
            <w:tcW w:w="2130"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outlineLvl w:val="9"/>
              <w:rPr>
                <w:rFonts w:hint="eastAsia" w:ascii="宋体" w:hAnsi="宋体" w:eastAsia="宋体" w:cs="Times New Roman"/>
                <w:color w:val="auto"/>
                <w:szCs w:val="21"/>
                <w:highlight w:val="none"/>
              </w:rPr>
            </w:pPr>
          </w:p>
        </w:tc>
        <w:tc>
          <w:tcPr>
            <w:tcW w:w="2130"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outlineLvl w:val="9"/>
              <w:rPr>
                <w:rFonts w:hint="eastAsia" w:ascii="宋体" w:hAnsi="宋体" w:eastAsia="宋体" w:cs="Times New Roman"/>
                <w:color w:val="auto"/>
                <w:szCs w:val="21"/>
                <w:highlight w:val="none"/>
              </w:rPr>
            </w:pPr>
          </w:p>
        </w:tc>
        <w:tc>
          <w:tcPr>
            <w:tcW w:w="1860"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outlineLvl w:val="9"/>
              <w:rPr>
                <w:rFonts w:hint="eastAsia"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outlineLvl w:val="9"/>
              <w:rPr>
                <w:rFonts w:hint="eastAsia" w:ascii="宋体" w:hAnsi="宋体" w:eastAsia="宋体" w:cs="Times New Roman"/>
                <w:dstrike/>
                <w:color w:val="auto"/>
                <w:szCs w:val="21"/>
                <w:highlight w:val="none"/>
              </w:rPr>
            </w:pPr>
            <w:r>
              <w:rPr>
                <w:rFonts w:hint="eastAsia" w:ascii="宋体" w:hAnsi="宋体" w:eastAsia="宋体" w:cs="Times New Roman"/>
                <w:color w:val="auto"/>
                <w:szCs w:val="21"/>
                <w:highlight w:val="none"/>
              </w:rPr>
              <w:t>3. 试验用房</w:t>
            </w:r>
          </w:p>
        </w:tc>
        <w:tc>
          <w:tcPr>
            <w:tcW w:w="2130"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outlineLvl w:val="9"/>
              <w:rPr>
                <w:rFonts w:hint="eastAsia" w:ascii="宋体" w:hAnsi="宋体" w:eastAsia="宋体" w:cs="Times New Roman"/>
                <w:color w:val="auto"/>
                <w:szCs w:val="21"/>
                <w:highlight w:val="none"/>
              </w:rPr>
            </w:pPr>
          </w:p>
        </w:tc>
        <w:tc>
          <w:tcPr>
            <w:tcW w:w="2130"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outlineLvl w:val="9"/>
              <w:rPr>
                <w:rFonts w:hint="eastAsia" w:ascii="宋体" w:hAnsi="宋体" w:eastAsia="宋体" w:cs="Times New Roman"/>
                <w:color w:val="auto"/>
                <w:szCs w:val="21"/>
                <w:highlight w:val="none"/>
              </w:rPr>
            </w:pPr>
          </w:p>
        </w:tc>
        <w:tc>
          <w:tcPr>
            <w:tcW w:w="1860"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outlineLvl w:val="9"/>
              <w:rPr>
                <w:rFonts w:hint="eastAsia"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outlineLvl w:val="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 样品用房</w:t>
            </w:r>
          </w:p>
        </w:tc>
        <w:tc>
          <w:tcPr>
            <w:tcW w:w="2130"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outlineLvl w:val="9"/>
              <w:rPr>
                <w:rFonts w:hint="eastAsia" w:ascii="宋体" w:hAnsi="宋体" w:eastAsia="宋体" w:cs="Times New Roman"/>
                <w:color w:val="auto"/>
                <w:szCs w:val="21"/>
                <w:highlight w:val="none"/>
              </w:rPr>
            </w:pPr>
          </w:p>
        </w:tc>
        <w:tc>
          <w:tcPr>
            <w:tcW w:w="2130"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outlineLvl w:val="9"/>
              <w:rPr>
                <w:rFonts w:hint="eastAsia" w:ascii="宋体" w:hAnsi="宋体" w:eastAsia="宋体" w:cs="Times New Roman"/>
                <w:color w:val="auto"/>
                <w:szCs w:val="21"/>
                <w:highlight w:val="none"/>
              </w:rPr>
            </w:pPr>
          </w:p>
        </w:tc>
        <w:tc>
          <w:tcPr>
            <w:tcW w:w="1860"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outlineLvl w:val="9"/>
              <w:rPr>
                <w:rFonts w:hint="eastAsia"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outlineLvl w:val="9"/>
              <w:rPr>
                <w:rFonts w:hint="eastAsia" w:ascii="宋体" w:hAnsi="宋体" w:eastAsia="宋体" w:cs="Times New Roman"/>
                <w:color w:val="auto"/>
                <w:szCs w:val="21"/>
                <w:highlight w:val="none"/>
              </w:rPr>
            </w:pPr>
          </w:p>
        </w:tc>
        <w:tc>
          <w:tcPr>
            <w:tcW w:w="2130"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outlineLvl w:val="9"/>
              <w:rPr>
                <w:rFonts w:hint="eastAsia" w:ascii="宋体" w:hAnsi="宋体" w:eastAsia="宋体" w:cs="Times New Roman"/>
                <w:color w:val="auto"/>
                <w:szCs w:val="21"/>
                <w:highlight w:val="none"/>
              </w:rPr>
            </w:pPr>
          </w:p>
        </w:tc>
        <w:tc>
          <w:tcPr>
            <w:tcW w:w="2130"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outlineLvl w:val="9"/>
              <w:rPr>
                <w:rFonts w:hint="eastAsia" w:ascii="宋体" w:hAnsi="宋体" w:eastAsia="宋体" w:cs="Times New Roman"/>
                <w:color w:val="auto"/>
                <w:szCs w:val="21"/>
                <w:highlight w:val="none"/>
              </w:rPr>
            </w:pPr>
          </w:p>
        </w:tc>
        <w:tc>
          <w:tcPr>
            <w:tcW w:w="1860"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outlineLvl w:val="9"/>
              <w:rPr>
                <w:rFonts w:hint="eastAsia"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outlineLvl w:val="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用餐及其他生活条件</w:t>
            </w:r>
          </w:p>
        </w:tc>
        <w:tc>
          <w:tcPr>
            <w:tcW w:w="6120" w:type="dxa"/>
            <w:gridSpan w:val="3"/>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outlineLvl w:val="9"/>
              <w:rPr>
                <w:rFonts w:hint="eastAsia" w:ascii="宋体" w:hAnsi="宋体" w:eastAsia="宋体" w:cs="Times New Roman"/>
                <w:color w:val="auto"/>
                <w:szCs w:val="21"/>
                <w:highlight w:val="none"/>
              </w:rPr>
            </w:pPr>
          </w:p>
        </w:tc>
      </w:tr>
    </w:tbl>
    <w:p>
      <w:pPr>
        <w:keepNext w:val="0"/>
        <w:keepLines w:val="0"/>
        <w:widowControl w:val="0"/>
        <w:kinsoku/>
        <w:wordWrap/>
        <w:overflowPunct/>
        <w:topLinePunct w:val="0"/>
        <w:bidi w:val="0"/>
        <w:spacing w:before="156" w:beforeLines="50" w:line="360" w:lineRule="auto"/>
        <w:textAlignment w:val="auto"/>
        <w:outlineLvl w:val="9"/>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B-3  委托人提供的资料</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名称</w:t>
            </w:r>
          </w:p>
        </w:tc>
        <w:tc>
          <w:tcPr>
            <w:tcW w:w="1491"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份数</w:t>
            </w:r>
          </w:p>
        </w:tc>
        <w:tc>
          <w:tcPr>
            <w:tcW w:w="2147"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提供时间</w:t>
            </w:r>
          </w:p>
        </w:tc>
        <w:tc>
          <w:tcPr>
            <w:tcW w:w="2082"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 工程立项文件</w:t>
            </w:r>
          </w:p>
        </w:tc>
        <w:tc>
          <w:tcPr>
            <w:tcW w:w="1491"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2147"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开工前</w:t>
            </w:r>
          </w:p>
        </w:tc>
        <w:tc>
          <w:tcPr>
            <w:tcW w:w="2082"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 工程勘察文件</w:t>
            </w:r>
          </w:p>
        </w:tc>
        <w:tc>
          <w:tcPr>
            <w:tcW w:w="1491"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2147"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开工前</w:t>
            </w:r>
          </w:p>
        </w:tc>
        <w:tc>
          <w:tcPr>
            <w:tcW w:w="2082"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 工程设计及施工图纸</w:t>
            </w:r>
          </w:p>
        </w:tc>
        <w:tc>
          <w:tcPr>
            <w:tcW w:w="1491"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2147"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开工前</w:t>
            </w:r>
          </w:p>
        </w:tc>
        <w:tc>
          <w:tcPr>
            <w:tcW w:w="2082"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pPr>
              <w:keepNext w:val="0"/>
              <w:keepLines w:val="0"/>
              <w:widowControl w:val="0"/>
              <w:suppressLineNumbers w:val="0"/>
              <w:kinsoku/>
              <w:wordWrap/>
              <w:overflowPunct/>
              <w:topLinePunct w:val="0"/>
              <w:bidi w:val="0"/>
              <w:spacing w:before="0" w:beforeAutospacing="0" w:after="0" w:afterAutospacing="0" w:line="240" w:lineRule="exact"/>
              <w:ind w:left="0" w:right="0"/>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 工程承包合同及其他相关合同</w:t>
            </w:r>
          </w:p>
        </w:tc>
        <w:tc>
          <w:tcPr>
            <w:tcW w:w="1491"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2147"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开工前</w:t>
            </w:r>
          </w:p>
        </w:tc>
        <w:tc>
          <w:tcPr>
            <w:tcW w:w="2082"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 施工许可文件</w:t>
            </w:r>
          </w:p>
        </w:tc>
        <w:tc>
          <w:tcPr>
            <w:tcW w:w="1491"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w:t>
            </w:r>
          </w:p>
        </w:tc>
        <w:tc>
          <w:tcPr>
            <w:tcW w:w="2147"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p>
        </w:tc>
        <w:tc>
          <w:tcPr>
            <w:tcW w:w="2082"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 其他文件</w:t>
            </w:r>
          </w:p>
        </w:tc>
        <w:tc>
          <w:tcPr>
            <w:tcW w:w="1491"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w:t>
            </w:r>
          </w:p>
        </w:tc>
        <w:tc>
          <w:tcPr>
            <w:tcW w:w="2147"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p>
        </w:tc>
        <w:tc>
          <w:tcPr>
            <w:tcW w:w="2082"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Times New Roman"/>
                <w:color w:val="auto"/>
                <w:kern w:val="0"/>
                <w:szCs w:val="21"/>
                <w:highlight w:val="none"/>
              </w:rPr>
            </w:pPr>
          </w:p>
        </w:tc>
      </w:tr>
    </w:tbl>
    <w:p>
      <w:pPr>
        <w:keepNext w:val="0"/>
        <w:keepLines w:val="0"/>
        <w:widowControl w:val="0"/>
        <w:kinsoku/>
        <w:wordWrap/>
        <w:overflowPunct/>
        <w:topLinePunct w:val="0"/>
        <w:bidi w:val="0"/>
        <w:spacing w:before="156" w:beforeLines="50" w:line="360" w:lineRule="auto"/>
        <w:textAlignment w:val="auto"/>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B-4 委托人提供的设备</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88"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名称</w:t>
            </w:r>
          </w:p>
        </w:tc>
        <w:tc>
          <w:tcPr>
            <w:tcW w:w="1590"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数量</w:t>
            </w:r>
          </w:p>
        </w:tc>
        <w:tc>
          <w:tcPr>
            <w:tcW w:w="2130"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型号与规格</w:t>
            </w:r>
          </w:p>
        </w:tc>
        <w:tc>
          <w:tcPr>
            <w:tcW w:w="1860"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 通讯设备</w:t>
            </w:r>
          </w:p>
        </w:tc>
        <w:tc>
          <w:tcPr>
            <w:tcW w:w="1590"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Times New Roman"/>
                <w:color w:val="auto"/>
                <w:szCs w:val="21"/>
                <w:highlight w:val="none"/>
              </w:rPr>
            </w:pPr>
          </w:p>
        </w:tc>
        <w:tc>
          <w:tcPr>
            <w:tcW w:w="2130"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Times New Roman"/>
                <w:color w:val="auto"/>
                <w:szCs w:val="21"/>
                <w:highlight w:val="none"/>
              </w:rPr>
            </w:pPr>
          </w:p>
        </w:tc>
        <w:tc>
          <w:tcPr>
            <w:tcW w:w="1860"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 办公设备</w:t>
            </w:r>
          </w:p>
        </w:tc>
        <w:tc>
          <w:tcPr>
            <w:tcW w:w="1590"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Times New Roman"/>
                <w:color w:val="auto"/>
                <w:szCs w:val="21"/>
                <w:highlight w:val="none"/>
              </w:rPr>
            </w:pPr>
          </w:p>
        </w:tc>
        <w:tc>
          <w:tcPr>
            <w:tcW w:w="2130"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Times New Roman"/>
                <w:color w:val="auto"/>
                <w:szCs w:val="21"/>
                <w:highlight w:val="none"/>
              </w:rPr>
            </w:pPr>
          </w:p>
        </w:tc>
        <w:tc>
          <w:tcPr>
            <w:tcW w:w="1860"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 交通工具</w:t>
            </w:r>
          </w:p>
        </w:tc>
        <w:tc>
          <w:tcPr>
            <w:tcW w:w="1590"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Times New Roman"/>
                <w:color w:val="auto"/>
                <w:szCs w:val="21"/>
                <w:highlight w:val="none"/>
              </w:rPr>
            </w:pPr>
          </w:p>
        </w:tc>
        <w:tc>
          <w:tcPr>
            <w:tcW w:w="2130"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Times New Roman"/>
                <w:color w:val="auto"/>
                <w:szCs w:val="21"/>
                <w:highlight w:val="none"/>
              </w:rPr>
            </w:pPr>
          </w:p>
        </w:tc>
        <w:tc>
          <w:tcPr>
            <w:tcW w:w="1860"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 检测和试验设备</w:t>
            </w:r>
          </w:p>
        </w:tc>
        <w:tc>
          <w:tcPr>
            <w:tcW w:w="1590"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Times New Roman"/>
                <w:color w:val="auto"/>
                <w:szCs w:val="21"/>
                <w:highlight w:val="none"/>
              </w:rPr>
            </w:pPr>
          </w:p>
        </w:tc>
        <w:tc>
          <w:tcPr>
            <w:tcW w:w="2130"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Times New Roman"/>
                <w:color w:val="auto"/>
                <w:szCs w:val="21"/>
                <w:highlight w:val="none"/>
              </w:rPr>
            </w:pPr>
          </w:p>
        </w:tc>
        <w:tc>
          <w:tcPr>
            <w:tcW w:w="1860"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Times New Roman"/>
                <w:color w:val="auto"/>
                <w:szCs w:val="21"/>
                <w:highlight w:val="none"/>
              </w:rPr>
            </w:pPr>
          </w:p>
        </w:tc>
        <w:tc>
          <w:tcPr>
            <w:tcW w:w="1590"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Times New Roman"/>
                <w:color w:val="auto"/>
                <w:szCs w:val="21"/>
                <w:highlight w:val="none"/>
              </w:rPr>
            </w:pPr>
          </w:p>
        </w:tc>
        <w:tc>
          <w:tcPr>
            <w:tcW w:w="2130"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Times New Roman"/>
                <w:color w:val="auto"/>
                <w:szCs w:val="21"/>
                <w:highlight w:val="none"/>
              </w:rPr>
            </w:pPr>
          </w:p>
        </w:tc>
        <w:tc>
          <w:tcPr>
            <w:tcW w:w="1860" w:type="dxa"/>
            <w:noWrap w:val="0"/>
            <w:vAlign w:val="top"/>
          </w:tcPr>
          <w:p>
            <w:pPr>
              <w:keepNext w:val="0"/>
              <w:keepLines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Times New Roman"/>
                <w:color w:val="auto"/>
                <w:szCs w:val="21"/>
                <w:highlight w:val="none"/>
              </w:rPr>
            </w:pPr>
          </w:p>
        </w:tc>
      </w:tr>
    </w:tbl>
    <w:p>
      <w:pPr>
        <w:snapToGrid/>
        <w:spacing w:before="0" w:after="0" w:line="400" w:lineRule="exact"/>
        <w:ind w:left="0" w:right="0"/>
        <w:jc w:val="both"/>
        <w:outlineLvl w:val="1"/>
        <w:rPr>
          <w:rFonts w:ascii="Times New Roman" w:hAnsi="Times New Roman" w:eastAsia="宋体" w:cs="Times New Roman"/>
          <w:color w:val="auto"/>
        </w:rPr>
      </w:pPr>
      <w:r>
        <w:rPr>
          <w:rFonts w:ascii="宋体" w:hAnsi="宋体" w:eastAsia="宋体" w:cs="宋体"/>
          <w:b/>
          <w:i w:val="0"/>
          <w:strike w:val="0"/>
          <w:color w:val="auto"/>
          <w:sz w:val="21"/>
          <w:u w:val="none"/>
        </w:rPr>
        <w:t>附件A：</w:t>
      </w:r>
    </w:p>
    <w:p>
      <w:pPr>
        <w:keepNext/>
        <w:keepLines/>
        <w:widowControl w:val="0"/>
        <w:snapToGrid/>
        <w:spacing w:before="0" w:after="0" w:line="400" w:lineRule="exact"/>
        <w:ind w:left="0" w:right="0"/>
        <w:jc w:val="center"/>
        <w:outlineLvl w:val="9"/>
        <w:rPr>
          <w:rFonts w:ascii="Times New Roman" w:hAnsi="Times New Roman" w:eastAsia="宋体" w:cs="Times New Roman"/>
          <w:b/>
          <w:bCs/>
          <w:color w:val="auto"/>
          <w:kern w:val="44"/>
          <w:sz w:val="44"/>
          <w:szCs w:val="44"/>
          <w:lang w:val="en-US" w:eastAsia="zh-CN" w:bidi="ar-SA"/>
        </w:rPr>
      </w:pPr>
      <w:r>
        <w:rPr>
          <w:rFonts w:ascii="宋体" w:hAnsi="宋体" w:eastAsia="宋体" w:cs="宋体"/>
          <w:b/>
          <w:bCs/>
          <w:i w:val="0"/>
          <w:strike w:val="0"/>
          <w:color w:val="auto"/>
          <w:kern w:val="44"/>
          <w:sz w:val="24"/>
          <w:szCs w:val="44"/>
          <w:u w:val="none"/>
          <w:lang w:val="en-US" w:eastAsia="zh-CN" w:bidi="ar-SA"/>
        </w:rPr>
        <w:t>现场监理管理工作指引</w:t>
      </w:r>
    </w:p>
    <w:p>
      <w:pPr>
        <w:snapToGrid/>
        <w:spacing w:before="0" w:after="0" w:line="240" w:lineRule="auto"/>
        <w:ind w:left="0" w:right="0"/>
        <w:jc w:val="both"/>
        <w:rPr>
          <w:rFonts w:ascii="Times New Roman" w:hAnsi="Times New Roman" w:eastAsia="宋体" w:cs="Times New Roman"/>
          <w:color w:val="auto"/>
        </w:rPr>
      </w:pPr>
    </w:p>
    <w:p>
      <w:pPr>
        <w:keepNext/>
        <w:keepLines/>
        <w:widowControl w:val="0"/>
        <w:snapToGrid/>
        <w:spacing w:before="340" w:after="330" w:line="360" w:lineRule="auto"/>
        <w:ind w:left="0" w:right="0"/>
        <w:jc w:val="left"/>
        <w:outlineLvl w:val="9"/>
        <w:rPr>
          <w:rFonts w:ascii="Times New Roman" w:hAnsi="Times New Roman" w:eastAsia="宋体" w:cs="Times New Roman"/>
          <w:b/>
          <w:bCs/>
          <w:color w:val="auto"/>
          <w:kern w:val="44"/>
          <w:sz w:val="44"/>
          <w:szCs w:val="44"/>
          <w:lang w:val="en-US" w:eastAsia="zh-CN" w:bidi="ar-SA"/>
        </w:rPr>
      </w:pPr>
      <w:r>
        <w:rPr>
          <w:rFonts w:ascii="宋体" w:hAnsi="宋体" w:eastAsia="宋体" w:cs="宋体"/>
          <w:b/>
          <w:bCs/>
          <w:i w:val="0"/>
          <w:strike w:val="0"/>
          <w:color w:val="auto"/>
          <w:kern w:val="44"/>
          <w:sz w:val="21"/>
          <w:szCs w:val="44"/>
          <w:u w:val="none"/>
          <w:lang w:val="en-US" w:eastAsia="zh-CN" w:bidi="ar-SA"/>
        </w:rPr>
        <w:t>1.目的</w:t>
      </w:r>
    </w:p>
    <w:p>
      <w:pPr>
        <w:snapToGrid w:val="0"/>
        <w:spacing w:before="0" w:after="0" w:line="360" w:lineRule="auto"/>
        <w:ind w:left="0" w:right="74"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rPr>
        <w:t>为加强委托人对监理人的管理，充分发挥监理人在工程建设实施过程中的监督、管理作用，深刻细致地落实监理委托合同及国家法律法规规定的责任及义务，确保工程的质量、安全、进度符合相关要求，制定本工作指引。</w:t>
      </w:r>
    </w:p>
    <w:p>
      <w:pPr>
        <w:keepNext/>
        <w:keepLines/>
        <w:widowControl w:val="0"/>
        <w:snapToGrid/>
        <w:spacing w:before="340" w:after="330" w:line="360" w:lineRule="auto"/>
        <w:ind w:left="0" w:right="0"/>
        <w:jc w:val="left"/>
        <w:outlineLvl w:val="9"/>
        <w:rPr>
          <w:rFonts w:ascii="Times New Roman" w:hAnsi="Times New Roman" w:eastAsia="宋体" w:cs="Times New Roman"/>
          <w:b/>
          <w:bCs/>
          <w:color w:val="auto"/>
          <w:kern w:val="44"/>
          <w:sz w:val="44"/>
          <w:szCs w:val="44"/>
          <w:lang w:val="en-US" w:eastAsia="zh-CN" w:bidi="ar-SA"/>
        </w:rPr>
      </w:pPr>
      <w:r>
        <w:rPr>
          <w:rFonts w:ascii="宋体" w:hAnsi="宋体" w:eastAsia="宋体" w:cs="宋体"/>
          <w:b/>
          <w:bCs/>
          <w:i w:val="0"/>
          <w:strike w:val="0"/>
          <w:color w:val="auto"/>
          <w:kern w:val="44"/>
          <w:sz w:val="21"/>
          <w:szCs w:val="44"/>
          <w:u w:val="none"/>
          <w:lang w:val="en-US" w:eastAsia="zh-CN" w:bidi="ar-SA"/>
        </w:rPr>
        <w:t>2.适用范围</w:t>
      </w:r>
    </w:p>
    <w:p>
      <w:pPr>
        <w:snapToGrid w:val="0"/>
        <w:spacing w:before="0" w:after="0" w:line="360" w:lineRule="auto"/>
        <w:ind w:left="0" w:right="74"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rPr>
        <w:t>适用:本项目监理人管理。</w:t>
      </w:r>
    </w:p>
    <w:p>
      <w:pPr>
        <w:keepNext/>
        <w:keepLines/>
        <w:widowControl w:val="0"/>
        <w:snapToGrid/>
        <w:spacing w:before="340" w:after="330" w:line="360" w:lineRule="auto"/>
        <w:ind w:left="0" w:right="0"/>
        <w:jc w:val="left"/>
        <w:outlineLvl w:val="9"/>
        <w:rPr>
          <w:rFonts w:ascii="Times New Roman" w:hAnsi="Times New Roman" w:eastAsia="宋体" w:cs="Times New Roman"/>
          <w:b/>
          <w:bCs/>
          <w:color w:val="auto"/>
          <w:kern w:val="44"/>
          <w:sz w:val="44"/>
          <w:szCs w:val="44"/>
          <w:lang w:val="en-US" w:eastAsia="zh-CN" w:bidi="ar-SA"/>
        </w:rPr>
      </w:pPr>
      <w:r>
        <w:rPr>
          <w:rFonts w:ascii="宋体" w:hAnsi="宋体" w:eastAsia="宋体" w:cs="宋体"/>
          <w:b/>
          <w:bCs/>
          <w:i w:val="0"/>
          <w:strike w:val="0"/>
          <w:color w:val="auto"/>
          <w:kern w:val="44"/>
          <w:sz w:val="21"/>
          <w:szCs w:val="44"/>
          <w:u w:val="none"/>
          <w:lang w:val="en-US" w:eastAsia="zh-CN" w:bidi="ar-SA"/>
        </w:rPr>
        <w:t>3.术语和定义</w:t>
      </w:r>
    </w:p>
    <w:p>
      <w:pPr>
        <w:snapToGrid w:val="0"/>
        <w:spacing w:before="0" w:after="0" w:line="360" w:lineRule="auto"/>
        <w:ind w:left="0" w:right="74"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rPr>
        <w:t>建设工程监理，是指具有相应资质的工程监理企业，接受建设单位的委托，承担其项目管理工作，并代表建设单位对承建单位的建设行为进行监控的专业化服务活动，属于建设单位委托人管理范畴内。</w:t>
      </w:r>
    </w:p>
    <w:p>
      <w:pPr>
        <w:keepNext/>
        <w:keepLines/>
        <w:widowControl w:val="0"/>
        <w:snapToGrid/>
        <w:spacing w:before="340" w:after="330" w:line="240" w:lineRule="auto"/>
        <w:ind w:left="0" w:right="0"/>
        <w:jc w:val="left"/>
        <w:outlineLvl w:val="9"/>
        <w:rPr>
          <w:rFonts w:ascii="Times New Roman" w:hAnsi="Times New Roman" w:eastAsia="宋体" w:cs="Times New Roman"/>
          <w:b/>
          <w:bCs/>
          <w:color w:val="auto"/>
          <w:kern w:val="44"/>
          <w:sz w:val="44"/>
          <w:szCs w:val="44"/>
          <w:lang w:val="en-US" w:eastAsia="zh-CN" w:bidi="ar-SA"/>
        </w:rPr>
      </w:pPr>
      <w:r>
        <w:rPr>
          <w:rFonts w:ascii="宋体" w:hAnsi="宋体" w:eastAsia="宋体" w:cs="宋体"/>
          <w:b/>
          <w:bCs/>
          <w:i w:val="0"/>
          <w:strike w:val="0"/>
          <w:color w:val="auto"/>
          <w:kern w:val="44"/>
          <w:sz w:val="21"/>
          <w:szCs w:val="44"/>
          <w:u w:val="none"/>
          <w:lang w:val="en-US" w:eastAsia="zh-CN" w:bidi="ar-SA"/>
        </w:rPr>
        <w:t>4工作职责</w:t>
      </w:r>
    </w:p>
    <w:p>
      <w:pPr>
        <w:keepNext/>
        <w:keepLines/>
        <w:widowControl w:val="0"/>
        <w:snapToGrid/>
        <w:spacing w:before="340" w:after="330" w:line="240" w:lineRule="auto"/>
        <w:ind w:left="0" w:right="0"/>
        <w:jc w:val="left"/>
        <w:outlineLvl w:val="9"/>
        <w:rPr>
          <w:rFonts w:ascii="Times New Roman" w:hAnsi="Times New Roman" w:eastAsia="宋体" w:cs="Times New Roman"/>
          <w:b/>
          <w:bCs/>
          <w:color w:val="auto"/>
          <w:kern w:val="44"/>
          <w:sz w:val="44"/>
          <w:szCs w:val="44"/>
          <w:lang w:val="en-US" w:eastAsia="zh-CN" w:bidi="ar-SA"/>
        </w:rPr>
      </w:pPr>
      <w:r>
        <w:rPr>
          <w:rFonts w:ascii="宋体" w:hAnsi="宋体" w:eastAsia="宋体" w:cs="宋体"/>
          <w:b/>
          <w:bCs/>
          <w:i w:val="0"/>
          <w:strike w:val="0"/>
          <w:color w:val="auto"/>
          <w:kern w:val="44"/>
          <w:sz w:val="21"/>
          <w:szCs w:val="44"/>
          <w:u w:val="none"/>
          <w:lang w:val="en-US" w:eastAsia="zh-CN" w:bidi="ar-SA"/>
        </w:rPr>
        <w:t>4.1监理人职责</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4.1.1监理人严格履行委托监理合同赋予的职责、权利和义务，负责组织实施工程项目监理服务的具体工作，促进工程各项目标的实现，最大限度地满足业主的期望。</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4.1.2贯彻落实国家、行业工程建设标准、规范和规程，严格执行发包方工程管理等标准化建设要求。按照监理企业质量、职业健康安全、环境管理体系的要求，结合工程项目的实际情况，组织编制项目监理的策划文件，报建设单位或委托人审查或备案后实施。</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4.1.3负责监理人成员的现场专项培训和教育，保证配备的安全防护用品和检测、计量设备的正确使用和日常维护，负责监理人的危险源和环境因素的辨识、评价和控制，并形成文件加以实施和记录；对于重要危险源制定控制措施，并落实相应的人员和物资准备；督促施工单位按100%进行实体实测实量，监理人按30%复测。</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 xml:space="preserve">4.1.4建立健全安全管理体系，落实安全责任制及岗位职责。在委托人领导下，开展现场安全各项活动，履行安全管理职能，做好安全预控措施。按规定程序上报安全事故，参加安全事故调查。  </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 xml:space="preserve">4.1.5建立健全质量管理体系、落实质量责任制及岗位职责，履行质量管理职能，按规定程序上报质量事故，参加质量事故调查。  </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 xml:space="preserve">4.1.6按施工进度实施计划的要求，督促、审查施工项目部编制工程的施工进度计划，分析进度滞后的原因，提出监理意见，督促施工项目部落实进度纠偏措施。  </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 xml:space="preserve">4.1.7负责工程信息与档案监理资料的收集、整理、上报、移交工作。 </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 xml:space="preserve">4.1.8按委托监理合同赋予的职责，做好委托人、施工项目部、设计单位、设备供应商的协调工作，参加委托人组织召开的协调会、专题会议。 </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4.1.9对施工图进行预审，并汇总施工项目部的意见，形成预审意见；参加由委托人组织的施工图会审及设计交底会，并负责有关工作的落实。</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 xml:space="preserve">4.1.10审查施工组织设计中的安全技术措施或者专项施工方案是否符合工程建设标准强制性条文，施工组织是否满足工程建设安全文明施工的需要。 </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4.1.11定期或不定期地检查施工现场，发现存在安全事故隐患的，应要求施工项目部整改；情况严重的，及时报告委托人，征得委托人同意后要求施工项目部暂停施工。施工项目部拒不整改或不停止施工的，应即时向委托人及有关主管部门汇报；对于违反施工合同的施工单位监理人拥有处罚建议权。</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4.1.12组织工程中间、竣工预验收的监理初检工作，参加委托人组织工程竣工预验收，参加竣工验收和启动试运行，参加工程移交。</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4.1.13项目集中交付后30天内，及时对本项目监理服务工作进行总结和综合评价。负责交付后质保期内监理服务工作，参加项目交付达标和创优工作。</w:t>
      </w:r>
    </w:p>
    <w:p>
      <w:pPr>
        <w:keepNext/>
        <w:keepLines/>
        <w:widowControl w:val="0"/>
        <w:snapToGrid/>
        <w:spacing w:before="340" w:after="330" w:line="360" w:lineRule="auto"/>
        <w:ind w:left="0" w:right="0"/>
        <w:jc w:val="left"/>
        <w:outlineLvl w:val="9"/>
        <w:rPr>
          <w:rFonts w:ascii="Times New Roman" w:hAnsi="Times New Roman" w:eastAsia="宋体" w:cs="Times New Roman"/>
          <w:b/>
          <w:bCs/>
          <w:color w:val="auto"/>
          <w:kern w:val="44"/>
          <w:sz w:val="44"/>
          <w:szCs w:val="44"/>
          <w:lang w:val="en-US" w:eastAsia="zh-CN" w:bidi="ar-SA"/>
        </w:rPr>
      </w:pPr>
      <w:r>
        <w:rPr>
          <w:rFonts w:ascii="宋体" w:hAnsi="宋体" w:eastAsia="宋体" w:cs="宋体"/>
          <w:b/>
          <w:bCs/>
          <w:i w:val="0"/>
          <w:strike w:val="0"/>
          <w:color w:val="auto"/>
          <w:kern w:val="44"/>
          <w:sz w:val="21"/>
          <w:szCs w:val="44"/>
          <w:u w:val="none"/>
          <w:lang w:val="en-US" w:eastAsia="zh-CN" w:bidi="ar-SA"/>
        </w:rPr>
        <w:t>4.2委托人职责</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4.2.1负责审核《监理规划》、《监理实施细则》。</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4.2.2负责监理单位的现场管理、检查、监督和考核。</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4.2.3负责向监理单位培训工程管理流程制度、工艺标准和管理行为要求。</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4.2.4全过程参与监督监理实施工作。</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4.2.5负责对现场监理的付款申请进行岗位考勤确认及初步审核。</w:t>
      </w:r>
    </w:p>
    <w:p>
      <w:pPr>
        <w:keepNext/>
        <w:keepLines/>
        <w:widowControl w:val="0"/>
        <w:snapToGrid/>
        <w:spacing w:before="340" w:after="330" w:line="360" w:lineRule="auto"/>
        <w:ind w:left="0" w:right="0"/>
        <w:jc w:val="left"/>
        <w:outlineLvl w:val="9"/>
        <w:rPr>
          <w:rFonts w:ascii="Times New Roman" w:hAnsi="Times New Roman" w:eastAsia="宋体" w:cs="Times New Roman"/>
          <w:b/>
          <w:bCs/>
          <w:color w:val="auto"/>
          <w:kern w:val="44"/>
          <w:sz w:val="44"/>
          <w:szCs w:val="44"/>
          <w:lang w:val="en-US" w:eastAsia="zh-CN" w:bidi="ar-SA"/>
        </w:rPr>
      </w:pPr>
      <w:r>
        <w:rPr>
          <w:rFonts w:ascii="宋体" w:hAnsi="宋体" w:eastAsia="宋体" w:cs="宋体"/>
          <w:b/>
          <w:bCs/>
          <w:i w:val="0"/>
          <w:strike w:val="0"/>
          <w:color w:val="auto"/>
          <w:kern w:val="44"/>
          <w:sz w:val="21"/>
          <w:szCs w:val="44"/>
          <w:u w:val="none"/>
          <w:lang w:val="en-US" w:eastAsia="zh-CN" w:bidi="ar-SA"/>
        </w:rPr>
        <w:t>4.3发包方管理中心职责</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4.3.1负责监督检查委托人的监理管理行为。</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4.3.2负责制订和修订本工作指引。</w:t>
      </w:r>
    </w:p>
    <w:p>
      <w:pPr>
        <w:keepNext/>
        <w:keepLines/>
        <w:widowControl w:val="0"/>
        <w:snapToGrid/>
        <w:spacing w:before="340" w:after="330" w:line="360" w:lineRule="auto"/>
        <w:ind w:left="0" w:right="0"/>
        <w:jc w:val="left"/>
        <w:outlineLvl w:val="9"/>
        <w:rPr>
          <w:rFonts w:ascii="Times New Roman" w:hAnsi="Times New Roman" w:eastAsia="宋体" w:cs="Times New Roman"/>
          <w:b/>
          <w:bCs/>
          <w:color w:val="auto"/>
          <w:kern w:val="44"/>
          <w:sz w:val="44"/>
          <w:szCs w:val="44"/>
          <w:lang w:val="en-US" w:eastAsia="zh-CN" w:bidi="ar-SA"/>
        </w:rPr>
      </w:pPr>
      <w:r>
        <w:rPr>
          <w:rFonts w:ascii="宋体" w:hAnsi="宋体" w:eastAsia="宋体" w:cs="宋体"/>
          <w:b/>
          <w:bCs/>
          <w:i w:val="0"/>
          <w:strike w:val="0"/>
          <w:color w:val="auto"/>
          <w:kern w:val="44"/>
          <w:sz w:val="21"/>
          <w:szCs w:val="44"/>
          <w:u w:val="none"/>
          <w:lang w:val="en-US" w:eastAsia="zh-CN" w:bidi="ar-SA"/>
        </w:rPr>
        <w:t>4.4工作关系</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4.4.1监理人的日常工作要求由委托人安排，履约能力与业务能力考核、奖励、处罚由委托人负责。</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4.4.2施工单位有权对监理人的工作态度、作风、能力及廉洁自律等向委托人提出意见。</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4.4.3监理人应配合委托人对项目进行质量、安全、进度监督检查工作，项目发生的国家规定的一般质量、安全事故及以上等级的质量、安全问题需及时向委托人汇报。</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4.4.4本工作指引与项目监理服务合同、监理规划（实施细则）、建设工程监理规范以及相关行政法规等相关要求，均包含在监理单位的合同责任内。</w:t>
      </w:r>
    </w:p>
    <w:p>
      <w:pPr>
        <w:keepNext/>
        <w:keepLines/>
        <w:widowControl w:val="0"/>
        <w:snapToGrid/>
        <w:spacing w:before="340" w:after="330" w:line="240" w:lineRule="auto"/>
        <w:ind w:left="0" w:right="0"/>
        <w:jc w:val="left"/>
        <w:outlineLvl w:val="9"/>
        <w:rPr>
          <w:rFonts w:ascii="Times New Roman" w:hAnsi="Times New Roman" w:eastAsia="宋体" w:cs="Times New Roman"/>
          <w:b/>
          <w:bCs/>
          <w:color w:val="auto"/>
          <w:kern w:val="44"/>
          <w:sz w:val="44"/>
          <w:szCs w:val="44"/>
          <w:lang w:val="en-US" w:eastAsia="zh-CN" w:bidi="ar-SA"/>
        </w:rPr>
      </w:pPr>
      <w:r>
        <w:rPr>
          <w:rFonts w:ascii="宋体" w:hAnsi="宋体" w:eastAsia="宋体" w:cs="宋体"/>
          <w:b/>
          <w:bCs/>
          <w:i w:val="0"/>
          <w:strike w:val="0"/>
          <w:color w:val="auto"/>
          <w:kern w:val="44"/>
          <w:sz w:val="21"/>
          <w:szCs w:val="44"/>
          <w:u w:val="none"/>
          <w:lang w:val="en-US" w:eastAsia="zh-CN" w:bidi="ar-SA"/>
        </w:rPr>
        <w:t>5.现场监理主要工作内容</w:t>
      </w:r>
    </w:p>
    <w:p>
      <w:pPr>
        <w:keepNext/>
        <w:keepLines/>
        <w:widowControl w:val="0"/>
        <w:snapToGrid/>
        <w:spacing w:before="340" w:after="330" w:line="240" w:lineRule="auto"/>
        <w:ind w:left="0" w:right="0"/>
        <w:jc w:val="left"/>
        <w:outlineLvl w:val="9"/>
        <w:rPr>
          <w:rFonts w:ascii="Times New Roman" w:hAnsi="Times New Roman" w:eastAsia="宋体" w:cs="Times New Roman"/>
          <w:b/>
          <w:bCs/>
          <w:color w:val="auto"/>
          <w:kern w:val="44"/>
          <w:sz w:val="44"/>
          <w:szCs w:val="44"/>
          <w:lang w:val="en-US" w:eastAsia="zh-CN" w:bidi="ar-SA"/>
        </w:rPr>
      </w:pPr>
      <w:r>
        <w:rPr>
          <w:rFonts w:ascii="宋体" w:hAnsi="宋体" w:eastAsia="宋体" w:cs="宋体"/>
          <w:b/>
          <w:bCs/>
          <w:i w:val="0"/>
          <w:strike w:val="0"/>
          <w:color w:val="auto"/>
          <w:kern w:val="44"/>
          <w:sz w:val="21"/>
          <w:szCs w:val="44"/>
          <w:u w:val="none"/>
          <w:lang w:val="en-US" w:eastAsia="zh-CN" w:bidi="ar-SA"/>
        </w:rPr>
        <w:t>5.1编制监理规划、实施细则与实施</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5.1.1监理人进场前，委托人根据项目特点，提出监理工作的具体要求，明确监理工作的控制重点及关键工序。</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5.1.2监理人针对委托人对工程项目提出的监理要求，编制《监理规划》、《监理实施细则》，确定具体的工作制度、程序、方法和措施，明确监控措施及目标值，报委托人审批。现场监理应严格按照委托人批准的监理规划、细则开展监理工作。</w:t>
      </w:r>
    </w:p>
    <w:p>
      <w:pPr>
        <w:keepNext/>
        <w:keepLines/>
        <w:widowControl w:val="0"/>
        <w:snapToGrid/>
        <w:spacing w:before="340" w:after="330" w:line="360" w:lineRule="auto"/>
        <w:ind w:left="0" w:right="0"/>
        <w:jc w:val="left"/>
        <w:outlineLvl w:val="9"/>
        <w:rPr>
          <w:rFonts w:ascii="Times New Roman" w:hAnsi="Times New Roman" w:eastAsia="宋体" w:cs="Times New Roman"/>
          <w:b/>
          <w:bCs/>
          <w:color w:val="auto"/>
          <w:kern w:val="44"/>
          <w:sz w:val="44"/>
          <w:szCs w:val="44"/>
          <w:lang w:val="en-US" w:eastAsia="zh-CN" w:bidi="ar-SA"/>
        </w:rPr>
      </w:pPr>
      <w:r>
        <w:rPr>
          <w:rFonts w:ascii="宋体" w:hAnsi="宋体" w:eastAsia="宋体" w:cs="宋体"/>
          <w:b/>
          <w:bCs/>
          <w:i w:val="0"/>
          <w:strike w:val="0"/>
          <w:color w:val="auto"/>
          <w:kern w:val="44"/>
          <w:sz w:val="21"/>
          <w:szCs w:val="44"/>
          <w:u w:val="none"/>
          <w:lang w:val="en-US" w:eastAsia="zh-CN" w:bidi="ar-SA"/>
        </w:rPr>
        <w:t>5.2编制和实施旁站监理方案</w:t>
      </w:r>
    </w:p>
    <w:p>
      <w:pPr>
        <w:snapToGrid w:val="0"/>
        <w:spacing w:before="0" w:after="0" w:line="360" w:lineRule="auto"/>
        <w:ind w:left="0" w:right="74" w:firstLine="48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rPr>
        <w:t>5.2.1 旁站监理是施工质量监管的重要手段之一，现场监理必须对工程关键部位、关键工序的全过程实施旁站监理。现场监理须根据住建部《房屋建筑工程施工旁站监理管理办法》及项目工程特点要求，编制旁站监理方案，报委托人审批后严格按方案执行。旁站资料必须完整、及时，并明确责任人，项目部应对现场监理人员旁站监理执行情况及资料归档情况加强管理，进行定期与不定期检查。</w:t>
      </w:r>
    </w:p>
    <w:p>
      <w:pPr>
        <w:snapToGrid w:val="0"/>
        <w:spacing w:before="0" w:after="0" w:line="360" w:lineRule="auto"/>
        <w:ind w:left="0" w:right="74" w:firstLine="48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rPr>
        <w:t>5.2.2 实施旁站监理的各分项工程，施工单位应提前24小时向监理人申报施工申请，总监签认申请表并安排旁站监理人员。</w:t>
      </w:r>
    </w:p>
    <w:p>
      <w:pPr>
        <w:snapToGrid w:val="0"/>
        <w:spacing w:before="0" w:after="0" w:line="360" w:lineRule="auto"/>
        <w:ind w:left="0" w:right="74" w:firstLine="48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rPr>
        <w:t>5.2.3 旁站监理人员及时处理出现的质量问题，并作好记录。发现施工单位违反工程建设强制性标准行为的，应责令其立即整改，必要时签发《监理工程师通知单》，并将所发现的问题及处理过程记入监理日记；发现其活动已经或可能危及工程质量的，应及时向总监理工程师报告，需局部暂停施工的由总监理工程师向委托人经理报告，征得委托人经理同意后下达局部暂停施工指令或者采取其他应急措施。</w:t>
      </w:r>
    </w:p>
    <w:p>
      <w:pPr>
        <w:snapToGrid w:val="0"/>
        <w:spacing w:before="0" w:after="0" w:line="360" w:lineRule="auto"/>
        <w:ind w:left="0" w:right="74" w:firstLine="48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rPr>
        <w:t>5.2.4 凡旁站监理人员和施工单位质检员未在旁站监理记录上签字的，不得进行下一道工序施工。应旁站监理的关键部位、关键工序施工，无旁站监理或者无旁站记录的，监理工程师或总监理工程师不得在相关文件上签字。</w:t>
      </w:r>
    </w:p>
    <w:p>
      <w:pPr>
        <w:snapToGrid w:val="0"/>
        <w:spacing w:before="0" w:after="0" w:line="360" w:lineRule="auto"/>
        <w:ind w:left="0" w:right="74" w:firstLine="48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rPr>
        <w:t>5.2.5 委托人主管工程师对旁站工作进行抽查。监理人旁站重点为涉及结构安全的部位以及这些部位的关键工序、隐蔽工程的隐蔽过程、下道工序施工完成后难以检查的重点部位等（需重点旁站监理的工程及工序包括但不限于附件1《需重点旁站监理的工程或工序清单》所列项目），上述都需监理编制实施细则并实行旁站监理。</w:t>
      </w:r>
    </w:p>
    <w:p>
      <w:pPr>
        <w:keepNext/>
        <w:keepLines/>
        <w:widowControl w:val="0"/>
        <w:snapToGrid/>
        <w:spacing w:before="340" w:after="330" w:line="360" w:lineRule="auto"/>
        <w:ind w:left="0" w:right="0"/>
        <w:jc w:val="left"/>
        <w:outlineLvl w:val="9"/>
        <w:rPr>
          <w:rFonts w:ascii="Times New Roman" w:hAnsi="Times New Roman" w:eastAsia="宋体" w:cs="Times New Roman"/>
          <w:b/>
          <w:bCs/>
          <w:color w:val="auto"/>
          <w:kern w:val="44"/>
          <w:sz w:val="44"/>
          <w:szCs w:val="44"/>
          <w:lang w:val="en-US" w:eastAsia="zh-CN" w:bidi="ar-SA"/>
        </w:rPr>
      </w:pPr>
      <w:r>
        <w:rPr>
          <w:rFonts w:ascii="宋体" w:hAnsi="宋体" w:eastAsia="宋体" w:cs="宋体"/>
          <w:b/>
          <w:bCs/>
          <w:i w:val="0"/>
          <w:strike w:val="0"/>
          <w:color w:val="auto"/>
          <w:kern w:val="44"/>
          <w:sz w:val="21"/>
          <w:szCs w:val="44"/>
          <w:u w:val="none"/>
          <w:lang w:val="en-US" w:eastAsia="zh-CN" w:bidi="ar-SA"/>
        </w:rPr>
        <w:t>5.3 组织项目施工图纸审查</w:t>
      </w:r>
    </w:p>
    <w:p>
      <w:pPr>
        <w:snapToGrid w:val="0"/>
        <w:spacing w:before="0" w:after="0" w:line="360" w:lineRule="auto"/>
        <w:ind w:left="0" w:right="74" w:firstLine="48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rPr>
        <w:t>5.3.1 现场监理须全面负责组织工程设计图纸审查工作，并提供优化建议和审查意见。在各施工单位投标过程中、开工前、施工过程中现场监理应对各专业的全部施工图纸进行全面细致的审查，要求形成定期审图机制，施工过程中由监理人定期组织施工单位开展，委托人参与，监理人定期汇总图审意见并编制书面的图纸审查报告及减少投资和功能优化的修改设计建议。</w:t>
      </w:r>
    </w:p>
    <w:p>
      <w:pPr>
        <w:keepNext/>
        <w:keepLines/>
        <w:widowControl w:val="0"/>
        <w:snapToGrid/>
        <w:spacing w:before="340" w:after="330" w:line="360" w:lineRule="auto"/>
        <w:ind w:left="0" w:right="0"/>
        <w:jc w:val="left"/>
        <w:outlineLvl w:val="9"/>
        <w:rPr>
          <w:rFonts w:ascii="Times New Roman" w:hAnsi="Times New Roman" w:eastAsia="宋体" w:cs="Times New Roman"/>
          <w:b/>
          <w:bCs/>
          <w:color w:val="auto"/>
          <w:kern w:val="44"/>
          <w:sz w:val="44"/>
          <w:szCs w:val="44"/>
          <w:lang w:val="en-US" w:eastAsia="zh-CN" w:bidi="ar-SA"/>
        </w:rPr>
      </w:pPr>
      <w:r>
        <w:rPr>
          <w:rFonts w:ascii="宋体" w:hAnsi="宋体" w:eastAsia="宋体" w:cs="宋体"/>
          <w:b/>
          <w:bCs/>
          <w:i w:val="0"/>
          <w:strike w:val="0"/>
          <w:color w:val="auto"/>
          <w:kern w:val="44"/>
          <w:sz w:val="21"/>
          <w:szCs w:val="44"/>
          <w:u w:val="none"/>
          <w:lang w:val="en-US" w:eastAsia="zh-CN" w:bidi="ar-SA"/>
        </w:rPr>
        <w:t>5.4施工组织设计、施工方案审批</w:t>
      </w:r>
    </w:p>
    <w:p>
      <w:pPr>
        <w:snapToGrid w:val="0"/>
        <w:spacing w:before="0" w:after="0" w:line="360" w:lineRule="auto"/>
        <w:ind w:left="0" w:right="74" w:firstLine="48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rPr>
        <w:t>5.4.1 施工单位进场后，监理人应要求其将工程重点部位、关键工序、特殊工序施工方法和质量保证措施以及施工组织设计方案上报，总监理工程师对方案进行审核，提出具体审核意见并应附上监理措施，报委托人同意后批复回施工单位，监督施工单位按批准的方案施工，发现问题应及时解决。</w:t>
      </w:r>
    </w:p>
    <w:p>
      <w:pPr>
        <w:snapToGrid w:val="0"/>
        <w:spacing w:before="0" w:after="0" w:line="360" w:lineRule="auto"/>
        <w:ind w:left="0" w:right="74" w:firstLine="48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rPr>
        <w:t>5.4.2 重要施工组织设计和施工方案，由总监理工程师组织召开审定会，邀请委托人、设计管理部及设计单位参加，必要时可通知相关单位并组织专家组参加，对重要施工技术方案的选用进行评审。</w:t>
      </w:r>
    </w:p>
    <w:p>
      <w:pPr>
        <w:keepNext/>
        <w:keepLines/>
        <w:widowControl w:val="0"/>
        <w:snapToGrid/>
        <w:spacing w:before="340" w:after="330" w:line="360" w:lineRule="auto"/>
        <w:ind w:left="0" w:right="0"/>
        <w:jc w:val="left"/>
        <w:outlineLvl w:val="9"/>
        <w:rPr>
          <w:rFonts w:ascii="Times New Roman" w:hAnsi="Times New Roman" w:eastAsia="宋体" w:cs="Times New Roman"/>
          <w:b/>
          <w:bCs/>
          <w:color w:val="auto"/>
          <w:kern w:val="44"/>
          <w:sz w:val="44"/>
          <w:szCs w:val="44"/>
          <w:lang w:val="en-US" w:eastAsia="zh-CN" w:bidi="ar-SA"/>
        </w:rPr>
      </w:pPr>
      <w:r>
        <w:rPr>
          <w:rFonts w:ascii="宋体" w:hAnsi="宋体" w:eastAsia="宋体" w:cs="宋体"/>
          <w:b/>
          <w:bCs/>
          <w:i w:val="0"/>
          <w:strike w:val="0"/>
          <w:color w:val="auto"/>
          <w:kern w:val="44"/>
          <w:sz w:val="21"/>
          <w:szCs w:val="44"/>
          <w:u w:val="none"/>
          <w:lang w:val="en-US" w:eastAsia="zh-CN" w:bidi="ar-SA"/>
        </w:rPr>
        <w:t>5.5组织召开监理周例会及专题会议</w:t>
      </w:r>
    </w:p>
    <w:p>
      <w:pPr>
        <w:snapToGrid w:val="0"/>
        <w:spacing w:before="0" w:after="0" w:line="360" w:lineRule="auto"/>
        <w:ind w:left="0" w:right="74" w:firstLine="48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rPr>
        <w:t>5.5.1 现场监理应每周定期召开监理例会，会议由总监理工程师主持，由委托人、监理、总（大）包、各分包等主要人员参加，会议应对上周生产情况进行检讨、协调并解决施工单位待解决问题、布置下周生产任务等，会后须形成《监理工地例会纪要》（详见附件2），由总监理工程师及委托人经理审核、签发，由现场监理监督实施。监理例会纪要应在监理周例会后的24小时内下发。</w:t>
      </w:r>
    </w:p>
    <w:p>
      <w:pPr>
        <w:snapToGrid w:val="0"/>
        <w:spacing w:before="0" w:after="0" w:line="360" w:lineRule="auto"/>
        <w:ind w:left="0" w:right="74" w:firstLine="48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rPr>
        <w:t>5.5.2 按项目发展需要组织召开专题会议，会议应解决特定的进度、质量、安全问题，并形成会议纪要；</w:t>
      </w:r>
    </w:p>
    <w:p>
      <w:pPr>
        <w:snapToGrid w:val="0"/>
        <w:spacing w:before="0" w:after="0" w:line="360" w:lineRule="auto"/>
        <w:ind w:left="0" w:right="74" w:firstLine="48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rPr>
        <w:t>5.5.3 监理应在会议前做充分的沟通、策划和准备，有序主持会议流程，维护正常会议纪律, 并力争达成会议目的。</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5.5.4 监理例会议题：</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 xml:space="preserve">①、检查上次例会决事项的落实情况，分析未完事项的原因。 </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 xml:space="preserve">②、检查工程施工进度计划完成情况，分析施工进度滞后或超前的原因。 </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③、确定下一阶段进度目标，研究、落实施工单位实现进度目标的措施。</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 xml:space="preserve">④、材料、构配件和设备供应情况及有在的质量问题和改进要求。  </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⑤、工程的质量和技术方面的有关问题，明确主要改进措施。</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 xml:space="preserve">⑥、分包单位的管理及协调问题。 </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⑦、工程变更的主要问题。</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⑧、其他有关事宜。</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5.5.5监理例会议程：</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①、施工单位汇报：上周施工计划完成情况及未完成的原因，上周施工质量情况、安全生产情况、现场管理情况，下周施工计划安排及保证措施，需要甲方、监理解决的问题。</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②、各专业监理工程师汇报：对上周的施工进度、施工质量、施工安全、施工主要材料、设备及现场管理、文明施工等提出评价，对下周的施工计划、施工质量、施工安全、现场管理提出意见和建议。</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③、委托人：对上周的施工情况进行讲评，对下周的施工情况提出要求，对施工中的重点问题作出指示，对承包单位、监理单位提出的意见和建议给予答复。</w:t>
      </w:r>
    </w:p>
    <w:p>
      <w:pPr>
        <w:snapToGrid w:val="0"/>
        <w:spacing w:before="0" w:after="0" w:line="360" w:lineRule="auto"/>
        <w:ind w:left="0" w:right="74" w:firstLine="48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rPr>
        <w:t>④、总监理工程师做会议小结：综合大家的意见对上周的施工计划、施工质量、施工安全及施工现场管理进行点评，对下周的施工计划进行确认，对施工中的重要问题进行强调并提出要求。</w:t>
      </w:r>
    </w:p>
    <w:p>
      <w:pPr>
        <w:keepNext/>
        <w:keepLines/>
        <w:widowControl w:val="0"/>
        <w:snapToGrid/>
        <w:spacing w:before="340" w:after="330" w:line="360" w:lineRule="auto"/>
        <w:ind w:left="0" w:right="0"/>
        <w:jc w:val="left"/>
        <w:outlineLvl w:val="9"/>
        <w:rPr>
          <w:rFonts w:ascii="Times New Roman" w:hAnsi="Times New Roman" w:eastAsia="宋体" w:cs="Times New Roman"/>
          <w:b/>
          <w:bCs/>
          <w:color w:val="auto"/>
          <w:kern w:val="44"/>
          <w:sz w:val="44"/>
          <w:szCs w:val="44"/>
          <w:lang w:val="en-US" w:eastAsia="zh-CN" w:bidi="ar-SA"/>
        </w:rPr>
      </w:pPr>
      <w:r>
        <w:rPr>
          <w:rFonts w:ascii="宋体" w:hAnsi="宋体" w:eastAsia="宋体" w:cs="宋体"/>
          <w:b/>
          <w:bCs/>
          <w:i w:val="0"/>
          <w:strike w:val="0"/>
          <w:color w:val="auto"/>
          <w:kern w:val="44"/>
          <w:sz w:val="21"/>
          <w:szCs w:val="44"/>
          <w:u w:val="none"/>
          <w:lang w:val="en-US" w:eastAsia="zh-CN" w:bidi="ar-SA"/>
        </w:rPr>
        <w:t>5.6测量放线控制</w:t>
      </w:r>
    </w:p>
    <w:p>
      <w:pPr>
        <w:snapToGrid w:val="0"/>
        <w:spacing w:before="0" w:after="0" w:line="360" w:lineRule="auto"/>
        <w:ind w:left="0" w:right="74" w:firstLine="48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rPr>
        <w:t>5.6.1 监理人必须配备熟练测量工作及要求的工程师，对施工单位报送的测量放线控制成果及保护措施进行复核、检查，要求如下：</w:t>
      </w:r>
    </w:p>
    <w:p>
      <w:pPr>
        <w:snapToGrid w:val="0"/>
        <w:spacing w:before="0" w:after="0" w:line="360" w:lineRule="auto"/>
        <w:ind w:left="0" w:right="74" w:firstLine="48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rPr>
        <w:t>①、检查施工单位专职测量人员资格证书及测量设备检定证书。</w:t>
      </w:r>
    </w:p>
    <w:p>
      <w:pPr>
        <w:snapToGrid w:val="0"/>
        <w:spacing w:before="0" w:after="0" w:line="360" w:lineRule="auto"/>
        <w:ind w:left="0" w:right="74" w:firstLine="48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rPr>
        <w:t>②、工程开工前，审查施工单位测量仪器的校准证书，审批其提交的测量方案。</w:t>
      </w:r>
    </w:p>
    <w:p>
      <w:pPr>
        <w:snapToGrid w:val="0"/>
        <w:spacing w:before="0" w:after="0" w:line="360" w:lineRule="auto"/>
        <w:ind w:left="0" w:right="74" w:firstLine="48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rPr>
        <w:t>③、土方开挖前，测量场地标高，并对有关方签署资料存档。复核工程控制桩的校核成果、控制桩的保护措施、平面控制网、高程控制网、临时水准点的测量成果，并办理验收手续。</w:t>
      </w:r>
    </w:p>
    <w:p>
      <w:pPr>
        <w:snapToGrid w:val="0"/>
        <w:spacing w:before="0" w:after="0" w:line="360" w:lineRule="auto"/>
        <w:ind w:left="0" w:right="74" w:firstLine="48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rPr>
        <w:t>④、基础垫层完成后，复核轴线,单位工程开工时须进行基准点检测，施工过程中必须进行轴线测放和垂直度观测等。</w:t>
      </w:r>
    </w:p>
    <w:p>
      <w:pPr>
        <w:keepNext/>
        <w:keepLines/>
        <w:widowControl w:val="0"/>
        <w:snapToGrid/>
        <w:spacing w:before="340" w:after="330" w:line="360" w:lineRule="auto"/>
        <w:ind w:left="0" w:right="0"/>
        <w:jc w:val="left"/>
        <w:outlineLvl w:val="9"/>
        <w:rPr>
          <w:rFonts w:ascii="Times New Roman" w:hAnsi="Times New Roman" w:eastAsia="宋体" w:cs="Times New Roman"/>
          <w:b/>
          <w:bCs/>
          <w:color w:val="auto"/>
          <w:kern w:val="44"/>
          <w:sz w:val="44"/>
          <w:szCs w:val="44"/>
          <w:lang w:val="en-US" w:eastAsia="zh-CN" w:bidi="ar-SA"/>
        </w:rPr>
      </w:pPr>
      <w:r>
        <w:rPr>
          <w:rFonts w:ascii="宋体" w:hAnsi="宋体" w:eastAsia="宋体" w:cs="宋体"/>
          <w:b/>
          <w:bCs/>
          <w:i w:val="0"/>
          <w:strike w:val="0"/>
          <w:color w:val="auto"/>
          <w:kern w:val="44"/>
          <w:sz w:val="21"/>
          <w:szCs w:val="44"/>
          <w:u w:val="none"/>
          <w:lang w:val="en-US" w:eastAsia="zh-CN" w:bidi="ar-SA"/>
        </w:rPr>
        <w:t>5.7组织施工材料及设备验收</w:t>
      </w:r>
    </w:p>
    <w:p>
      <w:pPr>
        <w:snapToGrid w:val="0"/>
        <w:spacing w:before="0" w:after="0" w:line="360" w:lineRule="auto"/>
        <w:ind w:left="0" w:right="74" w:firstLine="48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rPr>
        <w:t>5.7.1 监理单位应对照施工合同的材料备选清单、根据相关的法律法规及规范等要求，验收甲供、甲指乙供、乙供物资等所有涉及现场施工所采购的材料。材料分批进场的，每批均必须验收，发现质量不符合合同规定或国家、地方标准的，应责令施工单位在24h内将材料运离现场，同时将不合格事项书面通知委托人，不得隐瞒。</w:t>
      </w:r>
    </w:p>
    <w:p>
      <w:pPr>
        <w:snapToGrid w:val="0"/>
        <w:spacing w:before="0" w:after="0" w:line="360" w:lineRule="auto"/>
        <w:ind w:left="0" w:right="74" w:firstLine="48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rPr>
        <w:t>5.7.2材料进场验收手续齐全，做好见证取样送检工作，质量证明资料与实物核验符合设计及规范要求。发现存在不及时或未经批准的材料在使用时，监理应采取措施制止施工单位继续使用。材料见证取样样本必须由监理工程师或见证员在每批进场的材料中随机抽取，不得使用供货单位提供的样本。</w:t>
      </w:r>
    </w:p>
    <w:p>
      <w:pPr>
        <w:snapToGrid w:val="0"/>
        <w:spacing w:before="0" w:after="0" w:line="360" w:lineRule="auto"/>
        <w:ind w:left="0" w:right="74" w:firstLine="48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rPr>
        <w:t>5.7.3监理单位对施工现场使用不合格或与合同不相符的材料、设备承担连带责任。</w:t>
      </w:r>
    </w:p>
    <w:p>
      <w:pPr>
        <w:keepNext/>
        <w:keepLines/>
        <w:widowControl w:val="0"/>
        <w:snapToGrid/>
        <w:spacing w:before="340" w:after="330" w:line="360" w:lineRule="auto"/>
        <w:ind w:left="0" w:right="0"/>
        <w:jc w:val="left"/>
        <w:outlineLvl w:val="9"/>
        <w:rPr>
          <w:rFonts w:ascii="Times New Roman" w:hAnsi="Times New Roman" w:eastAsia="宋体" w:cs="Times New Roman"/>
          <w:b/>
          <w:bCs/>
          <w:color w:val="auto"/>
          <w:kern w:val="44"/>
          <w:sz w:val="44"/>
          <w:szCs w:val="44"/>
          <w:lang w:val="en-US" w:eastAsia="zh-CN" w:bidi="ar-SA"/>
        </w:rPr>
      </w:pPr>
      <w:r>
        <w:rPr>
          <w:rFonts w:ascii="宋体" w:hAnsi="宋体" w:eastAsia="宋体" w:cs="宋体"/>
          <w:b/>
          <w:bCs/>
          <w:i w:val="0"/>
          <w:strike w:val="0"/>
          <w:color w:val="auto"/>
          <w:kern w:val="44"/>
          <w:sz w:val="21"/>
          <w:szCs w:val="44"/>
          <w:u w:val="none"/>
          <w:lang w:val="en-US" w:eastAsia="zh-CN" w:bidi="ar-SA"/>
        </w:rPr>
        <w:t>5.8 参加“三检制”、停止点验收</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5.8.1监理工程师应清楚监理控制程序、工程质量控制标准，掌握工程现场情况及有关数据，满足工程施工中对各项工序、参数的理解和需求。</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5.8.2施工中存在质量问题，能够及时发现并进行处理，及时安排处理并复查，重大质量问题不得隐瞒并私自处理。</w:t>
      </w:r>
    </w:p>
    <w:p>
      <w:pPr>
        <w:snapToGrid w:val="0"/>
        <w:spacing w:before="0" w:after="0" w:line="360" w:lineRule="auto"/>
        <w:ind w:left="0" w:right="74" w:firstLine="48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rPr>
        <w:t>5.8.3为了配合施工单位按计划完成施工任务，在施工过程中，监理工程师应加强过程检查、主动发现问题并敢于指出，对施工过程中明显违反施工规范、与图纸不符、有严重错误的问题，应及时指出，要求施工单位整改，必要时对有关问题签发监理通知，以减少工序验收时大量的返工。</w:t>
      </w:r>
    </w:p>
    <w:p>
      <w:pPr>
        <w:snapToGrid w:val="0"/>
        <w:spacing w:before="0" w:after="0" w:line="360" w:lineRule="auto"/>
        <w:ind w:left="0" w:right="74" w:firstLine="48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rPr>
        <w:t>5.8.4监理人参加施工单位申请的“三检制”检查验收工作，验收不合格的，督促施工单位进行整改直至达到合格标准；验收合格的，由监理人签署完善《“三检制”检查验收表》相关内容的填写工作，同时知会委托人工程师检查验收结果。经验收合格的工程，不得再有质量问题。</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5.8.5监理人参加施工单位申请的停止点检查验收工作，委托人在停止点验收时或随机抽查监理人验收结果，监理验收结果应与现场实际相符、验收记录真实。</w:t>
      </w:r>
    </w:p>
    <w:p>
      <w:pPr>
        <w:snapToGrid w:val="0"/>
        <w:spacing w:before="0" w:after="0" w:line="360" w:lineRule="auto"/>
        <w:ind w:left="0" w:right="0" w:firstLineChars="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 xml:space="preserve">    5.8.6隐蔽工程须由监理单位组织隐蔽验收，依据设计图纸、规程规范确认工程质量符合要求签认后，施工单位才可对工程隐蔽或进行下一工序施工，并隐蔽验收记录资料进行备案。</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5.8.7 未经监理验收，擅自隐蔽或进行下一道工序，监理人可对此部分工程不予验收或要求无条件返工，费用由责任单位承担，同时给予严厉处罚。若委托人在隐蔽工程验收或随机抽查中发现监理人验收结果与现场实际不符、隐蔽工程资料伪造等情况，应根据相关建筑法规及情节轻重对责任方处以重罚。</w:t>
      </w:r>
    </w:p>
    <w:p>
      <w:pPr>
        <w:keepNext/>
        <w:keepLines/>
        <w:widowControl w:val="0"/>
        <w:snapToGrid/>
        <w:spacing w:before="340" w:after="330" w:line="360" w:lineRule="auto"/>
        <w:ind w:left="0" w:right="0"/>
        <w:jc w:val="left"/>
        <w:outlineLvl w:val="9"/>
        <w:rPr>
          <w:rFonts w:ascii="Times New Roman" w:hAnsi="Times New Roman" w:eastAsia="宋体" w:cs="Times New Roman"/>
          <w:b/>
          <w:bCs/>
          <w:color w:val="auto"/>
          <w:kern w:val="44"/>
          <w:sz w:val="44"/>
          <w:szCs w:val="44"/>
          <w:lang w:val="en-US" w:eastAsia="zh-CN" w:bidi="ar-SA"/>
        </w:rPr>
      </w:pPr>
      <w:r>
        <w:rPr>
          <w:rFonts w:ascii="宋体" w:hAnsi="宋体" w:eastAsia="宋体" w:cs="宋体"/>
          <w:b/>
          <w:bCs/>
          <w:i w:val="0"/>
          <w:strike w:val="0"/>
          <w:color w:val="auto"/>
          <w:kern w:val="44"/>
          <w:sz w:val="21"/>
          <w:szCs w:val="44"/>
          <w:u w:val="none"/>
          <w:lang w:val="en-US" w:eastAsia="zh-CN" w:bidi="ar-SA"/>
        </w:rPr>
        <w:t>5.9 工程实体实测实量</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5.9.1监理人严格执行质量过程控制措施，在过程控制及工程验收时，要按工程管理规定督促施工单位按100%进行实体实测实量，监理人按30%复测，委托人对施工、监理单位实测数据各复核15%。</w:t>
      </w:r>
    </w:p>
    <w:p>
      <w:pPr>
        <w:keepNext/>
        <w:keepLines/>
        <w:widowControl w:val="0"/>
        <w:snapToGrid/>
        <w:spacing w:before="340" w:after="330" w:line="360" w:lineRule="auto"/>
        <w:ind w:left="0" w:right="0"/>
        <w:jc w:val="left"/>
        <w:outlineLvl w:val="9"/>
        <w:rPr>
          <w:rFonts w:ascii="Times New Roman" w:hAnsi="Times New Roman" w:eastAsia="宋体" w:cs="Times New Roman"/>
          <w:b/>
          <w:bCs/>
          <w:color w:val="auto"/>
          <w:kern w:val="44"/>
          <w:sz w:val="44"/>
          <w:szCs w:val="44"/>
          <w:lang w:val="en-US" w:eastAsia="zh-CN" w:bidi="ar-SA"/>
        </w:rPr>
      </w:pPr>
      <w:r>
        <w:rPr>
          <w:rFonts w:ascii="宋体" w:hAnsi="宋体" w:eastAsia="宋体" w:cs="宋体"/>
          <w:b/>
          <w:bCs/>
          <w:i w:val="0"/>
          <w:strike w:val="0"/>
          <w:color w:val="auto"/>
          <w:kern w:val="44"/>
          <w:sz w:val="21"/>
          <w:szCs w:val="44"/>
          <w:u w:val="none"/>
          <w:lang w:val="en-US" w:eastAsia="zh-CN" w:bidi="ar-SA"/>
        </w:rPr>
        <w:t>5.10 组织分部分项验收</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5.10.1 分部分项工程施工完成后，应组织验收，合格后方能进行工作面移交或进入下一道工序施工。工序验收质量标准应严格遵守相关施工及验收规范，并对工作面移交隐患问题进行重点排查，验收中须对照《监理通知单》等过程监管文件对问题部位进行重点验收。验收后监理除做验收记录外，应针对遗留问题发出《整改通知单》并监督整改。</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5.10.2在工序交接验收中，交验方必须做到工完场清，工序交验的同时完成施工场地的移交，对验收合格的，监理人、委托人、交验方、接验方均需要《工序交接检查表》上签名确认。</w:t>
      </w:r>
    </w:p>
    <w:p>
      <w:pPr>
        <w:keepNext/>
        <w:keepLines/>
        <w:widowControl w:val="0"/>
        <w:snapToGrid/>
        <w:spacing w:before="340" w:after="330" w:line="360" w:lineRule="auto"/>
        <w:ind w:left="0" w:right="0"/>
        <w:jc w:val="left"/>
        <w:outlineLvl w:val="9"/>
        <w:rPr>
          <w:rFonts w:ascii="Times New Roman" w:hAnsi="Times New Roman" w:eastAsia="宋体" w:cs="Times New Roman"/>
          <w:b/>
          <w:bCs/>
          <w:color w:val="auto"/>
          <w:kern w:val="44"/>
          <w:sz w:val="44"/>
          <w:szCs w:val="44"/>
          <w:lang w:val="en-US" w:eastAsia="zh-CN" w:bidi="ar-SA"/>
        </w:rPr>
      </w:pPr>
      <w:r>
        <w:rPr>
          <w:rFonts w:ascii="宋体" w:hAnsi="宋体" w:eastAsia="宋体" w:cs="宋体"/>
          <w:b/>
          <w:bCs/>
          <w:i w:val="0"/>
          <w:strike w:val="0"/>
          <w:color w:val="auto"/>
          <w:kern w:val="44"/>
          <w:sz w:val="21"/>
          <w:szCs w:val="44"/>
          <w:u w:val="none"/>
          <w:lang w:val="en-US" w:eastAsia="zh-CN" w:bidi="ar-SA"/>
        </w:rPr>
        <w:t>5.11 进行安全文明施工管理</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5.11.1检查施工单位的安全生产责任制度、安全生产管理制度和相应的组织保证；审查施工组织设计和施工方案、施工技术措施时，同时审查施工安全措施。</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5.11.2组织每周现场安全、文明施工联合检查，并按需组织专项检查，须做好安全、文明施工检查记录，并书面记录检查结果和事故隐患整改情况。对检查过程中发现安全隐患应及时指出、限期整改、对违章操作应立即制止，并将整改结果上报委托人。</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5.11.3现场使用的机电设备特别是起重设备应保持良好的技术状态严禁带病运转。</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5.11.4做好日常安全监护及督促工作，所有人员应自觉遵守并严格执行安全文明管理制度，监理工程师对发现下述情况（但不限于以下安全文明施工情况），应按照要求提出整改直至制止：</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①、工程标牌未设置，或设置在不醒目位置，或发生破损未及时修复。</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②、施工现场成品、半成品及原材料未按规定堆放。</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③、施工现场扬尘、公共场所造成环境严重污染的噪音。</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④、发现生活区、办公区、施工区有随意倾倒垃圾现象，办公区域场地不定期打扫，损坏的设施不及时修复。发现生活区、职工集体宿舍、食堂违规使用电器，电线私拉乱接及未配设防火设备的。</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⑤、发现施工现场高空抛物或从高处倾倒物体。</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⑥、外墙脚手架未保持整洁、美观，发生破损，钢管、扣件、栏杆颜色标识不清楚，围墙及周边道路、工地出入口未保持清洁，绿化、广告、灯箱等发生破损未及时修复。</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⑦、施工单位未建立安全生产责任制，未落实安全生产的组织保证体系，安全员缺岗或不到位；施工单位安全管理台帐未及时建立并完善，未对施工作业人员进行安全生产教育或分部分项工程的安全技术交底，施工单位特种作业人员未持证上岗。</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⑧、施工现场消防设施未按要求配置的，施工脚手架未按规范搭设、报验不及时及未能满足安全防护要求的，现场安全帽、安全网、安全带等未按要求佩带或配置的，拒不整改。</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⑨、现场出入口、通道口、楼梯口、井道口、预留洞口、临边洞口、基坑边缘等容易发生坠落的地方未设置安全警示标志，临边防护未及时设置，现场塔吊、架桥机、吊车及其他施工机具未按要求配备有效的保险、限位等安全设施和装置或超过质检期违规使用的。</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⑩、施工现场用电设备、配电箱、开关箱未采用TN-S接零保护系统，未实行三级配电、两级保护系统，施工电缆随意拖拉，未架空或埋地，接头未保护，绝缘层有破损，现场用电设备漏电保护装置未按要求配置或失灵的。</w:t>
      </w:r>
    </w:p>
    <w:p>
      <w:pPr>
        <w:keepNext/>
        <w:keepLines/>
        <w:widowControl w:val="0"/>
        <w:snapToGrid/>
        <w:spacing w:before="340" w:after="330" w:line="360" w:lineRule="auto"/>
        <w:ind w:left="0" w:right="0"/>
        <w:jc w:val="left"/>
        <w:outlineLvl w:val="9"/>
        <w:rPr>
          <w:rFonts w:ascii="Times New Roman" w:hAnsi="Times New Roman" w:eastAsia="宋体" w:cs="Times New Roman"/>
          <w:b/>
          <w:bCs/>
          <w:color w:val="auto"/>
          <w:kern w:val="44"/>
          <w:sz w:val="44"/>
          <w:szCs w:val="44"/>
          <w:lang w:val="en-US" w:eastAsia="zh-CN" w:bidi="ar-SA"/>
        </w:rPr>
      </w:pPr>
      <w:r>
        <w:rPr>
          <w:rFonts w:ascii="宋体" w:hAnsi="宋体" w:eastAsia="宋体" w:cs="宋体"/>
          <w:b/>
          <w:bCs/>
          <w:i w:val="0"/>
          <w:strike w:val="0"/>
          <w:color w:val="auto"/>
          <w:kern w:val="44"/>
          <w:sz w:val="21"/>
          <w:szCs w:val="44"/>
          <w:u w:val="none"/>
          <w:lang w:val="en-US" w:eastAsia="zh-CN" w:bidi="ar-SA"/>
        </w:rPr>
        <w:t>5.12 组织项目周评估</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5.12.1 现场监理进场后应及时组织进行工程管理作业指引的学习与交底，配置测量仪器开展项目周评估工作，负责周评估的抽查和记录以及问题跟踪整改整理。按工作指引及相关规定对工程材料、工程实体进行实测实量，并对测量结果负责，项目部对实测数据进行抽查，如发现未测或者造假应严肃处理。</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5.12.2 所有记录整理后监理人与施工单位签署《整改通知书》整改建议单并跟进整改直至闭合。</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5.12.3 现场监理应每周一之前向委托人提交其负责监理项目上一周的《项目质量安全检查周报》。</w:t>
      </w:r>
    </w:p>
    <w:p>
      <w:pPr>
        <w:keepNext/>
        <w:keepLines/>
        <w:widowControl w:val="0"/>
        <w:snapToGrid/>
        <w:spacing w:before="340" w:after="330" w:line="360" w:lineRule="auto"/>
        <w:ind w:left="0" w:right="0"/>
        <w:jc w:val="left"/>
        <w:outlineLvl w:val="9"/>
        <w:rPr>
          <w:rFonts w:ascii="Times New Roman" w:hAnsi="Times New Roman" w:eastAsia="宋体" w:cs="Times New Roman"/>
          <w:b/>
          <w:bCs/>
          <w:color w:val="auto"/>
          <w:kern w:val="44"/>
          <w:sz w:val="44"/>
          <w:szCs w:val="44"/>
          <w:lang w:val="en-US" w:eastAsia="zh-CN" w:bidi="ar-SA"/>
        </w:rPr>
      </w:pPr>
      <w:r>
        <w:rPr>
          <w:rFonts w:ascii="宋体" w:hAnsi="宋体" w:eastAsia="宋体" w:cs="宋体"/>
          <w:b/>
          <w:bCs/>
          <w:i w:val="0"/>
          <w:strike w:val="0"/>
          <w:color w:val="auto"/>
          <w:kern w:val="44"/>
          <w:sz w:val="21"/>
          <w:szCs w:val="44"/>
          <w:u w:val="none"/>
          <w:lang w:val="en-US" w:eastAsia="zh-CN" w:bidi="ar-SA"/>
        </w:rPr>
        <w:t>5.13 配合项目部开展进度管理工作</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5.13.1进度管理由委托人主导，监理人须配合委托人工作部署和项目发展思路，执行交予的具体进度任务，准确完成进度检查、信息反馈、辅助约谈等管理行为，为委托人管理提供依据。</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5.13.2监理人须配合委托人施工进度要求, 根据总进度计划，要求施工单位提出各分部、分项工程的季度、月度的具体计划安排，组织各专业监理工程师审查其可行性并提出意见。</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5.13.3监理工程师审核施工单位按工程进度提交的形象进度和已完成工程量月报，对工程量增减变化的设计变更及工地洽商等内容执行情况审查，同时检查是否满足质量要求，如不合格不予签认并及时汇报委托人。</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5.13.4在施工过程中监理工程师每天必须深入工地，了解施工单位的工、料、机的投入情况，对进度计划滞后的工程提出分析意见，采取有效的控制措施，并督促实施。对严重影响进度的情况必须报告委托人。</w:t>
      </w:r>
    </w:p>
    <w:p>
      <w:pPr>
        <w:keepNext/>
        <w:keepLines/>
        <w:widowControl w:val="0"/>
        <w:snapToGrid/>
        <w:spacing w:before="340" w:after="330" w:line="360" w:lineRule="auto"/>
        <w:ind w:left="0" w:right="0"/>
        <w:jc w:val="left"/>
        <w:outlineLvl w:val="9"/>
        <w:rPr>
          <w:rFonts w:ascii="Times New Roman" w:hAnsi="Times New Roman" w:eastAsia="宋体" w:cs="Times New Roman"/>
          <w:b/>
          <w:bCs/>
          <w:color w:val="auto"/>
          <w:kern w:val="44"/>
          <w:sz w:val="44"/>
          <w:szCs w:val="44"/>
          <w:lang w:val="en-US" w:eastAsia="zh-CN" w:bidi="ar-SA"/>
        </w:rPr>
      </w:pPr>
      <w:r>
        <w:rPr>
          <w:rFonts w:ascii="宋体" w:hAnsi="宋体" w:eastAsia="宋体" w:cs="宋体"/>
          <w:b/>
          <w:bCs/>
          <w:i w:val="0"/>
          <w:strike w:val="0"/>
          <w:color w:val="auto"/>
          <w:kern w:val="44"/>
          <w:sz w:val="21"/>
          <w:szCs w:val="44"/>
          <w:u w:val="none"/>
          <w:lang w:val="en-US" w:eastAsia="zh-CN" w:bidi="ar-SA"/>
        </w:rPr>
        <w:t>5.14 参与或组织政府、本公司相关专项检查、巡检、验收</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5.14.1 监理人参与工程全过程管理，是五方责任主体的重要部分，对于政府所要求的专项验收行为，如质量安全监督站安全检查、结构验收、节能验收、质检/综合验收、消防验收等所有涉及现场施工安全、质量、材料等内容的验收和检查，监理人都应按政府要求出席或主持，监督施工单位做好资料准备，并承担相应管理责任。</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5.14.2监理人参加每月委托人组织的月度综合评估，并就评估发现的问题监督施工单位整改直至闭合。</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5.14.3监理人参加每季度工程管理中心组织的季度综合评估，并就评估发现的问题监督施工单位整改直至闭合。</w:t>
      </w:r>
    </w:p>
    <w:p>
      <w:pPr>
        <w:keepNext/>
        <w:keepLines/>
        <w:widowControl w:val="0"/>
        <w:snapToGrid/>
        <w:spacing w:before="340" w:after="330" w:line="360" w:lineRule="auto"/>
        <w:ind w:left="0" w:right="0"/>
        <w:jc w:val="left"/>
        <w:outlineLvl w:val="9"/>
        <w:rPr>
          <w:rFonts w:ascii="Times New Roman" w:hAnsi="Times New Roman" w:eastAsia="宋体" w:cs="Times New Roman"/>
          <w:b/>
          <w:bCs/>
          <w:color w:val="auto"/>
          <w:kern w:val="44"/>
          <w:sz w:val="44"/>
          <w:szCs w:val="44"/>
          <w:lang w:val="en-US" w:eastAsia="zh-CN" w:bidi="ar-SA"/>
        </w:rPr>
      </w:pPr>
      <w:r>
        <w:rPr>
          <w:rFonts w:ascii="宋体" w:hAnsi="宋体" w:eastAsia="宋体" w:cs="宋体"/>
          <w:b/>
          <w:bCs/>
          <w:i w:val="0"/>
          <w:strike w:val="0"/>
          <w:color w:val="auto"/>
          <w:kern w:val="44"/>
          <w:sz w:val="21"/>
          <w:szCs w:val="44"/>
          <w:u w:val="none"/>
          <w:lang w:val="en-US" w:eastAsia="zh-CN" w:bidi="ar-SA"/>
        </w:rPr>
        <w:t>5.15 参与项目交付及质量整改</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5.15.1 监理人参与工程全过程管理，参照《建筑工程五方责任主体项目负责人质量终身责任追究暂行办法》（建质[2014]124号文），其对项目交付期间产品质量及后续质量问题处理负有重要管理责任。项目交付前监理人应协助委托人监督施工单位完成质量整改，交付期间应协助委托人与施工单位共同面对房屋质量投诉，并有义务监督施工单位完成投诉质量问题整改。</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5.15.2监理人参与由委托人在项目交付前组织的分户验收，并跟踪分户验收时发现的问题整改直至闭合。</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5.15.3 在交付期间及交付后，若项目发生重大质量（如涉及结构安全、普遍漏水等）问题及投诉，不论监理服务期是否到期，均需无条件返回项目共同处理。</w:t>
      </w:r>
    </w:p>
    <w:p>
      <w:pPr>
        <w:keepNext/>
        <w:keepLines/>
        <w:widowControl w:val="0"/>
        <w:snapToGrid/>
        <w:spacing w:before="340" w:after="330" w:line="360" w:lineRule="auto"/>
        <w:ind w:left="0" w:right="0"/>
        <w:jc w:val="left"/>
        <w:outlineLvl w:val="9"/>
        <w:rPr>
          <w:rFonts w:ascii="Times New Roman" w:hAnsi="Times New Roman" w:eastAsia="宋体" w:cs="Times New Roman"/>
          <w:b/>
          <w:bCs/>
          <w:color w:val="auto"/>
          <w:kern w:val="44"/>
          <w:sz w:val="44"/>
          <w:szCs w:val="44"/>
          <w:lang w:val="en-US" w:eastAsia="zh-CN" w:bidi="ar-SA"/>
        </w:rPr>
      </w:pPr>
      <w:r>
        <w:rPr>
          <w:rFonts w:ascii="宋体" w:hAnsi="宋体" w:eastAsia="宋体" w:cs="宋体"/>
          <w:b/>
          <w:bCs/>
          <w:i w:val="0"/>
          <w:strike w:val="0"/>
          <w:color w:val="auto"/>
          <w:kern w:val="44"/>
          <w:sz w:val="21"/>
          <w:szCs w:val="44"/>
          <w:u w:val="none"/>
          <w:lang w:val="en-US" w:eastAsia="zh-CN" w:bidi="ar-SA"/>
        </w:rPr>
        <w:t>5.16 提交工程建设监理档案资料</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5.16.1 建设监理业务完成后，现场监理应按照监理合同约定的时间和内容向委托人提交工程建设监理档案资料。</w:t>
      </w:r>
    </w:p>
    <w:p>
      <w:pPr>
        <w:keepNext/>
        <w:keepLines/>
        <w:widowControl w:val="0"/>
        <w:snapToGrid/>
        <w:spacing w:before="340" w:after="330" w:line="360" w:lineRule="auto"/>
        <w:ind w:left="0" w:right="0"/>
        <w:jc w:val="left"/>
        <w:outlineLvl w:val="9"/>
        <w:rPr>
          <w:rFonts w:ascii="Times New Roman" w:hAnsi="Times New Roman" w:eastAsia="宋体" w:cs="Times New Roman"/>
          <w:b/>
          <w:bCs/>
          <w:color w:val="auto"/>
          <w:kern w:val="44"/>
          <w:sz w:val="44"/>
          <w:szCs w:val="44"/>
          <w:lang w:val="en-US" w:eastAsia="zh-CN" w:bidi="ar-SA"/>
        </w:rPr>
      </w:pPr>
      <w:r>
        <w:rPr>
          <w:rFonts w:ascii="宋体" w:hAnsi="宋体" w:eastAsia="宋体" w:cs="宋体"/>
          <w:b/>
          <w:bCs/>
          <w:i w:val="0"/>
          <w:strike w:val="0"/>
          <w:color w:val="auto"/>
          <w:kern w:val="44"/>
          <w:sz w:val="21"/>
          <w:szCs w:val="44"/>
          <w:u w:val="none"/>
          <w:lang w:val="en-US" w:eastAsia="zh-CN" w:bidi="ar-SA"/>
        </w:rPr>
        <w:t>6.内业管理</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6.1 现场监理须填写监理日志，详细记录日常工作。要求监理日志必须认真记录、存档，尤其对质量、安全、进度等关键事件必须进行记录，监理日志作为有效的法律文件，必须具备真实性、可追溯性。委托人应不定期对监理日志进行抽查。</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6.2 监理人办公场所应保持整洁，监理规划和实施细则要点、工程形象进度表、现场平面布置图等资料要求上墙。监理人应配备一套现行最新版工程规范（纸质、电子版均可）。</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6.3现场监理所报资料格式必须统一，页眉包含有监理公司名称（质监站、城建档案馆备案资料除外）。</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6.4 施工单位报给监理单位审核、审批的技术资料、工程往来文件等，监理人的审核、审批期限原则上不得超过七天。超过七天而无合理理由的，施工单位有权利向委托人反映。</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6.5 监理人须设专人跟踪检查施工单位技术资料，以使技术资料的整理与工程进度同步。工程竣工后，应督促施工单位提交技术资料，经审核后，由施工单位向相关部门移交。</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6.6 监理单位积极组织图纸会审、施工技术交底，参加建设单位组织的合约交底会议，对图纸设计和施工工艺中存在的问题及时提交意见和建议。</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6.7 监理人须组织专业监理工程师对施工单位的施工组织设计（或专项施工技术方案）进行审查，并将审查意见书面报给委托人。</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6.8监理人除按《建设工程监理规范》程序对现场进行验收，签署工程档案资料，还必须严格按发包方工程管理行为的表格认真、真实的签署意见，并对验收部位留存影像资料。</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6.9 监理人须参加单位工程竣工验收，按照建设局竣工验收及备案工作的有关规定，填写《工程质量评估报告》、《单位工程观感质量评分表》等。</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6.10 专业监理工程师及监理员须每周一向委托人主管工程师报送上周《监理工程师工作周报表》（详见附件11）。</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6.11 监理人须每月5日前向委托人报送上月《监理工作月报》。《监理工作月报》应真实反映工程现状、监理工作情况、做到数据准确、重点突出、语言简练并附必要的图表。监理人不提供《监理工作月报》或提供的《监理工作月报》不合格，将采取适当的处罚措施，根据情况扣减当月部分监理费。《监理工作月报》应包括以下主要内容：</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一、进度控制</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1）本月完成：实际进度与计划进度的比较，施工单位人、机、料进场及使用情况，本期在施部位的工程照片等。</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2）下月计划</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3）进度的主要问题及对策</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二、质量控制</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1）质量情况：分部分项工程验收情况，工程材料、设备、构配件进场检验情况，主要施工、试验情况，本月工程质量分析。</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2）施工队伍质量评价</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3）质量文件</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4）质量专题会议</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5）不合格报告</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6）质量的主要问题及对策</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三、安全文明施工管理</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1）安全文明施工情况</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2）专题会议或专项检查情况</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3）安全文明施工的主要问题及对策</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四、工程材料、设备管理</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1）工程材料、设备质量监控</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2）工程材料、设备进场</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3）主要问题及对策</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五、需各方协调备忘</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六、监理组织情况</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七、气象数据</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6.12监理人对施工单位发出或确认的所有文件（包括工程量、成本、进度等），应得到委托人认可。应防止监理工程师擅自发出或确认文件，监理人对施工单位的所有发文须抄送委托人。当施工出现了重大安全隐患或工程质量出现的缺陷可能引发工程质量、安全事故时，监理工程师应通知委托人征得同意后方可向施工单位发出《工程暂停令》。对于违反施工合同的施工单位监理人拥有处罚建议权。</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6.13监理人应重视竣工验收资料管理，交档资料清单及要求具体应以各地档案馆要求为准，须加强资料的日常收集和整理，定期对施工单位过程存档资料进行检查，确保资料的真实性、规范性；在竣工备案前应及时完成监理部应移交资料，并监督施工单位按时完成竣工资料、档案馆存档资料的整理和移交。所有最终资料（含监理、施工单位部分，至少三套）须在项目竣工备案后完整的移交委托人存档。</w:t>
      </w:r>
    </w:p>
    <w:p>
      <w:pPr>
        <w:keepNext/>
        <w:keepLines/>
        <w:widowControl w:val="0"/>
        <w:snapToGrid/>
        <w:spacing w:before="340" w:after="330" w:line="360" w:lineRule="auto"/>
        <w:ind w:left="0" w:right="0"/>
        <w:jc w:val="left"/>
        <w:outlineLvl w:val="9"/>
        <w:rPr>
          <w:rFonts w:ascii="Times New Roman" w:hAnsi="Times New Roman" w:eastAsia="宋体" w:cs="Times New Roman"/>
          <w:b/>
          <w:bCs/>
          <w:color w:val="auto"/>
          <w:kern w:val="44"/>
          <w:sz w:val="44"/>
          <w:szCs w:val="44"/>
          <w:lang w:val="en-US" w:eastAsia="zh-CN" w:bidi="ar-SA"/>
        </w:rPr>
      </w:pPr>
      <w:r>
        <w:rPr>
          <w:rFonts w:ascii="宋体" w:hAnsi="宋体" w:eastAsia="宋体" w:cs="宋体"/>
          <w:b/>
          <w:bCs/>
          <w:i w:val="0"/>
          <w:strike w:val="0"/>
          <w:color w:val="auto"/>
          <w:kern w:val="44"/>
          <w:sz w:val="21"/>
          <w:szCs w:val="44"/>
          <w:u w:val="none"/>
          <w:lang w:val="en-US" w:eastAsia="zh-CN" w:bidi="ar-SA"/>
        </w:rPr>
        <w:t>7.人员及办公设备管理</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7.1现场监理人员佩戴的安全帽须颜色统一，统一着装，并印有监理公司名称。</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7.2 现场监理进驻现场七天内须将其现场监理部的组织架构、人员资历（含监理资格证书）、《监理人员配置表》（详见附件13）、《监理人员分工表》（详见附件14）等报送委托人。委托人应尽快安排监理人员能力考核答辩会并于七天内给予书面答复。如委托人对现场监理人的工作人员有调整、更换意见，现场监理须在七天内将调整、更换的名单再报给委托人，经委托人考核通过后予以更换。根据《建设工程监理规范》要求，对于派驻现场的监理人，应作为现场管理体系的一部分，纳入委托人的质量管理体系。7.3 现场监理须按照委托人要求的组织架构配备人员并分配到各个标段，各标段委托人主管工程师与相应监理人员形成一个标段管理团队，标段监理人员除完成监理单位日常工作外还应该配合委托人标段主管工程师进行日常的工程管理工作。</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7.4 随着工程形象进度不同，现场监理需要调整工作人员时，应至少提前七天将调整计划报给委托人；新进监理人员须经过项目部考核答辩通过后方可开展工作。</w:t>
      </w:r>
    </w:p>
    <w:p>
      <w:pPr>
        <w:snapToGrid w:val="0"/>
        <w:spacing w:before="0" w:after="0" w:line="360" w:lineRule="auto"/>
        <w:ind w:left="0" w:right="0" w:firstLine="420" w:firstLineChars="200"/>
        <w:jc w:val="both"/>
        <w:outlineLvl w:val="9"/>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7.5现场监理原则上不允许因自身原因更换总监及总监代表。如经委托人认定确需更换的，必须提前七天将拟任命人员的资历文件报给委托人审批。未经审批的人员不得进入现场监理人工作，原总监及总监代表不得离岗。</w:t>
      </w:r>
    </w:p>
    <w:p>
      <w:pPr>
        <w:snapToGrid w:val="0"/>
        <w:spacing w:before="0" w:after="0" w:line="360" w:lineRule="auto"/>
        <w:ind w:left="0" w:right="0" w:firstLine="420" w:firstLineChars="200"/>
        <w:jc w:val="both"/>
        <w:rPr>
          <w:rFonts w:hint="eastAsia" w:ascii="宋体" w:hAnsi="宋体" w:cs="宋体"/>
          <w:i w:val="0"/>
          <w:strike w:val="0"/>
          <w:color w:val="auto"/>
          <w:sz w:val="21"/>
          <w:u w:val="none"/>
          <w:vertAlign w:val="baseline"/>
          <w:lang w:eastAsia="zh-CN"/>
        </w:rPr>
      </w:pPr>
      <w:r>
        <w:rPr>
          <w:rFonts w:ascii="宋体" w:hAnsi="宋体" w:eastAsia="宋体" w:cs="宋体"/>
          <w:i w:val="0"/>
          <w:strike w:val="0"/>
          <w:color w:val="auto"/>
          <w:sz w:val="21"/>
          <w:u w:val="none"/>
          <w:vertAlign w:val="baseline"/>
        </w:rPr>
        <w:t>7.6 委托人可要求现场监理对其未尽职或不称职的工作人员进行警告、处罚、撤换等处理</w:t>
      </w:r>
      <w:r>
        <w:rPr>
          <w:rFonts w:hint="eastAsia" w:ascii="宋体" w:hAnsi="宋体" w:cs="宋体"/>
          <w:i w:val="0"/>
          <w:strike w:val="0"/>
          <w:color w:val="auto"/>
          <w:sz w:val="21"/>
          <w:u w:val="none"/>
          <w:vertAlign w:val="baseline"/>
          <w:lang w:eastAsia="zh-CN"/>
        </w:rPr>
        <w:t>，</w:t>
      </w:r>
      <w:r>
        <w:rPr>
          <w:rFonts w:ascii="宋体" w:hAnsi="宋体" w:eastAsia="宋体" w:cs="宋体"/>
          <w:i w:val="0"/>
          <w:strike w:val="0"/>
          <w:color w:val="auto"/>
          <w:sz w:val="21"/>
          <w:u w:val="none"/>
          <w:vertAlign w:val="baseline"/>
        </w:rPr>
        <w:t>对总监理工程师的警告或撤换指令由</w:t>
      </w:r>
      <w:r>
        <w:rPr>
          <w:rFonts w:hint="eastAsia" w:ascii="宋体" w:hAnsi="宋体" w:cs="宋体"/>
          <w:i w:val="0"/>
          <w:strike w:val="0"/>
          <w:color w:val="auto"/>
          <w:sz w:val="21"/>
          <w:u w:val="none"/>
          <w:vertAlign w:val="baseline"/>
          <w:lang w:val="en-US" w:eastAsia="zh-CN"/>
        </w:rPr>
        <w:t>委托人</w:t>
      </w:r>
      <w:r>
        <w:rPr>
          <w:rFonts w:ascii="宋体" w:hAnsi="宋体" w:eastAsia="宋体" w:cs="宋体"/>
          <w:i w:val="0"/>
          <w:strike w:val="0"/>
          <w:color w:val="auto"/>
          <w:sz w:val="21"/>
          <w:u w:val="none"/>
          <w:vertAlign w:val="baseline"/>
        </w:rPr>
        <w:t>提出</w:t>
      </w:r>
      <w:r>
        <w:rPr>
          <w:rFonts w:hint="eastAsia" w:ascii="宋体" w:hAnsi="宋体" w:cs="宋体"/>
          <w:i w:val="0"/>
          <w:strike w:val="0"/>
          <w:color w:val="auto"/>
          <w:sz w:val="21"/>
          <w:u w:val="none"/>
          <w:vertAlign w:val="baseline"/>
          <w:lang w:eastAsia="zh-CN"/>
        </w:rPr>
        <w:t>。</w:t>
      </w:r>
    </w:p>
    <w:p>
      <w:pPr>
        <w:snapToGrid w:val="0"/>
        <w:spacing w:before="0" w:after="0" w:line="360" w:lineRule="auto"/>
        <w:ind w:left="0" w:right="0" w:firstLine="420" w:firstLineChars="200"/>
        <w:jc w:val="both"/>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7.7监理工程师应注意维护监理形象，遵守项目现场各项管理制度；不准互相推诿、无理拒绝或拖延本职工作；对现场存在的质量问题、安全隐患应及时发现并及时发出整改通知单。</w:t>
      </w:r>
    </w:p>
    <w:p>
      <w:pPr>
        <w:snapToGrid w:val="0"/>
        <w:spacing w:before="0" w:after="0" w:line="360" w:lineRule="auto"/>
        <w:ind w:left="0" w:right="0" w:firstLine="420" w:firstLineChars="200"/>
        <w:jc w:val="both"/>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7.8监理工程师在没有收到书面验收通知的情况下，每天应根据施工现场的施工状态进行检查，检查下列情况但不限于以下情况：</w:t>
      </w:r>
    </w:p>
    <w:p>
      <w:pPr>
        <w:snapToGrid w:val="0"/>
        <w:spacing w:before="0" w:after="0" w:line="360" w:lineRule="auto"/>
        <w:ind w:left="0" w:right="0" w:firstLine="420" w:firstLineChars="200"/>
        <w:jc w:val="both"/>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①、检查施工单位现场质检人员的到岗、特殊工种人员持证上岗及施工机械、建筑材料的准备情况。</w:t>
      </w:r>
    </w:p>
    <w:p>
      <w:pPr>
        <w:snapToGrid w:val="0"/>
        <w:spacing w:before="0" w:after="0" w:line="360" w:lineRule="auto"/>
        <w:ind w:left="0" w:right="0" w:firstLine="420" w:firstLineChars="200"/>
        <w:jc w:val="both"/>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②、关键部位、关键工序的施工是否执行了已获批准的施工组织设计、方案以及工程建设强制性标准。</w:t>
      </w:r>
    </w:p>
    <w:p>
      <w:pPr>
        <w:snapToGrid w:val="0"/>
        <w:spacing w:before="0" w:after="0" w:line="360" w:lineRule="auto"/>
        <w:ind w:left="0" w:right="0" w:firstLine="420" w:firstLineChars="200"/>
        <w:jc w:val="both"/>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③、核查进场建筑材料、构配件、设备和商品砼的质量检验报告等，并可在现场监督施工单位进行检验。</w:t>
      </w:r>
    </w:p>
    <w:p>
      <w:pPr>
        <w:snapToGrid w:val="0"/>
        <w:spacing w:before="0" w:after="0" w:line="360" w:lineRule="auto"/>
        <w:ind w:left="0" w:right="0" w:firstLine="420" w:firstLineChars="200"/>
        <w:jc w:val="both"/>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 xml:space="preserve">④、施工操作人员的技术水平、操作条件是否满足工艺操作要求。 </w:t>
      </w:r>
    </w:p>
    <w:p>
      <w:pPr>
        <w:snapToGrid w:val="0"/>
        <w:spacing w:before="0" w:after="0" w:line="360" w:lineRule="auto"/>
        <w:ind w:left="0" w:right="0" w:firstLine="420" w:firstLineChars="200"/>
        <w:jc w:val="both"/>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⑤、正在施工的部位或工序是否存在质量缺陷或质量隐患。对较大质量问题或隐患，监理工程师宜采取录相、摄影等手段予以记录。</w:t>
      </w:r>
    </w:p>
    <w:p>
      <w:pPr>
        <w:snapToGrid w:val="0"/>
        <w:spacing w:before="0" w:after="0" w:line="360" w:lineRule="auto"/>
        <w:ind w:left="0" w:right="0" w:firstLine="420" w:firstLineChars="200"/>
        <w:jc w:val="both"/>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⑥、监理工程师在巡视和旁站过程中要善于及时发现问题并对其予以纠正。一旦发现问题，应先口头通知施工单位要求其改正，必要时签发《监理工程师通知单》，并将所发现的问题及处理过程记入监理日记。当施工出现了重大安全隐患或工程质量出现的缺陷可能引发工程质量、安全事故时，监理工程师应通知委托人征得同意后要求工程暂停施工。要求监理人每周下发不少于壹份关于现场管理、质量、安全文明施工、进度等方面责令施工单位进行整改的《监理工程师通知单》。</w:t>
      </w:r>
    </w:p>
    <w:p>
      <w:pPr>
        <w:snapToGrid w:val="0"/>
        <w:spacing w:before="0" w:after="0" w:line="360" w:lineRule="auto"/>
        <w:ind w:left="0" w:right="0" w:firstLine="420" w:firstLineChars="200"/>
        <w:jc w:val="both"/>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⑦、监理人应严格工序报验制度，对施工单位报验的工序，监理工程师首先检查施工方自检资料，齐全后再进行工序验收；关键部位或工序应履行签字验收程序方可进入下道施工。</w:t>
      </w:r>
    </w:p>
    <w:p>
      <w:pPr>
        <w:snapToGrid w:val="0"/>
        <w:spacing w:before="0" w:after="0" w:line="360" w:lineRule="auto"/>
        <w:ind w:left="0" w:right="0" w:firstLine="420" w:firstLineChars="200"/>
        <w:jc w:val="both"/>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7.9监理人自行配备办公电脑、数码相机、检查工具、文件柜、复印机和生活用品。</w:t>
      </w:r>
    </w:p>
    <w:p>
      <w:pPr>
        <w:keepNext/>
        <w:keepLines/>
        <w:widowControl w:val="0"/>
        <w:snapToGrid/>
        <w:spacing w:before="340" w:after="330" w:line="360" w:lineRule="auto"/>
        <w:ind w:left="0" w:right="0"/>
        <w:jc w:val="left"/>
        <w:outlineLvl w:val="9"/>
        <w:rPr>
          <w:rFonts w:ascii="Times New Roman" w:hAnsi="Times New Roman" w:eastAsia="宋体" w:cs="Times New Roman"/>
          <w:b/>
          <w:bCs/>
          <w:color w:val="auto"/>
          <w:kern w:val="44"/>
          <w:sz w:val="44"/>
          <w:szCs w:val="44"/>
          <w:lang w:val="en-US" w:eastAsia="zh-CN" w:bidi="ar-SA"/>
        </w:rPr>
      </w:pPr>
      <w:r>
        <w:rPr>
          <w:rFonts w:ascii="宋体" w:hAnsi="宋体" w:eastAsia="宋体" w:cs="宋体"/>
          <w:b/>
          <w:bCs/>
          <w:i w:val="0"/>
          <w:strike w:val="0"/>
          <w:color w:val="auto"/>
          <w:kern w:val="44"/>
          <w:sz w:val="21"/>
          <w:szCs w:val="44"/>
          <w:u w:val="none"/>
          <w:lang w:val="en-US" w:eastAsia="zh-CN" w:bidi="ar-SA"/>
        </w:rPr>
        <w:t>8.考勤管理</w:t>
      </w:r>
    </w:p>
    <w:p>
      <w:pPr>
        <w:snapToGrid w:val="0"/>
        <w:spacing w:before="0" w:after="0" w:line="360" w:lineRule="auto"/>
        <w:ind w:left="0" w:right="0" w:firstLine="420" w:firstLineChars="200"/>
        <w:jc w:val="both"/>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8.1现场监理人员须每天到场并打卡考勤，不允许代打卡，否则责任双方均按旷工处理，并接受委托人每个月度考勤的检查。</w:t>
      </w:r>
    </w:p>
    <w:p>
      <w:pPr>
        <w:snapToGrid w:val="0"/>
        <w:spacing w:before="0" w:after="0" w:line="360" w:lineRule="auto"/>
        <w:ind w:left="0" w:right="0" w:firstLine="420" w:firstLineChars="200"/>
        <w:jc w:val="both"/>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8.2 现场监理人员须专职于本项目，不得兼职其它项目。</w:t>
      </w:r>
    </w:p>
    <w:p>
      <w:pPr>
        <w:snapToGrid w:val="0"/>
        <w:spacing w:before="0" w:after="0" w:line="360" w:lineRule="auto"/>
        <w:ind w:left="0" w:right="0" w:firstLine="420" w:firstLineChars="200"/>
        <w:jc w:val="both"/>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8.3 总监理工程师离岗时间两天以内的，向</w:t>
      </w:r>
      <w:r>
        <w:rPr>
          <w:rFonts w:hint="eastAsia" w:ascii="宋体" w:hAnsi="宋体" w:cs="宋体"/>
          <w:i w:val="0"/>
          <w:strike w:val="0"/>
          <w:color w:val="auto"/>
          <w:sz w:val="21"/>
          <w:u w:val="none"/>
          <w:vertAlign w:val="baseline"/>
          <w:lang w:val="en-US" w:eastAsia="zh-CN"/>
        </w:rPr>
        <w:t>委托人</w:t>
      </w:r>
      <w:r>
        <w:rPr>
          <w:rFonts w:ascii="宋体" w:hAnsi="宋体" w:eastAsia="宋体" w:cs="宋体"/>
          <w:i w:val="0"/>
          <w:strike w:val="0"/>
          <w:color w:val="auto"/>
          <w:sz w:val="21"/>
          <w:u w:val="none"/>
          <w:vertAlign w:val="baseline"/>
        </w:rPr>
        <w:t>请假；离岗两天以上的，须以书面形式向</w:t>
      </w:r>
      <w:r>
        <w:rPr>
          <w:rFonts w:hint="eastAsia" w:ascii="宋体" w:hAnsi="宋体" w:cs="宋体"/>
          <w:i w:val="0"/>
          <w:strike w:val="0"/>
          <w:color w:val="auto"/>
          <w:sz w:val="21"/>
          <w:u w:val="none"/>
          <w:vertAlign w:val="baseline"/>
          <w:lang w:val="en-US" w:eastAsia="zh-CN"/>
        </w:rPr>
        <w:t>委托人</w:t>
      </w:r>
      <w:r>
        <w:rPr>
          <w:rFonts w:ascii="宋体" w:hAnsi="宋体" w:eastAsia="宋体" w:cs="宋体"/>
          <w:i w:val="0"/>
          <w:strike w:val="0"/>
          <w:color w:val="auto"/>
          <w:sz w:val="21"/>
          <w:u w:val="none"/>
          <w:vertAlign w:val="baseline"/>
        </w:rPr>
        <w:t>递交申请，获得批准前不得擅自离岗。</w:t>
      </w:r>
    </w:p>
    <w:p>
      <w:pPr>
        <w:snapToGrid w:val="0"/>
        <w:spacing w:before="0" w:after="0" w:line="360" w:lineRule="auto"/>
        <w:ind w:left="0" w:right="0" w:firstLine="420" w:firstLineChars="200"/>
        <w:jc w:val="both"/>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8.4 监理工程师离岗时间在半天以内的，须向委托人主管工程师请假；离岗时间在半天以上的，须以书面形式向地产项目经理递交申请，获得批准前不得擅自离岗。</w:t>
      </w:r>
    </w:p>
    <w:p>
      <w:pPr>
        <w:snapToGrid w:val="0"/>
        <w:spacing w:before="0" w:after="0" w:line="360" w:lineRule="auto"/>
        <w:ind w:left="0" w:right="0" w:firstLine="420" w:firstLineChars="200"/>
        <w:jc w:val="both"/>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8.5 现场监理部的作息时间须与委托人保持一致，工作日常规工作时间以外，在整个监理期内晚间须有人值班，如根据项目发展需要或在项目部要求时应适当增加值班人员，不得因监理人员不在场而耽误正常施工进度。</w:t>
      </w:r>
    </w:p>
    <w:p>
      <w:pPr>
        <w:snapToGrid w:val="0"/>
        <w:spacing w:before="0" w:after="0" w:line="360" w:lineRule="auto"/>
        <w:ind w:left="0" w:right="0" w:firstLine="420" w:firstLineChars="200"/>
        <w:jc w:val="both"/>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8.6 委托人因工作需要在休息日安排工作的，监理人必须安排人员加班，加班人数可适当减少。休息日未安排工作的，监理人亦应安排人员值班。如因工作需要，与之相关的非值班人员也必须到场。值班表报委托人和施工单位。</w:t>
      </w:r>
    </w:p>
    <w:p>
      <w:pPr>
        <w:snapToGrid w:val="0"/>
        <w:spacing w:before="0" w:after="0" w:line="360" w:lineRule="auto"/>
        <w:ind w:left="0" w:right="0" w:firstLine="420" w:firstLineChars="200"/>
        <w:jc w:val="both"/>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8.7监理工程师工作期间不得无故离岗、迟到、早退、酗酒，如有特殊情况需向委托人主管及以上管理人员请假。</w:t>
      </w:r>
    </w:p>
    <w:p>
      <w:pPr>
        <w:snapToGrid w:val="0"/>
        <w:spacing w:before="0" w:after="0" w:line="360" w:lineRule="auto"/>
        <w:ind w:left="0" w:right="0" w:firstLine="420" w:firstLineChars="200"/>
        <w:jc w:val="both"/>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8.8监理项目负责人必须长驻工地现场，总监理工程师和总监代表需保持24小时通讯畅通。如有特殊情况需要暂时离开工地，必须向委托人主管及以上管理人员请假并获批准，请假期间仍应保持24小时通讯畅通。</w:t>
      </w:r>
    </w:p>
    <w:p>
      <w:pPr>
        <w:keepNext/>
        <w:keepLines/>
        <w:widowControl w:val="0"/>
        <w:snapToGrid/>
        <w:spacing w:before="340" w:after="330" w:line="360" w:lineRule="auto"/>
        <w:ind w:left="0" w:right="0"/>
        <w:jc w:val="left"/>
        <w:outlineLvl w:val="9"/>
        <w:rPr>
          <w:rFonts w:ascii="Times New Roman" w:hAnsi="Times New Roman" w:eastAsia="宋体" w:cs="Times New Roman"/>
          <w:b/>
          <w:bCs/>
          <w:color w:val="auto"/>
          <w:kern w:val="44"/>
          <w:sz w:val="44"/>
          <w:szCs w:val="44"/>
          <w:lang w:val="en-US" w:eastAsia="zh-CN" w:bidi="ar-SA"/>
        </w:rPr>
      </w:pPr>
      <w:r>
        <w:rPr>
          <w:rFonts w:ascii="宋体" w:hAnsi="宋体" w:eastAsia="宋体" w:cs="宋体"/>
          <w:b/>
          <w:bCs/>
          <w:i w:val="0"/>
          <w:strike w:val="0"/>
          <w:color w:val="auto"/>
          <w:kern w:val="44"/>
          <w:sz w:val="21"/>
          <w:szCs w:val="44"/>
          <w:u w:val="none"/>
          <w:lang w:val="en-US" w:eastAsia="zh-CN" w:bidi="ar-SA"/>
        </w:rPr>
        <w:t>9.现场监理考评管理</w:t>
      </w:r>
    </w:p>
    <w:p>
      <w:pPr>
        <w:snapToGrid w:val="0"/>
        <w:spacing w:before="0" w:after="0" w:line="360" w:lineRule="auto"/>
        <w:ind w:left="0" w:right="0" w:firstLine="420" w:firstLineChars="200"/>
        <w:jc w:val="both"/>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9.1 现场监理须接受项目部的工作监督管理和考评；总监理工程师须按发包方项目经理要求开展工作，并接受其监督管理和考评；监理工程师须按委托人主管工程师要求开展工作，并接受其监督管理和考评。</w:t>
      </w:r>
    </w:p>
    <w:p>
      <w:pPr>
        <w:snapToGrid w:val="0"/>
        <w:spacing w:before="0" w:after="0" w:line="360" w:lineRule="auto"/>
        <w:ind w:left="0" w:right="0" w:firstLine="420" w:firstLineChars="200"/>
        <w:jc w:val="both"/>
        <w:rPr>
          <w:rFonts w:ascii="宋体" w:hAnsi="宋体" w:eastAsia="宋体" w:cs="宋体"/>
          <w:i w:val="0"/>
          <w:strike w:val="0"/>
          <w:color w:val="auto"/>
          <w:sz w:val="21"/>
          <w:u w:val="none"/>
          <w:vertAlign w:val="baseline"/>
        </w:rPr>
      </w:pPr>
      <w:r>
        <w:rPr>
          <w:rFonts w:ascii="宋体" w:hAnsi="宋体" w:eastAsia="宋体" w:cs="宋体"/>
          <w:i w:val="0"/>
          <w:strike w:val="0"/>
          <w:color w:val="auto"/>
          <w:sz w:val="21"/>
          <w:u w:val="none"/>
          <w:vertAlign w:val="baseline"/>
        </w:rPr>
        <w:t>9.2 监理人未按监理服务合同和监理规划（实施细则）要求履行质量管控的，项目部有权视情节轻重</w:t>
      </w:r>
    </w:p>
    <w:p>
      <w:pPr>
        <w:snapToGrid w:val="0"/>
        <w:spacing w:before="0" w:after="0" w:line="360" w:lineRule="auto"/>
        <w:ind w:left="0" w:right="0" w:firstLine="0" w:firstLineChars="0"/>
        <w:jc w:val="both"/>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选择内部通报批评、要求撤换总监理工程师、向</w:t>
      </w:r>
      <w:r>
        <w:rPr>
          <w:rFonts w:hint="eastAsia" w:ascii="宋体" w:hAnsi="宋体" w:cs="宋体"/>
          <w:i w:val="0"/>
          <w:strike w:val="0"/>
          <w:color w:val="auto"/>
          <w:sz w:val="21"/>
          <w:u w:val="none"/>
          <w:vertAlign w:val="baseline"/>
          <w:lang w:val="en-US" w:eastAsia="zh-CN"/>
        </w:rPr>
        <w:t>委托人</w:t>
      </w:r>
      <w:r>
        <w:rPr>
          <w:rFonts w:ascii="宋体" w:hAnsi="宋体" w:eastAsia="宋体" w:cs="宋体"/>
          <w:i w:val="0"/>
          <w:strike w:val="0"/>
          <w:color w:val="auto"/>
          <w:sz w:val="21"/>
          <w:u w:val="none"/>
          <w:vertAlign w:val="baseline"/>
        </w:rPr>
        <w:t>提议中止监理服务合同等办法予以处理。</w:t>
      </w:r>
    </w:p>
    <w:p>
      <w:pPr>
        <w:snapToGrid w:val="0"/>
        <w:spacing w:before="0" w:after="0" w:line="360" w:lineRule="auto"/>
        <w:ind w:left="0" w:right="0" w:firstLine="420" w:firstLineChars="200"/>
        <w:jc w:val="both"/>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9.3监理工程师应熟悉工程图纸及设计变更的相关内容，了解法律法规的相关规定。监理工程师应熟悉掌握各项工程管理流程，并参加委托人培训、考试，接受委托人考核。</w:t>
      </w:r>
    </w:p>
    <w:p>
      <w:pPr>
        <w:snapToGrid w:val="0"/>
        <w:spacing w:before="0" w:after="0" w:line="360" w:lineRule="auto"/>
        <w:ind w:left="0" w:right="0" w:firstLine="420" w:firstLineChars="200"/>
        <w:jc w:val="both"/>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9.4 监理人未按本指引验收甲、乙供材料的，委托人有权视情节轻重选择撤换直接责任人、撤换总监理工程师、向城市公司总经理提议中止监理服务合同等办法予以处理。</w:t>
      </w:r>
    </w:p>
    <w:p>
      <w:pPr>
        <w:snapToGrid w:val="0"/>
        <w:spacing w:before="0" w:after="0" w:line="360" w:lineRule="auto"/>
        <w:ind w:left="0" w:right="0" w:firstLine="420" w:firstLineChars="200"/>
        <w:jc w:val="both"/>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9.5监理人发现施工单位提供的材料不符合要求，虽责令其将材料运离现场，但未向委托人报告的，由委托人通报批评。发现材料不符合要求，但默许施工单位使用，未造成公司损失或工程永久性质量缺陷的，撤换总监理工程师和直接责任人；造成公司损失或工程质量永久性缺陷的，由公司根据监理服务合同向监理单位索赔，并立即中止监理服务合同。</w:t>
      </w:r>
    </w:p>
    <w:p>
      <w:pPr>
        <w:snapToGrid w:val="0"/>
        <w:spacing w:before="0" w:after="0" w:line="360" w:lineRule="auto"/>
        <w:ind w:left="0" w:right="0" w:firstLine="420" w:firstLineChars="200"/>
        <w:jc w:val="both"/>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9.6监理人内业资料记录、整理不全面，在下次检查或考核中依然存在的，由委托人通报批评。委托人不定期对监理人的资料进行检查。</w:t>
      </w:r>
    </w:p>
    <w:p>
      <w:pPr>
        <w:snapToGrid w:val="0"/>
        <w:spacing w:before="0" w:after="0" w:line="360" w:lineRule="auto"/>
        <w:ind w:left="0" w:right="0" w:firstLine="420" w:firstLineChars="200"/>
        <w:jc w:val="both"/>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9.7 应由监理人审核、审批的资料积压时间过长而无合理理由的，由委托人责令监理部限期完成；在限期内未完成的，撤换直接责任人。</w:t>
      </w:r>
    </w:p>
    <w:p>
      <w:pPr>
        <w:snapToGrid w:val="0"/>
        <w:spacing w:before="0" w:after="0" w:line="360" w:lineRule="auto"/>
        <w:ind w:left="0" w:right="0" w:firstLine="420" w:firstLineChars="200"/>
        <w:jc w:val="both"/>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9.8 监理人员有索贿、故意刁难施工单位行为的，核实后撤换直接责任人；两次发生的，撤换总监理工程师；三次（含三次）以上的，可终止监理合同并追究监理单位法律责任。</w:t>
      </w:r>
    </w:p>
    <w:p>
      <w:pPr>
        <w:snapToGrid w:val="0"/>
        <w:spacing w:before="0" w:after="0" w:line="360" w:lineRule="auto"/>
        <w:ind w:left="0" w:right="0" w:firstLine="420" w:firstLineChars="200"/>
        <w:jc w:val="both"/>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9.9 监理人在工作时间内人员不齐，工作纪律松懈，人员经常迟到早退，或在非常规工作时间未安排人员值班的，委托人有权视情节轻重选择口头警告、撤换直接责任人、撤换总监理工程师等办法予以处理。</w:t>
      </w:r>
    </w:p>
    <w:p>
      <w:pPr>
        <w:snapToGrid w:val="0"/>
        <w:spacing w:before="0" w:after="0" w:line="360" w:lineRule="auto"/>
        <w:ind w:left="0" w:right="0" w:firstLine="420" w:firstLineChars="200"/>
        <w:jc w:val="both"/>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9.10监理工程师工作发生错误，委托人应上报工程管理中心，并书面通知监理人换人，造成公司工程项目重大经济损失的，撤换监理人，并按国家和所在区域有关规定和合同要求进行处理。受到两次及以上要求撤换总监理工程师处罚的监理单位将被取消再次参加监理服务投标的机会。</w:t>
      </w:r>
    </w:p>
    <w:p>
      <w:pPr>
        <w:snapToGrid w:val="0"/>
        <w:spacing w:before="0" w:after="0" w:line="360" w:lineRule="auto"/>
        <w:ind w:left="0" w:right="0" w:firstLine="420" w:firstLineChars="200"/>
        <w:jc w:val="both"/>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9.11委托人负责对现场监理工程师的日常工作的监督、管理，主要事项如下：</w:t>
      </w:r>
    </w:p>
    <w:p>
      <w:pPr>
        <w:snapToGrid w:val="0"/>
        <w:spacing w:before="0" w:after="0" w:line="360" w:lineRule="auto"/>
        <w:ind w:left="0" w:right="0" w:firstLine="420" w:firstLineChars="200"/>
        <w:jc w:val="both"/>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（1）、按合同中标明的现场监理工程师配备情况检查人员到岗情况。</w:t>
      </w:r>
    </w:p>
    <w:p>
      <w:pPr>
        <w:snapToGrid w:val="0"/>
        <w:spacing w:before="0" w:after="0" w:line="360" w:lineRule="auto"/>
        <w:ind w:left="0" w:right="0" w:firstLine="420" w:firstLineChars="200"/>
        <w:jc w:val="both"/>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（2）、检查监督监理工程师按合同及监理规划、监理实施细则及有关规范、标准、规定开展工作。</w:t>
      </w:r>
    </w:p>
    <w:p>
      <w:pPr>
        <w:snapToGrid w:val="0"/>
        <w:spacing w:before="0" w:after="0" w:line="360" w:lineRule="auto"/>
        <w:ind w:left="0" w:right="0" w:firstLine="420" w:firstLineChars="200"/>
        <w:jc w:val="both"/>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（3）、重点检查监理对质量、进度、安全及文明施工的监督管理工作。</w:t>
      </w:r>
    </w:p>
    <w:p>
      <w:pPr>
        <w:snapToGrid w:val="0"/>
        <w:spacing w:before="0" w:after="0" w:line="360" w:lineRule="auto"/>
        <w:ind w:left="0" w:right="0" w:firstLine="420" w:firstLineChars="200"/>
        <w:jc w:val="both"/>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（4）、监督检查监理工程师的工作纪律，对出现以下情况的监理工程师，及时发出更换人员通知：</w:t>
      </w:r>
    </w:p>
    <w:p>
      <w:pPr>
        <w:snapToGrid w:val="0"/>
        <w:spacing w:before="0" w:after="0" w:line="360" w:lineRule="auto"/>
        <w:ind w:left="0" w:right="0" w:firstLine="420" w:firstLineChars="200"/>
        <w:jc w:val="both"/>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①、为施工单位指定承包商、建筑构配件、设备材料生产厂家。</w:t>
      </w:r>
    </w:p>
    <w:p>
      <w:pPr>
        <w:snapToGrid w:val="0"/>
        <w:spacing w:before="0" w:after="0" w:line="360" w:lineRule="auto"/>
        <w:ind w:left="0" w:right="0" w:firstLine="420" w:firstLineChars="200"/>
        <w:jc w:val="both"/>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②、监理工程师不得向施工单位索取钱物，不得向施工单位报销任何消费票据，不得接受施工单位、供货商的吃请或接受回扣，一经发现，驱逐现场，造成经济损失的，由监理公司承担赔偿责任，根据损失大小金额，从监理款项中直接扣除，严重者追究法律责任。</w:t>
      </w:r>
    </w:p>
    <w:p>
      <w:pPr>
        <w:snapToGrid w:val="0"/>
        <w:spacing w:before="0" w:after="0" w:line="360" w:lineRule="auto"/>
        <w:ind w:left="0" w:right="0" w:firstLine="420" w:firstLineChars="200"/>
        <w:jc w:val="both"/>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③、泄露所监理工程各方确认需保密的技术和商务机密，对建设单位造成重大损失的按照合同有关规定执行。</w:t>
      </w:r>
    </w:p>
    <w:p>
      <w:pPr>
        <w:snapToGrid w:val="0"/>
        <w:spacing w:before="0" w:after="0" w:line="360" w:lineRule="auto"/>
        <w:ind w:left="0" w:right="0" w:firstLine="420" w:firstLineChars="200"/>
        <w:jc w:val="both"/>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④、不严格执行旁站制度、不严格执行材料进场检验制度、不严格执行工程检验制度，不能及时发现施工过程中的质量、进度问题。</w:t>
      </w:r>
    </w:p>
    <w:p>
      <w:pPr>
        <w:snapToGrid w:val="0"/>
        <w:spacing w:before="0" w:after="0" w:line="360" w:lineRule="auto"/>
        <w:ind w:left="0" w:right="0" w:firstLine="420" w:firstLineChars="200"/>
        <w:jc w:val="both"/>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⑤、监理单位擅自签字确认委托人明确不同意的施工单位文件。</w:t>
      </w:r>
    </w:p>
    <w:p>
      <w:pPr>
        <w:snapToGrid w:val="0"/>
        <w:spacing w:before="0" w:after="0" w:line="360" w:lineRule="auto"/>
        <w:ind w:left="0" w:right="0" w:firstLine="420" w:firstLineChars="200"/>
        <w:jc w:val="both"/>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⑥、责任心不强，专业技能不具备任职资格的监理工程师。</w:t>
      </w:r>
    </w:p>
    <w:p>
      <w:pPr>
        <w:snapToGrid w:val="0"/>
        <w:spacing w:before="0" w:after="0" w:line="360" w:lineRule="auto"/>
        <w:ind w:left="0" w:right="0" w:firstLine="420" w:firstLineChars="200"/>
        <w:jc w:val="both"/>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⑦、监理工程师在责任期内如果有重大失职，造成经济损失的按有关规定应予以赔偿损失。</w:t>
      </w:r>
    </w:p>
    <w:p>
      <w:pPr>
        <w:snapToGrid w:val="0"/>
        <w:spacing w:before="0" w:after="0" w:line="360" w:lineRule="auto"/>
        <w:ind w:left="0" w:right="0" w:firstLine="420" w:firstLineChars="200"/>
        <w:jc w:val="both"/>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9.12监理人与对应委托人工程师，每天至少沟通一次，形式不限，可当面交流或电话沟通或书面报告。</w:t>
      </w:r>
    </w:p>
    <w:p>
      <w:pPr>
        <w:snapToGrid w:val="0"/>
        <w:spacing w:before="0" w:after="0" w:line="360" w:lineRule="auto"/>
        <w:ind w:left="0" w:right="0" w:firstLine="420" w:firstLineChars="200"/>
        <w:jc w:val="both"/>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9.13委托人每月组织全体工程师集中对监理人进行量化考核，考核结果由项目经理和城市公司副总经理（工程）确认后，提交给监理公司和城市公司成本控制部。</w:t>
      </w:r>
    </w:p>
    <w:p>
      <w:pPr>
        <w:snapToGrid w:val="0"/>
        <w:spacing w:before="0" w:after="0" w:line="360" w:lineRule="auto"/>
        <w:ind w:left="0" w:right="0" w:firstLine="420" w:firstLineChars="200"/>
        <w:jc w:val="both"/>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9.14对监理人的检查考核内容：</w:t>
      </w:r>
    </w:p>
    <w:p>
      <w:pPr>
        <w:snapToGrid w:val="0"/>
        <w:spacing w:before="0" w:after="0" w:line="360" w:lineRule="auto"/>
        <w:ind w:left="0" w:right="0" w:firstLine="420" w:firstLineChars="200"/>
        <w:jc w:val="both"/>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①、对工程监理人的检查考核分监理组织、监理资料、技术管理和现场监督管理四个部分。</w:t>
      </w:r>
    </w:p>
    <w:p>
      <w:pPr>
        <w:snapToGrid w:val="0"/>
        <w:spacing w:before="0" w:after="0" w:line="360" w:lineRule="auto"/>
        <w:ind w:left="0" w:right="0" w:firstLine="420" w:firstLineChars="200"/>
        <w:jc w:val="both"/>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②、监理组织的考核占15分，对监理人的组织机构、办公设施及制度进行检查考核，确定是否符合国家规定和合同要求。</w:t>
      </w:r>
    </w:p>
    <w:p>
      <w:pPr>
        <w:snapToGrid w:val="0"/>
        <w:spacing w:before="0" w:after="0" w:line="360" w:lineRule="auto"/>
        <w:ind w:left="0" w:right="0" w:firstLine="420" w:firstLineChars="200"/>
        <w:jc w:val="both"/>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③、监理资料的考核占20分，对监理人必须编制或持有资料的实际情况进行检查考核，确定是否符合国家规定和合同要求。</w:t>
      </w:r>
    </w:p>
    <w:p>
      <w:pPr>
        <w:snapToGrid w:val="0"/>
        <w:spacing w:before="0" w:after="0" w:line="360" w:lineRule="auto"/>
        <w:ind w:left="0" w:right="0" w:firstLine="420" w:firstLineChars="200"/>
        <w:jc w:val="both"/>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④、技术管理的考核占15分，针对监理人对参与在建工程各单位的技术质量管理的检查记录进行检查考核，确定是否符合国家规定和合同要求。</w:t>
      </w:r>
    </w:p>
    <w:p>
      <w:pPr>
        <w:snapToGrid w:val="0"/>
        <w:spacing w:before="0" w:after="0" w:line="360" w:lineRule="auto"/>
        <w:ind w:left="0" w:right="0" w:firstLine="420" w:firstLineChars="200"/>
        <w:jc w:val="both"/>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⑤、现场监督管理的考核占50分，针对施工现场的实际状况进行检查，同时抽查监理的检查记录，确定监理人是否能够按国家规定和合同要求对在建工程的质量、进度、安全文明施工进行控制。</w:t>
      </w:r>
    </w:p>
    <w:p>
      <w:pPr>
        <w:snapToGrid w:val="0"/>
        <w:spacing w:before="0" w:after="0" w:line="360" w:lineRule="auto"/>
        <w:ind w:left="0" w:right="0" w:firstLine="420" w:firstLineChars="200"/>
        <w:jc w:val="both"/>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⑦、对监理人检查考核后，填写《监理考核评估表》（详见附件15）。</w:t>
      </w:r>
    </w:p>
    <w:p>
      <w:pPr>
        <w:snapToGrid w:val="0"/>
        <w:spacing w:before="0" w:after="0" w:line="360" w:lineRule="auto"/>
        <w:ind w:left="0" w:right="0" w:firstLine="420" w:firstLineChars="200"/>
        <w:jc w:val="both"/>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9.15考核结果应用：</w:t>
      </w:r>
    </w:p>
    <w:p>
      <w:pPr>
        <w:snapToGrid w:val="0"/>
        <w:spacing w:before="0" w:after="0" w:line="360" w:lineRule="auto"/>
        <w:ind w:left="0" w:right="0" w:firstLine="420" w:firstLineChars="200"/>
        <w:jc w:val="both"/>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①、监理人考核低于80分的，委托人须约谈监理单位负责人，督促其按要求整改；</w:t>
      </w:r>
    </w:p>
    <w:p>
      <w:pPr>
        <w:snapToGrid w:val="0"/>
        <w:spacing w:before="0" w:after="0" w:line="360" w:lineRule="auto"/>
        <w:ind w:left="0" w:right="0" w:firstLine="420" w:firstLineChars="200"/>
        <w:jc w:val="both"/>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②、综合得分低于80分，应对监理单位处以5000元经济处罚；综合得分低于70分的，处以10000元经济处罚。</w:t>
      </w:r>
    </w:p>
    <w:p>
      <w:pPr>
        <w:snapToGrid w:val="0"/>
        <w:spacing w:before="0" w:after="0" w:line="360" w:lineRule="auto"/>
        <w:ind w:left="0" w:right="0" w:firstLine="420" w:firstLineChars="200"/>
        <w:jc w:val="both"/>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9.16检查汇总，问题整改：</w:t>
      </w:r>
    </w:p>
    <w:p>
      <w:pPr>
        <w:snapToGrid w:val="0"/>
        <w:spacing w:before="0" w:after="0" w:line="360" w:lineRule="auto"/>
        <w:ind w:left="0" w:right="0" w:firstLine="420" w:firstLineChars="200"/>
        <w:jc w:val="both"/>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①、委托人在检查的当天对检查记录进行汇总，并将检查考核的结果通知被检查监理人。</w:t>
      </w:r>
    </w:p>
    <w:p>
      <w:pPr>
        <w:snapToGrid w:val="0"/>
        <w:spacing w:before="0" w:after="0" w:line="360" w:lineRule="auto"/>
        <w:ind w:left="0" w:right="0" w:firstLine="420" w:firstLineChars="200"/>
        <w:jc w:val="both"/>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②、监理人对不合格项进行确认后，制定整改措施和整改时间表，并通知委托人。</w:t>
      </w:r>
    </w:p>
    <w:p>
      <w:pPr>
        <w:snapToGrid w:val="0"/>
        <w:spacing w:before="0" w:after="0" w:line="360" w:lineRule="auto"/>
        <w:ind w:left="0" w:right="0" w:firstLine="420" w:firstLineChars="200"/>
        <w:jc w:val="both"/>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③、委托人根据整改报告时间节点，最终验证整改完成情况。</w:t>
      </w:r>
    </w:p>
    <w:p>
      <w:pPr>
        <w:snapToGrid w:val="0"/>
        <w:spacing w:before="0" w:after="0" w:line="360" w:lineRule="auto"/>
        <w:ind w:left="0" w:right="0" w:firstLine="420" w:firstLineChars="200"/>
        <w:jc w:val="both"/>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④、对监理人的检查记录和整改记录由委托人归档保存，并将每月的检查记录以工程月报形式抄报工程管理中心。</w:t>
      </w:r>
    </w:p>
    <w:p>
      <w:pPr>
        <w:snapToGrid w:val="0"/>
        <w:spacing w:before="0" w:after="0" w:line="360" w:lineRule="auto"/>
        <w:ind w:left="0" w:right="0" w:firstLine="420" w:firstLineChars="200"/>
        <w:jc w:val="both"/>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⑤、工程管理中心有权抽查整改记录，并通报检查结果。</w:t>
      </w:r>
    </w:p>
    <w:p>
      <w:pPr>
        <w:keepNext/>
        <w:keepLines/>
        <w:widowControl w:val="0"/>
        <w:snapToGrid/>
        <w:spacing w:before="340" w:after="330" w:line="360" w:lineRule="auto"/>
        <w:ind w:left="0" w:right="0"/>
        <w:jc w:val="left"/>
        <w:outlineLvl w:val="9"/>
        <w:rPr>
          <w:rFonts w:ascii="Times New Roman" w:hAnsi="Times New Roman" w:eastAsia="宋体" w:cs="Times New Roman"/>
          <w:b/>
          <w:bCs/>
          <w:color w:val="auto"/>
          <w:kern w:val="44"/>
          <w:sz w:val="44"/>
          <w:szCs w:val="44"/>
          <w:lang w:val="en-US" w:eastAsia="zh-CN" w:bidi="ar-SA"/>
        </w:rPr>
      </w:pPr>
      <w:r>
        <w:rPr>
          <w:rFonts w:ascii="宋体" w:hAnsi="宋体" w:eastAsia="宋体" w:cs="宋体"/>
          <w:b/>
          <w:bCs/>
          <w:i w:val="0"/>
          <w:strike w:val="0"/>
          <w:color w:val="auto"/>
          <w:kern w:val="44"/>
          <w:sz w:val="21"/>
          <w:szCs w:val="44"/>
          <w:u w:val="none"/>
          <w:lang w:val="en-US" w:eastAsia="zh-CN" w:bidi="ar-SA"/>
        </w:rPr>
        <w:t>10.其他有关说明</w:t>
      </w:r>
    </w:p>
    <w:p>
      <w:pPr>
        <w:snapToGrid w:val="0"/>
        <w:spacing w:before="0" w:after="0" w:line="360" w:lineRule="auto"/>
        <w:ind w:left="0" w:right="0" w:firstLine="420" w:firstLineChars="200"/>
        <w:jc w:val="both"/>
        <w:rPr>
          <w:rFonts w:ascii="Times New Roman" w:hAnsi="Times New Roman" w:eastAsia="宋体" w:cs="Times New Roman"/>
          <w:color w:val="auto"/>
        </w:rPr>
      </w:pPr>
      <w:r>
        <w:rPr>
          <w:rFonts w:ascii="宋体" w:hAnsi="宋体" w:eastAsia="宋体" w:cs="宋体"/>
          <w:i w:val="0"/>
          <w:strike w:val="0"/>
          <w:color w:val="auto"/>
          <w:sz w:val="21"/>
          <w:u w:val="none"/>
          <w:vertAlign w:val="baseline"/>
        </w:rPr>
        <w:t>10.1本工作指引执行时间：与监理合同服务周期相同。</w:t>
      </w:r>
    </w:p>
    <w:p>
      <w:pPr>
        <w:snapToGrid w:val="0"/>
        <w:spacing w:before="0" w:after="0" w:line="360" w:lineRule="auto"/>
        <w:ind w:left="0" w:right="0" w:firstLine="420" w:firstLineChars="200"/>
        <w:jc w:val="both"/>
        <w:rPr>
          <w:rFonts w:ascii="宋体" w:hAnsi="宋体" w:eastAsia="宋体" w:cs="宋体"/>
          <w:i w:val="0"/>
          <w:strike w:val="0"/>
          <w:color w:val="auto"/>
          <w:sz w:val="21"/>
          <w:u w:val="none"/>
          <w:vertAlign w:val="baseline"/>
        </w:rPr>
      </w:pPr>
      <w:r>
        <w:rPr>
          <w:rFonts w:ascii="宋体" w:hAnsi="宋体" w:eastAsia="宋体" w:cs="宋体"/>
          <w:i w:val="0"/>
          <w:strike w:val="0"/>
          <w:color w:val="auto"/>
          <w:sz w:val="21"/>
          <w:u w:val="none"/>
          <w:vertAlign w:val="baseline"/>
        </w:rPr>
        <w:t>10.2委托人将严格按此管理工作指引进行检查，监理人不按此指引进行管理的，委托人有权对监理人进行考核。</w:t>
      </w:r>
    </w:p>
    <w:p>
      <w:pPr>
        <w:snapToGrid w:val="0"/>
        <w:spacing w:before="0" w:after="0" w:line="360" w:lineRule="auto"/>
        <w:ind w:left="0" w:right="0" w:firstLineChars="0"/>
        <w:jc w:val="both"/>
        <w:rPr>
          <w:rFonts w:ascii="Times New Roman" w:hAnsi="Times New Roman" w:eastAsia="宋体" w:cs="Times New Roman"/>
          <w:b/>
          <w:color w:val="auto"/>
        </w:rPr>
      </w:pPr>
    </w:p>
    <w:p>
      <w:pPr>
        <w:snapToGrid/>
        <w:spacing w:before="0" w:after="0" w:line="240" w:lineRule="auto"/>
        <w:ind w:left="0" w:right="0" w:firstLineChars="0"/>
        <w:jc w:val="left"/>
        <w:rPr>
          <w:rFonts w:hint="eastAsia" w:ascii="宋体" w:hAnsi="宋体" w:eastAsia="宋体" w:cs="宋体"/>
          <w:b/>
          <w:color w:val="auto"/>
        </w:rPr>
      </w:pPr>
      <w:r>
        <w:rPr>
          <w:rFonts w:hint="eastAsia" w:ascii="宋体" w:hAnsi="宋体" w:eastAsia="宋体" w:cs="宋体"/>
          <w:b/>
          <w:color w:val="auto"/>
        </w:rPr>
        <w:t>附件二：</w:t>
      </w:r>
    </w:p>
    <w:p>
      <w:pPr>
        <w:snapToGrid w:val="0"/>
        <w:spacing w:line="360" w:lineRule="auto"/>
        <w:ind w:firstLine="420" w:firstLineChars="200"/>
        <w:rPr>
          <w:rFonts w:hint="eastAsia" w:ascii="宋体" w:hAnsi="宋体" w:eastAsia="宋体" w:cs="宋体"/>
          <w:color w:val="auto"/>
        </w:rPr>
      </w:pPr>
      <w:r>
        <w:rPr>
          <w:rFonts w:hint="eastAsia" w:ascii="宋体" w:hAnsi="宋体" w:eastAsia="宋体" w:cs="宋体"/>
          <w:i w:val="0"/>
          <w:strike w:val="0"/>
          <w:color w:val="auto"/>
          <w:u w:val="none"/>
          <w:vertAlign w:val="baseline"/>
        </w:rPr>
        <w:t>附件1：《需重点参与旁站监理的工程或工序清单》</w:t>
      </w:r>
    </w:p>
    <w:p>
      <w:pPr>
        <w:snapToGrid w:val="0"/>
        <w:spacing w:line="360" w:lineRule="auto"/>
        <w:ind w:firstLine="420" w:firstLineChars="200"/>
        <w:rPr>
          <w:rFonts w:hint="eastAsia" w:ascii="宋体" w:hAnsi="宋体" w:eastAsia="宋体" w:cs="宋体"/>
          <w:color w:val="auto"/>
        </w:rPr>
      </w:pPr>
      <w:r>
        <w:rPr>
          <w:rFonts w:hint="eastAsia" w:ascii="宋体" w:hAnsi="宋体" w:eastAsia="宋体" w:cs="宋体"/>
          <w:i w:val="0"/>
          <w:strike w:val="0"/>
          <w:color w:val="auto"/>
          <w:u w:val="none"/>
          <w:vertAlign w:val="baseline"/>
        </w:rPr>
        <w:t>附件2：《监理工地例会纪要》</w:t>
      </w:r>
    </w:p>
    <w:p>
      <w:pPr>
        <w:snapToGrid w:val="0"/>
        <w:spacing w:line="360" w:lineRule="auto"/>
        <w:ind w:firstLine="420" w:firstLineChars="200"/>
        <w:rPr>
          <w:rFonts w:hint="eastAsia" w:ascii="宋体" w:hAnsi="宋体" w:eastAsia="宋体" w:cs="宋体"/>
          <w:color w:val="auto"/>
        </w:rPr>
      </w:pPr>
      <w:r>
        <w:rPr>
          <w:rFonts w:hint="eastAsia" w:ascii="宋体" w:hAnsi="宋体" w:eastAsia="宋体" w:cs="宋体"/>
          <w:i w:val="0"/>
          <w:strike w:val="0"/>
          <w:color w:val="auto"/>
          <w:u w:val="none"/>
          <w:vertAlign w:val="baseline"/>
        </w:rPr>
        <w:t>附件3：《材料设备进场验收单》</w:t>
      </w:r>
    </w:p>
    <w:p>
      <w:pPr>
        <w:snapToGrid w:val="0"/>
        <w:spacing w:line="360" w:lineRule="auto"/>
        <w:ind w:firstLine="420" w:firstLineChars="200"/>
        <w:rPr>
          <w:rFonts w:hint="eastAsia" w:ascii="宋体" w:hAnsi="宋体" w:eastAsia="宋体" w:cs="宋体"/>
          <w:color w:val="auto"/>
        </w:rPr>
      </w:pPr>
      <w:r>
        <w:rPr>
          <w:rFonts w:hint="eastAsia" w:ascii="宋体" w:hAnsi="宋体" w:eastAsia="宋体" w:cs="宋体"/>
          <w:i w:val="0"/>
          <w:strike w:val="0"/>
          <w:color w:val="auto"/>
          <w:u w:val="none"/>
          <w:vertAlign w:val="baseline"/>
        </w:rPr>
        <w:t>附件4：《“三检制”检查验收表》</w:t>
      </w:r>
    </w:p>
    <w:p>
      <w:pPr>
        <w:snapToGrid w:val="0"/>
        <w:spacing w:line="360" w:lineRule="auto"/>
        <w:ind w:firstLine="420" w:firstLineChars="200"/>
        <w:rPr>
          <w:rFonts w:hint="eastAsia" w:ascii="宋体" w:hAnsi="宋体" w:eastAsia="宋体" w:cs="宋体"/>
          <w:color w:val="auto"/>
        </w:rPr>
      </w:pPr>
      <w:r>
        <w:rPr>
          <w:rFonts w:hint="eastAsia" w:ascii="宋体" w:hAnsi="宋体" w:eastAsia="宋体" w:cs="宋体"/>
          <w:i w:val="0"/>
          <w:strike w:val="0"/>
          <w:color w:val="auto"/>
          <w:u w:val="none"/>
          <w:vertAlign w:val="baseline"/>
        </w:rPr>
        <w:t>附件5：《工序检查一览表》</w:t>
      </w:r>
    </w:p>
    <w:p>
      <w:pPr>
        <w:snapToGrid w:val="0"/>
        <w:spacing w:line="360" w:lineRule="auto"/>
        <w:ind w:firstLine="420" w:firstLineChars="200"/>
        <w:rPr>
          <w:rFonts w:hint="eastAsia" w:ascii="宋体" w:hAnsi="宋体" w:eastAsia="宋体" w:cs="宋体"/>
          <w:color w:val="auto"/>
        </w:rPr>
      </w:pPr>
      <w:r>
        <w:rPr>
          <w:rFonts w:hint="eastAsia" w:ascii="宋体" w:hAnsi="宋体" w:eastAsia="宋体" w:cs="宋体"/>
          <w:i w:val="0"/>
          <w:strike w:val="0"/>
          <w:color w:val="auto"/>
          <w:u w:val="none"/>
          <w:vertAlign w:val="baseline"/>
        </w:rPr>
        <w:t>附件:6：《停止点检查验收表》</w:t>
      </w:r>
    </w:p>
    <w:p>
      <w:pPr>
        <w:snapToGrid w:val="0"/>
        <w:spacing w:line="360" w:lineRule="auto"/>
        <w:ind w:firstLine="420" w:firstLineChars="200"/>
        <w:rPr>
          <w:rFonts w:hint="eastAsia" w:ascii="宋体" w:hAnsi="宋体" w:eastAsia="宋体" w:cs="宋体"/>
          <w:color w:val="auto"/>
        </w:rPr>
      </w:pPr>
      <w:r>
        <w:rPr>
          <w:rFonts w:hint="eastAsia" w:ascii="宋体" w:hAnsi="宋体" w:eastAsia="宋体" w:cs="宋体"/>
          <w:i w:val="0"/>
          <w:strike w:val="0"/>
          <w:color w:val="auto"/>
          <w:u w:val="none"/>
          <w:vertAlign w:val="baseline"/>
        </w:rPr>
        <w:t>附件7：《实测实量一户一表》</w:t>
      </w:r>
    </w:p>
    <w:p>
      <w:pPr>
        <w:snapToGrid w:val="0"/>
        <w:spacing w:line="360" w:lineRule="auto"/>
        <w:ind w:firstLine="420" w:firstLineChars="200"/>
        <w:rPr>
          <w:rFonts w:hint="eastAsia" w:ascii="宋体" w:hAnsi="宋体" w:eastAsia="宋体" w:cs="宋体"/>
          <w:color w:val="auto"/>
        </w:rPr>
      </w:pPr>
      <w:r>
        <w:rPr>
          <w:rFonts w:hint="eastAsia" w:ascii="宋体" w:hAnsi="宋体" w:eastAsia="宋体" w:cs="宋体"/>
          <w:i w:val="0"/>
          <w:strike w:val="0"/>
          <w:color w:val="auto"/>
          <w:u w:val="none"/>
          <w:vertAlign w:val="baseline"/>
        </w:rPr>
        <w:t>附件8：《工序交接检查表》</w:t>
      </w:r>
    </w:p>
    <w:p>
      <w:pPr>
        <w:snapToGrid w:val="0"/>
        <w:spacing w:line="360" w:lineRule="auto"/>
        <w:ind w:firstLine="420" w:firstLineChars="200"/>
        <w:rPr>
          <w:rFonts w:hint="eastAsia" w:ascii="宋体" w:hAnsi="宋体" w:eastAsia="宋体" w:cs="宋体"/>
          <w:color w:val="auto"/>
        </w:rPr>
      </w:pPr>
      <w:r>
        <w:rPr>
          <w:rFonts w:hint="eastAsia" w:ascii="宋体" w:hAnsi="宋体" w:eastAsia="宋体" w:cs="宋体"/>
          <w:i w:val="0"/>
          <w:strike w:val="0"/>
          <w:color w:val="auto"/>
          <w:u w:val="none"/>
          <w:vertAlign w:val="baseline"/>
        </w:rPr>
        <w:t>附件9：《项目质量安全检查周报》</w:t>
      </w:r>
    </w:p>
    <w:p>
      <w:pPr>
        <w:snapToGrid w:val="0"/>
        <w:spacing w:line="360" w:lineRule="auto"/>
        <w:ind w:firstLine="420" w:firstLineChars="200"/>
        <w:rPr>
          <w:rFonts w:hint="eastAsia" w:ascii="宋体" w:hAnsi="宋体" w:eastAsia="宋体" w:cs="宋体"/>
          <w:color w:val="auto"/>
        </w:rPr>
      </w:pPr>
      <w:r>
        <w:rPr>
          <w:rFonts w:hint="eastAsia" w:ascii="宋体" w:hAnsi="宋体" w:eastAsia="宋体" w:cs="宋体"/>
          <w:i w:val="0"/>
          <w:strike w:val="0"/>
          <w:color w:val="auto"/>
          <w:u w:val="none"/>
          <w:vertAlign w:val="baseline"/>
        </w:rPr>
        <w:t>附件10：《监理工程师工作周报表》</w:t>
      </w:r>
    </w:p>
    <w:p>
      <w:pPr>
        <w:snapToGrid w:val="0"/>
        <w:spacing w:line="360" w:lineRule="auto"/>
        <w:ind w:firstLine="420" w:firstLineChars="200"/>
        <w:rPr>
          <w:rFonts w:hint="eastAsia" w:ascii="宋体" w:hAnsi="宋体" w:eastAsia="宋体" w:cs="宋体"/>
          <w:color w:val="auto"/>
        </w:rPr>
      </w:pPr>
      <w:r>
        <w:rPr>
          <w:rFonts w:hint="eastAsia" w:ascii="宋体" w:hAnsi="宋体" w:eastAsia="宋体" w:cs="宋体"/>
          <w:i w:val="0"/>
          <w:strike w:val="0"/>
          <w:color w:val="auto"/>
          <w:u w:val="none"/>
          <w:vertAlign w:val="baseline"/>
        </w:rPr>
        <w:t>附件11：《监理工作月报》</w:t>
      </w:r>
    </w:p>
    <w:p>
      <w:pPr>
        <w:snapToGrid w:val="0"/>
        <w:spacing w:line="360" w:lineRule="auto"/>
        <w:ind w:firstLine="420" w:firstLineChars="200"/>
        <w:rPr>
          <w:rFonts w:hint="eastAsia" w:ascii="宋体" w:hAnsi="宋体" w:eastAsia="宋体" w:cs="宋体"/>
          <w:color w:val="auto"/>
        </w:rPr>
      </w:pPr>
      <w:r>
        <w:rPr>
          <w:rFonts w:hint="eastAsia" w:ascii="宋体" w:hAnsi="宋体" w:eastAsia="宋体" w:cs="宋体"/>
          <w:i w:val="0"/>
          <w:strike w:val="0"/>
          <w:color w:val="auto"/>
          <w:u w:val="none"/>
          <w:vertAlign w:val="baseline"/>
        </w:rPr>
        <w:t>附件12：《监理人员配置表》</w:t>
      </w:r>
    </w:p>
    <w:p>
      <w:pPr>
        <w:snapToGrid w:val="0"/>
        <w:spacing w:line="360" w:lineRule="auto"/>
        <w:ind w:firstLine="420" w:firstLineChars="200"/>
        <w:rPr>
          <w:rFonts w:hint="eastAsia" w:ascii="宋体" w:hAnsi="宋体" w:eastAsia="宋体" w:cs="宋体"/>
          <w:color w:val="auto"/>
        </w:rPr>
      </w:pPr>
      <w:r>
        <w:rPr>
          <w:rFonts w:hint="eastAsia" w:ascii="宋体" w:hAnsi="宋体" w:eastAsia="宋体" w:cs="宋体"/>
          <w:i w:val="0"/>
          <w:strike w:val="0"/>
          <w:color w:val="auto"/>
          <w:u w:val="none"/>
          <w:vertAlign w:val="baseline"/>
        </w:rPr>
        <w:t>附件13：《监理人员分工表》</w:t>
      </w:r>
    </w:p>
    <w:p>
      <w:pPr>
        <w:snapToGrid w:val="0"/>
        <w:spacing w:line="360" w:lineRule="auto"/>
        <w:ind w:firstLine="420" w:firstLineChars="200"/>
        <w:rPr>
          <w:rFonts w:hint="eastAsia" w:ascii="宋体" w:hAnsi="宋体" w:eastAsia="宋体" w:cs="宋体"/>
          <w:color w:val="auto"/>
        </w:rPr>
      </w:pPr>
      <w:r>
        <w:rPr>
          <w:rFonts w:hint="eastAsia" w:ascii="宋体" w:hAnsi="宋体" w:eastAsia="宋体" w:cs="宋体"/>
          <w:i w:val="0"/>
          <w:strike w:val="0"/>
          <w:color w:val="auto"/>
          <w:u w:val="none"/>
          <w:vertAlign w:val="baseline"/>
        </w:rPr>
        <w:t>附件14：《监理人考核评估表》</w:t>
      </w:r>
    </w:p>
    <w:p>
      <w:pPr>
        <w:snapToGrid w:val="0"/>
        <w:spacing w:line="360" w:lineRule="auto"/>
        <w:ind w:firstLine="420" w:firstLineChars="200"/>
        <w:rPr>
          <w:rFonts w:ascii="Times New Roman" w:hAnsi="Times New Roman" w:eastAsia="宋体" w:cs="Times New Roman"/>
          <w:color w:val="auto"/>
        </w:rPr>
      </w:pPr>
      <w:r>
        <w:rPr>
          <w:rFonts w:hint="eastAsia" w:ascii="宋体" w:hAnsi="宋体" w:eastAsia="宋体" w:cs="宋体"/>
          <w:i w:val="0"/>
          <w:strike w:val="0"/>
          <w:color w:val="auto"/>
          <w:u w:val="none"/>
          <w:vertAlign w:val="baseline"/>
        </w:rPr>
        <w:t>附件15：监理单位处罚规定制度</w:t>
      </w:r>
    </w:p>
    <w:p>
      <w:pPr>
        <w:snapToGrid/>
        <w:spacing w:line="240" w:lineRule="auto"/>
        <w:rPr>
          <w:rFonts w:ascii="Times New Roman" w:hAnsi="Times New Roman" w:eastAsia="宋体" w:cs="Times New Roman"/>
          <w:color w:val="auto"/>
        </w:rPr>
      </w:pPr>
    </w:p>
    <w:p>
      <w:pPr>
        <w:snapToGrid/>
        <w:spacing w:line="240" w:lineRule="auto"/>
        <w:jc w:val="left"/>
        <w:rPr>
          <w:rFonts w:ascii="Times New Roman" w:hAnsi="Times New Roman" w:eastAsia="宋体" w:cs="Times New Roman"/>
          <w:color w:val="auto"/>
        </w:rPr>
      </w:pPr>
    </w:p>
    <w:p>
      <w:pPr>
        <w:rPr>
          <w:rFonts w:ascii="华文细黑" w:hAnsi="华文细黑" w:eastAsia="华文细黑" w:cs="华文细黑"/>
          <w:b/>
          <w:bCs/>
          <w:i w:val="0"/>
          <w:strike w:val="0"/>
          <w:color w:val="auto"/>
          <w:kern w:val="2"/>
          <w:sz w:val="21"/>
          <w:szCs w:val="32"/>
          <w:u w:val="none"/>
          <w:lang w:val="en-US" w:eastAsia="zh-CN" w:bidi="ar-SA"/>
        </w:rPr>
      </w:pPr>
      <w:r>
        <w:rPr>
          <w:rFonts w:ascii="华文细黑" w:hAnsi="华文细黑" w:eastAsia="华文细黑" w:cs="华文细黑"/>
          <w:b/>
          <w:bCs/>
          <w:i w:val="0"/>
          <w:strike w:val="0"/>
          <w:color w:val="auto"/>
          <w:kern w:val="2"/>
          <w:sz w:val="21"/>
          <w:szCs w:val="32"/>
          <w:u w:val="none"/>
          <w:lang w:val="en-US" w:eastAsia="zh-CN" w:bidi="ar-SA"/>
        </w:rPr>
        <w:br w:type="page"/>
      </w:r>
    </w:p>
    <w:p>
      <w:pPr>
        <w:pStyle w:val="4"/>
        <w:keepNext w:val="0"/>
        <w:keepLines w:val="0"/>
        <w:widowControl/>
        <w:suppressLineNumbers w:val="0"/>
        <w:spacing w:before="0" w:beforeAutospacing="0" w:after="0" w:afterAutospacing="0" w:line="240" w:lineRule="auto"/>
        <w:ind w:left="0"/>
        <w:jc w:val="both"/>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附件1</w:t>
      </w:r>
    </w:p>
    <w:p>
      <w:pPr>
        <w:pStyle w:val="18"/>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i w:val="0"/>
          <w:iCs w:val="0"/>
          <w:color w:val="auto"/>
          <w:spacing w:val="0"/>
          <w:w w:val="100"/>
          <w:sz w:val="21"/>
          <w:szCs w:val="21"/>
          <w:vertAlign w:val="baseline"/>
        </w:rPr>
      </w:pPr>
      <w:r>
        <w:rPr>
          <w:rFonts w:hint="eastAsia" w:ascii="宋体" w:hAnsi="宋体" w:eastAsia="宋体" w:cs="宋体"/>
          <w:b/>
          <w:bCs/>
          <w:i w:val="0"/>
          <w:iCs w:val="0"/>
          <w:color w:val="auto"/>
          <w:spacing w:val="0"/>
          <w:w w:val="100"/>
          <w:sz w:val="21"/>
          <w:szCs w:val="21"/>
          <w:vertAlign w:val="baseline"/>
        </w:rPr>
        <w:t>需重点旁站监理的工程或工序清单</w:t>
      </w:r>
    </w:p>
    <w:p>
      <w:pPr>
        <w:pStyle w:val="18"/>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i w:val="0"/>
          <w:iCs w:val="0"/>
          <w:color w:val="auto"/>
          <w:spacing w:val="0"/>
          <w:w w:val="100"/>
          <w:sz w:val="21"/>
          <w:szCs w:val="21"/>
          <w:vertAlign w:val="baseline"/>
        </w:rPr>
      </w:pPr>
    </w:p>
    <w:tbl>
      <w:tblPr>
        <w:tblStyle w:val="22"/>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25"/>
        <w:gridCol w:w="7021"/>
        <w:gridCol w:w="9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jc w:val="center"/>
        </w:trPr>
        <w:tc>
          <w:tcPr>
            <w:tcW w:w="976" w:type="pct"/>
            <w:tcBorders>
              <w:top w:val="single" w:color="000000" w:sz="4" w:space="0"/>
              <w:left w:val="single" w:color="000000" w:sz="4" w:space="0"/>
              <w:bottom w:val="single" w:color="000000" w:sz="4" w:space="0"/>
              <w:right w:val="single" w:color="000000" w:sz="4" w:space="0"/>
            </w:tcBorders>
            <w:shd w:val="clear" w:color="auto" w:fill="D5DCE4"/>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分部工程名称</w:t>
            </w:r>
          </w:p>
        </w:tc>
        <w:tc>
          <w:tcPr>
            <w:tcW w:w="3558" w:type="pct"/>
            <w:tcBorders>
              <w:top w:val="single" w:color="000000" w:sz="4" w:space="0"/>
              <w:left w:val="single" w:color="000000" w:sz="4" w:space="0"/>
              <w:bottom w:val="single" w:color="000000" w:sz="4" w:space="0"/>
              <w:right w:val="single" w:color="000000" w:sz="4" w:space="0"/>
            </w:tcBorders>
            <w:shd w:val="clear" w:color="auto" w:fill="D5DCE4"/>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需重点旁站监理的工程或施工过程</w:t>
            </w:r>
          </w:p>
        </w:tc>
        <w:tc>
          <w:tcPr>
            <w:tcW w:w="465" w:type="pct"/>
            <w:tcBorders>
              <w:top w:val="single" w:color="000000" w:sz="4" w:space="0"/>
              <w:left w:val="single" w:color="000000" w:sz="4" w:space="0"/>
              <w:bottom w:val="single" w:color="000000" w:sz="4" w:space="0"/>
              <w:right w:val="single" w:color="000000" w:sz="4" w:space="0"/>
            </w:tcBorders>
            <w:shd w:val="clear" w:color="auto" w:fill="D5DCE4"/>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976" w:type="pct"/>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地基与基础工程</w:t>
            </w:r>
          </w:p>
        </w:tc>
        <w:tc>
          <w:tcPr>
            <w:tcW w:w="355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基础土方开挖、回填</w:t>
            </w:r>
          </w:p>
        </w:tc>
        <w:tc>
          <w:tcPr>
            <w:tcW w:w="46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97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3558"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地基换填处理</w:t>
            </w:r>
          </w:p>
        </w:tc>
        <w:tc>
          <w:tcPr>
            <w:tcW w:w="46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97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3558"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桩基工程（含钻孔灌注桩成孔检查和浇筑）</w:t>
            </w:r>
          </w:p>
        </w:tc>
        <w:tc>
          <w:tcPr>
            <w:tcW w:w="46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97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3558"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基坑支护工程</w:t>
            </w:r>
          </w:p>
        </w:tc>
        <w:tc>
          <w:tcPr>
            <w:tcW w:w="46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97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3558"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后浇带基层处理及混凝土浇筑</w:t>
            </w:r>
          </w:p>
        </w:tc>
        <w:tc>
          <w:tcPr>
            <w:tcW w:w="46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97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3558"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防水混凝土浇筑</w:t>
            </w:r>
          </w:p>
        </w:tc>
        <w:tc>
          <w:tcPr>
            <w:tcW w:w="46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3" w:hRule="atLeast"/>
          <w:jc w:val="center"/>
        </w:trPr>
        <w:tc>
          <w:tcPr>
            <w:tcW w:w="97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3558"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其他混凝土浇筑</w:t>
            </w:r>
          </w:p>
        </w:tc>
        <w:tc>
          <w:tcPr>
            <w:tcW w:w="46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3" w:hRule="atLeast"/>
          <w:jc w:val="center"/>
        </w:trPr>
        <w:tc>
          <w:tcPr>
            <w:tcW w:w="97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3558"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地下防水工程</w:t>
            </w:r>
          </w:p>
        </w:tc>
        <w:tc>
          <w:tcPr>
            <w:tcW w:w="46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97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3558"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地下室结构质量缺陷处理</w:t>
            </w:r>
          </w:p>
        </w:tc>
        <w:tc>
          <w:tcPr>
            <w:tcW w:w="46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97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3558"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钢结构安装</w:t>
            </w:r>
          </w:p>
        </w:tc>
        <w:tc>
          <w:tcPr>
            <w:tcW w:w="46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3" w:hRule="atLeast"/>
          <w:jc w:val="center"/>
        </w:trPr>
        <w:tc>
          <w:tcPr>
            <w:tcW w:w="976" w:type="pct"/>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主体结构工程</w:t>
            </w:r>
          </w:p>
        </w:tc>
        <w:tc>
          <w:tcPr>
            <w:tcW w:w="355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混凝土浇筑</w:t>
            </w:r>
          </w:p>
        </w:tc>
        <w:tc>
          <w:tcPr>
            <w:tcW w:w="46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3" w:hRule="atLeast"/>
          <w:jc w:val="center"/>
        </w:trPr>
        <w:tc>
          <w:tcPr>
            <w:tcW w:w="97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3558"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钢结构安装</w:t>
            </w:r>
          </w:p>
        </w:tc>
        <w:tc>
          <w:tcPr>
            <w:tcW w:w="46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3" w:hRule="atLeast"/>
          <w:jc w:val="center"/>
        </w:trPr>
        <w:tc>
          <w:tcPr>
            <w:tcW w:w="97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3558"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梁柱节点钢筋隐蔽过程</w:t>
            </w:r>
          </w:p>
        </w:tc>
        <w:tc>
          <w:tcPr>
            <w:tcW w:w="46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97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3558"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预应力张拉</w:t>
            </w:r>
          </w:p>
        </w:tc>
        <w:tc>
          <w:tcPr>
            <w:tcW w:w="46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97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3558"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装配式结构安装</w:t>
            </w:r>
          </w:p>
        </w:tc>
        <w:tc>
          <w:tcPr>
            <w:tcW w:w="46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97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3558"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网架结构安装</w:t>
            </w:r>
          </w:p>
        </w:tc>
        <w:tc>
          <w:tcPr>
            <w:tcW w:w="46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3" w:hRule="atLeast"/>
          <w:jc w:val="center"/>
        </w:trPr>
        <w:tc>
          <w:tcPr>
            <w:tcW w:w="976"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建筑屋面</w:t>
            </w:r>
          </w:p>
        </w:tc>
        <w:tc>
          <w:tcPr>
            <w:tcW w:w="355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屋面防水工程/淋水、蓄水试验</w:t>
            </w:r>
          </w:p>
        </w:tc>
        <w:tc>
          <w:tcPr>
            <w:tcW w:w="46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3" w:hRule="atLeast"/>
          <w:jc w:val="center"/>
        </w:trPr>
        <w:tc>
          <w:tcPr>
            <w:tcW w:w="976" w:type="pct"/>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建筑装饰装修</w:t>
            </w:r>
          </w:p>
        </w:tc>
        <w:tc>
          <w:tcPr>
            <w:tcW w:w="355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卫生间、厨房防水工程/蓄水试验</w:t>
            </w:r>
          </w:p>
        </w:tc>
        <w:tc>
          <w:tcPr>
            <w:tcW w:w="46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3" w:hRule="atLeast"/>
          <w:jc w:val="center"/>
        </w:trPr>
        <w:tc>
          <w:tcPr>
            <w:tcW w:w="97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3558"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阳台露台及窗边防水工程/淋水、蓄水试验</w:t>
            </w:r>
          </w:p>
        </w:tc>
        <w:tc>
          <w:tcPr>
            <w:tcW w:w="46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97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3558"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窗边塞缝</w:t>
            </w:r>
          </w:p>
        </w:tc>
        <w:tc>
          <w:tcPr>
            <w:tcW w:w="46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3" w:hRule="atLeast"/>
          <w:jc w:val="center"/>
        </w:trPr>
        <w:tc>
          <w:tcPr>
            <w:tcW w:w="97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3558"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消防、给水管道试压</w:t>
            </w:r>
          </w:p>
        </w:tc>
        <w:tc>
          <w:tcPr>
            <w:tcW w:w="46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3" w:hRule="atLeast"/>
          <w:jc w:val="center"/>
        </w:trPr>
        <w:tc>
          <w:tcPr>
            <w:tcW w:w="976" w:type="pct"/>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室外工程</w:t>
            </w:r>
          </w:p>
          <w:p>
            <w:pPr>
              <w:pStyle w:val="18"/>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（景观及道路）</w:t>
            </w:r>
          </w:p>
        </w:tc>
        <w:tc>
          <w:tcPr>
            <w:tcW w:w="355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回填土、表层种植土土质及是否均匀回填</w:t>
            </w:r>
          </w:p>
        </w:tc>
        <w:tc>
          <w:tcPr>
            <w:tcW w:w="46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3" w:hRule="atLeast"/>
          <w:jc w:val="center"/>
        </w:trPr>
        <w:tc>
          <w:tcPr>
            <w:tcW w:w="97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3558"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市政管道坡度、下方支撑、通球试验</w:t>
            </w:r>
          </w:p>
        </w:tc>
        <w:tc>
          <w:tcPr>
            <w:tcW w:w="46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97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3558"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现浇混凝土结构/道路基层夯实</w:t>
            </w:r>
          </w:p>
        </w:tc>
        <w:tc>
          <w:tcPr>
            <w:tcW w:w="46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976"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设备安全</w:t>
            </w:r>
          </w:p>
        </w:tc>
        <w:tc>
          <w:tcPr>
            <w:tcW w:w="355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塔吊、人货梯、电梯、吊篮等存在安全风险的大型设备的拆装</w:t>
            </w:r>
          </w:p>
        </w:tc>
        <w:tc>
          <w:tcPr>
            <w:tcW w:w="46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bl>
    <w:p>
      <w:pPr>
        <w:rPr>
          <w:rFonts w:hint="eastAsia" w:ascii="宋体" w:hAnsi="宋体" w:eastAsia="宋体" w:cs="宋体"/>
          <w:b/>
          <w:bCs/>
          <w:i w:val="0"/>
          <w:iCs w:val="0"/>
          <w:color w:val="auto"/>
          <w:spacing w:val="0"/>
          <w:w w:val="100"/>
          <w:sz w:val="21"/>
          <w:szCs w:val="21"/>
          <w:vertAlign w:val="baseline"/>
        </w:rPr>
      </w:pPr>
      <w:r>
        <w:rPr>
          <w:rFonts w:hint="eastAsia" w:ascii="宋体" w:hAnsi="宋体" w:eastAsia="宋体" w:cs="宋体"/>
          <w:b/>
          <w:bCs/>
          <w:i w:val="0"/>
          <w:iCs w:val="0"/>
          <w:color w:val="auto"/>
          <w:spacing w:val="0"/>
          <w:w w:val="100"/>
          <w:sz w:val="21"/>
          <w:szCs w:val="21"/>
          <w:vertAlign w:val="baseline"/>
        </w:rPr>
        <w:br w:type="page"/>
      </w:r>
    </w:p>
    <w:p>
      <w:pPr>
        <w:pStyle w:val="4"/>
        <w:keepNext w:val="0"/>
        <w:keepLines w:val="0"/>
        <w:widowControl/>
        <w:suppressLineNumbers w:val="0"/>
        <w:spacing w:before="0" w:beforeAutospacing="0" w:after="0" w:afterAutospacing="0" w:line="360" w:lineRule="auto"/>
        <w:ind w:left="0"/>
        <w:jc w:val="both"/>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附件2</w:t>
      </w:r>
    </w:p>
    <w:p>
      <w:pPr>
        <w:pStyle w:val="18"/>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编号：</w:t>
      </w:r>
    </w:p>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监理工地例会纪要</w:t>
      </w:r>
    </w:p>
    <w:p>
      <w:pPr>
        <w:pStyle w:val="18"/>
        <w:keepNext w:val="0"/>
        <w:keepLines w:val="0"/>
        <w:widowControl/>
        <w:suppressLineNumbers w:val="0"/>
        <w:spacing w:before="0" w:beforeAutospacing="0" w:after="0" w:afterAutospacing="0" w:line="360" w:lineRule="auto"/>
        <w:ind w:right="0" w:firstLine="420" w:firstLineChars="20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【时间】：20 年 月 日 星期 时</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【地点】：×××××××××××</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【人员】：</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建设单位：×××、×××、×××、×××</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监理单位：×××、×××、×××、×××</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（质监站或设计单位）：×××、×××、×××、×××</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总包施工单位：×××、×××、×××、×××</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各分包单位：×××、×××、×××、×××</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其他参加会议的相关单位：×××、×××、×××、×××</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【会议内容】：</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会议由总监理工程师×××主持。施工单位汇报了上周计划完成情况和下周计划安排以及需解决的问题；监理单位就上期周例会确定的需会后解决问题的完成情况逐项作了核查，并对上周工程情况作了小结、评价；建设单位通报有关问题解决情况和具体要求；纪要整理如下：</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一、上期周例会应解决问题的完成情况</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（监理单位组织各方就上期周例会确定的需会后解决问题的完成情况逐项进行核查，对未完成的事项说明原因并形成处理意见。）</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二、上周计划完成情况</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1、总（大）包单位上周进度计划（包括但不限于施工进度计划及人、材、机的计划）完成情况</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（形象进度完成情况分区阐述说明）</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（1）××区完成</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2、分包单位上周进度、质量、安全、材料管理完成情况</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（形象进度完成情况分区阐述说明）</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（1）××区完成</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三、本周计划</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1、总（大）包单位本周计划</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（形象进度计划情况分区阐述说明）</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（1）××区计划</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2、分包单位本周计划</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（形象进度计划情况分区阐述说明）</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（1）××区计划</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四、施工单位的意见和要求</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1、总（大）包单位的意见和要求</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（分别对施工过程中要注意的问题、可能出现的问题及应要求监理公司、业主要进行配合的要求分别进行阐述）</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2、分包单位的意见和要求</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（分别对施工过程中要注意的问题、可能出现的问题及应要求其他分包单位、总包单位、监理公司、业主要进行配合的要求分别进行阐述）</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五、监理公司的通报和要求</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1、质量、材料方面</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（对施工过程中出现的质量问题进行通报，以及要求以后各施工单位要加强注意的相关质量问题和要求业主需配合的要求）</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2、进度方面</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（对施工过程中出现的进度问题进行通报，以及要求以后各施工单位要加强注意的影响进度控制的相关问题和要求业主需配合的要求）</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3、安全、文明施工方面</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（对施工过程中出现的安全、文明施工问题进行通报，以及要求以后各施工单位要加强注意的相关安全、文明施工问题和要求业主需配合的要求）</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4、其他</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（对施工过程中出现的其他问题进行通报，以及需业主配合的要求）</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六、建设单位的通报和具体要求安排</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（委托人就出现的各质量、进度、投资、安全文明施工及其他问题进行通报，同时对下周做出具体的要求安排）</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七、需会后解决的问题清单</w:t>
      </w: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4"/>
        <w:gridCol w:w="2372"/>
        <w:gridCol w:w="3491"/>
        <w:gridCol w:w="27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8" w:hRule="atLeast"/>
        </w:trPr>
        <w:tc>
          <w:tcPr>
            <w:tcW w:w="636"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序</w:t>
            </w:r>
          </w:p>
        </w:tc>
        <w:tc>
          <w:tcPr>
            <w:tcW w:w="1202"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问 题</w:t>
            </w:r>
          </w:p>
        </w:tc>
        <w:tc>
          <w:tcPr>
            <w:tcW w:w="176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责任单位</w:t>
            </w:r>
          </w:p>
        </w:tc>
        <w:tc>
          <w:tcPr>
            <w:tcW w:w="1391"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跟进人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8" w:hRule="atLeast"/>
        </w:trPr>
        <w:tc>
          <w:tcPr>
            <w:tcW w:w="636"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w:t>
            </w:r>
          </w:p>
        </w:tc>
        <w:tc>
          <w:tcPr>
            <w:tcW w:w="1202"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1769"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1391"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8" w:hRule="atLeast"/>
        </w:trPr>
        <w:tc>
          <w:tcPr>
            <w:tcW w:w="636"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2</w:t>
            </w:r>
          </w:p>
        </w:tc>
        <w:tc>
          <w:tcPr>
            <w:tcW w:w="1202"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1769"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1391"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8" w:hRule="atLeast"/>
        </w:trPr>
        <w:tc>
          <w:tcPr>
            <w:tcW w:w="636"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3</w:t>
            </w:r>
          </w:p>
        </w:tc>
        <w:tc>
          <w:tcPr>
            <w:tcW w:w="1202"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1769"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1391"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bl>
    <w:p>
      <w:pPr>
        <w:pStyle w:val="18"/>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（对本纪要如有任何异议，应于收文后两个工作日内正式提出，否则将视为同意本纪要的内容）</w:t>
      </w:r>
    </w:p>
    <w:p>
      <w:pPr>
        <w:rPr>
          <w:rFonts w:hint="eastAsia" w:ascii="宋体" w:hAnsi="宋体" w:eastAsia="宋体" w:cs="宋体"/>
          <w:b w:val="0"/>
          <w:bCs w:val="0"/>
          <w:i w:val="0"/>
          <w:iCs w:val="0"/>
          <w:color w:val="auto"/>
          <w:spacing w:val="0"/>
          <w:w w:val="100"/>
          <w:sz w:val="21"/>
          <w:szCs w:val="21"/>
          <w:vertAlign w:val="baseline"/>
        </w:rPr>
      </w:pPr>
      <w:r>
        <w:rPr>
          <w:rFonts w:hint="eastAsia" w:ascii="宋体" w:hAnsi="宋体" w:eastAsia="宋体" w:cs="宋体"/>
          <w:b w:val="0"/>
          <w:bCs w:val="0"/>
          <w:i w:val="0"/>
          <w:iCs w:val="0"/>
          <w:color w:val="auto"/>
          <w:spacing w:val="0"/>
          <w:w w:val="100"/>
          <w:sz w:val="21"/>
          <w:szCs w:val="21"/>
          <w:vertAlign w:val="baseline"/>
        </w:rPr>
        <w:br w:type="page"/>
      </w:r>
    </w:p>
    <w:p>
      <w:pPr>
        <w:pStyle w:val="18"/>
        <w:keepNext w:val="0"/>
        <w:keepLines w:val="0"/>
        <w:widowControl/>
        <w:suppressLineNumbers w:val="0"/>
        <w:spacing w:before="0" w:beforeAutospacing="0" w:after="0" w:afterAutospacing="0" w:line="360" w:lineRule="auto"/>
        <w:ind w:left="0" w:right="0" w:firstLine="546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XXX监理公司XX项目部</w:t>
      </w:r>
    </w:p>
    <w:p>
      <w:pPr>
        <w:pStyle w:val="18"/>
        <w:keepNext w:val="0"/>
        <w:keepLines w:val="0"/>
        <w:widowControl/>
        <w:suppressLineNumbers w:val="0"/>
        <w:spacing w:before="0" w:beforeAutospacing="0" w:after="0" w:afterAutospacing="0" w:line="360" w:lineRule="auto"/>
        <w:ind w:left="0" w:right="0" w:firstLine="567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20 年 月 日</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b w:val="0"/>
          <w:bCs w:val="0"/>
          <w:i w:val="0"/>
          <w:iCs w:val="0"/>
          <w:color w:val="auto"/>
          <w:spacing w:val="0"/>
          <w:w w:val="100"/>
          <w:sz w:val="21"/>
          <w:szCs w:val="21"/>
          <w:vertAlign w:val="baseline"/>
        </w:rPr>
      </w:pPr>
      <w:r>
        <w:rPr>
          <w:rFonts w:hint="eastAsia" w:ascii="宋体" w:hAnsi="宋体" w:eastAsia="宋体" w:cs="宋体"/>
          <w:b w:val="0"/>
          <w:bCs w:val="0"/>
          <w:i w:val="0"/>
          <w:iCs w:val="0"/>
          <w:color w:val="auto"/>
          <w:spacing w:val="0"/>
          <w:w w:val="100"/>
          <w:sz w:val="21"/>
          <w:szCs w:val="21"/>
          <w:vertAlign w:val="baseline"/>
        </w:rPr>
        <w:t>整理：××× 签发：×××</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b w:val="0"/>
          <w:bCs w:val="0"/>
          <w:i w:val="0"/>
          <w:iCs w:val="0"/>
          <w:color w:val="auto"/>
          <w:spacing w:val="0"/>
          <w:w w:val="100"/>
          <w:sz w:val="21"/>
          <w:szCs w:val="21"/>
          <w:vertAlign w:val="baseline"/>
        </w:rPr>
      </w:pPr>
      <w:r>
        <w:rPr>
          <w:rFonts w:hint="eastAsia" w:ascii="宋体" w:hAnsi="宋体" w:eastAsia="宋体" w:cs="宋体"/>
          <w:b w:val="0"/>
          <w:bCs w:val="0"/>
          <w:i w:val="0"/>
          <w:iCs w:val="0"/>
          <w:color w:val="auto"/>
          <w:spacing w:val="0"/>
          <w:w w:val="100"/>
          <w:sz w:val="21"/>
          <w:szCs w:val="21"/>
          <w:vertAlign w:val="baseline"/>
        </w:rPr>
        <w:t>抄报： XXX委托人</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b w:val="0"/>
          <w:bCs w:val="0"/>
          <w:i w:val="0"/>
          <w:iCs w:val="0"/>
          <w:color w:val="auto"/>
          <w:spacing w:val="0"/>
          <w:w w:val="100"/>
          <w:sz w:val="21"/>
          <w:szCs w:val="21"/>
          <w:vertAlign w:val="baseline"/>
        </w:rPr>
      </w:pPr>
      <w:r>
        <w:rPr>
          <w:rFonts w:hint="eastAsia" w:ascii="宋体" w:hAnsi="宋体" w:eastAsia="宋体" w:cs="宋体"/>
          <w:b w:val="0"/>
          <w:bCs w:val="0"/>
          <w:i w:val="0"/>
          <w:iCs w:val="0"/>
          <w:color w:val="auto"/>
          <w:spacing w:val="0"/>
          <w:w w:val="100"/>
          <w:sz w:val="21"/>
          <w:szCs w:val="21"/>
          <w:vertAlign w:val="baseline"/>
        </w:rPr>
        <w:t>抄送：参加会议的相关单位：</w:t>
      </w:r>
    </w:p>
    <w:p>
      <w:pPr>
        <w:spacing w:line="360" w:lineRule="auto"/>
        <w:rPr>
          <w:rFonts w:hint="eastAsia" w:ascii="宋体" w:hAnsi="宋体" w:eastAsia="宋体" w:cs="宋体"/>
          <w:b/>
          <w:bCs/>
          <w:i w:val="0"/>
          <w:iCs w:val="0"/>
          <w:color w:val="auto"/>
          <w:spacing w:val="0"/>
          <w:w w:val="100"/>
          <w:sz w:val="21"/>
          <w:szCs w:val="21"/>
          <w:vertAlign w:val="baseline"/>
        </w:rPr>
      </w:pPr>
      <w:r>
        <w:rPr>
          <w:rFonts w:hint="eastAsia" w:ascii="宋体" w:hAnsi="宋体" w:eastAsia="宋体" w:cs="宋体"/>
          <w:b/>
          <w:bCs/>
          <w:i w:val="0"/>
          <w:iCs w:val="0"/>
          <w:color w:val="auto"/>
          <w:spacing w:val="0"/>
          <w:w w:val="100"/>
          <w:sz w:val="21"/>
          <w:szCs w:val="21"/>
          <w:vertAlign w:val="baseline"/>
        </w:rPr>
        <w:br w:type="page"/>
      </w:r>
    </w:p>
    <w:p>
      <w:pPr>
        <w:pStyle w:val="4"/>
        <w:keepNext w:val="0"/>
        <w:keepLines w:val="0"/>
        <w:widowControl/>
        <w:suppressLineNumbers w:val="0"/>
        <w:spacing w:before="0" w:beforeAutospacing="0" w:after="0" w:afterAutospacing="0" w:line="360" w:lineRule="auto"/>
        <w:ind w:left="0"/>
        <w:jc w:val="both"/>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附件3</w:t>
      </w:r>
    </w:p>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b/>
          <w:bCs/>
          <w:i w:val="0"/>
          <w:iCs w:val="0"/>
          <w:color w:val="auto"/>
          <w:spacing w:val="0"/>
          <w:w w:val="100"/>
          <w:sz w:val="28"/>
          <w:szCs w:val="28"/>
          <w:vertAlign w:val="baseline"/>
        </w:rPr>
        <w:t>材料设备进场验收单</w:t>
      </w:r>
    </w:p>
    <w:p>
      <w:pPr>
        <w:pStyle w:val="18"/>
        <w:keepNext w:val="0"/>
        <w:keepLines w:val="0"/>
        <w:widowControl/>
        <w:suppressLineNumbers w:val="0"/>
        <w:spacing w:before="0" w:beforeAutospacing="0" w:after="0" w:afterAutospacing="0" w:line="360" w:lineRule="auto"/>
        <w:ind w:left="0" w:right="0" w:firstLine="735"/>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项目名称： 编号：□□-□□□-CLJC-□□□</w:t>
      </w:r>
    </w:p>
    <w:p>
      <w:pPr>
        <w:pStyle w:val="18"/>
        <w:keepNext w:val="0"/>
        <w:keepLines w:val="0"/>
        <w:widowControl/>
        <w:suppressLineNumbers w:val="0"/>
        <w:spacing w:before="0" w:beforeAutospacing="0" w:after="0" w:afterAutospacing="0" w:line="360" w:lineRule="auto"/>
        <w:ind w:left="0" w:right="0" w:firstLine="735"/>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供应商名称： 日期： 年 月 日</w:t>
      </w:r>
    </w:p>
    <w:tbl>
      <w:tblPr>
        <w:tblStyle w:val="22"/>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64"/>
        <w:gridCol w:w="2448"/>
        <w:gridCol w:w="2091"/>
        <w:gridCol w:w="1978"/>
        <w:gridCol w:w="1379"/>
        <w:gridCol w:w="13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序号</w:t>
            </w:r>
          </w:p>
        </w:tc>
        <w:tc>
          <w:tcPr>
            <w:tcW w:w="1241"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材料名称</w:t>
            </w:r>
          </w:p>
        </w:tc>
        <w:tc>
          <w:tcPr>
            <w:tcW w:w="1060"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规格型号</w:t>
            </w:r>
          </w:p>
        </w:tc>
        <w:tc>
          <w:tcPr>
            <w:tcW w:w="1003"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单位</w:t>
            </w:r>
          </w:p>
        </w:tc>
        <w:tc>
          <w:tcPr>
            <w:tcW w:w="69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送货数量</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w:t>
            </w:r>
          </w:p>
        </w:tc>
        <w:tc>
          <w:tcPr>
            <w:tcW w:w="1241"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1060"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1003"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699"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65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2</w:t>
            </w:r>
          </w:p>
        </w:tc>
        <w:tc>
          <w:tcPr>
            <w:tcW w:w="1241"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1060"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1003"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699"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65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3</w:t>
            </w:r>
          </w:p>
        </w:tc>
        <w:tc>
          <w:tcPr>
            <w:tcW w:w="1241"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1060"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1003"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699"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65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4</w:t>
            </w:r>
          </w:p>
        </w:tc>
        <w:tc>
          <w:tcPr>
            <w:tcW w:w="1241"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1060"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1003"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699"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65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w:t>
            </w:r>
          </w:p>
        </w:tc>
        <w:tc>
          <w:tcPr>
            <w:tcW w:w="1241"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1060"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1003"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699"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65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6</w:t>
            </w:r>
          </w:p>
        </w:tc>
        <w:tc>
          <w:tcPr>
            <w:tcW w:w="1241"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1060"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1003"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699"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65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36" w:hRule="atLeast"/>
          <w:jc w:val="center"/>
        </w:trPr>
        <w:tc>
          <w:tcPr>
            <w:tcW w:w="5000" w:type="pct"/>
            <w:gridSpan w:val="6"/>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top"/>
          </w:tcPr>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供货商意见：</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附件：□物资出库清单（或运输清单） □出厂合格证 □商检证</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 xml:space="preserve">□厂家质检报告 □质量保证书 □其他附件 </w:t>
            </w:r>
          </w:p>
          <w:p>
            <w:pPr>
              <w:pStyle w:val="18"/>
              <w:keepNext w:val="0"/>
              <w:keepLines w:val="0"/>
              <w:widowControl/>
              <w:suppressLineNumbers w:val="0"/>
              <w:spacing w:before="0" w:beforeAutospacing="0" w:after="0" w:afterAutospacing="0" w:line="360" w:lineRule="auto"/>
              <w:ind w:left="0" w:right="0" w:firstLine="5775" w:firstLineChars="275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供货商代表：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7"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top"/>
          </w:tcPr>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施工单位意见：□合格 □数量与清单一致 □规格型号符合要求 □质量证明文件齐全</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观感质量□好、□一般、□差 □与材料样板一致；不合格异常情况描述：</w:t>
            </w:r>
          </w:p>
          <w:p>
            <w:pPr>
              <w:pStyle w:val="18"/>
              <w:keepNext w:val="0"/>
              <w:keepLines w:val="0"/>
              <w:widowControl/>
              <w:suppressLineNumbers w:val="0"/>
              <w:spacing w:before="0" w:beforeAutospacing="0" w:after="0" w:afterAutospacing="0" w:line="360" w:lineRule="auto"/>
              <w:ind w:left="0" w:right="74" w:firstLine="5670" w:firstLineChars="270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施工单位代表：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5"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top"/>
          </w:tcPr>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监理人意见：□合格 □数量与清单一致 □规格型号符合要求 □质量证明文件齐全</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观感质量□好、□一般、□差 □与材料样板一致；不合格异常情况描述：</w:t>
            </w:r>
          </w:p>
          <w:p>
            <w:pPr>
              <w:pStyle w:val="18"/>
              <w:keepNext w:val="0"/>
              <w:keepLines w:val="0"/>
              <w:widowControl/>
              <w:suppressLineNumbers w:val="0"/>
              <w:spacing w:before="0" w:beforeAutospacing="0" w:after="0" w:afterAutospacing="0" w:line="360" w:lineRule="auto"/>
              <w:ind w:left="0" w:right="74" w:firstLine="567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签 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5"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top"/>
          </w:tcPr>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委托人意见：□合格 □数量与清单一致 □规格型号符合要求 □质量证明文件齐全</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观感质量□好、□一般、□差 □与材料样板一致；不合格异常情况描述：</w:t>
            </w:r>
          </w:p>
          <w:p>
            <w:pPr>
              <w:pStyle w:val="18"/>
              <w:keepNext w:val="0"/>
              <w:keepLines w:val="0"/>
              <w:widowControl/>
              <w:suppressLineNumbers w:val="0"/>
              <w:spacing w:before="0" w:beforeAutospacing="0" w:after="0" w:afterAutospacing="0" w:line="360" w:lineRule="auto"/>
              <w:ind w:left="0" w:right="74" w:firstLine="5670" w:firstLineChars="270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签 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6"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top"/>
          </w:tcPr>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设计管理部意见： □合格 □数量与清单一致 □规格型号符合要求 □质量证明文件齐全</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观感质量□好、□一般、□差 □与材料样板一致；不合格异常情况描述：</w:t>
            </w:r>
          </w:p>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lang w:val="en-US" w:eastAsia="zh-CN"/>
              </w:rPr>
              <w:t xml:space="preserve">                       </w:t>
            </w:r>
            <w:r>
              <w:rPr>
                <w:rFonts w:hint="eastAsia" w:ascii="宋体" w:hAnsi="宋体" w:eastAsia="宋体" w:cs="宋体"/>
                <w:b w:val="0"/>
                <w:bCs w:val="0"/>
                <w:i w:val="0"/>
                <w:iCs w:val="0"/>
                <w:color w:val="auto"/>
                <w:spacing w:val="0"/>
                <w:w w:val="100"/>
                <w:sz w:val="21"/>
                <w:szCs w:val="21"/>
                <w:vertAlign w:val="baseline"/>
              </w:rPr>
              <w:t>签 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6"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top"/>
          </w:tcPr>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成本控制部意见： □合格 □数量与清单一致 □规格型号符合要求 □质量证明文件齐全</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观感质量□好、□一般、□差 □与材料样板一致；不合格异常情况描述：</w:t>
            </w:r>
          </w:p>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lang w:val="en-US" w:eastAsia="zh-CN"/>
              </w:rPr>
              <w:t xml:space="preserve">                       </w:t>
            </w:r>
            <w:r>
              <w:rPr>
                <w:rFonts w:hint="eastAsia" w:ascii="宋体" w:hAnsi="宋体" w:eastAsia="宋体" w:cs="宋体"/>
                <w:b w:val="0"/>
                <w:bCs w:val="0"/>
                <w:i w:val="0"/>
                <w:iCs w:val="0"/>
                <w:color w:val="auto"/>
                <w:spacing w:val="0"/>
                <w:w w:val="100"/>
                <w:sz w:val="21"/>
                <w:szCs w:val="21"/>
                <w:vertAlign w:val="baseline"/>
              </w:rPr>
              <w:t>签 名：</w:t>
            </w:r>
          </w:p>
        </w:tc>
      </w:tr>
    </w:tbl>
    <w:p>
      <w:pPr>
        <w:rPr>
          <w:rFonts w:hint="eastAsia" w:ascii="宋体" w:hAnsi="宋体" w:eastAsia="宋体" w:cs="宋体"/>
          <w:b/>
          <w:bCs/>
          <w:i w:val="0"/>
          <w:iCs w:val="0"/>
          <w:color w:val="auto"/>
          <w:spacing w:val="0"/>
          <w:w w:val="100"/>
          <w:sz w:val="21"/>
          <w:szCs w:val="21"/>
          <w:vertAlign w:val="baseline"/>
        </w:rPr>
      </w:pPr>
      <w:r>
        <w:rPr>
          <w:rFonts w:hint="eastAsia" w:ascii="宋体" w:hAnsi="宋体" w:eastAsia="宋体" w:cs="宋体"/>
          <w:b/>
          <w:bCs/>
          <w:i w:val="0"/>
          <w:iCs w:val="0"/>
          <w:color w:val="auto"/>
          <w:spacing w:val="0"/>
          <w:w w:val="100"/>
          <w:sz w:val="21"/>
          <w:szCs w:val="21"/>
          <w:vertAlign w:val="baseline"/>
        </w:rPr>
        <w:br w:type="page"/>
      </w:r>
    </w:p>
    <w:p>
      <w:pPr>
        <w:pStyle w:val="4"/>
        <w:keepNext w:val="0"/>
        <w:keepLines w:val="0"/>
        <w:widowControl/>
        <w:suppressLineNumbers w:val="0"/>
        <w:spacing w:before="0" w:beforeAutospacing="0" w:after="0" w:afterAutospacing="0" w:line="240" w:lineRule="auto"/>
        <w:ind w:left="0"/>
        <w:jc w:val="both"/>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附件4</w:t>
      </w:r>
    </w:p>
    <w:p>
      <w:pPr>
        <w:pStyle w:val="18"/>
        <w:keepNext w:val="0"/>
        <w:keepLines w:val="0"/>
        <w:widowControl/>
        <w:suppressLineNumbers w:val="0"/>
        <w:spacing w:before="0" w:beforeAutospacing="0" w:after="0" w:afterAutospacing="0" w:line="360" w:lineRule="exact"/>
        <w:ind w:left="0" w:right="0"/>
        <w:jc w:val="center"/>
        <w:rPr>
          <w:rFonts w:hint="eastAsia" w:ascii="宋体" w:hAnsi="宋体" w:eastAsia="宋体" w:cs="宋体"/>
          <w:color w:val="auto"/>
          <w:sz w:val="28"/>
          <w:szCs w:val="28"/>
        </w:rPr>
      </w:pPr>
      <w:r>
        <w:rPr>
          <w:rFonts w:hint="eastAsia" w:ascii="宋体" w:hAnsi="宋体" w:eastAsia="宋体" w:cs="宋体"/>
          <w:b/>
          <w:bCs/>
          <w:i w:val="0"/>
          <w:iCs w:val="0"/>
          <w:color w:val="auto"/>
          <w:spacing w:val="0"/>
          <w:w w:val="100"/>
          <w:sz w:val="28"/>
          <w:szCs w:val="28"/>
          <w:vertAlign w:val="baseline"/>
        </w:rPr>
        <w:t>“三检制”检查验收表</w:t>
      </w:r>
    </w:p>
    <w:p>
      <w:pPr>
        <w:pStyle w:val="18"/>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 xml:space="preserve">工程名称： </w:t>
      </w:r>
      <w:r>
        <w:rPr>
          <w:rFonts w:hint="eastAsia" w:ascii="宋体" w:hAnsi="宋体" w:eastAsia="宋体" w:cs="宋体"/>
          <w:b w:val="0"/>
          <w:bCs w:val="0"/>
          <w:i w:val="0"/>
          <w:iCs w:val="0"/>
          <w:color w:val="auto"/>
          <w:spacing w:val="0"/>
          <w:w w:val="100"/>
          <w:sz w:val="21"/>
          <w:szCs w:val="21"/>
          <w:vertAlign w:val="baseline"/>
          <w:lang w:val="en-US" w:eastAsia="zh-CN"/>
        </w:rPr>
        <w:t xml:space="preserve">                                                     </w:t>
      </w:r>
      <w:r>
        <w:rPr>
          <w:rFonts w:hint="eastAsia" w:ascii="宋体" w:hAnsi="宋体" w:eastAsia="宋体" w:cs="宋体"/>
          <w:b w:val="0"/>
          <w:bCs w:val="0"/>
          <w:i w:val="0"/>
          <w:iCs w:val="0"/>
          <w:color w:val="auto"/>
          <w:spacing w:val="0"/>
          <w:w w:val="100"/>
          <w:sz w:val="21"/>
          <w:szCs w:val="21"/>
          <w:vertAlign w:val="baseline"/>
        </w:rPr>
        <w:t>编号：□□-□□□-SJB-□□□</w:t>
      </w:r>
    </w:p>
    <w:tbl>
      <w:tblPr>
        <w:tblStyle w:val="22"/>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07"/>
        <w:gridCol w:w="823"/>
        <w:gridCol w:w="854"/>
        <w:gridCol w:w="3979"/>
        <w:gridCol w:w="1326"/>
        <w:gridCol w:w="20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6" w:hRule="atLeast"/>
          <w:jc w:val="center"/>
        </w:trPr>
        <w:tc>
          <w:tcPr>
            <w:tcW w:w="1259" w:type="pct"/>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分项工程名称</w:t>
            </w:r>
          </w:p>
        </w:tc>
        <w:tc>
          <w:tcPr>
            <w:tcW w:w="2017"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施工班组</w:t>
            </w:r>
          </w:p>
        </w:tc>
        <w:tc>
          <w:tcPr>
            <w:tcW w:w="1050"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6" w:hRule="atLeast"/>
          <w:jc w:val="center"/>
        </w:trPr>
        <w:tc>
          <w:tcPr>
            <w:tcW w:w="1259" w:type="pct"/>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检查部位</w:t>
            </w:r>
          </w:p>
        </w:tc>
        <w:tc>
          <w:tcPr>
            <w:tcW w:w="201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672"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检查时间</w:t>
            </w:r>
          </w:p>
        </w:tc>
        <w:tc>
          <w:tcPr>
            <w:tcW w:w="1050"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6" w:hRule="atLeast"/>
          <w:jc w:val="center"/>
        </w:trPr>
        <w:tc>
          <w:tcPr>
            <w:tcW w:w="1259" w:type="pct"/>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检查依据</w:t>
            </w:r>
          </w:p>
        </w:tc>
        <w:tc>
          <w:tcPr>
            <w:tcW w:w="3740" w:type="pct"/>
            <w:gridSpan w:val="3"/>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63" w:hRule="atLeast"/>
          <w:jc w:val="center"/>
        </w:trPr>
        <w:tc>
          <w:tcPr>
            <w:tcW w:w="409"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一级检查</w:t>
            </w:r>
          </w:p>
        </w:tc>
        <w:tc>
          <w:tcPr>
            <w:tcW w:w="41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施工</w:t>
            </w:r>
          </w:p>
          <w:p>
            <w:pPr>
              <w:pStyle w:val="18"/>
              <w:keepNext w:val="0"/>
              <w:keepLines w:val="0"/>
              <w:widowControl/>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单位</w:t>
            </w:r>
          </w:p>
        </w:tc>
        <w:tc>
          <w:tcPr>
            <w:tcW w:w="432"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施工</w:t>
            </w:r>
          </w:p>
          <w:p>
            <w:pPr>
              <w:pStyle w:val="18"/>
              <w:keepNext w:val="0"/>
              <w:keepLines w:val="0"/>
              <w:widowControl/>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单位</w:t>
            </w:r>
          </w:p>
          <w:p>
            <w:pPr>
              <w:pStyle w:val="18"/>
              <w:keepNext w:val="0"/>
              <w:keepLines w:val="0"/>
              <w:widowControl/>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自检</w:t>
            </w:r>
          </w:p>
          <w:p>
            <w:pPr>
              <w:pStyle w:val="18"/>
              <w:keepNext w:val="0"/>
              <w:keepLines w:val="0"/>
              <w:widowControl/>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情况</w:t>
            </w:r>
          </w:p>
        </w:tc>
        <w:tc>
          <w:tcPr>
            <w:tcW w:w="3740" w:type="pct"/>
            <w:gridSpan w:val="3"/>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firstLine="2625" w:firstLineChars="1250"/>
              <w:jc w:val="both"/>
              <w:rPr>
                <w:rFonts w:hint="eastAsia" w:ascii="宋体" w:hAnsi="宋体" w:eastAsia="宋体" w:cs="宋体"/>
                <w:b w:val="0"/>
                <w:bCs w:val="0"/>
                <w:i w:val="0"/>
                <w:iCs w:val="0"/>
                <w:color w:val="auto"/>
                <w:spacing w:val="0"/>
                <w:w w:val="100"/>
                <w:sz w:val="21"/>
                <w:szCs w:val="21"/>
                <w:vertAlign w:val="baseline"/>
              </w:rPr>
            </w:pPr>
            <w:r>
              <w:rPr>
                <w:rFonts w:hint="eastAsia" w:ascii="宋体" w:hAnsi="宋体" w:eastAsia="宋体" w:cs="宋体"/>
                <w:b w:val="0"/>
                <w:bCs w:val="0"/>
                <w:i w:val="0"/>
                <w:iCs w:val="0"/>
                <w:color w:val="auto"/>
                <w:spacing w:val="0"/>
                <w:w w:val="100"/>
                <w:sz w:val="21"/>
                <w:szCs w:val="21"/>
                <w:vertAlign w:val="baseline"/>
              </w:rPr>
              <w:t>负责人签名：</w:t>
            </w:r>
          </w:p>
          <w:p>
            <w:pPr>
              <w:pStyle w:val="18"/>
              <w:keepNext w:val="0"/>
              <w:keepLines w:val="0"/>
              <w:widowControl/>
              <w:suppressLineNumbers w:val="0"/>
              <w:spacing w:before="0" w:beforeAutospacing="0" w:after="0" w:afterAutospacing="0" w:line="360" w:lineRule="exact"/>
              <w:ind w:left="0" w:right="0" w:firstLine="2205" w:firstLineChars="105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 xml:space="preserve"> </w:t>
            </w:r>
            <w:r>
              <w:rPr>
                <w:rFonts w:hint="eastAsia" w:ascii="宋体" w:hAnsi="宋体" w:eastAsia="宋体" w:cs="宋体"/>
                <w:b w:val="0"/>
                <w:bCs w:val="0"/>
                <w:i w:val="0"/>
                <w:iCs w:val="0"/>
                <w:color w:val="auto"/>
                <w:spacing w:val="0"/>
                <w:w w:val="100"/>
                <w:sz w:val="21"/>
                <w:szCs w:val="21"/>
                <w:vertAlign w:val="baseline"/>
                <w:lang w:val="en-US" w:eastAsia="zh-CN"/>
              </w:rPr>
              <w:t xml:space="preserve">   </w:t>
            </w:r>
            <w:r>
              <w:rPr>
                <w:rFonts w:hint="eastAsia" w:ascii="宋体" w:hAnsi="宋体" w:eastAsia="宋体" w:cs="宋体"/>
                <w:b w:val="0"/>
                <w:bCs w:val="0"/>
                <w:i w:val="0"/>
                <w:iCs w:val="0"/>
                <w:color w:val="auto"/>
                <w:spacing w:val="0"/>
                <w:w w:val="100"/>
                <w:sz w:val="21"/>
                <w:szCs w:val="21"/>
                <w:vertAlign w:val="baseline"/>
              </w:rPr>
              <w:t>日 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53"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二级检查</w:t>
            </w:r>
          </w:p>
        </w:tc>
        <w:tc>
          <w:tcPr>
            <w:tcW w:w="41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监理</w:t>
            </w:r>
          </w:p>
          <w:p>
            <w:pPr>
              <w:pStyle w:val="18"/>
              <w:keepNext w:val="0"/>
              <w:keepLines w:val="0"/>
              <w:widowControl/>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检查</w:t>
            </w:r>
          </w:p>
        </w:tc>
        <w:tc>
          <w:tcPr>
            <w:tcW w:w="432"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监理</w:t>
            </w:r>
          </w:p>
          <w:p>
            <w:pPr>
              <w:pStyle w:val="18"/>
              <w:keepNext w:val="0"/>
              <w:keepLines w:val="0"/>
              <w:widowControl/>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意见</w:t>
            </w:r>
          </w:p>
        </w:tc>
        <w:tc>
          <w:tcPr>
            <w:tcW w:w="3740" w:type="pct"/>
            <w:gridSpan w:val="3"/>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firstLine="2625" w:firstLineChars="1250"/>
              <w:jc w:val="both"/>
              <w:rPr>
                <w:rFonts w:hint="eastAsia" w:ascii="宋体" w:hAnsi="宋体" w:eastAsia="宋体" w:cs="宋体"/>
                <w:b w:val="0"/>
                <w:bCs w:val="0"/>
                <w:i w:val="0"/>
                <w:iCs w:val="0"/>
                <w:color w:val="auto"/>
                <w:spacing w:val="0"/>
                <w:w w:val="100"/>
                <w:sz w:val="21"/>
                <w:szCs w:val="21"/>
                <w:vertAlign w:val="baseline"/>
              </w:rPr>
            </w:pPr>
            <w:r>
              <w:rPr>
                <w:rFonts w:hint="eastAsia" w:ascii="宋体" w:hAnsi="宋体" w:eastAsia="宋体" w:cs="宋体"/>
                <w:b w:val="0"/>
                <w:bCs w:val="0"/>
                <w:i w:val="0"/>
                <w:iCs w:val="0"/>
                <w:color w:val="auto"/>
                <w:spacing w:val="0"/>
                <w:w w:val="100"/>
                <w:sz w:val="21"/>
                <w:szCs w:val="21"/>
                <w:vertAlign w:val="baseline"/>
              </w:rPr>
              <w:t xml:space="preserve">监理工程师签 名： </w:t>
            </w:r>
          </w:p>
          <w:p>
            <w:pPr>
              <w:pStyle w:val="18"/>
              <w:keepNext w:val="0"/>
              <w:keepLines w:val="0"/>
              <w:widowControl/>
              <w:suppressLineNumbers w:val="0"/>
              <w:spacing w:before="0" w:beforeAutospacing="0" w:after="0" w:afterAutospacing="0" w:line="360" w:lineRule="exact"/>
              <w:ind w:left="0" w:right="0" w:firstLine="2625" w:firstLineChars="125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日 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28"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三级检查</w:t>
            </w:r>
          </w:p>
        </w:tc>
        <w:tc>
          <w:tcPr>
            <w:tcW w:w="41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委托人检查</w:t>
            </w:r>
          </w:p>
        </w:tc>
        <w:tc>
          <w:tcPr>
            <w:tcW w:w="432"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验收</w:t>
            </w:r>
          </w:p>
          <w:p>
            <w:pPr>
              <w:pStyle w:val="18"/>
              <w:keepNext w:val="0"/>
              <w:keepLines w:val="0"/>
              <w:widowControl/>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结论</w:t>
            </w:r>
          </w:p>
        </w:tc>
        <w:tc>
          <w:tcPr>
            <w:tcW w:w="3740" w:type="pct"/>
            <w:gridSpan w:val="3"/>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firstLine="2520" w:firstLineChars="1200"/>
              <w:jc w:val="both"/>
              <w:rPr>
                <w:rFonts w:hint="eastAsia" w:ascii="宋体" w:hAnsi="宋体" w:eastAsia="宋体" w:cs="宋体"/>
                <w:b w:val="0"/>
                <w:bCs w:val="0"/>
                <w:i w:val="0"/>
                <w:iCs w:val="0"/>
                <w:color w:val="auto"/>
                <w:spacing w:val="0"/>
                <w:w w:val="100"/>
                <w:sz w:val="21"/>
                <w:szCs w:val="21"/>
                <w:vertAlign w:val="baseline"/>
              </w:rPr>
            </w:pPr>
            <w:r>
              <w:rPr>
                <w:rFonts w:hint="eastAsia" w:ascii="宋体" w:hAnsi="宋体" w:eastAsia="宋体" w:cs="宋体"/>
                <w:b w:val="0"/>
                <w:bCs w:val="0"/>
                <w:i w:val="0"/>
                <w:iCs w:val="0"/>
                <w:color w:val="auto"/>
                <w:spacing w:val="0"/>
                <w:w w:val="100"/>
                <w:sz w:val="21"/>
                <w:szCs w:val="21"/>
                <w:vertAlign w:val="baseline"/>
              </w:rPr>
              <w:t xml:space="preserve">主管工程师签 名： </w:t>
            </w:r>
          </w:p>
          <w:p>
            <w:pPr>
              <w:pStyle w:val="18"/>
              <w:keepNext w:val="0"/>
              <w:keepLines w:val="0"/>
              <w:widowControl/>
              <w:suppressLineNumbers w:val="0"/>
              <w:spacing w:before="0" w:beforeAutospacing="0" w:after="0" w:afterAutospacing="0" w:line="360" w:lineRule="exact"/>
              <w:ind w:left="0" w:right="0" w:firstLine="2520" w:firstLineChars="120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日 期：</w:t>
            </w:r>
          </w:p>
        </w:tc>
      </w:tr>
    </w:tbl>
    <w:p>
      <w:pPr>
        <w:rPr>
          <w:rFonts w:hint="eastAsia" w:ascii="宋体" w:hAnsi="宋体" w:eastAsia="宋体" w:cs="宋体"/>
          <w:b/>
          <w:bCs/>
          <w:i w:val="0"/>
          <w:iCs w:val="0"/>
          <w:color w:val="auto"/>
          <w:spacing w:val="0"/>
          <w:w w:val="100"/>
          <w:sz w:val="21"/>
          <w:szCs w:val="21"/>
          <w:vertAlign w:val="baseline"/>
        </w:rPr>
      </w:pPr>
      <w:r>
        <w:rPr>
          <w:rFonts w:hint="eastAsia" w:ascii="宋体" w:hAnsi="宋体" w:eastAsia="宋体" w:cs="宋体"/>
          <w:b/>
          <w:bCs/>
          <w:i w:val="0"/>
          <w:iCs w:val="0"/>
          <w:color w:val="auto"/>
          <w:spacing w:val="0"/>
          <w:w w:val="100"/>
          <w:sz w:val="21"/>
          <w:szCs w:val="21"/>
          <w:vertAlign w:val="baseline"/>
        </w:rPr>
        <w:br w:type="page"/>
      </w:r>
    </w:p>
    <w:p>
      <w:pPr>
        <w:pStyle w:val="4"/>
        <w:keepNext w:val="0"/>
        <w:keepLines w:val="0"/>
        <w:widowControl/>
        <w:suppressLineNumbers w:val="0"/>
        <w:spacing w:before="0" w:beforeAutospacing="0" w:after="0" w:afterAutospacing="0" w:line="240" w:lineRule="auto"/>
        <w:ind w:left="0"/>
        <w:jc w:val="both"/>
        <w:rPr>
          <w:rFonts w:hint="eastAsia" w:ascii="宋体" w:hAnsi="宋体" w:eastAsia="宋体" w:cs="宋体"/>
          <w:color w:val="auto"/>
        </w:rPr>
      </w:pPr>
      <w:r>
        <w:rPr>
          <w:rFonts w:hint="eastAsia" w:ascii="宋体" w:hAnsi="宋体" w:eastAsia="宋体" w:cs="宋体"/>
          <w:b/>
          <w:bCs/>
          <w:i w:val="0"/>
          <w:iCs w:val="0"/>
          <w:color w:val="auto"/>
          <w:spacing w:val="0"/>
          <w:w w:val="100"/>
          <w:sz w:val="21"/>
          <w:szCs w:val="21"/>
          <w:vertAlign w:val="baseline"/>
        </w:rPr>
        <w:t>附件5</w:t>
      </w:r>
    </w:p>
    <w:p>
      <w:pPr>
        <w:pStyle w:val="18"/>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i w:val="0"/>
          <w:iCs w:val="0"/>
          <w:color w:val="auto"/>
          <w:spacing w:val="0"/>
          <w:w w:val="100"/>
          <w:sz w:val="32"/>
          <w:szCs w:val="32"/>
          <w:vertAlign w:val="baseline"/>
        </w:rPr>
      </w:pPr>
      <w:r>
        <w:rPr>
          <w:rFonts w:hint="eastAsia" w:ascii="宋体" w:hAnsi="宋体" w:eastAsia="宋体" w:cs="宋体"/>
          <w:b/>
          <w:bCs/>
          <w:i w:val="0"/>
          <w:iCs w:val="0"/>
          <w:color w:val="auto"/>
          <w:spacing w:val="0"/>
          <w:w w:val="100"/>
          <w:sz w:val="32"/>
          <w:szCs w:val="32"/>
          <w:vertAlign w:val="baseline"/>
        </w:rPr>
        <w:t>工序检查一览表</w:t>
      </w: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98"/>
        <w:gridCol w:w="2681"/>
        <w:gridCol w:w="999"/>
        <w:gridCol w:w="999"/>
        <w:gridCol w:w="999"/>
        <w:gridCol w:w="1005"/>
        <w:gridCol w:w="1121"/>
        <w:gridCol w:w="1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restart"/>
            <w:tcBorders>
              <w:top w:val="single" w:color="000000" w:sz="4" w:space="0"/>
              <w:left w:val="single" w:color="000000" w:sz="4" w:space="0"/>
              <w:bottom w:val="single" w:color="000000" w:sz="4" w:space="0"/>
              <w:right w:val="single" w:color="000000" w:sz="4" w:space="0"/>
            </w:tcBorders>
            <w:shd w:val="clear" w:color="auto" w:fill="D5DCE4"/>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分部</w:t>
            </w:r>
          </w:p>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工程</w:t>
            </w:r>
          </w:p>
        </w:tc>
        <w:tc>
          <w:tcPr>
            <w:tcW w:w="1359" w:type="pct"/>
            <w:vMerge w:val="restart"/>
            <w:tcBorders>
              <w:top w:val="single" w:color="000000" w:sz="4" w:space="0"/>
              <w:left w:val="single" w:color="000000" w:sz="4" w:space="0"/>
              <w:bottom w:val="single" w:color="000000" w:sz="4" w:space="0"/>
              <w:right w:val="single" w:color="000000" w:sz="4" w:space="0"/>
            </w:tcBorders>
            <w:shd w:val="clear" w:color="auto" w:fill="D5DCE4"/>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工序名称</w:t>
            </w:r>
          </w:p>
        </w:tc>
        <w:tc>
          <w:tcPr>
            <w:tcW w:w="2027" w:type="pct"/>
            <w:gridSpan w:val="4"/>
            <w:tcBorders>
              <w:top w:val="single" w:color="000000" w:sz="4" w:space="0"/>
              <w:left w:val="single" w:color="000000" w:sz="4" w:space="0"/>
              <w:bottom w:val="single" w:color="000000" w:sz="4" w:space="0"/>
              <w:right w:val="single" w:color="000000" w:sz="4" w:space="0"/>
            </w:tcBorders>
            <w:shd w:val="clear" w:color="auto" w:fill="D5DCE4"/>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主要控制检查方式</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D5DCE4"/>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检查比例（每站）%</w:t>
            </w:r>
          </w:p>
        </w:tc>
        <w:tc>
          <w:tcPr>
            <w:tcW w:w="537" w:type="pct"/>
            <w:vMerge w:val="restart"/>
            <w:tcBorders>
              <w:top w:val="single" w:color="000000" w:sz="4" w:space="0"/>
              <w:left w:val="single" w:color="000000" w:sz="4" w:space="0"/>
              <w:bottom w:val="single" w:color="000000" w:sz="4" w:space="0"/>
              <w:right w:val="single" w:color="000000" w:sz="4" w:space="0"/>
            </w:tcBorders>
            <w:shd w:val="clear" w:color="auto" w:fill="D5DCE4"/>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检查</w:t>
            </w:r>
          </w:p>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D5DCE4"/>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vMerge w:val="continue"/>
            <w:tcBorders>
              <w:top w:val="single" w:color="000000" w:sz="4" w:space="0"/>
              <w:left w:val="single" w:color="000000" w:sz="4" w:space="0"/>
              <w:bottom w:val="single" w:color="000000" w:sz="4" w:space="0"/>
              <w:right w:val="single" w:color="000000" w:sz="4" w:space="0"/>
            </w:tcBorders>
            <w:shd w:val="clear" w:color="auto" w:fill="D5DCE4"/>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000000" w:sz="4" w:space="0"/>
              <w:left w:val="single" w:color="000000" w:sz="4" w:space="0"/>
              <w:bottom w:val="single" w:color="000000" w:sz="4" w:space="0"/>
              <w:right w:val="single" w:color="000000" w:sz="4" w:space="0"/>
            </w:tcBorders>
            <w:shd w:val="clear" w:color="auto" w:fill="D5DCE4"/>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事前检查方案</w:t>
            </w:r>
          </w:p>
        </w:tc>
        <w:tc>
          <w:tcPr>
            <w:tcW w:w="506" w:type="pct"/>
            <w:tcBorders>
              <w:top w:val="single" w:color="CBCDD1" w:sz="4" w:space="0"/>
              <w:left w:val="single" w:color="000000" w:sz="4" w:space="0"/>
              <w:bottom w:val="single" w:color="000000" w:sz="4" w:space="0"/>
              <w:right w:val="single" w:color="000000" w:sz="4" w:space="0"/>
            </w:tcBorders>
            <w:shd w:val="clear" w:color="auto" w:fill="D5DCE4"/>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事中平行检测巡视</w:t>
            </w:r>
          </w:p>
        </w:tc>
        <w:tc>
          <w:tcPr>
            <w:tcW w:w="506" w:type="pct"/>
            <w:tcBorders>
              <w:top w:val="single" w:color="CBCDD1" w:sz="4" w:space="0"/>
              <w:left w:val="single" w:color="000000" w:sz="4" w:space="0"/>
              <w:bottom w:val="single" w:color="000000" w:sz="4" w:space="0"/>
              <w:right w:val="single" w:color="000000" w:sz="4" w:space="0"/>
            </w:tcBorders>
            <w:shd w:val="clear" w:color="auto" w:fill="D5DCE4"/>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旁站</w:t>
            </w:r>
          </w:p>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监理</w:t>
            </w:r>
          </w:p>
        </w:tc>
        <w:tc>
          <w:tcPr>
            <w:tcW w:w="506" w:type="pct"/>
            <w:tcBorders>
              <w:top w:val="single" w:color="CBCDD1" w:sz="4" w:space="0"/>
              <w:left w:val="single" w:color="000000" w:sz="4" w:space="0"/>
              <w:bottom w:val="single" w:color="000000" w:sz="4" w:space="0"/>
              <w:right w:val="single" w:color="000000" w:sz="4" w:space="0"/>
            </w:tcBorders>
            <w:shd w:val="clear" w:color="auto" w:fill="D5DCE4"/>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事后试验检查</w:t>
            </w: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D5DCE4"/>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37" w:type="pct"/>
            <w:vMerge w:val="continue"/>
            <w:tcBorders>
              <w:top w:val="single" w:color="000000" w:sz="4" w:space="0"/>
              <w:left w:val="single" w:color="000000" w:sz="4" w:space="0"/>
              <w:bottom w:val="single" w:color="000000" w:sz="4" w:space="0"/>
              <w:right w:val="single" w:color="000000" w:sz="4" w:space="0"/>
            </w:tcBorders>
            <w:shd w:val="clear" w:color="auto" w:fill="D5DCE4"/>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 w:hRule="atLeast"/>
        </w:trPr>
        <w:tc>
          <w:tcPr>
            <w:tcW w:w="506" w:type="pct"/>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地基与基础</w:t>
            </w:r>
          </w:p>
        </w:tc>
        <w:tc>
          <w:tcPr>
            <w:tcW w:w="1359"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场地移交（现场平面网格测量）</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 xml:space="preserve">开挖土方测量（深度、平面尺寸、坡度、土方量） </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土方回填</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放线</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基坑支护</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桩基施打/浇筑（垂直度、中心偏移）</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桩基工程量测量</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后浇带基层处理及砼浇筑</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防水砼浇筑</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其他砼浇筑</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地下防水工程</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地下室结构质量缺陷处理</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钢结构安装</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基础放线</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主体结构</w:t>
            </w:r>
          </w:p>
        </w:tc>
        <w:tc>
          <w:tcPr>
            <w:tcW w:w="1359"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主体垂直度测量</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80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楼层平面放线</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60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模板的支撑</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30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模板接缝、表面清理</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预埋件与孔洞的尺寸</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轴线、标高、平整度、</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30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柱、梁、墙的截面尺寸</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30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梁、板起拱</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模板拆除</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30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钢筋原材料质量检查</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国家标准</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钢筋现场外观检查</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品种、规格、数量位置、</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钢筋隐检</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接头位置、数量、间距尺寸</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预埋件规格、数量、位置</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钢筋加工弯钩、弯折</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30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砼配合比、运输、浇筑及间歇时间</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砼浇注</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砼养护、砼外观检查</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梁、柱、板的尺寸（轴线、垂直度、层高、截面、平整度、预留孔）</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电梯井长宽、坐标、垂直度</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80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轴线</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垂直度、平整度</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砂浆饱满度</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门窗洞口尺寸（上下偏差）</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水平灰缝平直度、厚度</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拉结钢筋</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梁下顶砌</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预应力张拉</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装配式结构安装</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网架结构安装</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钢结构工程</w:t>
            </w:r>
          </w:p>
        </w:tc>
        <w:tc>
          <w:tcPr>
            <w:tcW w:w="1359"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除锈防腐</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80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焊接点的检查（探伤、强度）</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国家标准</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焊口表面打光</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定位尺寸检查</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构件加工、组装尺寸检查</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60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整体垂直度、平整度检测</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40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油漆防腐</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颜色均匀度</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泛碱、咬色、流坠、疙瘩、砂眼、刷纹</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钢结构安装</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建筑</w:t>
            </w:r>
          </w:p>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装饰装修</w:t>
            </w:r>
          </w:p>
        </w:tc>
        <w:tc>
          <w:tcPr>
            <w:tcW w:w="1359"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抹灰基底的检查（预埋管、砌体与结构交接面钢丝网）</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40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抹灰平整度垂直度</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阴阳角方正</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分格条（缝）直线度</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大于35MM加强措施</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墙裙、脚上口直线度</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30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抹灰空鼓检查</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地面基底检查</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地面平整度</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墙角方正、顺直</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地面空鼓检查</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腻子平整、牢固、无粉化</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40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腻子的厚度不超过2MM</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40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腻子表面光滑（灯光试验）</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30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立面垂直度</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饰面基层检查</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40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墙、地砖的平整度、空鼓</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墙、地砖间的接缝直线度</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阴阳角方正</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墙裙、脚上口直线度</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40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基底的检查</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干挂构件的检查</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饰面的平整度</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饰面的垂直度</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石材间的拼缝</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构件尺寸（截面、长度）</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30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螺栓中心间距</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30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饰面接缝观感</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壁纸饰面基层平整度</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壁纸接缝观感</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60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木质构件的牢固性</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30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木质产品的表面观感</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木质产品油漆</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30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木质产品的小五金配件</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吊丝、龙骨的固定</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60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表面的平整度</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阴阳角方正</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接缝直线度</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接缝高低差</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接缝宽度</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木质材料的防火措施</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装饰隐蔽材料的防腐与防白蚁</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进出位尺寸</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中线尺寸（上下门窗中心偏差）</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80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垂直度</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门窗工程</w:t>
            </w:r>
          </w:p>
        </w:tc>
        <w:tc>
          <w:tcPr>
            <w:tcW w:w="1359"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固定方式</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五金配件的检查</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80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加工组装工序检查</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30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成品门窗的进场检查</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门窗尺寸（外框、分格、对角线）</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门窗平整度（正侧面垂直度、上口水平度、直线度）</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外框防腐</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外框端部防水密封</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80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外框与结构和固定</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外框与结构间的塞缝</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窗扇与玻璃的密封，</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五金配件的安装检查</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滴水线的检查</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40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48小时的淋水试验</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其他门窗参照执行</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防水工程</w:t>
            </w:r>
          </w:p>
        </w:tc>
        <w:tc>
          <w:tcPr>
            <w:tcW w:w="1359"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外墙壁止水螺栓防水处理</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80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地下室底板的防水施工</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地下室底板防水保护层</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40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地下室外墙壁防水施工</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防水涂层厚度、均匀度</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防水卷材的厚度、与墙壁的贴结</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防水保护层</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40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回填土</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屋面防水工程</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结构防水试验（24小时）</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屋面防水砂浆</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屋面防水涂层厚度</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屋面转角、管根</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80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保护层</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30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外墙壁的防水工程</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底层处理</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分层抹灰（每层厚度、相隔时间）</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表面平整度、垂直度</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表面观感（外层光洁度最重要）</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结构自防水试验（24小时）</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基层表面处理</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防水层检查（厚度）</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转角、管根的防水检查</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80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防水层上翻高度</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80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卫生间、厨房、阳台、露台、屋面试水，外墙淋水</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保护层的施工检查</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饰面施工检查</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浴缸安装位置防水的检查</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80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建筑给水、</w:t>
            </w:r>
          </w:p>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排水及采暖</w:t>
            </w:r>
          </w:p>
        </w:tc>
        <w:tc>
          <w:tcPr>
            <w:tcW w:w="1359"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预留孔洞的位置尺寸</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预埋管道的位置尺寸</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管道安装平面定位尺寸</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30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管道的垂直度、坡度</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30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管支、吊架的设置</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30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管道埋地深度、管沟基础</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30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阀门、管件安装位置</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管道、支吊架除锈、油漆观感</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管道隐蔽验收</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设备、器具安装平面尺寸</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30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设备、器具的平整度、垂直度</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30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水泵的轴偏差</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管道和设备保温的厚度</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30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管道和设备保温外保护层平整度</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固定支架的设置</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管道试压、冲洗、消毒</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排水管道渗漏试验</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设备单机试运转</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7"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系统联动调试</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卫生洁具有调试、通水试验</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地漏、雨水口与地面的尺寸</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厨卫阳台地面、平屋面排水坡度</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30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消火栓、报警阀安装位置与尺寸</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自动喷淋头的平面位置与尺寸</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排水管道隐蔽、灌水试验</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排水管道通球试验</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管沟回填</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建筑电气</w:t>
            </w:r>
          </w:p>
        </w:tc>
        <w:tc>
          <w:tcPr>
            <w:tcW w:w="1359"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均压环与引下线焊接</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80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各用电设备的接地</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各金属管道的跨接接地</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穿线管预埋位置、固定牢固性</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预留箱盒的位置、固定牢固性</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管道弯曲半径、椭圆率</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30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电管、线过变形缝的补偿设置</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金属电管的内外防腐</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30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埋地管道的深度、规格</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隐蔽工程验收</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配电柜、箱、盘的外观检查（平整度、直线度、平行度）</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80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配电柜、箱、盘内部检查（电器原件、接地、电线的绑扎）</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型钢基础的检查（垂直度、水平度、不平行度）</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30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成排柜、箱、盘的垂直度、缝隙、水平差）</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30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电线电缆接地电阻摇测</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30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电线、电缆接头、与设备接头</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耐压电缆的耐压试验</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电线电缆的规格、回路编号</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灯具的固定与接线</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灯具安装高度（接地）</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30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灯具的外观检查</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成排灯具的直线度、间距</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30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开关、插座的接线</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30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开关、插座的安装高度</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开关、插座安装牢固、平整、与墙壁无缝隙</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桥架的接地</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桥架的外观检查</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桥架补偿器设置</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桥架的弯曲半径</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桥架与支架的连接</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30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支架的间距与牢固</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30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桥架穿防火区的防火措施</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80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等电位接地</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园林</w:t>
            </w:r>
          </w:p>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（软景）</w:t>
            </w:r>
          </w:p>
        </w:tc>
        <w:tc>
          <w:tcPr>
            <w:tcW w:w="1359"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验苗</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 xml:space="preserve">起苗 </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挖坑</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第一次种植土回填</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定位</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第二次种植土回填</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支护方案</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景观</w:t>
            </w:r>
          </w:p>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（硬景）</w:t>
            </w:r>
          </w:p>
        </w:tc>
        <w:tc>
          <w:tcPr>
            <w:tcW w:w="1359"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标高测量</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土方回填</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防水工程</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平整度</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30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封样管理</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720" w:right="0" w:hanging="720"/>
              <w:jc w:val="both"/>
              <w:rPr>
                <w:rFonts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成品保护方案</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防锈处理方案</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市政管道坡度、下方支撑、通球试验</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both"/>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现浇砼结构/道路基础夯实</w:t>
            </w: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0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56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100</w:t>
            </w:r>
          </w:p>
        </w:tc>
        <w:tc>
          <w:tcPr>
            <w:tcW w:w="53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bl>
    <w:p>
      <w:pPr>
        <w:pStyle w:val="18"/>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i w:val="0"/>
          <w:iCs w:val="0"/>
          <w:color w:val="auto"/>
          <w:spacing w:val="0"/>
          <w:w w:val="100"/>
          <w:sz w:val="21"/>
          <w:szCs w:val="21"/>
          <w:vertAlign w:val="baseline"/>
        </w:rPr>
      </w:pPr>
    </w:p>
    <w:p>
      <w:pPr>
        <w:pStyle w:val="18"/>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auto"/>
        </w:rPr>
      </w:pPr>
      <w:r>
        <w:rPr>
          <w:rFonts w:hint="eastAsia" w:ascii="宋体" w:hAnsi="宋体" w:eastAsia="宋体" w:cs="宋体"/>
          <w:b w:val="0"/>
          <w:bCs w:val="0"/>
          <w:i w:val="0"/>
          <w:iCs w:val="0"/>
          <w:color w:val="auto"/>
          <w:spacing w:val="0"/>
          <w:w w:val="100"/>
          <w:sz w:val="21"/>
          <w:szCs w:val="21"/>
          <w:vertAlign w:val="baseline"/>
        </w:rPr>
        <w:t>说明：</w:t>
      </w:r>
    </w:p>
    <w:p>
      <w:pPr>
        <w:pStyle w:val="18"/>
        <w:keepNext w:val="0"/>
        <w:keepLines w:val="0"/>
        <w:widowControl/>
        <w:suppressLineNumbers w:val="0"/>
        <w:spacing w:before="0" w:beforeAutospacing="0" w:after="0" w:afterAutospacing="0" w:line="440" w:lineRule="exact"/>
        <w:ind w:left="0" w:right="0" w:firstLine="420"/>
        <w:jc w:val="both"/>
        <w:rPr>
          <w:rFonts w:hint="eastAsia" w:ascii="宋体" w:hAnsi="宋体" w:eastAsia="宋体" w:cs="宋体"/>
          <w:color w:val="auto"/>
        </w:rPr>
      </w:pPr>
      <w:r>
        <w:rPr>
          <w:rFonts w:hint="eastAsia" w:ascii="宋体" w:hAnsi="宋体" w:eastAsia="宋体" w:cs="宋体"/>
          <w:b w:val="0"/>
          <w:bCs w:val="0"/>
          <w:i w:val="0"/>
          <w:iCs w:val="0"/>
          <w:color w:val="auto"/>
          <w:spacing w:val="0"/>
          <w:w w:val="100"/>
          <w:sz w:val="21"/>
          <w:szCs w:val="21"/>
          <w:vertAlign w:val="baseline"/>
        </w:rPr>
        <w:t>工序检查一览表中所列的工序是常见工序，表中未列检查项目在具体监理过程中由委托人与监理部根据《建筑工程施工质量验收规范》的要求进行编写；</w:t>
      </w:r>
    </w:p>
    <w:p>
      <w:pPr>
        <w:pStyle w:val="18"/>
        <w:keepNext w:val="0"/>
        <w:keepLines w:val="0"/>
        <w:widowControl/>
        <w:suppressLineNumbers w:val="0"/>
        <w:spacing w:before="0" w:beforeAutospacing="0" w:after="0" w:afterAutospacing="0" w:line="440" w:lineRule="exact"/>
        <w:ind w:left="0" w:right="0" w:firstLine="420"/>
        <w:jc w:val="both"/>
        <w:rPr>
          <w:rFonts w:hint="eastAsia" w:ascii="宋体" w:hAnsi="宋体" w:eastAsia="宋体" w:cs="宋体"/>
          <w:color w:val="auto"/>
        </w:rPr>
      </w:pPr>
      <w:r>
        <w:rPr>
          <w:rFonts w:hint="eastAsia" w:ascii="宋体" w:hAnsi="宋体" w:eastAsia="宋体" w:cs="宋体"/>
          <w:b w:val="0"/>
          <w:bCs w:val="0"/>
          <w:i w:val="0"/>
          <w:iCs w:val="0"/>
          <w:color w:val="auto"/>
          <w:spacing w:val="0"/>
          <w:w w:val="100"/>
          <w:sz w:val="21"/>
          <w:szCs w:val="21"/>
          <w:vertAlign w:val="baseline"/>
        </w:rPr>
        <w:t>验收批次的要求（以建筑施工质量验收规范要求为基础标准）；</w:t>
      </w:r>
    </w:p>
    <w:p>
      <w:pPr>
        <w:pStyle w:val="18"/>
        <w:keepNext w:val="0"/>
        <w:keepLines w:val="0"/>
        <w:widowControl/>
        <w:suppressLineNumbers w:val="0"/>
        <w:spacing w:before="0" w:beforeAutospacing="0" w:after="0" w:afterAutospacing="0" w:line="440" w:lineRule="exact"/>
        <w:ind w:left="0" w:right="0" w:firstLine="420"/>
        <w:jc w:val="both"/>
        <w:rPr>
          <w:rFonts w:hint="eastAsia" w:ascii="宋体" w:hAnsi="宋体" w:eastAsia="宋体" w:cs="宋体"/>
          <w:color w:val="auto"/>
        </w:rPr>
      </w:pPr>
      <w:r>
        <w:rPr>
          <w:rFonts w:hint="eastAsia" w:ascii="宋体" w:hAnsi="宋体" w:eastAsia="宋体" w:cs="宋体"/>
          <w:b w:val="0"/>
          <w:bCs w:val="0"/>
          <w:i w:val="0"/>
          <w:iCs w:val="0"/>
          <w:color w:val="auto"/>
          <w:spacing w:val="0"/>
          <w:w w:val="100"/>
          <w:sz w:val="21"/>
          <w:szCs w:val="21"/>
          <w:vertAlign w:val="baseline"/>
        </w:rPr>
        <w:t>根据不同的工程，委托人和监理部可根据实际情况进行检验批的调整。</w:t>
      </w:r>
    </w:p>
    <w:p>
      <w:pPr>
        <w:pStyle w:val="18"/>
        <w:keepNext w:val="0"/>
        <w:keepLines w:val="0"/>
        <w:widowControl/>
        <w:suppressLineNumbers w:val="0"/>
        <w:spacing w:before="0" w:beforeAutospacing="0" w:after="0" w:afterAutospacing="0" w:line="440" w:lineRule="exact"/>
        <w:ind w:left="0" w:right="0" w:firstLine="420"/>
        <w:jc w:val="both"/>
        <w:rPr>
          <w:rFonts w:hint="eastAsia" w:ascii="宋体" w:hAnsi="宋体" w:eastAsia="宋体" w:cs="宋体"/>
          <w:color w:val="auto"/>
        </w:rPr>
      </w:pPr>
      <w:r>
        <w:rPr>
          <w:rFonts w:hint="eastAsia" w:ascii="宋体" w:hAnsi="宋体" w:eastAsia="宋体" w:cs="宋体"/>
          <w:b w:val="0"/>
          <w:bCs w:val="0"/>
          <w:i w:val="0"/>
          <w:iCs w:val="0"/>
          <w:color w:val="auto"/>
          <w:spacing w:val="0"/>
          <w:w w:val="100"/>
          <w:sz w:val="21"/>
          <w:szCs w:val="21"/>
          <w:vertAlign w:val="baseline"/>
        </w:rPr>
        <w:t>监理公司应严格按照委托人编制的分项工序检查表进行检查。</w:t>
      </w:r>
    </w:p>
    <w:p>
      <w:pPr>
        <w:rPr>
          <w:rFonts w:hint="eastAsia" w:ascii="宋体" w:hAnsi="宋体" w:eastAsia="宋体" w:cs="宋体"/>
          <w:b/>
          <w:bCs/>
          <w:i w:val="0"/>
          <w:iCs w:val="0"/>
          <w:color w:val="auto"/>
          <w:spacing w:val="0"/>
          <w:w w:val="100"/>
          <w:sz w:val="21"/>
          <w:szCs w:val="21"/>
          <w:vertAlign w:val="baseline"/>
        </w:rPr>
      </w:pPr>
      <w:r>
        <w:rPr>
          <w:rFonts w:hint="eastAsia" w:ascii="宋体" w:hAnsi="宋体" w:eastAsia="宋体" w:cs="宋体"/>
          <w:b/>
          <w:bCs/>
          <w:i w:val="0"/>
          <w:iCs w:val="0"/>
          <w:color w:val="auto"/>
          <w:spacing w:val="0"/>
          <w:w w:val="100"/>
          <w:sz w:val="21"/>
          <w:szCs w:val="21"/>
          <w:vertAlign w:val="baseline"/>
        </w:rPr>
        <w:br w:type="page"/>
      </w:r>
    </w:p>
    <w:p>
      <w:pPr>
        <w:pStyle w:val="4"/>
        <w:keepNext w:val="0"/>
        <w:keepLines w:val="0"/>
        <w:widowControl/>
        <w:suppressLineNumbers w:val="0"/>
        <w:spacing w:before="0" w:beforeAutospacing="0" w:after="0" w:afterAutospacing="0" w:line="240" w:lineRule="auto"/>
        <w:ind w:left="0"/>
        <w:jc w:val="both"/>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附件6</w:t>
      </w:r>
    </w:p>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32"/>
          <w:szCs w:val="32"/>
        </w:rPr>
      </w:pPr>
      <w:r>
        <w:rPr>
          <w:rFonts w:hint="eastAsia" w:ascii="宋体" w:hAnsi="宋体" w:eastAsia="宋体" w:cs="宋体"/>
          <w:b/>
          <w:bCs/>
          <w:i w:val="0"/>
          <w:iCs w:val="0"/>
          <w:color w:val="auto"/>
          <w:spacing w:val="0"/>
          <w:w w:val="100"/>
          <w:sz w:val="32"/>
          <w:szCs w:val="32"/>
          <w:vertAlign w:val="baseline"/>
        </w:rPr>
        <w:t>通用停止点检查验收表</w:t>
      </w:r>
    </w:p>
    <w:p>
      <w:pPr>
        <w:pStyle w:val="18"/>
        <w:keepNext w:val="0"/>
        <w:keepLines w:val="0"/>
        <w:widowControl/>
        <w:suppressLineNumbers w:val="0"/>
        <w:spacing w:before="0" w:beforeAutospacing="0" w:after="0" w:afterAutospacing="0" w:line="240" w:lineRule="auto"/>
        <w:ind w:left="0" w:right="0" w:firstLine="525"/>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 xml:space="preserve">工程名称： </w:t>
      </w:r>
      <w:r>
        <w:rPr>
          <w:rFonts w:hint="eastAsia" w:ascii="宋体" w:hAnsi="宋体" w:eastAsia="宋体" w:cs="宋体"/>
          <w:b w:val="0"/>
          <w:bCs w:val="0"/>
          <w:i w:val="0"/>
          <w:iCs w:val="0"/>
          <w:color w:val="auto"/>
          <w:spacing w:val="0"/>
          <w:w w:val="100"/>
          <w:sz w:val="21"/>
          <w:szCs w:val="21"/>
          <w:vertAlign w:val="baseline"/>
          <w:lang w:val="en-US" w:eastAsia="zh-CN"/>
        </w:rPr>
        <w:t xml:space="preserve">                                              </w:t>
      </w:r>
      <w:r>
        <w:rPr>
          <w:rFonts w:hint="eastAsia" w:ascii="宋体" w:hAnsi="宋体" w:eastAsia="宋体" w:cs="宋体"/>
          <w:b w:val="0"/>
          <w:bCs w:val="0"/>
          <w:i w:val="0"/>
          <w:iCs w:val="0"/>
          <w:color w:val="auto"/>
          <w:spacing w:val="0"/>
          <w:w w:val="100"/>
          <w:sz w:val="21"/>
          <w:szCs w:val="21"/>
          <w:vertAlign w:val="baseline"/>
        </w:rPr>
        <w:t>编号：□□-□□□-TZD-TY-□□□</w:t>
      </w:r>
    </w:p>
    <w:tbl>
      <w:tblPr>
        <w:tblStyle w:val="22"/>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80"/>
        <w:gridCol w:w="1067"/>
        <w:gridCol w:w="2717"/>
        <w:gridCol w:w="1923"/>
        <w:gridCol w:w="2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6" w:hRule="atLeast"/>
          <w:jc w:val="center"/>
        </w:trPr>
        <w:tc>
          <w:tcPr>
            <w:tcW w:w="1139" w:type="pct"/>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560" w:lineRule="exact"/>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分项工程名称</w:t>
            </w:r>
          </w:p>
        </w:tc>
        <w:tc>
          <w:tcPr>
            <w:tcW w:w="1377"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975"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施工单位</w:t>
            </w:r>
          </w:p>
        </w:tc>
        <w:tc>
          <w:tcPr>
            <w:tcW w:w="1508"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6" w:hRule="atLeast"/>
          <w:jc w:val="center"/>
        </w:trPr>
        <w:tc>
          <w:tcPr>
            <w:tcW w:w="1139" w:type="pct"/>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检查部位</w:t>
            </w:r>
          </w:p>
        </w:tc>
        <w:tc>
          <w:tcPr>
            <w:tcW w:w="137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97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检查时间</w:t>
            </w:r>
          </w:p>
        </w:tc>
        <w:tc>
          <w:tcPr>
            <w:tcW w:w="150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62" w:hRule="atLeast"/>
          <w:jc w:val="center"/>
        </w:trPr>
        <w:tc>
          <w:tcPr>
            <w:tcW w:w="1139" w:type="pct"/>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验收标准</w:t>
            </w:r>
          </w:p>
        </w:tc>
        <w:tc>
          <w:tcPr>
            <w:tcW w:w="3860" w:type="pct"/>
            <w:gridSpan w:val="3"/>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top"/>
          </w:tcPr>
          <w:p>
            <w:pPr>
              <w:pStyle w:val="18"/>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检查重点：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7" w:hRule="atLeast"/>
          <w:jc w:val="center"/>
        </w:trPr>
        <w:tc>
          <w:tcPr>
            <w:tcW w:w="1139" w:type="pct"/>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需整改的部位</w:t>
            </w:r>
          </w:p>
        </w:tc>
        <w:tc>
          <w:tcPr>
            <w:tcW w:w="3860" w:type="pct"/>
            <w:gridSpan w:val="3"/>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7" w:hRule="atLeast"/>
          <w:jc w:val="center"/>
        </w:trPr>
        <w:tc>
          <w:tcPr>
            <w:tcW w:w="1139" w:type="pct"/>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整改完成情况</w:t>
            </w:r>
          </w:p>
        </w:tc>
        <w:tc>
          <w:tcPr>
            <w:tcW w:w="3860" w:type="pct"/>
            <w:gridSpan w:val="3"/>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6" w:hRule="atLeast"/>
          <w:jc w:val="center"/>
        </w:trPr>
        <w:tc>
          <w:tcPr>
            <w:tcW w:w="59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施工单位检查</w:t>
            </w:r>
          </w:p>
        </w:tc>
        <w:tc>
          <w:tcPr>
            <w:tcW w:w="541"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自检</w:t>
            </w:r>
          </w:p>
          <w:p>
            <w:pPr>
              <w:pStyle w:val="18"/>
              <w:keepNext w:val="0"/>
              <w:keepLines w:val="0"/>
              <w:widowControl/>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情况</w:t>
            </w:r>
          </w:p>
        </w:tc>
        <w:tc>
          <w:tcPr>
            <w:tcW w:w="3860" w:type="pct"/>
            <w:gridSpan w:val="3"/>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firstLine="210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施工单位签名：</w:t>
            </w:r>
            <w:r>
              <w:rPr>
                <w:rFonts w:hint="eastAsia" w:ascii="宋体" w:hAnsi="宋体" w:eastAsia="宋体" w:cs="宋体"/>
                <w:b w:val="0"/>
                <w:bCs w:val="0"/>
                <w:i w:val="0"/>
                <w:iCs w:val="0"/>
                <w:color w:val="auto"/>
                <w:spacing w:val="0"/>
                <w:w w:val="100"/>
                <w:sz w:val="21"/>
                <w:szCs w:val="21"/>
                <w:vertAlign w:val="baseline"/>
                <w:lang w:val="en-US" w:eastAsia="zh-CN"/>
              </w:rPr>
              <w:t xml:space="preserve">              </w:t>
            </w:r>
            <w:r>
              <w:rPr>
                <w:rFonts w:hint="eastAsia" w:ascii="宋体" w:hAnsi="宋体" w:eastAsia="宋体" w:cs="宋体"/>
                <w:b w:val="0"/>
                <w:bCs w:val="0"/>
                <w:i w:val="0"/>
                <w:iCs w:val="0"/>
                <w:color w:val="auto"/>
                <w:spacing w:val="0"/>
                <w:w w:val="100"/>
                <w:sz w:val="21"/>
                <w:szCs w:val="21"/>
                <w:vertAlign w:val="baseline"/>
              </w:rPr>
              <w:t xml:space="preserve"> 日 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29" w:hRule="atLeast"/>
          <w:jc w:val="center"/>
        </w:trPr>
        <w:tc>
          <w:tcPr>
            <w:tcW w:w="598"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监理单位检查</w:t>
            </w:r>
          </w:p>
        </w:tc>
        <w:tc>
          <w:tcPr>
            <w:tcW w:w="541"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检查或验收意见</w:t>
            </w:r>
          </w:p>
        </w:tc>
        <w:tc>
          <w:tcPr>
            <w:tcW w:w="3860" w:type="pct"/>
            <w:gridSpan w:val="3"/>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firstLine="2100" w:firstLineChars="100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 xml:space="preserve">专业监理工程师签名： </w:t>
            </w:r>
            <w:r>
              <w:rPr>
                <w:rFonts w:hint="eastAsia" w:ascii="宋体" w:hAnsi="宋体" w:eastAsia="宋体" w:cs="宋体"/>
                <w:b w:val="0"/>
                <w:bCs w:val="0"/>
                <w:i w:val="0"/>
                <w:iCs w:val="0"/>
                <w:color w:val="auto"/>
                <w:spacing w:val="0"/>
                <w:w w:val="100"/>
                <w:sz w:val="21"/>
                <w:szCs w:val="21"/>
                <w:vertAlign w:val="baseline"/>
                <w:lang w:val="en-US" w:eastAsia="zh-CN"/>
              </w:rPr>
              <w:t xml:space="preserve">        </w:t>
            </w:r>
            <w:r>
              <w:rPr>
                <w:rFonts w:hint="eastAsia" w:ascii="宋体" w:hAnsi="宋体" w:eastAsia="宋体" w:cs="宋体"/>
                <w:b w:val="0"/>
                <w:bCs w:val="0"/>
                <w:i w:val="0"/>
                <w:iCs w:val="0"/>
                <w:color w:val="auto"/>
                <w:spacing w:val="0"/>
                <w:w w:val="100"/>
                <w:sz w:val="21"/>
                <w:szCs w:val="21"/>
                <w:vertAlign w:val="baseline"/>
              </w:rPr>
              <w:t>日 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75" w:hRule="atLeast"/>
          <w:jc w:val="center"/>
        </w:trPr>
        <w:tc>
          <w:tcPr>
            <w:tcW w:w="598"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委托人检查</w:t>
            </w:r>
          </w:p>
        </w:tc>
        <w:tc>
          <w:tcPr>
            <w:tcW w:w="541"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检查或验收意见</w:t>
            </w:r>
          </w:p>
        </w:tc>
        <w:tc>
          <w:tcPr>
            <w:tcW w:w="3860" w:type="pct"/>
            <w:gridSpan w:val="3"/>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exact"/>
              <w:ind w:left="0" w:right="0" w:firstLine="2100" w:firstLineChars="100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 xml:space="preserve">专业工程师签名： </w:t>
            </w:r>
            <w:r>
              <w:rPr>
                <w:rFonts w:hint="eastAsia" w:ascii="宋体" w:hAnsi="宋体" w:eastAsia="宋体" w:cs="宋体"/>
                <w:b w:val="0"/>
                <w:bCs w:val="0"/>
                <w:i w:val="0"/>
                <w:iCs w:val="0"/>
                <w:color w:val="auto"/>
                <w:spacing w:val="0"/>
                <w:w w:val="100"/>
                <w:sz w:val="21"/>
                <w:szCs w:val="21"/>
                <w:vertAlign w:val="baseline"/>
                <w:lang w:val="en-US" w:eastAsia="zh-CN"/>
              </w:rPr>
              <w:t xml:space="preserve">           </w:t>
            </w:r>
            <w:r>
              <w:rPr>
                <w:rFonts w:hint="eastAsia" w:ascii="宋体" w:hAnsi="宋体" w:eastAsia="宋体" w:cs="宋体"/>
                <w:b w:val="0"/>
                <w:bCs w:val="0"/>
                <w:i w:val="0"/>
                <w:iCs w:val="0"/>
                <w:color w:val="auto"/>
                <w:spacing w:val="0"/>
                <w:w w:val="100"/>
                <w:sz w:val="21"/>
                <w:szCs w:val="21"/>
                <w:vertAlign w:val="baseline"/>
              </w:rPr>
              <w:t>日 期：</w:t>
            </w:r>
          </w:p>
        </w:tc>
      </w:tr>
    </w:tbl>
    <w:p>
      <w:pPr>
        <w:pStyle w:val="18"/>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注明：专项《停止点检查验收表》共13项，由委托人提供给监理人。</w:t>
      </w:r>
    </w:p>
    <w:p>
      <w:pPr>
        <w:rPr>
          <w:rFonts w:hint="eastAsia" w:ascii="宋体" w:hAnsi="宋体" w:eastAsia="宋体" w:cs="宋体"/>
          <w:b/>
          <w:bCs/>
          <w:i w:val="0"/>
          <w:iCs w:val="0"/>
          <w:color w:val="auto"/>
          <w:spacing w:val="0"/>
          <w:w w:val="100"/>
          <w:sz w:val="21"/>
          <w:szCs w:val="21"/>
          <w:vertAlign w:val="baseline"/>
        </w:rPr>
      </w:pPr>
      <w:r>
        <w:rPr>
          <w:rFonts w:hint="eastAsia" w:ascii="宋体" w:hAnsi="宋体" w:eastAsia="宋体" w:cs="宋体"/>
          <w:b/>
          <w:bCs/>
          <w:i w:val="0"/>
          <w:iCs w:val="0"/>
          <w:color w:val="auto"/>
          <w:spacing w:val="0"/>
          <w:w w:val="100"/>
          <w:sz w:val="21"/>
          <w:szCs w:val="21"/>
          <w:vertAlign w:val="baseline"/>
        </w:rPr>
        <w:br w:type="page"/>
      </w:r>
    </w:p>
    <w:p>
      <w:pPr>
        <w:pStyle w:val="4"/>
        <w:keepNext w:val="0"/>
        <w:keepLines w:val="0"/>
        <w:widowControl/>
        <w:suppressLineNumbers w:val="0"/>
        <w:spacing w:before="0" w:beforeAutospacing="0" w:after="0" w:afterAutospacing="0" w:line="240" w:lineRule="auto"/>
        <w:ind w:left="0"/>
        <w:jc w:val="both"/>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附件8</w:t>
      </w:r>
    </w:p>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32"/>
          <w:szCs w:val="32"/>
        </w:rPr>
      </w:pPr>
      <w:r>
        <w:rPr>
          <w:rFonts w:hint="eastAsia" w:ascii="宋体" w:hAnsi="宋体" w:eastAsia="宋体" w:cs="宋体"/>
          <w:b/>
          <w:bCs/>
          <w:i w:val="0"/>
          <w:iCs w:val="0"/>
          <w:color w:val="auto"/>
          <w:spacing w:val="0"/>
          <w:w w:val="100"/>
          <w:sz w:val="32"/>
          <w:szCs w:val="32"/>
          <w:vertAlign w:val="baseline"/>
        </w:rPr>
        <w:t>工序交接检查表</w:t>
      </w:r>
    </w:p>
    <w:p>
      <w:pPr>
        <w:pStyle w:val="18"/>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lang w:val="en-US" w:eastAsia="zh-CN"/>
        </w:rPr>
        <w:t xml:space="preserve">                                                           </w:t>
      </w:r>
      <w:r>
        <w:rPr>
          <w:rFonts w:hint="eastAsia" w:ascii="宋体" w:hAnsi="宋体" w:eastAsia="宋体" w:cs="宋体"/>
          <w:b w:val="0"/>
          <w:bCs w:val="0"/>
          <w:i w:val="0"/>
          <w:iCs w:val="0"/>
          <w:color w:val="auto"/>
          <w:spacing w:val="0"/>
          <w:w w:val="100"/>
          <w:sz w:val="21"/>
          <w:szCs w:val="21"/>
          <w:vertAlign w:val="baseline"/>
        </w:rPr>
        <w:t>编号：□□-□□□-JJ-□□□</w:t>
      </w:r>
    </w:p>
    <w:tbl>
      <w:tblPr>
        <w:tblStyle w:val="22"/>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44"/>
        <w:gridCol w:w="1450"/>
        <w:gridCol w:w="146"/>
        <w:gridCol w:w="3418"/>
        <w:gridCol w:w="1627"/>
        <w:gridCol w:w="357"/>
        <w:gridCol w:w="2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1163" w:type="pct"/>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top"/>
          </w:tcPr>
          <w:p>
            <w:pPr>
              <w:pStyle w:val="18"/>
              <w:keepNext w:val="0"/>
              <w:keepLines w:val="0"/>
              <w:widowControl/>
              <w:suppressLineNumbers w:val="0"/>
              <w:spacing w:before="0" w:beforeAutospacing="0" w:after="0" w:afterAutospacing="0" w:line="560" w:lineRule="exact"/>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工程名称</w:t>
            </w:r>
          </w:p>
        </w:tc>
        <w:tc>
          <w:tcPr>
            <w:tcW w:w="1807" w:type="pct"/>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825"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top"/>
          </w:tcPr>
          <w:p>
            <w:pPr>
              <w:pStyle w:val="18"/>
              <w:keepNext w:val="0"/>
              <w:keepLines w:val="0"/>
              <w:widowControl/>
              <w:suppressLineNumbers w:val="0"/>
              <w:spacing w:before="0" w:beforeAutospacing="0" w:after="0" w:afterAutospacing="0" w:line="560" w:lineRule="exact"/>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验收部位</w:t>
            </w:r>
          </w:p>
        </w:tc>
        <w:tc>
          <w:tcPr>
            <w:tcW w:w="1204" w:type="pct"/>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1163" w:type="pct"/>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top"/>
          </w:tcPr>
          <w:p>
            <w:pPr>
              <w:pStyle w:val="18"/>
              <w:keepNext w:val="0"/>
              <w:keepLines w:val="0"/>
              <w:widowControl/>
              <w:suppressLineNumbers w:val="0"/>
              <w:spacing w:before="0" w:beforeAutospacing="0" w:after="0" w:afterAutospacing="0" w:line="560" w:lineRule="exact"/>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前道工序施工单位</w:t>
            </w:r>
          </w:p>
        </w:tc>
        <w:tc>
          <w:tcPr>
            <w:tcW w:w="1807" w:type="pct"/>
            <w:gridSpan w:val="2"/>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82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top"/>
          </w:tcPr>
          <w:p>
            <w:pPr>
              <w:pStyle w:val="18"/>
              <w:keepNext w:val="0"/>
              <w:keepLines w:val="0"/>
              <w:widowControl/>
              <w:suppressLineNumbers w:val="0"/>
              <w:spacing w:before="0" w:beforeAutospacing="0" w:after="0" w:afterAutospacing="0" w:line="560" w:lineRule="exact"/>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项目经理</w:t>
            </w:r>
          </w:p>
        </w:tc>
        <w:tc>
          <w:tcPr>
            <w:tcW w:w="1204" w:type="pct"/>
            <w:gridSpan w:val="2"/>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1163" w:type="pct"/>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top"/>
          </w:tcPr>
          <w:p>
            <w:pPr>
              <w:pStyle w:val="18"/>
              <w:keepNext w:val="0"/>
              <w:keepLines w:val="0"/>
              <w:widowControl/>
              <w:suppressLineNumbers w:val="0"/>
              <w:spacing w:before="0" w:beforeAutospacing="0" w:after="0" w:afterAutospacing="0" w:line="560" w:lineRule="exact"/>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后道工序施工单位</w:t>
            </w:r>
          </w:p>
        </w:tc>
        <w:tc>
          <w:tcPr>
            <w:tcW w:w="1807" w:type="pct"/>
            <w:gridSpan w:val="2"/>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82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top"/>
          </w:tcPr>
          <w:p>
            <w:pPr>
              <w:pStyle w:val="18"/>
              <w:keepNext w:val="0"/>
              <w:keepLines w:val="0"/>
              <w:widowControl/>
              <w:suppressLineNumbers w:val="0"/>
              <w:spacing w:before="0" w:beforeAutospacing="0" w:after="0" w:afterAutospacing="0" w:line="560" w:lineRule="exact"/>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项目经理</w:t>
            </w:r>
          </w:p>
        </w:tc>
        <w:tc>
          <w:tcPr>
            <w:tcW w:w="1204" w:type="pct"/>
            <w:gridSpan w:val="2"/>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1163" w:type="pct"/>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top"/>
          </w:tcPr>
          <w:p>
            <w:pPr>
              <w:pStyle w:val="18"/>
              <w:keepNext w:val="0"/>
              <w:keepLines w:val="0"/>
              <w:widowControl/>
              <w:suppressLineNumbers w:val="0"/>
              <w:spacing w:before="0" w:beforeAutospacing="0" w:after="0" w:afterAutospacing="0" w:line="560" w:lineRule="exact"/>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工序交接内容</w:t>
            </w:r>
          </w:p>
        </w:tc>
        <w:tc>
          <w:tcPr>
            <w:tcW w:w="3836" w:type="pct"/>
            <w:gridSpan w:val="5"/>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5000" w:type="pct"/>
            <w:gridSpan w:val="7"/>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top"/>
          </w:tcPr>
          <w:p>
            <w:pPr>
              <w:pStyle w:val="18"/>
              <w:keepNext w:val="0"/>
              <w:keepLines w:val="0"/>
              <w:widowControl/>
              <w:suppressLineNumbers w:val="0"/>
              <w:spacing w:before="0" w:beforeAutospacing="0" w:after="0" w:afterAutospacing="0" w:line="560" w:lineRule="exact"/>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检查内容要点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42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序号</w:t>
            </w:r>
          </w:p>
        </w:tc>
        <w:tc>
          <w:tcPr>
            <w:tcW w:w="2541" w:type="pct"/>
            <w:gridSpan w:val="3"/>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检查内容</w:t>
            </w:r>
          </w:p>
        </w:tc>
        <w:tc>
          <w:tcPr>
            <w:tcW w:w="1006" w:type="pct"/>
            <w:gridSpan w:val="2"/>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是否达到进入下道工序的要求</w:t>
            </w:r>
          </w:p>
        </w:tc>
        <w:tc>
          <w:tcPr>
            <w:tcW w:w="1022"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处理意见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428"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top"/>
          </w:tcPr>
          <w:p>
            <w:pPr>
              <w:pStyle w:val="18"/>
              <w:keepNext w:val="0"/>
              <w:keepLines w:val="0"/>
              <w:widowControl/>
              <w:suppressLineNumbers w:val="0"/>
              <w:spacing w:before="0" w:beforeAutospacing="0" w:after="0" w:afterAutospacing="0" w:line="560" w:lineRule="exact"/>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w:t>
            </w:r>
          </w:p>
        </w:tc>
        <w:tc>
          <w:tcPr>
            <w:tcW w:w="2541" w:type="pct"/>
            <w:gridSpan w:val="3"/>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006" w:type="pct"/>
            <w:gridSpan w:val="2"/>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022"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428"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top"/>
          </w:tcPr>
          <w:p>
            <w:pPr>
              <w:pStyle w:val="18"/>
              <w:keepNext w:val="0"/>
              <w:keepLines w:val="0"/>
              <w:widowControl/>
              <w:suppressLineNumbers w:val="0"/>
              <w:spacing w:before="0" w:beforeAutospacing="0" w:after="0" w:afterAutospacing="0" w:line="560" w:lineRule="exact"/>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2</w:t>
            </w:r>
          </w:p>
        </w:tc>
        <w:tc>
          <w:tcPr>
            <w:tcW w:w="2541" w:type="pct"/>
            <w:gridSpan w:val="3"/>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006" w:type="pct"/>
            <w:gridSpan w:val="2"/>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022"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428"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top"/>
          </w:tcPr>
          <w:p>
            <w:pPr>
              <w:pStyle w:val="18"/>
              <w:keepNext w:val="0"/>
              <w:keepLines w:val="0"/>
              <w:widowControl/>
              <w:suppressLineNumbers w:val="0"/>
              <w:spacing w:before="0" w:beforeAutospacing="0" w:after="0" w:afterAutospacing="0" w:line="560" w:lineRule="exact"/>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3</w:t>
            </w:r>
          </w:p>
        </w:tc>
        <w:tc>
          <w:tcPr>
            <w:tcW w:w="2541" w:type="pct"/>
            <w:gridSpan w:val="3"/>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006" w:type="pct"/>
            <w:gridSpan w:val="2"/>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022"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428"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top"/>
          </w:tcPr>
          <w:p>
            <w:pPr>
              <w:pStyle w:val="18"/>
              <w:keepNext w:val="0"/>
              <w:keepLines w:val="0"/>
              <w:widowControl/>
              <w:suppressLineNumbers w:val="0"/>
              <w:spacing w:before="0" w:beforeAutospacing="0" w:after="0" w:afterAutospacing="0" w:line="560" w:lineRule="exact"/>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4</w:t>
            </w:r>
          </w:p>
        </w:tc>
        <w:tc>
          <w:tcPr>
            <w:tcW w:w="2541" w:type="pct"/>
            <w:gridSpan w:val="3"/>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006" w:type="pct"/>
            <w:gridSpan w:val="2"/>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022"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53" w:hRule="atLeast"/>
          <w:jc w:val="center"/>
        </w:trPr>
        <w:tc>
          <w:tcPr>
            <w:tcW w:w="1237" w:type="pct"/>
            <w:gridSpan w:val="3"/>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560" w:lineRule="exact"/>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移交工作面单位意见</w:t>
            </w:r>
          </w:p>
        </w:tc>
        <w:tc>
          <w:tcPr>
            <w:tcW w:w="3762" w:type="pct"/>
            <w:gridSpan w:val="4"/>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top"/>
          </w:tcPr>
          <w:p>
            <w:pPr>
              <w:pStyle w:val="18"/>
              <w:keepNext w:val="0"/>
              <w:keepLines w:val="0"/>
              <w:widowControl/>
              <w:suppressLineNumbers w:val="0"/>
              <w:spacing w:before="0" w:beforeAutospacing="0" w:after="0" w:afterAutospacing="0" w:line="560" w:lineRule="exact"/>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项目经理/技术负责人：</w:t>
            </w:r>
          </w:p>
          <w:p>
            <w:pPr>
              <w:pStyle w:val="18"/>
              <w:keepNext w:val="0"/>
              <w:keepLines w:val="0"/>
              <w:widowControl/>
              <w:suppressLineNumbers w:val="0"/>
              <w:spacing w:before="0" w:beforeAutospacing="0" w:after="0" w:afterAutospacing="0" w:line="560" w:lineRule="exact"/>
              <w:ind w:left="0" w:right="0"/>
              <w:jc w:val="righ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62" w:hRule="atLeast"/>
          <w:jc w:val="center"/>
        </w:trPr>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560" w:lineRule="exact"/>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接收工作面单位意见</w:t>
            </w:r>
          </w:p>
        </w:tc>
        <w:tc>
          <w:tcPr>
            <w:tcW w:w="3762" w:type="pct"/>
            <w:gridSpan w:val="4"/>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top"/>
          </w:tcPr>
          <w:p>
            <w:pPr>
              <w:pStyle w:val="18"/>
              <w:keepNext w:val="0"/>
              <w:keepLines w:val="0"/>
              <w:widowControl/>
              <w:suppressLineNumbers w:val="0"/>
              <w:spacing w:before="0" w:beforeAutospacing="0" w:after="0" w:afterAutospacing="0" w:line="560" w:lineRule="exact"/>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项目经理/技术负责人：</w:t>
            </w:r>
          </w:p>
          <w:p>
            <w:pPr>
              <w:pStyle w:val="18"/>
              <w:keepNext w:val="0"/>
              <w:keepLines w:val="0"/>
              <w:widowControl/>
              <w:suppressLineNumbers w:val="0"/>
              <w:spacing w:before="0" w:beforeAutospacing="0" w:after="0" w:afterAutospacing="0" w:line="560" w:lineRule="exact"/>
              <w:ind w:left="0" w:right="0"/>
              <w:jc w:val="righ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87" w:hRule="atLeast"/>
          <w:jc w:val="center"/>
        </w:trPr>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560" w:lineRule="exact"/>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建设单位（监理单位）</w:t>
            </w:r>
          </w:p>
          <w:p>
            <w:pPr>
              <w:pStyle w:val="18"/>
              <w:keepNext w:val="0"/>
              <w:keepLines w:val="0"/>
              <w:widowControl/>
              <w:suppressLineNumbers w:val="0"/>
              <w:spacing w:before="0" w:beforeAutospacing="0" w:after="0" w:afterAutospacing="0" w:line="560" w:lineRule="exact"/>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验收结论意见</w:t>
            </w:r>
          </w:p>
        </w:tc>
        <w:tc>
          <w:tcPr>
            <w:tcW w:w="3762" w:type="pct"/>
            <w:gridSpan w:val="4"/>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top"/>
          </w:tcPr>
          <w:p>
            <w:pPr>
              <w:pStyle w:val="18"/>
              <w:keepNext w:val="0"/>
              <w:keepLines w:val="0"/>
              <w:widowControl/>
              <w:suppressLineNumbers w:val="0"/>
              <w:spacing w:before="0" w:beforeAutospacing="0" w:after="0" w:afterAutospacing="0" w:line="560" w:lineRule="exact"/>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专业工程师：（监理工程师）：</w:t>
            </w:r>
          </w:p>
          <w:p>
            <w:pPr>
              <w:pStyle w:val="18"/>
              <w:keepNext w:val="0"/>
              <w:keepLines w:val="0"/>
              <w:widowControl/>
              <w:suppressLineNumbers w:val="0"/>
              <w:spacing w:before="0" w:beforeAutospacing="0" w:after="0" w:afterAutospacing="0" w:line="560" w:lineRule="exact"/>
              <w:ind w:left="0" w:right="0"/>
              <w:jc w:val="righ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年 月 日</w:t>
            </w:r>
          </w:p>
        </w:tc>
      </w:tr>
    </w:tbl>
    <w:p>
      <w:pPr>
        <w:rPr>
          <w:rFonts w:hint="eastAsia" w:ascii="宋体" w:hAnsi="宋体" w:eastAsia="宋体" w:cs="宋体"/>
          <w:b/>
          <w:bCs/>
          <w:i w:val="0"/>
          <w:iCs w:val="0"/>
          <w:color w:val="auto"/>
          <w:spacing w:val="0"/>
          <w:w w:val="100"/>
          <w:sz w:val="21"/>
          <w:szCs w:val="21"/>
          <w:vertAlign w:val="baseline"/>
        </w:rPr>
      </w:pPr>
      <w:r>
        <w:rPr>
          <w:rFonts w:hint="eastAsia" w:ascii="宋体" w:hAnsi="宋体" w:eastAsia="宋体" w:cs="宋体"/>
          <w:b/>
          <w:bCs/>
          <w:i w:val="0"/>
          <w:iCs w:val="0"/>
          <w:color w:val="auto"/>
          <w:spacing w:val="0"/>
          <w:w w:val="100"/>
          <w:sz w:val="21"/>
          <w:szCs w:val="21"/>
          <w:vertAlign w:val="baseline"/>
        </w:rPr>
        <w:br w:type="page"/>
      </w:r>
    </w:p>
    <w:p>
      <w:pPr>
        <w:pStyle w:val="4"/>
        <w:keepNext w:val="0"/>
        <w:keepLines w:val="0"/>
        <w:widowControl/>
        <w:suppressLineNumbers w:val="0"/>
        <w:spacing w:before="0" w:beforeAutospacing="0" w:after="0" w:afterAutospacing="0" w:line="360" w:lineRule="auto"/>
        <w:ind w:left="0"/>
        <w:jc w:val="both"/>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附件9</w:t>
      </w:r>
    </w:p>
    <w:p>
      <w:pPr>
        <w:pStyle w:val="18"/>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32"/>
          <w:szCs w:val="32"/>
        </w:rPr>
      </w:pPr>
      <w:r>
        <w:rPr>
          <w:rFonts w:hint="eastAsia" w:ascii="宋体" w:hAnsi="宋体" w:eastAsia="宋体" w:cs="宋体"/>
          <w:b/>
          <w:bCs/>
          <w:i w:val="0"/>
          <w:iCs w:val="0"/>
          <w:color w:val="auto"/>
          <w:spacing w:val="0"/>
          <w:w w:val="100"/>
          <w:sz w:val="32"/>
          <w:szCs w:val="32"/>
          <w:vertAlign w:val="baseline"/>
        </w:rPr>
        <w:t>项目质量安全检查周报</w:t>
      </w:r>
    </w:p>
    <w:p>
      <w:pPr>
        <w:pStyle w:val="18"/>
        <w:keepNext w:val="0"/>
        <w:keepLines w:val="0"/>
        <w:widowControl/>
        <w:suppressLineNumbers w:val="0"/>
        <w:spacing w:before="0" w:beforeAutospacing="0" w:after="0" w:afterAutospacing="0" w:line="360" w:lineRule="auto"/>
        <w:ind w:left="0" w:right="0" w:firstLine="7533"/>
        <w:jc w:val="left"/>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编号：</w:t>
      </w:r>
    </w:p>
    <w:tbl>
      <w:tblPr>
        <w:tblStyle w:val="22"/>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59"/>
        <w:gridCol w:w="1140"/>
        <w:gridCol w:w="1484"/>
        <w:gridCol w:w="578"/>
        <w:gridCol w:w="1269"/>
        <w:gridCol w:w="562"/>
        <w:gridCol w:w="1065"/>
        <w:gridCol w:w="59"/>
        <w:gridCol w:w="1079"/>
        <w:gridCol w:w="1052"/>
        <w:gridCol w:w="11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811" w:type="pct"/>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项目名称</w:t>
            </w:r>
          </w:p>
        </w:tc>
        <w:tc>
          <w:tcPr>
            <w:tcW w:w="1688" w:type="pct"/>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检查时间</w:t>
            </w:r>
          </w:p>
        </w:tc>
        <w:tc>
          <w:tcPr>
            <w:tcW w:w="1674" w:type="pct"/>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81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参加检查</w:t>
            </w:r>
          </w:p>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人员名单</w:t>
            </w:r>
          </w:p>
        </w:tc>
        <w:tc>
          <w:tcPr>
            <w:tcW w:w="752"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建设单位</w:t>
            </w:r>
          </w:p>
        </w:tc>
        <w:tc>
          <w:tcPr>
            <w:tcW w:w="3435" w:type="pct"/>
            <w:gridSpan w:val="8"/>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8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监理单位</w:t>
            </w:r>
          </w:p>
        </w:tc>
        <w:tc>
          <w:tcPr>
            <w:tcW w:w="3435" w:type="pct"/>
            <w:gridSpan w:val="8"/>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8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施工单位</w:t>
            </w:r>
          </w:p>
        </w:tc>
        <w:tc>
          <w:tcPr>
            <w:tcW w:w="3435" w:type="pct"/>
            <w:gridSpan w:val="8"/>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811" w:type="pct"/>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监理记录人</w:t>
            </w:r>
          </w:p>
        </w:tc>
        <w:tc>
          <w:tcPr>
            <w:tcW w:w="1045" w:type="pct"/>
            <w:gridSpan w:val="2"/>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1498" w:type="pct"/>
            <w:gridSpan w:val="4"/>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项目总监/地产项目经理签发</w:t>
            </w:r>
          </w:p>
        </w:tc>
        <w:tc>
          <w:tcPr>
            <w:tcW w:w="1644" w:type="pct"/>
            <w:gridSpan w:val="3"/>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811" w:type="pct"/>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进度描述</w:t>
            </w:r>
          </w:p>
        </w:tc>
        <w:tc>
          <w:tcPr>
            <w:tcW w:w="4188" w:type="pct"/>
            <w:gridSpan w:val="9"/>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811" w:type="pct"/>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现场实测</w:t>
            </w:r>
          </w:p>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情况</w:t>
            </w:r>
          </w:p>
        </w:tc>
        <w:tc>
          <w:tcPr>
            <w:tcW w:w="4188" w:type="pct"/>
            <w:gridSpan w:val="9"/>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811" w:type="pct"/>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材料验收</w:t>
            </w:r>
          </w:p>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情况</w:t>
            </w:r>
          </w:p>
        </w:tc>
        <w:tc>
          <w:tcPr>
            <w:tcW w:w="4188" w:type="pct"/>
            <w:gridSpan w:val="9"/>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811" w:type="pct"/>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隐蔽验收</w:t>
            </w:r>
          </w:p>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情况</w:t>
            </w:r>
          </w:p>
        </w:tc>
        <w:tc>
          <w:tcPr>
            <w:tcW w:w="4188" w:type="pct"/>
            <w:gridSpan w:val="9"/>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233"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序号</w:t>
            </w:r>
          </w:p>
        </w:tc>
        <w:tc>
          <w:tcPr>
            <w:tcW w:w="2551" w:type="pct"/>
            <w:gridSpan w:val="5"/>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问题具体部位和现象描述</w:t>
            </w:r>
          </w:p>
        </w:tc>
        <w:tc>
          <w:tcPr>
            <w:tcW w:w="570" w:type="pct"/>
            <w:gridSpan w:val="2"/>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要求整改完成日期</w:t>
            </w:r>
          </w:p>
        </w:tc>
        <w:tc>
          <w:tcPr>
            <w:tcW w:w="54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整改责</w:t>
            </w:r>
          </w:p>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任单位</w:t>
            </w:r>
          </w:p>
        </w:tc>
        <w:tc>
          <w:tcPr>
            <w:tcW w:w="533"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监理整改跟进人</w:t>
            </w:r>
          </w:p>
        </w:tc>
        <w:tc>
          <w:tcPr>
            <w:tcW w:w="563"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跟进人复查整改销项情况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33"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551" w:type="pct"/>
            <w:gridSpan w:val="5"/>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70" w:type="pct"/>
            <w:gridSpan w:val="2"/>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4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33"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63"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33"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551" w:type="pct"/>
            <w:gridSpan w:val="5"/>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70" w:type="pct"/>
            <w:gridSpan w:val="2"/>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4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33"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63"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33"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551" w:type="pct"/>
            <w:gridSpan w:val="5"/>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70" w:type="pct"/>
            <w:gridSpan w:val="2"/>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4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33"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63"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33"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551" w:type="pct"/>
            <w:gridSpan w:val="5"/>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70" w:type="pct"/>
            <w:gridSpan w:val="2"/>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4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33"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63"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33"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551" w:type="pct"/>
            <w:gridSpan w:val="5"/>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70" w:type="pct"/>
            <w:gridSpan w:val="2"/>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4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33"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63"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33"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551" w:type="pct"/>
            <w:gridSpan w:val="5"/>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70" w:type="pct"/>
            <w:gridSpan w:val="2"/>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4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33"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63"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33"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551" w:type="pct"/>
            <w:gridSpan w:val="5"/>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70" w:type="pct"/>
            <w:gridSpan w:val="2"/>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4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33"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63"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33"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551" w:type="pct"/>
            <w:gridSpan w:val="5"/>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70" w:type="pct"/>
            <w:gridSpan w:val="2"/>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4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33"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63"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33"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551" w:type="pct"/>
            <w:gridSpan w:val="5"/>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70" w:type="pct"/>
            <w:gridSpan w:val="2"/>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47"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33"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63"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bl>
    <w:p>
      <w:pPr>
        <w:pStyle w:val="18"/>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说明：本检查表在每次例行检查的当日、最晚次日由监理人发给各整改责任单位和委托人，监理人存档。各整改责任单位整改完成后及时报验，监理跟进人复查销项。监理人向委托人每周报一次复查销项情况，直至本单问题全部销项为止。整改不积极主动逾期未销项的，由委托人对责任单位实施处罚。应附问题部位对应的整改前后对比照片。</w:t>
      </w:r>
    </w:p>
    <w:p>
      <w:pPr>
        <w:spacing w:line="360" w:lineRule="auto"/>
        <w:rPr>
          <w:rFonts w:hint="eastAsia" w:ascii="宋体" w:hAnsi="宋体" w:eastAsia="宋体" w:cs="宋体"/>
          <w:b/>
          <w:bCs/>
          <w:i w:val="0"/>
          <w:iCs w:val="0"/>
          <w:color w:val="auto"/>
          <w:spacing w:val="0"/>
          <w:w w:val="100"/>
          <w:sz w:val="21"/>
          <w:szCs w:val="21"/>
          <w:vertAlign w:val="baseline"/>
        </w:rPr>
      </w:pPr>
      <w:r>
        <w:rPr>
          <w:rFonts w:hint="eastAsia" w:ascii="宋体" w:hAnsi="宋体" w:eastAsia="宋体" w:cs="宋体"/>
          <w:b/>
          <w:bCs/>
          <w:i w:val="0"/>
          <w:iCs w:val="0"/>
          <w:color w:val="auto"/>
          <w:spacing w:val="0"/>
          <w:w w:val="100"/>
          <w:sz w:val="21"/>
          <w:szCs w:val="21"/>
          <w:vertAlign w:val="baseline"/>
        </w:rPr>
        <w:br w:type="page"/>
      </w:r>
    </w:p>
    <w:p>
      <w:pPr>
        <w:pStyle w:val="4"/>
        <w:keepNext w:val="0"/>
        <w:keepLines w:val="0"/>
        <w:widowControl/>
        <w:suppressLineNumbers w:val="0"/>
        <w:spacing w:before="0" w:beforeAutospacing="0" w:after="0" w:afterAutospacing="0" w:line="240" w:lineRule="auto"/>
        <w:ind w:left="0"/>
        <w:jc w:val="both"/>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附件10</w:t>
      </w:r>
    </w:p>
    <w:p>
      <w:pPr>
        <w:pStyle w:val="18"/>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i w:val="0"/>
          <w:iCs w:val="0"/>
          <w:color w:val="auto"/>
          <w:spacing w:val="0"/>
          <w:w w:val="100"/>
          <w:sz w:val="32"/>
          <w:szCs w:val="32"/>
          <w:vertAlign w:val="baseline"/>
        </w:rPr>
      </w:pPr>
      <w:r>
        <w:rPr>
          <w:rFonts w:hint="eastAsia" w:ascii="宋体" w:hAnsi="宋体" w:eastAsia="宋体" w:cs="宋体"/>
          <w:b/>
          <w:bCs/>
          <w:i w:val="0"/>
          <w:iCs w:val="0"/>
          <w:color w:val="auto"/>
          <w:spacing w:val="0"/>
          <w:w w:val="100"/>
          <w:sz w:val="32"/>
          <w:szCs w:val="32"/>
          <w:vertAlign w:val="baseline"/>
        </w:rPr>
        <w:t>监理工程师工作周报表</w:t>
      </w:r>
    </w:p>
    <w:p>
      <w:pPr>
        <w:pStyle w:val="18"/>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i w:val="0"/>
          <w:iCs w:val="0"/>
          <w:color w:val="auto"/>
          <w:spacing w:val="0"/>
          <w:w w:val="100"/>
          <w:sz w:val="21"/>
          <w:szCs w:val="21"/>
          <w:vertAlign w:val="baseline"/>
        </w:rPr>
      </w:pP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24"/>
        <w:gridCol w:w="1428"/>
        <w:gridCol w:w="1580"/>
        <w:gridCol w:w="1138"/>
        <w:gridCol w:w="1716"/>
        <w:gridCol w:w="1143"/>
        <w:gridCol w:w="24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8" w:hRule="atLeast"/>
        </w:trPr>
        <w:tc>
          <w:tcPr>
            <w:tcW w:w="939" w:type="pct"/>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156" w:beforeAutospacing="0" w:after="156"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监理工程师签字</w:t>
            </w:r>
          </w:p>
        </w:tc>
        <w:tc>
          <w:tcPr>
            <w:tcW w:w="800"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156" w:beforeAutospacing="0" w:after="156"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分管范围</w:t>
            </w:r>
          </w:p>
        </w:tc>
        <w:tc>
          <w:tcPr>
            <w:tcW w:w="870"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156" w:beforeAutospacing="0" w:after="156"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报表时间</w:t>
            </w:r>
          </w:p>
        </w:tc>
        <w:tc>
          <w:tcPr>
            <w:tcW w:w="1232"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4" w:hRule="atLeast"/>
        </w:trPr>
        <w:tc>
          <w:tcPr>
            <w:tcW w:w="1740" w:type="pct"/>
            <w:gridSpan w:val="3"/>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156" w:beforeAutospacing="0" w:after="156"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主要工作内容</w:t>
            </w:r>
          </w:p>
        </w:tc>
        <w:tc>
          <w:tcPr>
            <w:tcW w:w="2026" w:type="pct"/>
            <w:gridSpan w:val="3"/>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156" w:beforeAutospacing="0" w:after="156"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本周工作描述（ 月 日至 月 日）</w:t>
            </w:r>
          </w:p>
        </w:tc>
        <w:tc>
          <w:tcPr>
            <w:tcW w:w="1232"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156" w:beforeAutospacing="0" w:after="156"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下周计划（ 月 日至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8" w:hRule="atLeast"/>
        </w:trPr>
        <w:tc>
          <w:tcPr>
            <w:tcW w:w="21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156" w:beforeAutospacing="0" w:after="156"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质量情况</w:t>
            </w:r>
          </w:p>
        </w:tc>
        <w:tc>
          <w:tcPr>
            <w:tcW w:w="1525" w:type="pct"/>
            <w:gridSpan w:val="2"/>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1、监理规划、监理实施细则的编制、审批、内容的执行情况</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2、审核施工企业质量保证体系、质量责任制建立、人员配备及制度执行情况。</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3、审查质量技术措施或专项施工方案是否符合合同及国家标准及措施落实情况。</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4、对材料、构配件、设备投入使用或安装前进行审查情况</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5、对分包单位的资质进行核查情况</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6、见证取样制度的实施情况</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7、对重点部位、关键工序实施旁站监理情况</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8、质量问题通知单签发及质量问题整改结果的复查情况</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9、工程实体质量验收情况</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10、工程实体实测实量情况</w:t>
            </w:r>
          </w:p>
        </w:tc>
        <w:tc>
          <w:tcPr>
            <w:tcW w:w="2026" w:type="pct"/>
            <w:gridSpan w:val="3"/>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1232"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8"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156" w:beforeAutospacing="0" w:after="156"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安全情况</w:t>
            </w:r>
          </w:p>
        </w:tc>
        <w:tc>
          <w:tcPr>
            <w:tcW w:w="1525" w:type="pct"/>
            <w:gridSpan w:val="2"/>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11、在监理规划和监理细则中制定对施工单位安全技术措施的检查方面情况及执行情况。</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12、审查施工企业资质和安全生产许可证、三类人员及特种作业人员资格证书及安全教育情况。</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13、审核施工企业安全生产保证体系、安全生产责任制建立、人员配备及制度执行情况。</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14、审查安全技术措施或方案是否符合合同及国家标准及措施落实情况。</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15、复查施工单位施工机械和各种设施的安全许可验收手续及检修保养情况。</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16、审核施工企业应急救援预案和安全防护、文明施工措施落实情况。</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17、定期巡视检查危险性较大工程作业情况。</w:t>
            </w:r>
          </w:p>
          <w:p>
            <w:pPr>
              <w:pStyle w:val="18"/>
              <w:keepNext w:val="0"/>
              <w:keepLines w:val="0"/>
              <w:widowControl/>
              <w:suppressLineNumbers w:val="0"/>
              <w:spacing w:before="156" w:beforeAutospacing="0" w:after="156"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18、下达隐患整改通知单，要求施工单位整改事故隐患情况或暂时停工情况；整改结果复查情况。</w:t>
            </w:r>
          </w:p>
        </w:tc>
        <w:tc>
          <w:tcPr>
            <w:tcW w:w="2026" w:type="pct"/>
            <w:gridSpan w:val="3"/>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1232"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8"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156" w:beforeAutospacing="0" w:after="156"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进度情况</w:t>
            </w:r>
          </w:p>
        </w:tc>
        <w:tc>
          <w:tcPr>
            <w:tcW w:w="1525" w:type="pct"/>
            <w:gridSpan w:val="2"/>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19、审查施工单位报送施工进度计划的情况</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20、对实际进度与进度计划不符合的纠偏指令的签发及结果复查情况</w:t>
            </w:r>
          </w:p>
          <w:p>
            <w:pPr>
              <w:pStyle w:val="18"/>
              <w:keepNext w:val="0"/>
              <w:keepLines w:val="0"/>
              <w:widowControl/>
              <w:suppressLineNumbers w:val="0"/>
              <w:spacing w:before="156" w:beforeAutospacing="0" w:after="156"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21、对相关施工单位工作的协</w:t>
            </w:r>
          </w:p>
        </w:tc>
        <w:tc>
          <w:tcPr>
            <w:tcW w:w="2026" w:type="pct"/>
            <w:gridSpan w:val="3"/>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1232"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8" w:hRule="atLeast"/>
        </w:trPr>
        <w:tc>
          <w:tcPr>
            <w:tcW w:w="1740" w:type="pct"/>
            <w:gridSpan w:val="3"/>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156" w:beforeAutospacing="0" w:after="156"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本周收发文情况（往来函件、设计变更、签证）</w:t>
            </w:r>
          </w:p>
        </w:tc>
        <w:tc>
          <w:tcPr>
            <w:tcW w:w="3259" w:type="pct"/>
            <w:gridSpan w:val="4"/>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8" w:hRule="atLeast"/>
        </w:trPr>
        <w:tc>
          <w:tcPr>
            <w:tcW w:w="1740" w:type="pct"/>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156" w:beforeAutospacing="0" w:after="156"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项目总监（总监代表）审核意见：</w:t>
            </w:r>
          </w:p>
          <w:p>
            <w:pPr>
              <w:pStyle w:val="18"/>
              <w:keepNext w:val="0"/>
              <w:keepLines w:val="0"/>
              <w:widowControl/>
              <w:suppressLineNumbers w:val="0"/>
              <w:spacing w:before="156" w:beforeAutospacing="0" w:after="156"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签字：</w:t>
            </w:r>
          </w:p>
        </w:tc>
        <w:tc>
          <w:tcPr>
            <w:tcW w:w="3259" w:type="pct"/>
            <w:gridSpan w:val="4"/>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top"/>
          </w:tcPr>
          <w:p>
            <w:pPr>
              <w:pStyle w:val="18"/>
              <w:keepNext w:val="0"/>
              <w:keepLines w:val="0"/>
              <w:widowControl/>
              <w:suppressLineNumbers w:val="0"/>
              <w:spacing w:before="156" w:beforeAutospacing="0" w:after="156"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地产工程师审核意见：</w:t>
            </w:r>
          </w:p>
          <w:p>
            <w:pPr>
              <w:pStyle w:val="18"/>
              <w:keepNext w:val="0"/>
              <w:keepLines w:val="0"/>
              <w:widowControl/>
              <w:suppressLineNumbers w:val="0"/>
              <w:spacing w:before="156" w:beforeAutospacing="0" w:after="156"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签字：</w:t>
            </w:r>
          </w:p>
        </w:tc>
      </w:tr>
    </w:tbl>
    <w:p>
      <w:pPr>
        <w:rPr>
          <w:rFonts w:hint="eastAsia" w:ascii="宋体" w:hAnsi="宋体" w:eastAsia="宋体" w:cs="宋体"/>
          <w:b/>
          <w:bCs/>
          <w:i w:val="0"/>
          <w:iCs w:val="0"/>
          <w:color w:val="auto"/>
          <w:spacing w:val="0"/>
          <w:w w:val="100"/>
          <w:sz w:val="21"/>
          <w:szCs w:val="21"/>
          <w:vertAlign w:val="baseline"/>
        </w:rPr>
      </w:pPr>
      <w:r>
        <w:rPr>
          <w:rFonts w:hint="eastAsia" w:ascii="宋体" w:hAnsi="宋体" w:eastAsia="宋体" w:cs="宋体"/>
          <w:b/>
          <w:bCs/>
          <w:i w:val="0"/>
          <w:iCs w:val="0"/>
          <w:color w:val="auto"/>
          <w:spacing w:val="0"/>
          <w:w w:val="100"/>
          <w:sz w:val="21"/>
          <w:szCs w:val="21"/>
          <w:vertAlign w:val="baseline"/>
        </w:rPr>
        <w:br w:type="page"/>
      </w:r>
    </w:p>
    <w:p>
      <w:pPr>
        <w:pStyle w:val="4"/>
        <w:keepNext w:val="0"/>
        <w:keepLines w:val="0"/>
        <w:widowControl/>
        <w:suppressLineNumbers w:val="0"/>
        <w:spacing w:before="0" w:beforeAutospacing="0" w:after="0" w:afterAutospacing="0" w:line="360" w:lineRule="auto"/>
        <w:ind w:left="0"/>
        <w:jc w:val="both"/>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附件11</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编号：</w:t>
      </w:r>
    </w:p>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32"/>
          <w:szCs w:val="32"/>
        </w:rPr>
      </w:pPr>
      <w:r>
        <w:rPr>
          <w:rFonts w:hint="eastAsia" w:ascii="宋体" w:hAnsi="宋体" w:eastAsia="宋体" w:cs="宋体"/>
          <w:b/>
          <w:bCs/>
          <w:i w:val="0"/>
          <w:iCs w:val="0"/>
          <w:color w:val="auto"/>
          <w:spacing w:val="0"/>
          <w:w w:val="100"/>
          <w:sz w:val="32"/>
          <w:szCs w:val="32"/>
          <w:vertAlign w:val="baseline"/>
        </w:rPr>
        <w:t>XXX项目监理工作月报</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 xml:space="preserve">编制单位： </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编 制 人： 审 核 人：</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编制日期：</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抄 报： XXX委托人</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抄 送：</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 xml:space="preserve">一、 进度控制 </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1、 本月完成</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（形象进度完成情况分区阐述说明）</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（1）××区完成（分区说明形象进度完成情况）</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2、 下月计划</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（形象进度完成情况分区阐述说明）</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（1）××区完成（分区说明形象进度完成情况）</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3、 进度的主要问题及对策</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 问题</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（分区阐述现阶段影响进度的主要问题）</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(2) 对策</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（分区阐述对影响进度所需采取的对策）</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 xml:space="preserve">二、 质量控制 </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1、 质量情况</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（分区说明实体质量、工程验收情况）</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2、 施工队伍质量评价</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（必须对全部在建施工队伍做出评价，如优秀、良好、一般、不理想等）</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3、 质量文件</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（本月项目部完成的监理规划、监理细则名称、审核的主要方案等工作）</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4、 质量专题会议</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（说明本月召开的有纪要的重大工程质量（技术）或质量技术交底等专题会议的名称）</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5、 不合格报告</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（说明本月发生的不合格报告的名称）</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6、 质量的主要问题及对策</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（1）问题</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（阐述现阶段影响工程质量的主要问题）</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（2）对策</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（阐述对影响工程质量所需采取的对策）</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 xml:space="preserve">三、 安全文明施工管理. </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1、安全文明施工情况</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（分区说明）</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2、专题会议或专项检查情况</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（说明本月召开的安全文明施工专题会议的纪要编号或专项检查文件编号）</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3、 安全文明施工的主要问题及对策</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（1）问题</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（阐述现阶段影响安全文明施工的主要问题）</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（2）对策</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（阐述对影响安全文明施工所需采取的对策）</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 xml:space="preserve">四、 工程材料、设备管理（包括施工材料及机械） </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1、 工程材料、设备质量监控</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（情况说明）</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2、 工程材料、设备进场</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（情况说明，说明各种材料及设备是否按期进场）</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3、 主要问题及对策</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（情况说明）</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 xml:space="preserve">五、 需各方协调备忘 </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（说明工程当前存在的一些重要问题，特别是需要业主、施工单位以及监理公司等协调解决的问题）</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 xml:space="preserve">六、 监理组织情况 </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1、 监理人员情况</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监理人本月计划配置监理人员</w:t>
      </w:r>
      <w:r>
        <w:rPr>
          <w:rFonts w:hint="eastAsia" w:ascii="宋体" w:hAnsi="宋体" w:eastAsia="宋体" w:cs="宋体"/>
          <w:b w:val="0"/>
          <w:bCs w:val="0"/>
          <w:i w:val="0"/>
          <w:iCs w:val="0"/>
          <w:color w:val="auto"/>
          <w:spacing w:val="0"/>
          <w:w w:val="100"/>
          <w:sz w:val="21"/>
          <w:szCs w:val="21"/>
          <w:u w:val="single"/>
          <w:vertAlign w:val="baseline"/>
        </w:rPr>
        <w:t xml:space="preserve"> </w:t>
      </w:r>
      <w:r>
        <w:rPr>
          <w:rFonts w:hint="eastAsia" w:ascii="宋体" w:hAnsi="宋体" w:eastAsia="宋体" w:cs="宋体"/>
          <w:b w:val="0"/>
          <w:bCs w:val="0"/>
          <w:i w:val="0"/>
          <w:iCs w:val="0"/>
          <w:color w:val="auto"/>
          <w:spacing w:val="0"/>
          <w:w w:val="100"/>
          <w:sz w:val="21"/>
          <w:szCs w:val="21"/>
          <w:vertAlign w:val="baseline"/>
        </w:rPr>
        <w:t>人，实际共</w:t>
      </w:r>
      <w:r>
        <w:rPr>
          <w:rFonts w:hint="eastAsia" w:ascii="宋体" w:hAnsi="宋体" w:eastAsia="宋体" w:cs="宋体"/>
          <w:b w:val="0"/>
          <w:bCs w:val="0"/>
          <w:i w:val="0"/>
          <w:iCs w:val="0"/>
          <w:color w:val="auto"/>
          <w:spacing w:val="0"/>
          <w:w w:val="100"/>
          <w:sz w:val="21"/>
          <w:szCs w:val="21"/>
          <w:u w:val="single"/>
          <w:vertAlign w:val="baseline"/>
        </w:rPr>
        <w:t xml:space="preserve"> </w:t>
      </w:r>
      <w:r>
        <w:rPr>
          <w:rFonts w:hint="eastAsia" w:ascii="宋体" w:hAnsi="宋体" w:eastAsia="宋体" w:cs="宋体"/>
          <w:b w:val="0"/>
          <w:bCs w:val="0"/>
          <w:i w:val="0"/>
          <w:iCs w:val="0"/>
          <w:color w:val="auto"/>
          <w:spacing w:val="0"/>
          <w:w w:val="100"/>
          <w:sz w:val="21"/>
          <w:szCs w:val="21"/>
          <w:vertAlign w:val="baseline"/>
        </w:rPr>
        <w:t>人。其中土建专业监理工程师</w:t>
      </w:r>
      <w:r>
        <w:rPr>
          <w:rFonts w:hint="eastAsia" w:ascii="宋体" w:hAnsi="宋体" w:eastAsia="宋体" w:cs="宋体"/>
          <w:b w:val="0"/>
          <w:bCs w:val="0"/>
          <w:i w:val="0"/>
          <w:iCs w:val="0"/>
          <w:color w:val="auto"/>
          <w:spacing w:val="0"/>
          <w:w w:val="100"/>
          <w:sz w:val="21"/>
          <w:szCs w:val="21"/>
          <w:u w:val="single"/>
          <w:vertAlign w:val="baseline"/>
        </w:rPr>
        <w:t xml:space="preserve"> </w:t>
      </w:r>
      <w:r>
        <w:rPr>
          <w:rFonts w:hint="eastAsia" w:ascii="宋体" w:hAnsi="宋体" w:eastAsia="宋体" w:cs="宋体"/>
          <w:b w:val="0"/>
          <w:bCs w:val="0"/>
          <w:i w:val="0"/>
          <w:iCs w:val="0"/>
          <w:color w:val="auto"/>
          <w:spacing w:val="0"/>
          <w:w w:val="100"/>
          <w:sz w:val="21"/>
          <w:szCs w:val="21"/>
          <w:vertAlign w:val="baseline"/>
        </w:rPr>
        <w:t>人，设备安装专业监理工程师</w:t>
      </w:r>
      <w:r>
        <w:rPr>
          <w:rFonts w:hint="eastAsia" w:ascii="宋体" w:hAnsi="宋体" w:eastAsia="宋体" w:cs="宋体"/>
          <w:b w:val="0"/>
          <w:bCs w:val="0"/>
          <w:i w:val="0"/>
          <w:iCs w:val="0"/>
          <w:color w:val="auto"/>
          <w:spacing w:val="0"/>
          <w:w w:val="100"/>
          <w:sz w:val="21"/>
          <w:szCs w:val="21"/>
          <w:u w:val="single"/>
          <w:vertAlign w:val="baseline"/>
        </w:rPr>
        <w:t xml:space="preserve"> </w:t>
      </w:r>
      <w:r>
        <w:rPr>
          <w:rFonts w:hint="eastAsia" w:ascii="宋体" w:hAnsi="宋体" w:eastAsia="宋体" w:cs="宋体"/>
          <w:b w:val="0"/>
          <w:bCs w:val="0"/>
          <w:i w:val="0"/>
          <w:iCs w:val="0"/>
          <w:color w:val="auto"/>
          <w:spacing w:val="0"/>
          <w:w w:val="100"/>
          <w:sz w:val="21"/>
          <w:szCs w:val="21"/>
          <w:vertAlign w:val="baseline"/>
        </w:rPr>
        <w:t>人，监理员</w:t>
      </w:r>
      <w:r>
        <w:rPr>
          <w:rFonts w:hint="eastAsia" w:ascii="宋体" w:hAnsi="宋体" w:eastAsia="宋体" w:cs="宋体"/>
          <w:b w:val="0"/>
          <w:bCs w:val="0"/>
          <w:i w:val="0"/>
          <w:iCs w:val="0"/>
          <w:color w:val="auto"/>
          <w:spacing w:val="0"/>
          <w:w w:val="100"/>
          <w:sz w:val="21"/>
          <w:szCs w:val="21"/>
          <w:u w:val="single"/>
          <w:vertAlign w:val="baseline"/>
        </w:rPr>
        <w:t xml:space="preserve"> </w:t>
      </w:r>
      <w:r>
        <w:rPr>
          <w:rFonts w:hint="eastAsia" w:ascii="宋体" w:hAnsi="宋体" w:eastAsia="宋体" w:cs="宋体"/>
          <w:b w:val="0"/>
          <w:bCs w:val="0"/>
          <w:i w:val="0"/>
          <w:iCs w:val="0"/>
          <w:color w:val="auto"/>
          <w:spacing w:val="0"/>
          <w:w w:val="100"/>
          <w:sz w:val="21"/>
          <w:szCs w:val="21"/>
          <w:vertAlign w:val="baseline"/>
        </w:rPr>
        <w:t>人，见证员</w:t>
      </w:r>
      <w:r>
        <w:rPr>
          <w:rFonts w:hint="eastAsia" w:ascii="宋体" w:hAnsi="宋体" w:eastAsia="宋体" w:cs="宋体"/>
          <w:b w:val="0"/>
          <w:bCs w:val="0"/>
          <w:i w:val="0"/>
          <w:iCs w:val="0"/>
          <w:color w:val="auto"/>
          <w:spacing w:val="0"/>
          <w:w w:val="100"/>
          <w:sz w:val="21"/>
          <w:szCs w:val="21"/>
          <w:u w:val="single"/>
          <w:vertAlign w:val="baseline"/>
        </w:rPr>
        <w:t xml:space="preserve"> </w:t>
      </w:r>
      <w:r>
        <w:rPr>
          <w:rFonts w:hint="eastAsia" w:ascii="宋体" w:hAnsi="宋体" w:eastAsia="宋体" w:cs="宋体"/>
          <w:b w:val="0"/>
          <w:bCs w:val="0"/>
          <w:i w:val="0"/>
          <w:iCs w:val="0"/>
          <w:color w:val="auto"/>
          <w:spacing w:val="0"/>
          <w:w w:val="100"/>
          <w:sz w:val="21"/>
          <w:szCs w:val="21"/>
          <w:vertAlign w:val="baseline"/>
        </w:rPr>
        <w:t>人，资料员</w:t>
      </w:r>
      <w:r>
        <w:rPr>
          <w:rFonts w:hint="eastAsia" w:ascii="宋体" w:hAnsi="宋体" w:eastAsia="宋体" w:cs="宋体"/>
          <w:b w:val="0"/>
          <w:bCs w:val="0"/>
          <w:i w:val="0"/>
          <w:iCs w:val="0"/>
          <w:color w:val="auto"/>
          <w:spacing w:val="0"/>
          <w:w w:val="100"/>
          <w:sz w:val="21"/>
          <w:szCs w:val="21"/>
          <w:u w:val="single"/>
          <w:vertAlign w:val="baseline"/>
        </w:rPr>
        <w:t xml:space="preserve"> </w:t>
      </w:r>
      <w:r>
        <w:rPr>
          <w:rFonts w:hint="eastAsia" w:ascii="宋体" w:hAnsi="宋体" w:eastAsia="宋体" w:cs="宋体"/>
          <w:b w:val="0"/>
          <w:bCs w:val="0"/>
          <w:i w:val="0"/>
          <w:iCs w:val="0"/>
          <w:color w:val="auto"/>
          <w:spacing w:val="0"/>
          <w:w w:val="100"/>
          <w:sz w:val="21"/>
          <w:szCs w:val="21"/>
          <w:vertAlign w:val="baseline"/>
        </w:rPr>
        <w:t>人。</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2、 监理人员变动情况</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（本月人员变化情况说明）</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3、 监理大事记</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（记录一些重大的监理事项）</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 xml:space="preserve">七、 气象数据 </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本月气象记录：</w:t>
      </w:r>
    </w:p>
    <w:tbl>
      <w:tblPr>
        <w:tblStyle w:val="22"/>
        <w:tblW w:w="499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60"/>
        <w:gridCol w:w="516"/>
        <w:gridCol w:w="517"/>
        <w:gridCol w:w="517"/>
        <w:gridCol w:w="517"/>
        <w:gridCol w:w="517"/>
        <w:gridCol w:w="517"/>
        <w:gridCol w:w="517"/>
        <w:gridCol w:w="517"/>
        <w:gridCol w:w="517"/>
        <w:gridCol w:w="606"/>
        <w:gridCol w:w="606"/>
        <w:gridCol w:w="606"/>
        <w:gridCol w:w="606"/>
        <w:gridCol w:w="606"/>
        <w:gridCol w:w="606"/>
        <w:gridCol w:w="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487"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日期</w:t>
            </w:r>
          </w:p>
        </w:tc>
        <w:tc>
          <w:tcPr>
            <w:tcW w:w="262"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1</w:t>
            </w:r>
          </w:p>
        </w:tc>
        <w:tc>
          <w:tcPr>
            <w:tcW w:w="262"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2</w:t>
            </w:r>
          </w:p>
        </w:tc>
        <w:tc>
          <w:tcPr>
            <w:tcW w:w="262"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3</w:t>
            </w:r>
          </w:p>
        </w:tc>
        <w:tc>
          <w:tcPr>
            <w:tcW w:w="262"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4</w:t>
            </w:r>
          </w:p>
        </w:tc>
        <w:tc>
          <w:tcPr>
            <w:tcW w:w="262"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5</w:t>
            </w:r>
          </w:p>
        </w:tc>
        <w:tc>
          <w:tcPr>
            <w:tcW w:w="262"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6</w:t>
            </w:r>
          </w:p>
        </w:tc>
        <w:tc>
          <w:tcPr>
            <w:tcW w:w="262"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7</w:t>
            </w:r>
          </w:p>
        </w:tc>
        <w:tc>
          <w:tcPr>
            <w:tcW w:w="262"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8</w:t>
            </w:r>
          </w:p>
        </w:tc>
        <w:tc>
          <w:tcPr>
            <w:tcW w:w="262"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9</w:t>
            </w:r>
          </w:p>
        </w:tc>
        <w:tc>
          <w:tcPr>
            <w:tcW w:w="307"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10</w:t>
            </w:r>
          </w:p>
        </w:tc>
        <w:tc>
          <w:tcPr>
            <w:tcW w:w="307"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11</w:t>
            </w:r>
          </w:p>
        </w:tc>
        <w:tc>
          <w:tcPr>
            <w:tcW w:w="307"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12</w:t>
            </w:r>
          </w:p>
        </w:tc>
        <w:tc>
          <w:tcPr>
            <w:tcW w:w="307"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13</w:t>
            </w:r>
          </w:p>
        </w:tc>
        <w:tc>
          <w:tcPr>
            <w:tcW w:w="307"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14</w:t>
            </w:r>
          </w:p>
        </w:tc>
        <w:tc>
          <w:tcPr>
            <w:tcW w:w="307"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15</w:t>
            </w:r>
          </w:p>
        </w:tc>
        <w:tc>
          <w:tcPr>
            <w:tcW w:w="307"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487"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白天</w:t>
            </w:r>
          </w:p>
        </w:tc>
        <w:tc>
          <w:tcPr>
            <w:tcW w:w="262"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62"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62"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62"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62"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62"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62"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62"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62"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307"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307"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307"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307"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307"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307"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307"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487"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晚上</w:t>
            </w:r>
          </w:p>
        </w:tc>
        <w:tc>
          <w:tcPr>
            <w:tcW w:w="262"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62"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62"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62"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62"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62"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62"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62"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62"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307"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307"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307"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307"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307"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307"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307"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487"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日期</w:t>
            </w:r>
          </w:p>
        </w:tc>
        <w:tc>
          <w:tcPr>
            <w:tcW w:w="262"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17</w:t>
            </w:r>
          </w:p>
        </w:tc>
        <w:tc>
          <w:tcPr>
            <w:tcW w:w="262"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18</w:t>
            </w:r>
          </w:p>
        </w:tc>
        <w:tc>
          <w:tcPr>
            <w:tcW w:w="262"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19</w:t>
            </w:r>
          </w:p>
        </w:tc>
        <w:tc>
          <w:tcPr>
            <w:tcW w:w="262"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20</w:t>
            </w:r>
          </w:p>
        </w:tc>
        <w:tc>
          <w:tcPr>
            <w:tcW w:w="262"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21</w:t>
            </w:r>
          </w:p>
        </w:tc>
        <w:tc>
          <w:tcPr>
            <w:tcW w:w="262"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22</w:t>
            </w:r>
          </w:p>
        </w:tc>
        <w:tc>
          <w:tcPr>
            <w:tcW w:w="262"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23</w:t>
            </w:r>
          </w:p>
        </w:tc>
        <w:tc>
          <w:tcPr>
            <w:tcW w:w="262"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24</w:t>
            </w:r>
          </w:p>
        </w:tc>
        <w:tc>
          <w:tcPr>
            <w:tcW w:w="262"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25</w:t>
            </w:r>
          </w:p>
        </w:tc>
        <w:tc>
          <w:tcPr>
            <w:tcW w:w="307"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26</w:t>
            </w:r>
          </w:p>
        </w:tc>
        <w:tc>
          <w:tcPr>
            <w:tcW w:w="307"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27</w:t>
            </w:r>
          </w:p>
        </w:tc>
        <w:tc>
          <w:tcPr>
            <w:tcW w:w="307"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28</w:t>
            </w:r>
          </w:p>
        </w:tc>
        <w:tc>
          <w:tcPr>
            <w:tcW w:w="307"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29</w:t>
            </w:r>
          </w:p>
        </w:tc>
        <w:tc>
          <w:tcPr>
            <w:tcW w:w="307"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30</w:t>
            </w:r>
          </w:p>
        </w:tc>
        <w:tc>
          <w:tcPr>
            <w:tcW w:w="307"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31</w:t>
            </w:r>
          </w:p>
        </w:tc>
        <w:tc>
          <w:tcPr>
            <w:tcW w:w="307"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487"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白天</w:t>
            </w:r>
          </w:p>
        </w:tc>
        <w:tc>
          <w:tcPr>
            <w:tcW w:w="262"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62"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62"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62"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62"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62"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62"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62"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62"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307"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307"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307"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307"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307"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307"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307"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5" w:hRule="atLeast"/>
          <w:jc w:val="center"/>
        </w:trPr>
        <w:tc>
          <w:tcPr>
            <w:tcW w:w="487"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晚上</w:t>
            </w:r>
          </w:p>
        </w:tc>
        <w:tc>
          <w:tcPr>
            <w:tcW w:w="262"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62"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62"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62"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62"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62"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62"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62"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62"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307"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307"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307"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307"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307"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307"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307"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bl>
    <w:p>
      <w:pPr>
        <w:pStyle w:val="18"/>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注：每天分为白天（7:00AM～7:00PM），夜（7:00PM～第二天7:00AM）。</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图例：（做成日期的底纹，填写表格时先调出边框和底纹工具栏）</w:t>
      </w:r>
    </w:p>
    <w:tbl>
      <w:tblPr>
        <w:tblStyle w:val="2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40"/>
        <w:gridCol w:w="940"/>
        <w:gridCol w:w="940"/>
        <w:gridCol w:w="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940" w:type="dxa"/>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晴天</w:t>
            </w:r>
          </w:p>
        </w:tc>
        <w:tc>
          <w:tcPr>
            <w:tcW w:w="940" w:type="dxa"/>
            <w:tcBorders>
              <w:top w:val="single" w:color="CBCDD1" w:sz="4" w:space="0"/>
              <w:left w:val="single" w:color="CBCDD1" w:sz="4" w:space="0"/>
              <w:bottom w:val="single" w:color="000000"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雨天</w:t>
            </w:r>
          </w:p>
        </w:tc>
        <w:tc>
          <w:tcPr>
            <w:tcW w:w="940" w:type="dxa"/>
            <w:tcBorders>
              <w:top w:val="single" w:color="CBCDD1" w:sz="4" w:space="0"/>
              <w:left w:val="single" w:color="CBCDD1" w:sz="4" w:space="0"/>
              <w:bottom w:val="single" w:color="000000"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大雨</w:t>
            </w:r>
          </w:p>
        </w:tc>
        <w:tc>
          <w:tcPr>
            <w:tcW w:w="940" w:type="dxa"/>
            <w:tcBorders>
              <w:top w:val="single" w:color="CBCDD1" w:sz="4" w:space="0"/>
              <w:left w:val="single" w:color="CBCDD1" w:sz="4" w:space="0"/>
              <w:bottom w:val="single" w:color="000000"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大风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940" w:type="dxa"/>
            <w:tcBorders>
              <w:top w:val="single" w:color="000000"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940" w:type="dxa"/>
            <w:tcBorders>
              <w:top w:val="single" w:color="CBCDD1" w:sz="4" w:space="0"/>
              <w:left w:val="single" w:color="CBCDD1" w:sz="4" w:space="0"/>
              <w:bottom w:val="single" w:color="CBCDD1" w:sz="4" w:space="0"/>
              <w:right w:val="single" w:color="CBCDD1" w:sz="4" w:space="0"/>
            </w:tcBorders>
            <w:shd w:val="clear" w:color="auto" w:fill="BFBFBF"/>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940" w:type="dxa"/>
            <w:tcBorders>
              <w:top w:val="single" w:color="CBCDD1" w:sz="4" w:space="0"/>
              <w:left w:val="single" w:color="CBCDD1" w:sz="4" w:space="0"/>
              <w:bottom w:val="single" w:color="CBCDD1" w:sz="4" w:space="0"/>
              <w:right w:val="single" w:color="CBCDD1" w:sz="4" w:space="0"/>
            </w:tcBorders>
            <w:shd w:val="clear" w:color="auto" w:fill="808080"/>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940" w:type="dxa"/>
            <w:tcBorders>
              <w:top w:val="single" w:color="CBCDD1" w:sz="4" w:space="0"/>
              <w:left w:val="single" w:color="CBCDD1" w:sz="4" w:space="0"/>
              <w:bottom w:val="single" w:color="CBCDD1" w:sz="4" w:space="0"/>
              <w:right w:val="single" w:color="CBCDD1" w:sz="4" w:space="0"/>
            </w:tcBorders>
            <w:shd w:val="clear" w:color="auto" w:fill="B4B4B4"/>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bl>
    <w:p>
      <w:pPr>
        <w:pStyle w:val="18"/>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雨天指四小时以上下雨；大雨指日降雨量在50mm以上；大风指风力6级以上。</w:t>
      </w:r>
    </w:p>
    <w:p>
      <w:pPr>
        <w:pStyle w:val="18"/>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 统计：晴天</w:t>
      </w:r>
      <w:r>
        <w:rPr>
          <w:rFonts w:hint="eastAsia" w:ascii="宋体" w:hAnsi="宋体" w:eastAsia="宋体" w:cs="宋体"/>
          <w:b w:val="0"/>
          <w:bCs w:val="0"/>
          <w:i w:val="0"/>
          <w:iCs w:val="0"/>
          <w:color w:val="auto"/>
          <w:spacing w:val="0"/>
          <w:w w:val="100"/>
          <w:sz w:val="21"/>
          <w:szCs w:val="21"/>
          <w:u w:val="single"/>
          <w:vertAlign w:val="baseline"/>
        </w:rPr>
        <w:t xml:space="preserve"> </w:t>
      </w:r>
      <w:r>
        <w:rPr>
          <w:rFonts w:hint="eastAsia" w:ascii="宋体" w:hAnsi="宋体" w:eastAsia="宋体" w:cs="宋体"/>
          <w:b w:val="0"/>
          <w:bCs w:val="0"/>
          <w:i w:val="0"/>
          <w:iCs w:val="0"/>
          <w:color w:val="auto"/>
          <w:spacing w:val="0"/>
          <w:w w:val="100"/>
          <w:sz w:val="21"/>
          <w:szCs w:val="21"/>
          <w:vertAlign w:val="baseline"/>
        </w:rPr>
        <w:t>天，雨天</w:t>
      </w:r>
      <w:r>
        <w:rPr>
          <w:rFonts w:hint="eastAsia" w:ascii="宋体" w:hAnsi="宋体" w:eastAsia="宋体" w:cs="宋体"/>
          <w:b w:val="0"/>
          <w:bCs w:val="0"/>
          <w:i w:val="0"/>
          <w:iCs w:val="0"/>
          <w:color w:val="auto"/>
          <w:spacing w:val="0"/>
          <w:w w:val="100"/>
          <w:sz w:val="21"/>
          <w:szCs w:val="21"/>
          <w:u w:val="single"/>
          <w:vertAlign w:val="baseline"/>
        </w:rPr>
        <w:t xml:space="preserve"> </w:t>
      </w:r>
      <w:r>
        <w:rPr>
          <w:rFonts w:hint="eastAsia" w:ascii="宋体" w:hAnsi="宋体" w:eastAsia="宋体" w:cs="宋体"/>
          <w:b w:val="0"/>
          <w:bCs w:val="0"/>
          <w:i w:val="0"/>
          <w:iCs w:val="0"/>
          <w:color w:val="auto"/>
          <w:spacing w:val="0"/>
          <w:w w:val="100"/>
          <w:sz w:val="21"/>
          <w:szCs w:val="21"/>
          <w:vertAlign w:val="baseline"/>
        </w:rPr>
        <w:t>天，大雨</w:t>
      </w:r>
      <w:r>
        <w:rPr>
          <w:rFonts w:hint="eastAsia" w:ascii="宋体" w:hAnsi="宋体" w:eastAsia="宋体" w:cs="宋体"/>
          <w:b w:val="0"/>
          <w:bCs w:val="0"/>
          <w:i w:val="0"/>
          <w:iCs w:val="0"/>
          <w:color w:val="auto"/>
          <w:spacing w:val="0"/>
          <w:w w:val="100"/>
          <w:sz w:val="21"/>
          <w:szCs w:val="21"/>
          <w:u w:val="single"/>
          <w:vertAlign w:val="baseline"/>
        </w:rPr>
        <w:t xml:space="preserve"> </w:t>
      </w:r>
      <w:r>
        <w:rPr>
          <w:rFonts w:hint="eastAsia" w:ascii="宋体" w:hAnsi="宋体" w:eastAsia="宋体" w:cs="宋体"/>
          <w:b w:val="0"/>
          <w:bCs w:val="0"/>
          <w:i w:val="0"/>
          <w:iCs w:val="0"/>
          <w:color w:val="auto"/>
          <w:spacing w:val="0"/>
          <w:w w:val="100"/>
          <w:sz w:val="21"/>
          <w:szCs w:val="21"/>
          <w:vertAlign w:val="baseline"/>
        </w:rPr>
        <w:t>天，大风</w:t>
      </w:r>
      <w:r>
        <w:rPr>
          <w:rFonts w:hint="eastAsia" w:ascii="宋体" w:hAnsi="宋体" w:eastAsia="宋体" w:cs="宋体"/>
          <w:b w:val="0"/>
          <w:bCs w:val="0"/>
          <w:i w:val="0"/>
          <w:iCs w:val="0"/>
          <w:color w:val="auto"/>
          <w:spacing w:val="0"/>
          <w:w w:val="100"/>
          <w:sz w:val="21"/>
          <w:szCs w:val="21"/>
          <w:u w:val="single"/>
          <w:vertAlign w:val="baseline"/>
        </w:rPr>
        <w:t xml:space="preserve"> </w:t>
      </w:r>
      <w:r>
        <w:rPr>
          <w:rFonts w:hint="eastAsia" w:ascii="宋体" w:hAnsi="宋体" w:eastAsia="宋体" w:cs="宋体"/>
          <w:b w:val="0"/>
          <w:bCs w:val="0"/>
          <w:i w:val="0"/>
          <w:iCs w:val="0"/>
          <w:color w:val="auto"/>
          <w:spacing w:val="0"/>
          <w:w w:val="100"/>
          <w:sz w:val="21"/>
          <w:szCs w:val="21"/>
          <w:vertAlign w:val="baseline"/>
        </w:rPr>
        <w:t>天。</w:t>
      </w:r>
    </w:p>
    <w:p>
      <w:pPr>
        <w:rPr>
          <w:rFonts w:hint="eastAsia" w:ascii="宋体" w:hAnsi="宋体" w:eastAsia="宋体" w:cs="宋体"/>
          <w:b/>
          <w:bCs/>
          <w:i w:val="0"/>
          <w:iCs w:val="0"/>
          <w:color w:val="auto"/>
          <w:spacing w:val="0"/>
          <w:w w:val="100"/>
          <w:sz w:val="21"/>
          <w:szCs w:val="21"/>
          <w:vertAlign w:val="baseline"/>
        </w:rPr>
      </w:pPr>
      <w:r>
        <w:rPr>
          <w:rFonts w:hint="eastAsia" w:ascii="宋体" w:hAnsi="宋体" w:eastAsia="宋体" w:cs="宋体"/>
          <w:b/>
          <w:bCs/>
          <w:i w:val="0"/>
          <w:iCs w:val="0"/>
          <w:color w:val="auto"/>
          <w:spacing w:val="0"/>
          <w:w w:val="100"/>
          <w:sz w:val="21"/>
          <w:szCs w:val="21"/>
          <w:vertAlign w:val="baseline"/>
        </w:rPr>
        <w:br w:type="page"/>
      </w:r>
    </w:p>
    <w:p>
      <w:pPr>
        <w:pStyle w:val="4"/>
        <w:keepNext w:val="0"/>
        <w:keepLines w:val="0"/>
        <w:widowControl/>
        <w:suppressLineNumbers w:val="0"/>
        <w:spacing w:before="0" w:beforeAutospacing="0" w:after="0" w:afterAutospacing="0" w:line="240" w:lineRule="auto"/>
        <w:ind w:left="0"/>
        <w:jc w:val="both"/>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附件12</w:t>
      </w:r>
    </w:p>
    <w:p>
      <w:pPr>
        <w:pStyle w:val="18"/>
        <w:keepNext w:val="0"/>
        <w:keepLines w:val="0"/>
        <w:widowControl/>
        <w:suppressLineNumbers w:val="0"/>
        <w:spacing w:before="156" w:beforeAutospacing="0" w:after="156" w:afterAutospacing="0" w:line="360" w:lineRule="auto"/>
        <w:ind w:left="0" w:right="0"/>
        <w:jc w:val="center"/>
        <w:rPr>
          <w:rFonts w:hint="eastAsia" w:ascii="宋体" w:hAnsi="宋体" w:eastAsia="宋体" w:cs="宋体"/>
          <w:color w:val="auto"/>
          <w:sz w:val="32"/>
          <w:szCs w:val="32"/>
        </w:rPr>
      </w:pPr>
      <w:r>
        <w:rPr>
          <w:rFonts w:hint="eastAsia" w:ascii="宋体" w:hAnsi="宋体" w:eastAsia="宋体" w:cs="宋体"/>
          <w:b/>
          <w:bCs/>
          <w:i w:val="0"/>
          <w:iCs w:val="0"/>
          <w:color w:val="auto"/>
          <w:spacing w:val="0"/>
          <w:w w:val="100"/>
          <w:sz w:val="32"/>
          <w:szCs w:val="32"/>
          <w:vertAlign w:val="baseline"/>
        </w:rPr>
        <w:t>XXX项目监理人员配置表</w:t>
      </w:r>
    </w:p>
    <w:tbl>
      <w:tblPr>
        <w:tblStyle w:val="22"/>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756"/>
        <w:gridCol w:w="1012"/>
        <w:gridCol w:w="1012"/>
        <w:gridCol w:w="1012"/>
        <w:gridCol w:w="1012"/>
        <w:gridCol w:w="1012"/>
        <w:gridCol w:w="1012"/>
        <w:gridCol w:w="1013"/>
        <w:gridCol w:w="10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8" w:hRule="atLeast"/>
          <w:jc w:val="center"/>
        </w:trPr>
        <w:tc>
          <w:tcPr>
            <w:tcW w:w="890" w:type="pct"/>
            <w:vMerge w:val="restar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监理人员</w:t>
            </w:r>
          </w:p>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岗位</w:t>
            </w:r>
          </w:p>
        </w:tc>
        <w:tc>
          <w:tcPr>
            <w:tcW w:w="4109" w:type="pct"/>
            <w:gridSpan w:val="8"/>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各阶段监理人员计划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8" w:hRule="atLeast"/>
          <w:jc w:val="center"/>
        </w:trPr>
        <w:tc>
          <w:tcPr>
            <w:tcW w:w="890" w:type="pct"/>
            <w:vMerge w:val="continue"/>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1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施工准备阶段</w:t>
            </w:r>
          </w:p>
        </w:tc>
        <w:tc>
          <w:tcPr>
            <w:tcW w:w="51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土方阶段</w:t>
            </w:r>
          </w:p>
        </w:tc>
        <w:tc>
          <w:tcPr>
            <w:tcW w:w="51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基础及地下室阶段</w:t>
            </w:r>
          </w:p>
        </w:tc>
        <w:tc>
          <w:tcPr>
            <w:tcW w:w="51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主体阶段</w:t>
            </w:r>
          </w:p>
        </w:tc>
        <w:tc>
          <w:tcPr>
            <w:tcW w:w="51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装饰阶段</w:t>
            </w:r>
          </w:p>
        </w:tc>
        <w:tc>
          <w:tcPr>
            <w:tcW w:w="51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收尾竣工及物管移交阶段</w:t>
            </w:r>
          </w:p>
        </w:tc>
        <w:tc>
          <w:tcPr>
            <w:tcW w:w="51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交付后三月整改阶段</w:t>
            </w:r>
          </w:p>
        </w:tc>
        <w:tc>
          <w:tcPr>
            <w:tcW w:w="515"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8" w:hRule="atLeast"/>
          <w:jc w:val="center"/>
        </w:trPr>
        <w:tc>
          <w:tcPr>
            <w:tcW w:w="890"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总监理工程师</w:t>
            </w:r>
          </w:p>
        </w:tc>
        <w:tc>
          <w:tcPr>
            <w:tcW w:w="51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1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1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1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1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1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1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15"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8" w:hRule="atLeast"/>
          <w:jc w:val="center"/>
        </w:trPr>
        <w:tc>
          <w:tcPr>
            <w:tcW w:w="890"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总监代表</w:t>
            </w:r>
          </w:p>
        </w:tc>
        <w:tc>
          <w:tcPr>
            <w:tcW w:w="51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1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1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1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1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1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1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15"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8" w:hRule="atLeast"/>
          <w:jc w:val="center"/>
        </w:trPr>
        <w:tc>
          <w:tcPr>
            <w:tcW w:w="890"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土建工程师</w:t>
            </w:r>
          </w:p>
        </w:tc>
        <w:tc>
          <w:tcPr>
            <w:tcW w:w="51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1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1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1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1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1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1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15"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8" w:hRule="atLeast"/>
          <w:jc w:val="center"/>
        </w:trPr>
        <w:tc>
          <w:tcPr>
            <w:tcW w:w="890"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设备安装工程师</w:t>
            </w:r>
          </w:p>
        </w:tc>
        <w:tc>
          <w:tcPr>
            <w:tcW w:w="51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1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1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1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1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1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1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15"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8" w:hRule="atLeast"/>
          <w:jc w:val="center"/>
        </w:trPr>
        <w:tc>
          <w:tcPr>
            <w:tcW w:w="890"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装饰工程师</w:t>
            </w:r>
          </w:p>
        </w:tc>
        <w:tc>
          <w:tcPr>
            <w:tcW w:w="51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1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1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1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1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1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1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15"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8" w:hRule="atLeast"/>
          <w:jc w:val="center"/>
        </w:trPr>
        <w:tc>
          <w:tcPr>
            <w:tcW w:w="890"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监理员/资料员</w:t>
            </w:r>
          </w:p>
        </w:tc>
        <w:tc>
          <w:tcPr>
            <w:tcW w:w="51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1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1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1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1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1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1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15"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8" w:hRule="atLeast"/>
          <w:jc w:val="center"/>
        </w:trPr>
        <w:tc>
          <w:tcPr>
            <w:tcW w:w="890"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合计</w:t>
            </w:r>
          </w:p>
        </w:tc>
        <w:tc>
          <w:tcPr>
            <w:tcW w:w="51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1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1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1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1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1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1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515"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bl>
    <w:p>
      <w:pPr>
        <w:pStyle w:val="18"/>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说明：</w:t>
      </w:r>
    </w:p>
    <w:p>
      <w:pPr>
        <w:pStyle w:val="18"/>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1、总监不强制要求驻场，总监代表必须驻场。</w:t>
      </w:r>
    </w:p>
    <w:p>
      <w:pPr>
        <w:pStyle w:val="18"/>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2、监理工程师须28岁以上50岁以下，监理员须20岁以上，且经历过一个以上完整项目管理。</w:t>
      </w:r>
    </w:p>
    <w:p>
      <w:pPr>
        <w:pStyle w:val="18"/>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3、监理人应配置一名善用测量工具，有实际测绘经验的工程师作为监理人测量放线专员（允许兼任专业工程师，但对重要施工放线的复核工作必须确保开展）。</w:t>
      </w:r>
    </w:p>
    <w:p>
      <w:pPr>
        <w:pStyle w:val="18"/>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4、实测实量人员至少须配置2名，并应根据项目体量满足监理人人员数量要求。</w:t>
      </w:r>
    </w:p>
    <w:p>
      <w:pPr>
        <w:pStyle w:val="18"/>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5、资料员必须配备一名专业人员，须有2年以上资料员工作经历，并参与过当地项目全过程资料管理。</w:t>
      </w:r>
    </w:p>
    <w:p>
      <w:pPr>
        <w:rPr>
          <w:rFonts w:hint="eastAsia" w:ascii="宋体" w:hAnsi="宋体" w:eastAsia="宋体" w:cs="宋体"/>
          <w:b/>
          <w:bCs/>
          <w:i w:val="0"/>
          <w:iCs w:val="0"/>
          <w:color w:val="auto"/>
          <w:spacing w:val="0"/>
          <w:w w:val="100"/>
          <w:sz w:val="21"/>
          <w:szCs w:val="21"/>
          <w:vertAlign w:val="baseline"/>
        </w:rPr>
      </w:pPr>
      <w:r>
        <w:rPr>
          <w:rFonts w:hint="eastAsia" w:ascii="宋体" w:hAnsi="宋体" w:eastAsia="宋体" w:cs="宋体"/>
          <w:b/>
          <w:bCs/>
          <w:i w:val="0"/>
          <w:iCs w:val="0"/>
          <w:color w:val="auto"/>
          <w:spacing w:val="0"/>
          <w:w w:val="100"/>
          <w:sz w:val="21"/>
          <w:szCs w:val="21"/>
          <w:vertAlign w:val="baseline"/>
        </w:rPr>
        <w:br w:type="page"/>
      </w:r>
    </w:p>
    <w:p>
      <w:pPr>
        <w:pStyle w:val="4"/>
        <w:keepNext w:val="0"/>
        <w:keepLines w:val="0"/>
        <w:widowControl/>
        <w:suppressLineNumbers w:val="0"/>
        <w:spacing w:before="0" w:beforeAutospacing="0" w:after="0" w:afterAutospacing="0" w:line="240" w:lineRule="auto"/>
        <w:ind w:left="0"/>
        <w:jc w:val="both"/>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附件13</w:t>
      </w:r>
    </w:p>
    <w:p>
      <w:pPr>
        <w:pStyle w:val="18"/>
        <w:keepNext w:val="0"/>
        <w:keepLines w:val="0"/>
        <w:widowControl/>
        <w:suppressLineNumbers w:val="0"/>
        <w:spacing w:before="156" w:beforeAutospacing="0" w:after="156" w:afterAutospacing="0" w:line="360" w:lineRule="auto"/>
        <w:ind w:left="0" w:right="0"/>
        <w:jc w:val="center"/>
        <w:rPr>
          <w:rFonts w:hint="eastAsia" w:ascii="宋体" w:hAnsi="宋体" w:eastAsia="宋体" w:cs="宋体"/>
          <w:color w:val="auto"/>
          <w:sz w:val="32"/>
          <w:szCs w:val="32"/>
        </w:rPr>
      </w:pPr>
      <w:r>
        <w:rPr>
          <w:rFonts w:hint="eastAsia" w:ascii="宋体" w:hAnsi="宋体" w:eastAsia="宋体" w:cs="宋体"/>
          <w:b/>
          <w:bCs/>
          <w:i w:val="0"/>
          <w:iCs w:val="0"/>
          <w:color w:val="auto"/>
          <w:spacing w:val="0"/>
          <w:w w:val="100"/>
          <w:sz w:val="32"/>
          <w:szCs w:val="32"/>
          <w:vertAlign w:val="baseline"/>
        </w:rPr>
        <w:t>XXX项目监理人员分工表</w:t>
      </w:r>
    </w:p>
    <w:p>
      <w:pPr>
        <w:pStyle w:val="18"/>
        <w:keepNext w:val="0"/>
        <w:keepLines w:val="0"/>
        <w:widowControl/>
        <w:suppressLineNumbers w:val="0"/>
        <w:spacing w:before="156" w:beforeAutospacing="0" w:after="156" w:afterAutospacing="0" w:line="24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 xml:space="preserve">项目名称： </w:t>
      </w:r>
      <w:r>
        <w:rPr>
          <w:rFonts w:hint="eastAsia" w:ascii="宋体" w:hAnsi="宋体" w:eastAsia="宋体" w:cs="宋体"/>
          <w:b w:val="0"/>
          <w:bCs w:val="0"/>
          <w:i w:val="0"/>
          <w:iCs w:val="0"/>
          <w:color w:val="auto"/>
          <w:spacing w:val="0"/>
          <w:w w:val="100"/>
          <w:sz w:val="21"/>
          <w:szCs w:val="21"/>
          <w:vertAlign w:val="baseline"/>
          <w:lang w:val="en-US" w:eastAsia="zh-CN"/>
        </w:rPr>
        <w:t xml:space="preserve">                                                  </w:t>
      </w:r>
      <w:r>
        <w:rPr>
          <w:rFonts w:hint="eastAsia" w:ascii="宋体" w:hAnsi="宋体" w:eastAsia="宋体" w:cs="宋体"/>
          <w:b w:val="0"/>
          <w:bCs w:val="0"/>
          <w:i w:val="0"/>
          <w:iCs w:val="0"/>
          <w:color w:val="auto"/>
          <w:spacing w:val="0"/>
          <w:w w:val="100"/>
          <w:sz w:val="21"/>
          <w:szCs w:val="21"/>
          <w:vertAlign w:val="baseline"/>
        </w:rPr>
        <w:t>分工起始日期： 年 月 日</w:t>
      </w:r>
    </w:p>
    <w:tbl>
      <w:tblPr>
        <w:tblStyle w:val="22"/>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60"/>
        <w:gridCol w:w="1495"/>
        <w:gridCol w:w="805"/>
        <w:gridCol w:w="1899"/>
        <w:gridCol w:w="1755"/>
        <w:gridCol w:w="34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23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156" w:beforeAutospacing="0" w:after="156"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序</w:t>
            </w:r>
          </w:p>
        </w:tc>
        <w:tc>
          <w:tcPr>
            <w:tcW w:w="758"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156" w:beforeAutospacing="0" w:after="156"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姓名</w:t>
            </w:r>
          </w:p>
        </w:tc>
        <w:tc>
          <w:tcPr>
            <w:tcW w:w="408"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156" w:beforeAutospacing="0" w:after="156"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性别</w:t>
            </w:r>
          </w:p>
        </w:tc>
        <w:tc>
          <w:tcPr>
            <w:tcW w:w="96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156" w:beforeAutospacing="0" w:after="156"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专业（或职务）</w:t>
            </w:r>
          </w:p>
        </w:tc>
        <w:tc>
          <w:tcPr>
            <w:tcW w:w="890"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156" w:beforeAutospacing="0" w:after="156"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资格证书号码</w:t>
            </w:r>
          </w:p>
        </w:tc>
        <w:tc>
          <w:tcPr>
            <w:tcW w:w="1744"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156" w:beforeAutospacing="0" w:after="156"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职责范围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23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156" w:beforeAutospacing="0" w:after="156"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w:t>
            </w:r>
          </w:p>
        </w:tc>
        <w:tc>
          <w:tcPr>
            <w:tcW w:w="758"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408"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96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890"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744"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23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156" w:beforeAutospacing="0" w:after="156"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2</w:t>
            </w:r>
          </w:p>
        </w:tc>
        <w:tc>
          <w:tcPr>
            <w:tcW w:w="758"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408"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96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890"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744"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23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156" w:beforeAutospacing="0" w:after="156"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3</w:t>
            </w:r>
          </w:p>
        </w:tc>
        <w:tc>
          <w:tcPr>
            <w:tcW w:w="758"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408"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96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890"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744"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23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156" w:beforeAutospacing="0" w:after="156"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4</w:t>
            </w:r>
          </w:p>
        </w:tc>
        <w:tc>
          <w:tcPr>
            <w:tcW w:w="758"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408"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96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890"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744"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23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156" w:beforeAutospacing="0" w:after="156"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w:t>
            </w:r>
          </w:p>
        </w:tc>
        <w:tc>
          <w:tcPr>
            <w:tcW w:w="758"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408"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96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890"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744"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23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156" w:beforeAutospacing="0" w:after="156"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6</w:t>
            </w:r>
          </w:p>
        </w:tc>
        <w:tc>
          <w:tcPr>
            <w:tcW w:w="758"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408"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96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890"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744"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23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156" w:beforeAutospacing="0" w:after="156"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7</w:t>
            </w:r>
          </w:p>
        </w:tc>
        <w:tc>
          <w:tcPr>
            <w:tcW w:w="758"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408"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96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890"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744"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23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156" w:beforeAutospacing="0" w:after="156"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8</w:t>
            </w:r>
          </w:p>
        </w:tc>
        <w:tc>
          <w:tcPr>
            <w:tcW w:w="758"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408"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96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890"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744"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23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156" w:beforeAutospacing="0" w:after="156"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9</w:t>
            </w:r>
          </w:p>
        </w:tc>
        <w:tc>
          <w:tcPr>
            <w:tcW w:w="758"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408"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96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890"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744"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23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156" w:beforeAutospacing="0" w:after="156"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w:t>
            </w:r>
          </w:p>
        </w:tc>
        <w:tc>
          <w:tcPr>
            <w:tcW w:w="758"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408"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96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890"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744"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23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156" w:beforeAutospacing="0" w:after="156"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11</w:t>
            </w:r>
          </w:p>
        </w:tc>
        <w:tc>
          <w:tcPr>
            <w:tcW w:w="758"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408"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963"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890"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1744" w:type="pct"/>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8" w:hRule="atLeast"/>
          <w:jc w:val="center"/>
        </w:trPr>
        <w:tc>
          <w:tcPr>
            <w:tcW w:w="5000" w:type="pct"/>
            <w:gridSpan w:val="6"/>
            <w:tcBorders>
              <w:top w:val="single" w:color="CBCDD1" w:sz="4" w:space="0"/>
              <w:left w:val="single" w:color="CBCDD1" w:sz="4" w:space="0"/>
              <w:bottom w:val="single" w:color="CBCDD1" w:sz="4" w:space="0"/>
              <w:right w:val="single" w:color="CBCDD1"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156" w:beforeAutospacing="0" w:after="156"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说明：</w:t>
            </w:r>
          </w:p>
        </w:tc>
      </w:tr>
    </w:tbl>
    <w:p>
      <w:pPr>
        <w:pStyle w:val="18"/>
        <w:keepNext w:val="0"/>
        <w:keepLines w:val="0"/>
        <w:widowControl/>
        <w:suppressLineNumbers w:val="0"/>
        <w:spacing w:before="156" w:beforeAutospacing="0" w:after="156" w:afterAutospacing="0" w:line="24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注：新进人员需事先向委托人报送其资质文件并经面试通过。</w:t>
      </w:r>
    </w:p>
    <w:p>
      <w:pPr>
        <w:pStyle w:val="18"/>
        <w:keepNext w:val="0"/>
        <w:keepLines w:val="0"/>
        <w:widowControl/>
        <w:suppressLineNumbers w:val="0"/>
        <w:spacing w:before="156" w:beforeAutospacing="0" w:after="156" w:afterAutospacing="0" w:line="24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 xml:space="preserve">编制人： </w:t>
      </w:r>
      <w:r>
        <w:rPr>
          <w:rFonts w:hint="eastAsia" w:ascii="宋体" w:hAnsi="宋体" w:eastAsia="宋体" w:cs="宋体"/>
          <w:b w:val="0"/>
          <w:bCs w:val="0"/>
          <w:i w:val="0"/>
          <w:iCs w:val="0"/>
          <w:color w:val="auto"/>
          <w:spacing w:val="0"/>
          <w:w w:val="100"/>
          <w:sz w:val="21"/>
          <w:szCs w:val="21"/>
          <w:vertAlign w:val="baseline"/>
          <w:lang w:val="en-US" w:eastAsia="zh-CN"/>
        </w:rPr>
        <w:t xml:space="preserve">                                     </w:t>
      </w:r>
      <w:r>
        <w:rPr>
          <w:rFonts w:hint="eastAsia" w:ascii="宋体" w:hAnsi="宋体" w:eastAsia="宋体" w:cs="宋体"/>
          <w:b w:val="0"/>
          <w:bCs w:val="0"/>
          <w:i w:val="0"/>
          <w:iCs w:val="0"/>
          <w:color w:val="auto"/>
          <w:spacing w:val="0"/>
          <w:w w:val="100"/>
          <w:sz w:val="21"/>
          <w:szCs w:val="21"/>
          <w:vertAlign w:val="baseline"/>
        </w:rPr>
        <w:t xml:space="preserve">总监理工程师： </w:t>
      </w:r>
      <w:r>
        <w:rPr>
          <w:rFonts w:hint="eastAsia" w:ascii="宋体" w:hAnsi="宋体" w:eastAsia="宋体" w:cs="宋体"/>
          <w:b w:val="0"/>
          <w:bCs w:val="0"/>
          <w:i w:val="0"/>
          <w:iCs w:val="0"/>
          <w:color w:val="auto"/>
          <w:spacing w:val="0"/>
          <w:w w:val="100"/>
          <w:sz w:val="21"/>
          <w:szCs w:val="21"/>
          <w:vertAlign w:val="baseline"/>
          <w:lang w:val="en-US" w:eastAsia="zh-CN"/>
        </w:rPr>
        <w:t xml:space="preserve">                </w:t>
      </w:r>
      <w:r>
        <w:rPr>
          <w:rFonts w:hint="eastAsia" w:ascii="宋体" w:hAnsi="宋体" w:eastAsia="宋体" w:cs="宋体"/>
          <w:b w:val="0"/>
          <w:bCs w:val="0"/>
          <w:i w:val="0"/>
          <w:iCs w:val="0"/>
          <w:color w:val="auto"/>
          <w:spacing w:val="0"/>
          <w:w w:val="100"/>
          <w:sz w:val="21"/>
          <w:szCs w:val="21"/>
          <w:vertAlign w:val="baseline"/>
        </w:rPr>
        <w:t>日期：</w:t>
      </w:r>
    </w:p>
    <w:p>
      <w:pPr>
        <w:pStyle w:val="18"/>
        <w:keepNext w:val="0"/>
        <w:keepLines w:val="0"/>
        <w:widowControl/>
        <w:suppressLineNumbers w:val="0"/>
        <w:spacing w:before="156" w:beforeAutospacing="0" w:after="156" w:afterAutospacing="0" w:line="24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抄报： XXX委托人</w:t>
      </w:r>
    </w:p>
    <w:p>
      <w:pPr>
        <w:pStyle w:val="18"/>
        <w:keepNext w:val="0"/>
        <w:keepLines w:val="0"/>
        <w:widowControl/>
        <w:suppressLineNumbers w:val="0"/>
        <w:spacing w:before="156" w:beforeAutospacing="0" w:after="156" w:afterAutospacing="0" w:line="24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发至：监理人所有员工、各施工单位</w:t>
      </w:r>
    </w:p>
    <w:p>
      <w:pPr>
        <w:rPr>
          <w:rFonts w:hint="eastAsia" w:ascii="宋体" w:hAnsi="宋体" w:eastAsia="宋体" w:cs="宋体"/>
          <w:b/>
          <w:bCs/>
          <w:i w:val="0"/>
          <w:iCs w:val="0"/>
          <w:color w:val="auto"/>
          <w:spacing w:val="0"/>
          <w:w w:val="100"/>
          <w:sz w:val="21"/>
          <w:szCs w:val="21"/>
          <w:vertAlign w:val="baseline"/>
        </w:rPr>
      </w:pPr>
      <w:r>
        <w:rPr>
          <w:rFonts w:hint="eastAsia" w:ascii="宋体" w:hAnsi="宋体" w:eastAsia="宋体" w:cs="宋体"/>
          <w:b/>
          <w:bCs/>
          <w:i w:val="0"/>
          <w:iCs w:val="0"/>
          <w:color w:val="auto"/>
          <w:spacing w:val="0"/>
          <w:w w:val="100"/>
          <w:sz w:val="21"/>
          <w:szCs w:val="21"/>
          <w:vertAlign w:val="baseline"/>
        </w:rPr>
        <w:br w:type="page"/>
      </w:r>
    </w:p>
    <w:p>
      <w:pPr>
        <w:pStyle w:val="4"/>
        <w:keepNext w:val="0"/>
        <w:keepLines w:val="0"/>
        <w:widowControl/>
        <w:suppressLineNumbers w:val="0"/>
        <w:spacing w:before="0" w:beforeAutospacing="0" w:after="0" w:afterAutospacing="0" w:line="240" w:lineRule="auto"/>
        <w:ind w:left="0"/>
        <w:jc w:val="both"/>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附件14</w:t>
      </w:r>
    </w:p>
    <w:p>
      <w:pPr>
        <w:pStyle w:val="18"/>
        <w:keepNext w:val="0"/>
        <w:keepLines w:val="0"/>
        <w:widowControl/>
        <w:suppressLineNumbers w:val="0"/>
        <w:spacing w:before="156" w:beforeAutospacing="0" w:after="156" w:afterAutospacing="0" w:line="360" w:lineRule="auto"/>
        <w:ind w:left="0" w:right="0"/>
        <w:jc w:val="center"/>
        <w:rPr>
          <w:rFonts w:hint="eastAsia" w:ascii="宋体" w:hAnsi="宋体" w:eastAsia="宋体" w:cs="宋体"/>
          <w:color w:val="auto"/>
          <w:sz w:val="32"/>
          <w:szCs w:val="32"/>
        </w:rPr>
      </w:pPr>
      <w:r>
        <w:rPr>
          <w:rFonts w:hint="eastAsia" w:ascii="宋体" w:hAnsi="宋体" w:eastAsia="宋体" w:cs="宋体"/>
          <w:b/>
          <w:bCs/>
          <w:i w:val="0"/>
          <w:iCs w:val="0"/>
          <w:color w:val="auto"/>
          <w:spacing w:val="0"/>
          <w:w w:val="100"/>
          <w:sz w:val="32"/>
          <w:szCs w:val="32"/>
          <w:vertAlign w:val="baseline"/>
        </w:rPr>
        <w:t>监理人考核评估表</w:t>
      </w:r>
    </w:p>
    <w:p>
      <w:pPr>
        <w:pStyle w:val="18"/>
        <w:keepNext w:val="0"/>
        <w:keepLines w:val="0"/>
        <w:widowControl/>
        <w:suppressLineNumbers w:val="0"/>
        <w:spacing w:before="0" w:beforeAutospacing="0" w:after="0" w:afterAutospacing="0" w:line="360" w:lineRule="auto"/>
        <w:ind w:left="0" w:right="420" w:firstLine="105"/>
        <w:jc w:val="both"/>
        <w:rPr>
          <w:rFonts w:hint="eastAsia" w:ascii="宋体" w:hAnsi="宋体" w:eastAsia="宋体" w:cs="宋体"/>
          <w:color w:val="auto"/>
          <w:sz w:val="21"/>
          <w:szCs w:val="21"/>
          <w:u w:val="single"/>
        </w:rPr>
      </w:pPr>
      <w:r>
        <w:rPr>
          <w:rFonts w:hint="eastAsia" w:ascii="宋体" w:hAnsi="宋体" w:eastAsia="宋体" w:cs="宋体"/>
          <w:b w:val="0"/>
          <w:bCs w:val="0"/>
          <w:i w:val="0"/>
          <w:iCs w:val="0"/>
          <w:color w:val="auto"/>
          <w:spacing w:val="0"/>
          <w:w w:val="100"/>
          <w:sz w:val="21"/>
          <w:szCs w:val="21"/>
          <w:vertAlign w:val="baseline"/>
        </w:rPr>
        <w:t>编号：</w:t>
      </w:r>
      <w:r>
        <w:rPr>
          <w:rFonts w:hint="eastAsia" w:ascii="宋体" w:hAnsi="宋体" w:eastAsia="宋体" w:cs="宋体"/>
          <w:b w:val="0"/>
          <w:bCs w:val="0"/>
          <w:i w:val="0"/>
          <w:iCs w:val="0"/>
          <w:color w:val="auto"/>
          <w:spacing w:val="0"/>
          <w:w w:val="100"/>
          <w:sz w:val="21"/>
          <w:szCs w:val="21"/>
          <w:u w:val="single"/>
          <w:vertAlign w:val="baseline"/>
          <w:lang w:val="en-US" w:eastAsia="zh-CN"/>
        </w:rPr>
        <w:t xml:space="preserve">               </w:t>
      </w:r>
    </w:p>
    <w:p>
      <w:pPr>
        <w:pStyle w:val="18"/>
        <w:keepNext w:val="0"/>
        <w:keepLines w:val="0"/>
        <w:widowControl/>
        <w:suppressLineNumbers w:val="0"/>
        <w:spacing w:before="0" w:beforeAutospacing="0" w:after="0" w:afterAutospacing="0" w:line="360" w:lineRule="auto"/>
        <w:ind w:left="0" w:right="0" w:firstLine="105"/>
        <w:jc w:val="both"/>
        <w:rPr>
          <w:rFonts w:hint="eastAsia" w:ascii="宋体" w:hAnsi="宋体" w:eastAsia="宋体" w:cs="宋体"/>
          <w:color w:val="auto"/>
          <w:sz w:val="21"/>
          <w:szCs w:val="21"/>
          <w:lang w:val="en-US" w:eastAsia="zh-CN"/>
        </w:rPr>
      </w:pPr>
      <w:r>
        <w:rPr>
          <w:rFonts w:hint="eastAsia" w:ascii="宋体" w:hAnsi="宋体" w:eastAsia="宋体" w:cs="宋体"/>
          <w:b w:val="0"/>
          <w:bCs w:val="0"/>
          <w:i w:val="0"/>
          <w:iCs w:val="0"/>
          <w:color w:val="auto"/>
          <w:spacing w:val="0"/>
          <w:w w:val="100"/>
          <w:sz w:val="21"/>
          <w:szCs w:val="21"/>
          <w:vertAlign w:val="baseline"/>
        </w:rPr>
        <w:t>工程项目名称：</w:t>
      </w:r>
      <w:r>
        <w:rPr>
          <w:rFonts w:hint="eastAsia" w:ascii="宋体" w:hAnsi="宋体" w:eastAsia="宋体" w:cs="宋体"/>
          <w:b w:val="0"/>
          <w:bCs w:val="0"/>
          <w:i w:val="0"/>
          <w:iCs w:val="0"/>
          <w:color w:val="auto"/>
          <w:spacing w:val="0"/>
          <w:w w:val="100"/>
          <w:sz w:val="21"/>
          <w:szCs w:val="21"/>
          <w:u w:val="single"/>
          <w:vertAlign w:val="baseline"/>
        </w:rPr>
        <w:t xml:space="preserve"> </w:t>
      </w:r>
      <w:r>
        <w:rPr>
          <w:rFonts w:hint="eastAsia" w:ascii="宋体" w:hAnsi="宋体" w:eastAsia="宋体" w:cs="宋体"/>
          <w:b w:val="0"/>
          <w:bCs w:val="0"/>
          <w:i w:val="0"/>
          <w:iCs w:val="0"/>
          <w:color w:val="auto"/>
          <w:spacing w:val="0"/>
          <w:w w:val="100"/>
          <w:sz w:val="21"/>
          <w:szCs w:val="21"/>
          <w:u w:val="single"/>
          <w:vertAlign w:val="baseline"/>
          <w:lang w:val="en-US" w:eastAsia="zh-CN"/>
        </w:rPr>
        <w:t xml:space="preserve">               </w:t>
      </w:r>
      <w:r>
        <w:rPr>
          <w:rFonts w:hint="eastAsia" w:ascii="宋体" w:hAnsi="宋体" w:eastAsia="宋体" w:cs="宋体"/>
          <w:b w:val="0"/>
          <w:bCs w:val="0"/>
          <w:i w:val="0"/>
          <w:iCs w:val="0"/>
          <w:color w:val="auto"/>
          <w:spacing w:val="0"/>
          <w:w w:val="100"/>
          <w:sz w:val="21"/>
          <w:szCs w:val="21"/>
          <w:u w:val="none"/>
          <w:vertAlign w:val="baseline"/>
          <w:lang w:val="en-US" w:eastAsia="zh-CN"/>
        </w:rPr>
        <w:t xml:space="preserve">                      </w:t>
      </w:r>
      <w:r>
        <w:rPr>
          <w:rFonts w:hint="eastAsia" w:ascii="宋体" w:hAnsi="宋体" w:eastAsia="宋体" w:cs="宋体"/>
          <w:b w:val="0"/>
          <w:bCs w:val="0"/>
          <w:i w:val="0"/>
          <w:iCs w:val="0"/>
          <w:color w:val="auto"/>
          <w:spacing w:val="0"/>
          <w:w w:val="100"/>
          <w:sz w:val="21"/>
          <w:szCs w:val="21"/>
          <w:vertAlign w:val="baseline"/>
        </w:rPr>
        <w:t>监理人：</w:t>
      </w:r>
      <w:r>
        <w:rPr>
          <w:rFonts w:hint="eastAsia" w:ascii="宋体" w:hAnsi="宋体" w:eastAsia="宋体" w:cs="宋体"/>
          <w:b w:val="0"/>
          <w:bCs w:val="0"/>
          <w:i w:val="0"/>
          <w:iCs w:val="0"/>
          <w:color w:val="auto"/>
          <w:spacing w:val="0"/>
          <w:w w:val="100"/>
          <w:sz w:val="21"/>
          <w:szCs w:val="21"/>
          <w:u w:val="single"/>
          <w:vertAlign w:val="baseline"/>
        </w:rPr>
        <w:t xml:space="preserve"> </w:t>
      </w:r>
      <w:r>
        <w:rPr>
          <w:rFonts w:hint="eastAsia" w:ascii="宋体" w:hAnsi="宋体" w:eastAsia="宋体" w:cs="宋体"/>
          <w:b w:val="0"/>
          <w:bCs w:val="0"/>
          <w:i w:val="0"/>
          <w:iCs w:val="0"/>
          <w:color w:val="auto"/>
          <w:spacing w:val="0"/>
          <w:w w:val="100"/>
          <w:sz w:val="21"/>
          <w:szCs w:val="21"/>
          <w:u w:val="single"/>
          <w:vertAlign w:val="baseline"/>
          <w:lang w:val="en-US" w:eastAsia="zh-CN"/>
        </w:rPr>
        <w:t xml:space="preserve">                     </w:t>
      </w:r>
    </w:p>
    <w:p>
      <w:pPr>
        <w:pStyle w:val="18"/>
        <w:keepNext w:val="0"/>
        <w:keepLines w:val="0"/>
        <w:widowControl/>
        <w:suppressLineNumbers w:val="0"/>
        <w:spacing w:before="0" w:beforeAutospacing="0" w:after="0" w:afterAutospacing="0" w:line="360" w:lineRule="auto"/>
        <w:ind w:left="0" w:right="0" w:firstLine="105"/>
        <w:jc w:val="both"/>
        <w:rPr>
          <w:rFonts w:hint="eastAsia" w:ascii="宋体" w:hAnsi="宋体" w:eastAsia="宋体" w:cs="宋体"/>
          <w:b w:val="0"/>
          <w:bCs w:val="0"/>
          <w:i w:val="0"/>
          <w:iCs w:val="0"/>
          <w:color w:val="auto"/>
          <w:spacing w:val="0"/>
          <w:w w:val="100"/>
          <w:sz w:val="21"/>
          <w:szCs w:val="21"/>
          <w:vertAlign w:val="baseline"/>
        </w:rPr>
      </w:pPr>
      <w:r>
        <w:rPr>
          <w:rFonts w:hint="eastAsia" w:ascii="宋体" w:hAnsi="宋体" w:eastAsia="宋体" w:cs="宋体"/>
          <w:b w:val="0"/>
          <w:bCs w:val="0"/>
          <w:i w:val="0"/>
          <w:iCs w:val="0"/>
          <w:color w:val="auto"/>
          <w:spacing w:val="0"/>
          <w:w w:val="100"/>
          <w:sz w:val="21"/>
          <w:szCs w:val="21"/>
          <w:vertAlign w:val="baseline"/>
        </w:rPr>
        <w:t>检查人员：</w:t>
      </w:r>
      <w:r>
        <w:rPr>
          <w:rFonts w:hint="eastAsia" w:ascii="宋体" w:hAnsi="宋体" w:eastAsia="宋体" w:cs="宋体"/>
          <w:b w:val="0"/>
          <w:bCs w:val="0"/>
          <w:i w:val="0"/>
          <w:iCs w:val="0"/>
          <w:color w:val="auto"/>
          <w:spacing w:val="0"/>
          <w:w w:val="100"/>
          <w:sz w:val="21"/>
          <w:szCs w:val="21"/>
          <w:u w:val="single"/>
          <w:vertAlign w:val="baseline"/>
        </w:rPr>
        <w:t xml:space="preserve"> </w:t>
      </w:r>
      <w:r>
        <w:rPr>
          <w:rFonts w:hint="eastAsia" w:ascii="宋体" w:hAnsi="宋体" w:eastAsia="宋体" w:cs="宋体"/>
          <w:b w:val="0"/>
          <w:bCs w:val="0"/>
          <w:i w:val="0"/>
          <w:iCs w:val="0"/>
          <w:color w:val="auto"/>
          <w:spacing w:val="0"/>
          <w:w w:val="100"/>
          <w:sz w:val="21"/>
          <w:szCs w:val="21"/>
          <w:u w:val="single"/>
          <w:vertAlign w:val="baseline"/>
          <w:lang w:val="en-US" w:eastAsia="zh-CN"/>
        </w:rPr>
        <w:t xml:space="preserve">                   </w:t>
      </w:r>
      <w:r>
        <w:rPr>
          <w:rFonts w:hint="eastAsia" w:ascii="宋体" w:hAnsi="宋体" w:eastAsia="宋体" w:cs="宋体"/>
          <w:b w:val="0"/>
          <w:bCs w:val="0"/>
          <w:i w:val="0"/>
          <w:iCs w:val="0"/>
          <w:color w:val="auto"/>
          <w:spacing w:val="0"/>
          <w:w w:val="100"/>
          <w:sz w:val="21"/>
          <w:szCs w:val="21"/>
          <w:u w:val="none"/>
          <w:vertAlign w:val="baseline"/>
          <w:lang w:val="en-US" w:eastAsia="zh-CN"/>
        </w:rPr>
        <w:t xml:space="preserve">                      </w:t>
      </w:r>
      <w:r>
        <w:rPr>
          <w:rFonts w:hint="eastAsia" w:ascii="宋体" w:hAnsi="宋体" w:eastAsia="宋体" w:cs="宋体"/>
          <w:b w:val="0"/>
          <w:bCs w:val="0"/>
          <w:i w:val="0"/>
          <w:iCs w:val="0"/>
          <w:color w:val="auto"/>
          <w:spacing w:val="0"/>
          <w:w w:val="100"/>
          <w:sz w:val="21"/>
          <w:szCs w:val="21"/>
          <w:vertAlign w:val="baseline"/>
        </w:rPr>
        <w:t>检查日期：</w:t>
      </w:r>
      <w:r>
        <w:rPr>
          <w:rFonts w:hint="eastAsia" w:ascii="宋体" w:hAnsi="宋体" w:eastAsia="宋体" w:cs="宋体"/>
          <w:b w:val="0"/>
          <w:bCs w:val="0"/>
          <w:i w:val="0"/>
          <w:iCs w:val="0"/>
          <w:color w:val="auto"/>
          <w:spacing w:val="0"/>
          <w:w w:val="100"/>
          <w:sz w:val="21"/>
          <w:szCs w:val="21"/>
          <w:u w:val="single"/>
          <w:vertAlign w:val="baseline"/>
        </w:rPr>
        <w:t xml:space="preserve"> </w:t>
      </w:r>
      <w:r>
        <w:rPr>
          <w:rFonts w:hint="eastAsia" w:ascii="宋体" w:hAnsi="宋体" w:eastAsia="宋体" w:cs="宋体"/>
          <w:b w:val="0"/>
          <w:bCs w:val="0"/>
          <w:i w:val="0"/>
          <w:iCs w:val="0"/>
          <w:color w:val="auto"/>
          <w:spacing w:val="0"/>
          <w:w w:val="100"/>
          <w:sz w:val="21"/>
          <w:szCs w:val="21"/>
          <w:u w:val="single"/>
          <w:vertAlign w:val="baseline"/>
          <w:lang w:val="en-US" w:eastAsia="zh-CN"/>
        </w:rPr>
        <w:t xml:space="preserve">    </w:t>
      </w:r>
      <w:r>
        <w:rPr>
          <w:rFonts w:hint="eastAsia" w:ascii="宋体" w:hAnsi="宋体" w:eastAsia="宋体" w:cs="宋体"/>
          <w:b w:val="0"/>
          <w:bCs w:val="0"/>
          <w:i w:val="0"/>
          <w:iCs w:val="0"/>
          <w:color w:val="auto"/>
          <w:spacing w:val="0"/>
          <w:w w:val="100"/>
          <w:sz w:val="21"/>
          <w:szCs w:val="21"/>
          <w:vertAlign w:val="baseline"/>
        </w:rPr>
        <w:t>年</w:t>
      </w:r>
      <w:r>
        <w:rPr>
          <w:rFonts w:hint="eastAsia" w:ascii="宋体" w:hAnsi="宋体" w:eastAsia="宋体" w:cs="宋体"/>
          <w:b w:val="0"/>
          <w:bCs w:val="0"/>
          <w:i w:val="0"/>
          <w:iCs w:val="0"/>
          <w:color w:val="auto"/>
          <w:spacing w:val="0"/>
          <w:w w:val="100"/>
          <w:sz w:val="21"/>
          <w:szCs w:val="21"/>
          <w:u w:val="single"/>
          <w:vertAlign w:val="baseline"/>
        </w:rPr>
        <w:t xml:space="preserve"> </w:t>
      </w:r>
      <w:r>
        <w:rPr>
          <w:rFonts w:hint="eastAsia" w:ascii="宋体" w:hAnsi="宋体" w:eastAsia="宋体" w:cs="宋体"/>
          <w:b w:val="0"/>
          <w:bCs w:val="0"/>
          <w:i w:val="0"/>
          <w:iCs w:val="0"/>
          <w:color w:val="auto"/>
          <w:spacing w:val="0"/>
          <w:w w:val="100"/>
          <w:sz w:val="21"/>
          <w:szCs w:val="21"/>
          <w:u w:val="single"/>
          <w:vertAlign w:val="baseline"/>
          <w:lang w:val="en-US" w:eastAsia="zh-CN"/>
        </w:rPr>
        <w:t xml:space="preserve">    </w:t>
      </w:r>
      <w:r>
        <w:rPr>
          <w:rFonts w:hint="eastAsia" w:ascii="宋体" w:hAnsi="宋体" w:eastAsia="宋体" w:cs="宋体"/>
          <w:b w:val="0"/>
          <w:bCs w:val="0"/>
          <w:i w:val="0"/>
          <w:iCs w:val="0"/>
          <w:color w:val="auto"/>
          <w:spacing w:val="0"/>
          <w:w w:val="100"/>
          <w:sz w:val="21"/>
          <w:szCs w:val="21"/>
          <w:vertAlign w:val="baseline"/>
        </w:rPr>
        <w:t>月</w:t>
      </w:r>
      <w:r>
        <w:rPr>
          <w:rFonts w:hint="eastAsia" w:ascii="宋体" w:hAnsi="宋体" w:eastAsia="宋体" w:cs="宋体"/>
          <w:b w:val="0"/>
          <w:bCs w:val="0"/>
          <w:i w:val="0"/>
          <w:iCs w:val="0"/>
          <w:color w:val="auto"/>
          <w:spacing w:val="0"/>
          <w:w w:val="100"/>
          <w:sz w:val="21"/>
          <w:szCs w:val="21"/>
          <w:u w:val="single"/>
          <w:vertAlign w:val="baseline"/>
        </w:rPr>
        <w:t xml:space="preserve"> </w:t>
      </w:r>
      <w:r>
        <w:rPr>
          <w:rFonts w:hint="eastAsia" w:ascii="宋体" w:hAnsi="宋体" w:eastAsia="宋体" w:cs="宋体"/>
          <w:b w:val="0"/>
          <w:bCs w:val="0"/>
          <w:i w:val="0"/>
          <w:iCs w:val="0"/>
          <w:color w:val="auto"/>
          <w:spacing w:val="0"/>
          <w:w w:val="100"/>
          <w:sz w:val="21"/>
          <w:szCs w:val="21"/>
          <w:u w:val="single"/>
          <w:vertAlign w:val="baseline"/>
          <w:lang w:val="en-US" w:eastAsia="zh-CN"/>
        </w:rPr>
        <w:t xml:space="preserve">    </w:t>
      </w:r>
      <w:r>
        <w:rPr>
          <w:rFonts w:hint="eastAsia" w:ascii="宋体" w:hAnsi="宋体" w:eastAsia="宋体" w:cs="宋体"/>
          <w:b w:val="0"/>
          <w:bCs w:val="0"/>
          <w:i w:val="0"/>
          <w:iCs w:val="0"/>
          <w:color w:val="auto"/>
          <w:spacing w:val="0"/>
          <w:w w:val="100"/>
          <w:sz w:val="21"/>
          <w:szCs w:val="21"/>
          <w:vertAlign w:val="baseline"/>
        </w:rPr>
        <w:t>日</w:t>
      </w:r>
    </w:p>
    <w:p>
      <w:pPr>
        <w:pStyle w:val="18"/>
        <w:keepNext w:val="0"/>
        <w:keepLines w:val="0"/>
        <w:widowControl/>
        <w:suppressLineNumbers w:val="0"/>
        <w:spacing w:before="0" w:beforeAutospacing="0" w:after="0" w:afterAutospacing="0" w:line="360" w:lineRule="auto"/>
        <w:ind w:left="0" w:right="0" w:firstLine="105"/>
        <w:jc w:val="both"/>
        <w:rPr>
          <w:rFonts w:hint="eastAsia" w:ascii="宋体" w:hAnsi="宋体" w:eastAsia="宋体" w:cs="宋体"/>
          <w:b w:val="0"/>
          <w:bCs w:val="0"/>
          <w:i w:val="0"/>
          <w:iCs w:val="0"/>
          <w:color w:val="auto"/>
          <w:spacing w:val="0"/>
          <w:w w:val="100"/>
          <w:sz w:val="21"/>
          <w:szCs w:val="21"/>
          <w:vertAlign w:val="baseline"/>
        </w:rPr>
      </w:pPr>
    </w:p>
    <w:tbl>
      <w:tblPr>
        <w:tblStyle w:val="22"/>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30"/>
        <w:gridCol w:w="558"/>
        <w:gridCol w:w="4947"/>
        <w:gridCol w:w="897"/>
        <w:gridCol w:w="1531"/>
        <w:gridCol w:w="8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67" w:hRule="atLeast"/>
          <w:jc w:val="center"/>
        </w:trPr>
        <w:tc>
          <w:tcPr>
            <w:tcW w:w="522" w:type="pct"/>
            <w:tcBorders>
              <w:top w:val="single" w:color="000000" w:sz="4" w:space="0"/>
              <w:left w:val="single" w:color="000000" w:sz="4" w:space="0"/>
              <w:bottom w:val="single" w:color="000000" w:sz="4" w:space="0"/>
              <w:right w:val="single" w:color="000000" w:sz="4" w:space="0"/>
            </w:tcBorders>
            <w:shd w:val="clear" w:color="auto" w:fill="D5DCE4"/>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分项</w:t>
            </w:r>
          </w:p>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内容</w:t>
            </w:r>
          </w:p>
        </w:tc>
        <w:tc>
          <w:tcPr>
            <w:tcW w:w="2791" w:type="pct"/>
            <w:gridSpan w:val="2"/>
            <w:tcBorders>
              <w:top w:val="single" w:color="000000" w:sz="4" w:space="0"/>
              <w:left w:val="single" w:color="000000" w:sz="4" w:space="0"/>
              <w:bottom w:val="single" w:color="000000" w:sz="4" w:space="0"/>
              <w:right w:val="single" w:color="000000" w:sz="4" w:space="0"/>
            </w:tcBorders>
            <w:shd w:val="clear" w:color="auto" w:fill="D5DCE4"/>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子项内容及要求</w:t>
            </w:r>
          </w:p>
        </w:tc>
        <w:tc>
          <w:tcPr>
            <w:tcW w:w="455" w:type="pct"/>
            <w:tcBorders>
              <w:top w:val="single" w:color="000000" w:sz="4" w:space="0"/>
              <w:left w:val="single" w:color="000000" w:sz="4" w:space="0"/>
              <w:bottom w:val="single" w:color="000000" w:sz="4" w:space="0"/>
              <w:right w:val="single" w:color="000000" w:sz="4" w:space="0"/>
            </w:tcBorders>
            <w:shd w:val="clear" w:color="auto" w:fill="D5DCE4"/>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标准分</w:t>
            </w:r>
          </w:p>
        </w:tc>
        <w:tc>
          <w:tcPr>
            <w:tcW w:w="776" w:type="pct"/>
            <w:tcBorders>
              <w:top w:val="single" w:color="000000" w:sz="4" w:space="0"/>
              <w:left w:val="single" w:color="000000" w:sz="4" w:space="0"/>
              <w:bottom w:val="single" w:color="000000" w:sz="4" w:space="0"/>
              <w:right w:val="single" w:color="000000" w:sz="4" w:space="0"/>
            </w:tcBorders>
            <w:shd w:val="clear" w:color="auto" w:fill="D5DCE4"/>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实得分及说明</w:t>
            </w:r>
          </w:p>
        </w:tc>
        <w:tc>
          <w:tcPr>
            <w:tcW w:w="455" w:type="pct"/>
            <w:tcBorders>
              <w:top w:val="single" w:color="000000" w:sz="4" w:space="0"/>
              <w:left w:val="single" w:color="000000" w:sz="4" w:space="0"/>
              <w:bottom w:val="single" w:color="000000" w:sz="4" w:space="0"/>
              <w:right w:val="single" w:color="000000" w:sz="4" w:space="0"/>
            </w:tcBorders>
            <w:shd w:val="clear" w:color="auto" w:fill="D5DCE4"/>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监理</w:t>
            </w:r>
          </w:p>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组织</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（15%）</w:t>
            </w:r>
          </w:p>
        </w:tc>
        <w:tc>
          <w:tcPr>
            <w:tcW w:w="283" w:type="pct"/>
            <w:vMerge w:val="restar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组织机构</w:t>
            </w:r>
          </w:p>
        </w:tc>
        <w:tc>
          <w:tcPr>
            <w:tcW w:w="250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监理人能满足现场阶段性管理和业主的要求。</w:t>
            </w:r>
          </w:p>
        </w:tc>
        <w:tc>
          <w:tcPr>
            <w:tcW w:w="45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20</w:t>
            </w:r>
          </w:p>
        </w:tc>
        <w:tc>
          <w:tcPr>
            <w:tcW w:w="77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455" w:type="pct"/>
            <w:vMerge w:val="restar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83" w:type="pct"/>
            <w:vMerge w:val="continue"/>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508"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项目总监或代表必须具备相应的资格证书，总监到位良好。</w:t>
            </w:r>
          </w:p>
        </w:tc>
        <w:tc>
          <w:tcPr>
            <w:tcW w:w="45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w:t>
            </w:r>
          </w:p>
        </w:tc>
        <w:tc>
          <w:tcPr>
            <w:tcW w:w="77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455" w:type="pct"/>
            <w:vMerge w:val="continue"/>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83" w:type="pct"/>
            <w:vMerge w:val="continue"/>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508"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监理工程师数量及资历（上岗证和资质证书等）符合监理合同、监理规划的要求。</w:t>
            </w:r>
          </w:p>
        </w:tc>
        <w:tc>
          <w:tcPr>
            <w:tcW w:w="45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w:t>
            </w:r>
          </w:p>
        </w:tc>
        <w:tc>
          <w:tcPr>
            <w:tcW w:w="77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455" w:type="pct"/>
            <w:vMerge w:val="continue"/>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83" w:type="pct"/>
            <w:vMerge w:val="continue"/>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508"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专业人员配套齐全，组成合理，不兼管其它项目；设置安全监理工程师岗位，持证上岗。</w:t>
            </w:r>
          </w:p>
        </w:tc>
        <w:tc>
          <w:tcPr>
            <w:tcW w:w="45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w:t>
            </w:r>
          </w:p>
        </w:tc>
        <w:tc>
          <w:tcPr>
            <w:tcW w:w="77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455" w:type="pct"/>
            <w:vMerge w:val="continue"/>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83" w:type="pct"/>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办公设施及制度</w:t>
            </w:r>
          </w:p>
        </w:tc>
        <w:tc>
          <w:tcPr>
            <w:tcW w:w="2508"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办公场所和办公用品符合委托人和现场的要求。</w:t>
            </w:r>
          </w:p>
        </w:tc>
        <w:tc>
          <w:tcPr>
            <w:tcW w:w="45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w:t>
            </w:r>
          </w:p>
        </w:tc>
        <w:tc>
          <w:tcPr>
            <w:tcW w:w="77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455" w:type="pct"/>
            <w:vMerge w:val="continue"/>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508"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上墙资料齐全（质量方针和目标、组织架构和岗位职责、总进度计划、总平面布置、晴雨表、紧急事件处理流程、形象进度图（表）、工程照）。</w:t>
            </w:r>
          </w:p>
        </w:tc>
        <w:tc>
          <w:tcPr>
            <w:tcW w:w="45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w:t>
            </w:r>
          </w:p>
        </w:tc>
        <w:tc>
          <w:tcPr>
            <w:tcW w:w="77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455" w:type="pct"/>
            <w:vMerge w:val="continue"/>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508"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有明确的书面制度如监理制度、会议制度、报表制度等，并组织人员学习。</w:t>
            </w:r>
          </w:p>
        </w:tc>
        <w:tc>
          <w:tcPr>
            <w:tcW w:w="45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w:t>
            </w:r>
          </w:p>
        </w:tc>
        <w:tc>
          <w:tcPr>
            <w:tcW w:w="77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455" w:type="pct"/>
            <w:vMerge w:val="continue"/>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508"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主要材料管理办法，并及时交底。</w:t>
            </w:r>
          </w:p>
        </w:tc>
        <w:tc>
          <w:tcPr>
            <w:tcW w:w="45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w:t>
            </w:r>
          </w:p>
        </w:tc>
        <w:tc>
          <w:tcPr>
            <w:tcW w:w="77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455" w:type="pct"/>
            <w:vMerge w:val="continue"/>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508" w:type="pc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符合项目阶段要求的仪器（如电脑、数码相机）和检测工具，有及时校准的证明。</w:t>
            </w:r>
          </w:p>
        </w:tc>
        <w:tc>
          <w:tcPr>
            <w:tcW w:w="45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w:t>
            </w:r>
          </w:p>
        </w:tc>
        <w:tc>
          <w:tcPr>
            <w:tcW w:w="77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455" w:type="pct"/>
            <w:vMerge w:val="continue"/>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791" w:type="pct"/>
            <w:gridSpan w:val="2"/>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公司每季度不少1次对项目的检查，有检查记录，提出改进意见。</w:t>
            </w:r>
          </w:p>
        </w:tc>
        <w:tc>
          <w:tcPr>
            <w:tcW w:w="45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w:t>
            </w:r>
          </w:p>
        </w:tc>
        <w:tc>
          <w:tcPr>
            <w:tcW w:w="77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455" w:type="pct"/>
            <w:vMerge w:val="continue"/>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3768" w:type="pct"/>
            <w:gridSpan w:val="4"/>
            <w:tcBorders>
              <w:top w:val="single" w:color="CBCDD1" w:sz="4" w:space="0"/>
              <w:left w:val="single" w:color="000000" w:sz="4" w:space="0"/>
              <w:bottom w:val="single" w:color="000000" w:sz="4" w:space="0"/>
              <w:right w:val="single" w:color="000000" w:sz="4" w:space="0"/>
            </w:tcBorders>
            <w:shd w:val="clear" w:color="auto" w:fill="D9D9D9"/>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分项得分=100×实得分/应得分</w:t>
            </w:r>
          </w:p>
        </w:tc>
        <w:tc>
          <w:tcPr>
            <w:tcW w:w="1231" w:type="pct"/>
            <w:gridSpan w:val="2"/>
            <w:tcBorders>
              <w:top w:val="single" w:color="CBCDD1" w:sz="4" w:space="0"/>
              <w:left w:val="single" w:color="000000" w:sz="4" w:space="0"/>
              <w:bottom w:val="single" w:color="000000" w:sz="4" w:space="0"/>
              <w:right w:val="single" w:color="000000" w:sz="4" w:space="0"/>
            </w:tcBorders>
            <w:shd w:val="clear" w:color="auto" w:fill="D9D9D9"/>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 w:hRule="atLeast"/>
          <w:jc w:val="center"/>
        </w:trPr>
        <w:tc>
          <w:tcPr>
            <w:tcW w:w="522" w:type="pct"/>
            <w:tcBorders>
              <w:top w:val="single" w:color="CBCDD1" w:sz="4" w:space="0"/>
              <w:left w:val="single" w:color="000000" w:sz="4" w:space="0"/>
              <w:bottom w:val="single" w:color="000000" w:sz="4" w:space="0"/>
              <w:right w:val="single" w:color="000000" w:sz="4" w:space="0"/>
            </w:tcBorders>
            <w:shd w:val="clear" w:color="auto" w:fill="D5DCE4"/>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分项</w:t>
            </w:r>
          </w:p>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内容</w:t>
            </w:r>
          </w:p>
        </w:tc>
        <w:tc>
          <w:tcPr>
            <w:tcW w:w="2791" w:type="pct"/>
            <w:gridSpan w:val="2"/>
            <w:tcBorders>
              <w:top w:val="single" w:color="CBCDD1" w:sz="4" w:space="0"/>
              <w:left w:val="single" w:color="000000" w:sz="4" w:space="0"/>
              <w:bottom w:val="single" w:color="000000" w:sz="4" w:space="0"/>
              <w:right w:val="single" w:color="000000" w:sz="4" w:space="0"/>
            </w:tcBorders>
            <w:shd w:val="clear" w:color="auto" w:fill="D5DCE4"/>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子项内容及要求</w:t>
            </w:r>
          </w:p>
        </w:tc>
        <w:tc>
          <w:tcPr>
            <w:tcW w:w="455" w:type="pct"/>
            <w:tcBorders>
              <w:top w:val="single" w:color="CBCDD1" w:sz="4" w:space="0"/>
              <w:left w:val="single" w:color="000000" w:sz="4" w:space="0"/>
              <w:bottom w:val="single" w:color="000000" w:sz="4" w:space="0"/>
              <w:right w:val="single" w:color="000000" w:sz="4" w:space="0"/>
            </w:tcBorders>
            <w:shd w:val="clear" w:color="auto" w:fill="D5DCE4"/>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标准分</w:t>
            </w:r>
          </w:p>
        </w:tc>
        <w:tc>
          <w:tcPr>
            <w:tcW w:w="776" w:type="pct"/>
            <w:tcBorders>
              <w:top w:val="single" w:color="CBCDD1" w:sz="4" w:space="0"/>
              <w:left w:val="single" w:color="000000" w:sz="4" w:space="0"/>
              <w:bottom w:val="single" w:color="000000" w:sz="4" w:space="0"/>
              <w:right w:val="single" w:color="000000" w:sz="4" w:space="0"/>
            </w:tcBorders>
            <w:shd w:val="clear" w:color="auto" w:fill="D5DCE4"/>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实得分及说明</w:t>
            </w:r>
          </w:p>
        </w:tc>
        <w:tc>
          <w:tcPr>
            <w:tcW w:w="455" w:type="pct"/>
            <w:tcBorders>
              <w:top w:val="single" w:color="CBCDD1" w:sz="4" w:space="0"/>
              <w:left w:val="single" w:color="000000" w:sz="4" w:space="0"/>
              <w:bottom w:val="single" w:color="000000" w:sz="4" w:space="0"/>
              <w:right w:val="single" w:color="000000" w:sz="4" w:space="0"/>
            </w:tcBorders>
            <w:shd w:val="clear" w:color="auto" w:fill="D5DCE4"/>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监理</w:t>
            </w:r>
          </w:p>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资料</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（20%）</w:t>
            </w:r>
          </w:p>
        </w:tc>
        <w:tc>
          <w:tcPr>
            <w:tcW w:w="2791" w:type="pct"/>
            <w:gridSpan w:val="2"/>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监理公司审核、委托人批准后的监理规划、质量通病防治措施以及交底到每个监理工程师的书面记录。</w:t>
            </w:r>
          </w:p>
        </w:tc>
        <w:tc>
          <w:tcPr>
            <w:tcW w:w="45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20</w:t>
            </w:r>
          </w:p>
        </w:tc>
        <w:tc>
          <w:tcPr>
            <w:tcW w:w="77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455" w:type="pct"/>
            <w:vMerge w:val="restar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791" w:type="pct"/>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总监审核、委托人批准后的监理实施细则，并交底到相关人员。</w:t>
            </w:r>
          </w:p>
        </w:tc>
        <w:tc>
          <w:tcPr>
            <w:tcW w:w="45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w:t>
            </w:r>
          </w:p>
        </w:tc>
        <w:tc>
          <w:tcPr>
            <w:tcW w:w="77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455" w:type="pct"/>
            <w:vMerge w:val="continue"/>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791" w:type="pct"/>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总包、分包合同，监理合同内部交底记录，并建立合同台帐。</w:t>
            </w:r>
          </w:p>
        </w:tc>
        <w:tc>
          <w:tcPr>
            <w:tcW w:w="45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w:t>
            </w:r>
          </w:p>
        </w:tc>
        <w:tc>
          <w:tcPr>
            <w:tcW w:w="77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455" w:type="pct"/>
            <w:vMerge w:val="continue"/>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791" w:type="pct"/>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施工图、设计变更清单，变更要标注于图纸上（或索引）。</w:t>
            </w:r>
          </w:p>
        </w:tc>
        <w:tc>
          <w:tcPr>
            <w:tcW w:w="45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w:t>
            </w:r>
          </w:p>
        </w:tc>
        <w:tc>
          <w:tcPr>
            <w:tcW w:w="77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455" w:type="pct"/>
            <w:vMerge w:val="continue"/>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791" w:type="pct"/>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现行的土建水电安装规范标准，监理法规清单，并及时完成更新。</w:t>
            </w:r>
          </w:p>
        </w:tc>
        <w:tc>
          <w:tcPr>
            <w:tcW w:w="45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w:t>
            </w:r>
          </w:p>
        </w:tc>
        <w:tc>
          <w:tcPr>
            <w:tcW w:w="77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455" w:type="pct"/>
            <w:vMerge w:val="continue"/>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791" w:type="pct"/>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监理大事记、监理日记和监理工程师工作记录。</w:t>
            </w:r>
          </w:p>
        </w:tc>
        <w:tc>
          <w:tcPr>
            <w:tcW w:w="45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w:t>
            </w:r>
          </w:p>
        </w:tc>
        <w:tc>
          <w:tcPr>
            <w:tcW w:w="77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455" w:type="pct"/>
            <w:vMerge w:val="continue"/>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791" w:type="pct"/>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监理月报，应包括质量、进度、安全文明、投资控制、合同、信息管理方面的内容，存在问题的解决办法。</w:t>
            </w:r>
          </w:p>
        </w:tc>
        <w:tc>
          <w:tcPr>
            <w:tcW w:w="45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15</w:t>
            </w:r>
          </w:p>
        </w:tc>
        <w:tc>
          <w:tcPr>
            <w:tcW w:w="77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455" w:type="pct"/>
            <w:vMerge w:val="continue"/>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791" w:type="pct"/>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资料分类归档管理，方便查阅，重要资料有专门保存办法。</w:t>
            </w:r>
          </w:p>
        </w:tc>
        <w:tc>
          <w:tcPr>
            <w:tcW w:w="45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w:t>
            </w:r>
          </w:p>
        </w:tc>
        <w:tc>
          <w:tcPr>
            <w:tcW w:w="77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455" w:type="pct"/>
            <w:vMerge w:val="continue"/>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791" w:type="pct"/>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文件、图纸发放目录齐全，有签收记录。</w:t>
            </w:r>
          </w:p>
        </w:tc>
        <w:tc>
          <w:tcPr>
            <w:tcW w:w="45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w:t>
            </w:r>
          </w:p>
        </w:tc>
        <w:tc>
          <w:tcPr>
            <w:tcW w:w="77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455" w:type="pct"/>
            <w:vMerge w:val="continue"/>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791" w:type="pct"/>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项目监理总结及专项工程总结，在竣工2个月内提交业主，问题总结深刻，为后期项目管理提出有建设性的建议。</w:t>
            </w:r>
          </w:p>
        </w:tc>
        <w:tc>
          <w:tcPr>
            <w:tcW w:w="45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w:t>
            </w:r>
          </w:p>
        </w:tc>
        <w:tc>
          <w:tcPr>
            <w:tcW w:w="77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455" w:type="pct"/>
            <w:vMerge w:val="continue"/>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3768" w:type="pct"/>
            <w:gridSpan w:val="4"/>
            <w:tcBorders>
              <w:top w:val="single" w:color="CBCDD1" w:sz="4" w:space="0"/>
              <w:left w:val="single" w:color="000000" w:sz="4" w:space="0"/>
              <w:bottom w:val="single" w:color="000000" w:sz="4" w:space="0"/>
              <w:right w:val="single" w:color="000000" w:sz="4" w:space="0"/>
            </w:tcBorders>
            <w:shd w:val="clear" w:color="auto" w:fill="D9D9D9"/>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分项得分=100×实得分/应得分</w:t>
            </w:r>
          </w:p>
        </w:tc>
        <w:tc>
          <w:tcPr>
            <w:tcW w:w="1231" w:type="pct"/>
            <w:gridSpan w:val="2"/>
            <w:tcBorders>
              <w:top w:val="single" w:color="CBCDD1" w:sz="4" w:space="0"/>
              <w:left w:val="single" w:color="000000" w:sz="4" w:space="0"/>
              <w:bottom w:val="single" w:color="000000" w:sz="4" w:space="0"/>
              <w:right w:val="single" w:color="000000" w:sz="4" w:space="0"/>
            </w:tcBorders>
            <w:shd w:val="clear" w:color="auto" w:fill="D9D9D9"/>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 w:hRule="atLeast"/>
          <w:jc w:val="center"/>
        </w:trPr>
        <w:tc>
          <w:tcPr>
            <w:tcW w:w="522" w:type="pct"/>
            <w:tcBorders>
              <w:top w:val="single" w:color="CBCDD1" w:sz="4" w:space="0"/>
              <w:left w:val="single" w:color="000000" w:sz="4" w:space="0"/>
              <w:bottom w:val="single" w:color="000000" w:sz="4" w:space="0"/>
              <w:right w:val="single" w:color="000000" w:sz="4" w:space="0"/>
            </w:tcBorders>
            <w:shd w:val="clear" w:color="auto" w:fill="D5DCE4"/>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分项</w:t>
            </w:r>
          </w:p>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内容</w:t>
            </w:r>
          </w:p>
        </w:tc>
        <w:tc>
          <w:tcPr>
            <w:tcW w:w="2791" w:type="pct"/>
            <w:gridSpan w:val="2"/>
            <w:tcBorders>
              <w:top w:val="single" w:color="CBCDD1" w:sz="4" w:space="0"/>
              <w:left w:val="single" w:color="000000" w:sz="4" w:space="0"/>
              <w:bottom w:val="single" w:color="000000" w:sz="4" w:space="0"/>
              <w:right w:val="single" w:color="000000" w:sz="4" w:space="0"/>
            </w:tcBorders>
            <w:shd w:val="clear" w:color="auto" w:fill="D5DCE4"/>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子项内容及要求</w:t>
            </w:r>
          </w:p>
        </w:tc>
        <w:tc>
          <w:tcPr>
            <w:tcW w:w="455" w:type="pct"/>
            <w:tcBorders>
              <w:top w:val="single" w:color="CBCDD1" w:sz="4" w:space="0"/>
              <w:left w:val="single" w:color="000000" w:sz="4" w:space="0"/>
              <w:bottom w:val="single" w:color="000000" w:sz="4" w:space="0"/>
              <w:right w:val="single" w:color="000000" w:sz="4" w:space="0"/>
            </w:tcBorders>
            <w:shd w:val="clear" w:color="auto" w:fill="D5DCE4"/>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标准分</w:t>
            </w:r>
          </w:p>
        </w:tc>
        <w:tc>
          <w:tcPr>
            <w:tcW w:w="776" w:type="pct"/>
            <w:tcBorders>
              <w:top w:val="single" w:color="CBCDD1" w:sz="4" w:space="0"/>
              <w:left w:val="single" w:color="000000" w:sz="4" w:space="0"/>
              <w:bottom w:val="single" w:color="000000" w:sz="4" w:space="0"/>
              <w:right w:val="single" w:color="000000" w:sz="4" w:space="0"/>
            </w:tcBorders>
            <w:shd w:val="clear" w:color="auto" w:fill="D5DCE4"/>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实得分及说明</w:t>
            </w:r>
          </w:p>
        </w:tc>
        <w:tc>
          <w:tcPr>
            <w:tcW w:w="455" w:type="pct"/>
            <w:tcBorders>
              <w:top w:val="single" w:color="CBCDD1" w:sz="4" w:space="0"/>
              <w:left w:val="single" w:color="000000" w:sz="4" w:space="0"/>
              <w:bottom w:val="single" w:color="000000" w:sz="4" w:space="0"/>
              <w:right w:val="single" w:color="000000" w:sz="4" w:space="0"/>
            </w:tcBorders>
            <w:shd w:val="clear" w:color="auto" w:fill="D5DCE4"/>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技术</w:t>
            </w:r>
          </w:p>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管理</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（15%）</w:t>
            </w:r>
          </w:p>
        </w:tc>
        <w:tc>
          <w:tcPr>
            <w:tcW w:w="2791" w:type="pct"/>
            <w:gridSpan w:val="2"/>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建筑材料质保证书和复试报告及时齐全。</w:t>
            </w:r>
          </w:p>
        </w:tc>
        <w:tc>
          <w:tcPr>
            <w:tcW w:w="45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20</w:t>
            </w:r>
          </w:p>
        </w:tc>
        <w:tc>
          <w:tcPr>
            <w:tcW w:w="77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455" w:type="pct"/>
            <w:vMerge w:val="restar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791" w:type="pct"/>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成品、半成品出厂合格证及时齐全。</w:t>
            </w:r>
          </w:p>
        </w:tc>
        <w:tc>
          <w:tcPr>
            <w:tcW w:w="45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w:t>
            </w:r>
          </w:p>
        </w:tc>
        <w:tc>
          <w:tcPr>
            <w:tcW w:w="77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455" w:type="pct"/>
            <w:vMerge w:val="continue"/>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791" w:type="pct"/>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审核分包单位资格报审表的记录及时齐全。</w:t>
            </w:r>
          </w:p>
        </w:tc>
        <w:tc>
          <w:tcPr>
            <w:tcW w:w="45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w:t>
            </w:r>
          </w:p>
        </w:tc>
        <w:tc>
          <w:tcPr>
            <w:tcW w:w="77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455" w:type="pct"/>
            <w:vMerge w:val="continue"/>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791" w:type="pct"/>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检查总包管理人员名单、职责是否符合项目管理要求。</w:t>
            </w:r>
          </w:p>
        </w:tc>
        <w:tc>
          <w:tcPr>
            <w:tcW w:w="45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w:t>
            </w:r>
          </w:p>
        </w:tc>
        <w:tc>
          <w:tcPr>
            <w:tcW w:w="77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455" w:type="pct"/>
            <w:vMerge w:val="continue"/>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791" w:type="pct"/>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检查记录：电工、焊工、注册安全员、卷扬机、塔吊、施工电梯等上岗证。</w:t>
            </w:r>
          </w:p>
        </w:tc>
        <w:tc>
          <w:tcPr>
            <w:tcW w:w="45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w:t>
            </w:r>
          </w:p>
        </w:tc>
        <w:tc>
          <w:tcPr>
            <w:tcW w:w="77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455" w:type="pct"/>
            <w:vMerge w:val="continue"/>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791" w:type="pct"/>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检查记录：垂直运输机械、外脚手架安全验收合格。</w:t>
            </w:r>
          </w:p>
        </w:tc>
        <w:tc>
          <w:tcPr>
            <w:tcW w:w="45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w:t>
            </w:r>
          </w:p>
        </w:tc>
        <w:tc>
          <w:tcPr>
            <w:tcW w:w="77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455" w:type="pct"/>
            <w:vMerge w:val="continue"/>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791" w:type="pct"/>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土方支护方案审核或组织论证。</w:t>
            </w:r>
          </w:p>
        </w:tc>
        <w:tc>
          <w:tcPr>
            <w:tcW w:w="45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w:t>
            </w:r>
          </w:p>
        </w:tc>
        <w:tc>
          <w:tcPr>
            <w:tcW w:w="77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455" w:type="pct"/>
            <w:vMerge w:val="continue"/>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791" w:type="pct"/>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检查记录和证明：主要仪器设备计量鉴定证。</w:t>
            </w:r>
          </w:p>
        </w:tc>
        <w:tc>
          <w:tcPr>
            <w:tcW w:w="45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w:t>
            </w:r>
          </w:p>
        </w:tc>
        <w:tc>
          <w:tcPr>
            <w:tcW w:w="77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455" w:type="pct"/>
            <w:vMerge w:val="continue"/>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791" w:type="pct"/>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编制质量通病防治措施。</w:t>
            </w:r>
          </w:p>
        </w:tc>
        <w:tc>
          <w:tcPr>
            <w:tcW w:w="45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w:t>
            </w:r>
          </w:p>
        </w:tc>
        <w:tc>
          <w:tcPr>
            <w:tcW w:w="77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455" w:type="pct"/>
            <w:vMerge w:val="continue"/>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791" w:type="pct"/>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提出成本控制、进度控制并保证质量和安全的合理化建议。</w:t>
            </w:r>
          </w:p>
        </w:tc>
        <w:tc>
          <w:tcPr>
            <w:tcW w:w="45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w:t>
            </w:r>
          </w:p>
        </w:tc>
        <w:tc>
          <w:tcPr>
            <w:tcW w:w="77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455" w:type="pct"/>
            <w:vMerge w:val="continue"/>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3768" w:type="pct"/>
            <w:gridSpan w:val="4"/>
            <w:tcBorders>
              <w:top w:val="single" w:color="CBCDD1" w:sz="4" w:space="0"/>
              <w:left w:val="single" w:color="000000" w:sz="4" w:space="0"/>
              <w:bottom w:val="single" w:color="000000" w:sz="4" w:space="0"/>
              <w:right w:val="single" w:color="000000" w:sz="4" w:space="0"/>
            </w:tcBorders>
            <w:shd w:val="clear" w:color="auto" w:fill="D9D9D9"/>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分项得分=100×实得分/应得分</w:t>
            </w:r>
          </w:p>
        </w:tc>
        <w:tc>
          <w:tcPr>
            <w:tcW w:w="1231" w:type="pct"/>
            <w:gridSpan w:val="2"/>
            <w:tcBorders>
              <w:top w:val="single" w:color="CBCDD1" w:sz="4" w:space="0"/>
              <w:left w:val="single" w:color="000000" w:sz="4" w:space="0"/>
              <w:bottom w:val="single" w:color="000000" w:sz="4" w:space="0"/>
              <w:right w:val="single" w:color="000000" w:sz="4" w:space="0"/>
            </w:tcBorders>
            <w:shd w:val="clear" w:color="auto" w:fill="D9D9D9"/>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 w:hRule="atLeast"/>
          <w:jc w:val="center"/>
        </w:trPr>
        <w:tc>
          <w:tcPr>
            <w:tcW w:w="522" w:type="pct"/>
            <w:tcBorders>
              <w:top w:val="single" w:color="CBCDD1" w:sz="4" w:space="0"/>
              <w:left w:val="single" w:color="000000" w:sz="4" w:space="0"/>
              <w:bottom w:val="single" w:color="000000" w:sz="4" w:space="0"/>
              <w:right w:val="single" w:color="000000" w:sz="4" w:space="0"/>
            </w:tcBorders>
            <w:shd w:val="clear" w:color="auto" w:fill="D5DCE4"/>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分项</w:t>
            </w:r>
          </w:p>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内容</w:t>
            </w:r>
          </w:p>
        </w:tc>
        <w:tc>
          <w:tcPr>
            <w:tcW w:w="2791" w:type="pct"/>
            <w:gridSpan w:val="2"/>
            <w:tcBorders>
              <w:top w:val="single" w:color="CBCDD1" w:sz="4" w:space="0"/>
              <w:left w:val="single" w:color="000000" w:sz="4" w:space="0"/>
              <w:bottom w:val="single" w:color="000000" w:sz="4" w:space="0"/>
              <w:right w:val="single" w:color="000000" w:sz="4" w:space="0"/>
            </w:tcBorders>
            <w:shd w:val="clear" w:color="auto" w:fill="D5DCE4"/>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子项内容及要求</w:t>
            </w:r>
          </w:p>
        </w:tc>
        <w:tc>
          <w:tcPr>
            <w:tcW w:w="455" w:type="pct"/>
            <w:tcBorders>
              <w:top w:val="single" w:color="CBCDD1" w:sz="4" w:space="0"/>
              <w:left w:val="single" w:color="000000" w:sz="4" w:space="0"/>
              <w:bottom w:val="single" w:color="000000" w:sz="4" w:space="0"/>
              <w:right w:val="single" w:color="000000" w:sz="4" w:space="0"/>
            </w:tcBorders>
            <w:shd w:val="clear" w:color="auto" w:fill="D5DCE4"/>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标准分</w:t>
            </w:r>
          </w:p>
        </w:tc>
        <w:tc>
          <w:tcPr>
            <w:tcW w:w="776" w:type="pct"/>
            <w:tcBorders>
              <w:top w:val="single" w:color="CBCDD1" w:sz="4" w:space="0"/>
              <w:left w:val="single" w:color="000000" w:sz="4" w:space="0"/>
              <w:bottom w:val="single" w:color="000000" w:sz="4" w:space="0"/>
              <w:right w:val="single" w:color="000000" w:sz="4" w:space="0"/>
            </w:tcBorders>
            <w:shd w:val="clear" w:color="auto" w:fill="D5DCE4"/>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实得分及说明</w:t>
            </w:r>
          </w:p>
        </w:tc>
        <w:tc>
          <w:tcPr>
            <w:tcW w:w="455" w:type="pct"/>
            <w:tcBorders>
              <w:top w:val="single" w:color="CBCDD1" w:sz="4" w:space="0"/>
              <w:left w:val="single" w:color="000000" w:sz="4" w:space="0"/>
              <w:bottom w:val="single" w:color="000000" w:sz="4" w:space="0"/>
              <w:right w:val="single" w:color="000000" w:sz="4" w:space="0"/>
            </w:tcBorders>
            <w:shd w:val="clear" w:color="auto" w:fill="D5DCE4"/>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现场监督管理</w:t>
            </w:r>
          </w:p>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（50%）</w:t>
            </w:r>
          </w:p>
        </w:tc>
        <w:tc>
          <w:tcPr>
            <w:tcW w:w="2791" w:type="pct"/>
            <w:gridSpan w:val="2"/>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设计图纸文件会审，及时形成书面记录。</w:t>
            </w:r>
          </w:p>
        </w:tc>
        <w:tc>
          <w:tcPr>
            <w:tcW w:w="45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w:t>
            </w:r>
          </w:p>
        </w:tc>
        <w:tc>
          <w:tcPr>
            <w:tcW w:w="77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455" w:type="pct"/>
            <w:vMerge w:val="restar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791" w:type="pct"/>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施工组织设计、方案审核或组织会审，形成相关记录并将意见落实。</w:t>
            </w:r>
          </w:p>
        </w:tc>
        <w:tc>
          <w:tcPr>
            <w:tcW w:w="45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w:t>
            </w:r>
          </w:p>
        </w:tc>
        <w:tc>
          <w:tcPr>
            <w:tcW w:w="77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455" w:type="pct"/>
            <w:vMerge w:val="continue"/>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791" w:type="pct"/>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旁站监理的规定，以及旁站监理记录，节假日值班记录。</w:t>
            </w:r>
          </w:p>
        </w:tc>
        <w:tc>
          <w:tcPr>
            <w:tcW w:w="45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w:t>
            </w:r>
          </w:p>
        </w:tc>
        <w:tc>
          <w:tcPr>
            <w:tcW w:w="77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455" w:type="pct"/>
            <w:vMerge w:val="continue"/>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791" w:type="pct"/>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厨卫、屋面蓄水试验记录，外墙、门窗淋水试验记录，雨天室内渗漏检查记录。</w:t>
            </w:r>
          </w:p>
        </w:tc>
        <w:tc>
          <w:tcPr>
            <w:tcW w:w="45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w:t>
            </w:r>
          </w:p>
        </w:tc>
        <w:tc>
          <w:tcPr>
            <w:tcW w:w="77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455" w:type="pct"/>
            <w:vMerge w:val="continue"/>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791" w:type="pct"/>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隐蔽工程验收齐全。</w:t>
            </w:r>
          </w:p>
        </w:tc>
        <w:tc>
          <w:tcPr>
            <w:tcW w:w="45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w:t>
            </w:r>
          </w:p>
        </w:tc>
        <w:tc>
          <w:tcPr>
            <w:tcW w:w="77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455" w:type="pct"/>
            <w:vMerge w:val="continue"/>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791" w:type="pct"/>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混凝土浇灌令、大跨度结构或其它重要部位的拆模审批。</w:t>
            </w:r>
          </w:p>
        </w:tc>
        <w:tc>
          <w:tcPr>
            <w:tcW w:w="45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w:t>
            </w:r>
          </w:p>
        </w:tc>
        <w:tc>
          <w:tcPr>
            <w:tcW w:w="77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455" w:type="pct"/>
            <w:vMerge w:val="continue"/>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791" w:type="pct"/>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工程进度控制效果，计划管理到位，有进度调整的针对性措施和建议。</w:t>
            </w:r>
          </w:p>
        </w:tc>
        <w:tc>
          <w:tcPr>
            <w:tcW w:w="45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w:t>
            </w:r>
          </w:p>
        </w:tc>
        <w:tc>
          <w:tcPr>
            <w:tcW w:w="77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455" w:type="pct"/>
            <w:vMerge w:val="continue"/>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791" w:type="pct"/>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工程质量控制效果，过程控制的手段和方法是否可行，深度是否足够。</w:t>
            </w:r>
          </w:p>
        </w:tc>
        <w:tc>
          <w:tcPr>
            <w:tcW w:w="45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w:t>
            </w:r>
          </w:p>
        </w:tc>
        <w:tc>
          <w:tcPr>
            <w:tcW w:w="77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455" w:type="pct"/>
            <w:vMerge w:val="continue"/>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791" w:type="pct"/>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29" w:leftChars="-14" w:right="0" w:firstLine="29"/>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明确规定重要工序，落实100%检查。制定《工序检查一览表》，并及时填写“三检制”验收表。</w:t>
            </w:r>
          </w:p>
        </w:tc>
        <w:tc>
          <w:tcPr>
            <w:tcW w:w="45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w:t>
            </w:r>
          </w:p>
        </w:tc>
        <w:tc>
          <w:tcPr>
            <w:tcW w:w="77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455" w:type="pct"/>
            <w:vMerge w:val="continue"/>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3" w:hRule="atLeast"/>
          <w:jc w:val="center"/>
        </w:trPr>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791" w:type="pct"/>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29" w:leftChars="-14" w:right="0" w:firstLine="29"/>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现场质量通病控制情况（主要包括门窗工程、防渗漏情况、水电工程等）。</w:t>
            </w:r>
          </w:p>
        </w:tc>
        <w:tc>
          <w:tcPr>
            <w:tcW w:w="45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w:t>
            </w:r>
          </w:p>
        </w:tc>
        <w:tc>
          <w:tcPr>
            <w:tcW w:w="77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455" w:type="pct"/>
            <w:vMerge w:val="continue"/>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3" w:hRule="atLeast"/>
          <w:jc w:val="center"/>
        </w:trPr>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791" w:type="pct"/>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主要材料进场验收，包括外观检查和资料检查，有签字认可的意见。</w:t>
            </w:r>
          </w:p>
        </w:tc>
        <w:tc>
          <w:tcPr>
            <w:tcW w:w="45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w:t>
            </w:r>
          </w:p>
        </w:tc>
        <w:tc>
          <w:tcPr>
            <w:tcW w:w="77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455" w:type="pct"/>
            <w:vMerge w:val="continue"/>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3" w:hRule="atLeast"/>
          <w:jc w:val="center"/>
        </w:trPr>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791" w:type="pct"/>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督促施工单位按100%进行实体实测实量，监理人按30%复测，建立实测实量一户一档。</w:t>
            </w:r>
          </w:p>
        </w:tc>
        <w:tc>
          <w:tcPr>
            <w:tcW w:w="45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w:t>
            </w:r>
          </w:p>
        </w:tc>
        <w:tc>
          <w:tcPr>
            <w:tcW w:w="77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455" w:type="pct"/>
            <w:vMerge w:val="continue"/>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3" w:hRule="atLeast"/>
          <w:jc w:val="center"/>
        </w:trPr>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791" w:type="pct"/>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月进度审核的准确性，有明确的审核意见和跟踪落实措施。</w:t>
            </w:r>
          </w:p>
        </w:tc>
        <w:tc>
          <w:tcPr>
            <w:tcW w:w="45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w:t>
            </w:r>
          </w:p>
        </w:tc>
        <w:tc>
          <w:tcPr>
            <w:tcW w:w="77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455" w:type="pct"/>
            <w:vMerge w:val="continue"/>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3" w:hRule="atLeast"/>
          <w:jc w:val="center"/>
        </w:trPr>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791" w:type="pct"/>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监理工作联系单以及发放记录，以及跟踪处理情况。</w:t>
            </w:r>
          </w:p>
        </w:tc>
        <w:tc>
          <w:tcPr>
            <w:tcW w:w="45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w:t>
            </w:r>
          </w:p>
        </w:tc>
        <w:tc>
          <w:tcPr>
            <w:tcW w:w="77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455" w:type="pct"/>
            <w:vMerge w:val="continue"/>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3" w:hRule="atLeast"/>
          <w:jc w:val="center"/>
        </w:trPr>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791" w:type="pct"/>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竣工或中间验收前审核相关的技术资料（如竣工资料和竣工图，保证竣工图符合实际情况）。</w:t>
            </w:r>
          </w:p>
        </w:tc>
        <w:tc>
          <w:tcPr>
            <w:tcW w:w="45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w:t>
            </w:r>
          </w:p>
        </w:tc>
        <w:tc>
          <w:tcPr>
            <w:tcW w:w="77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455" w:type="pct"/>
            <w:vMerge w:val="continue"/>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3" w:hRule="atLeast"/>
          <w:jc w:val="center"/>
        </w:trPr>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791" w:type="pct"/>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及时组织监理周例会，对项目管理中的质量、进度、安全、文明施工等问题提出解决方案，并跟踪落实。</w:t>
            </w:r>
          </w:p>
        </w:tc>
        <w:tc>
          <w:tcPr>
            <w:tcW w:w="45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w:t>
            </w:r>
          </w:p>
        </w:tc>
        <w:tc>
          <w:tcPr>
            <w:tcW w:w="77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455" w:type="pct"/>
            <w:vMerge w:val="continue"/>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2791" w:type="pct"/>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每周定期组织周评估检查，完善成品保护，及时督促问题整改，形成书面记录。日常安全巡视记录。</w:t>
            </w:r>
          </w:p>
        </w:tc>
        <w:tc>
          <w:tcPr>
            <w:tcW w:w="455"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w:t>
            </w:r>
          </w:p>
        </w:tc>
        <w:tc>
          <w:tcPr>
            <w:tcW w:w="776" w:type="pct"/>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c>
          <w:tcPr>
            <w:tcW w:w="455" w:type="pct"/>
            <w:vMerge w:val="continue"/>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3768" w:type="pct"/>
            <w:gridSpan w:val="4"/>
            <w:tcBorders>
              <w:top w:val="single" w:color="CBCDD1" w:sz="4" w:space="0"/>
              <w:left w:val="single" w:color="000000" w:sz="4" w:space="0"/>
              <w:bottom w:val="single" w:color="000000" w:sz="4" w:space="0"/>
              <w:right w:val="single" w:color="000000" w:sz="4" w:space="0"/>
            </w:tcBorders>
            <w:shd w:val="clear" w:color="auto" w:fill="D9D9D9"/>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分项得分=100×实得分/应得分</w:t>
            </w:r>
          </w:p>
        </w:tc>
        <w:tc>
          <w:tcPr>
            <w:tcW w:w="1231" w:type="pct"/>
            <w:gridSpan w:val="2"/>
            <w:tcBorders>
              <w:top w:val="single" w:color="CBCDD1" w:sz="4" w:space="0"/>
              <w:left w:val="single" w:color="000000" w:sz="4" w:space="0"/>
              <w:bottom w:val="single" w:color="000000" w:sz="4" w:space="0"/>
              <w:right w:val="single" w:color="000000" w:sz="4" w:space="0"/>
            </w:tcBorders>
            <w:shd w:val="clear" w:color="auto" w:fill="D9D9D9"/>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3" w:hRule="atLeast"/>
          <w:jc w:val="center"/>
        </w:trPr>
        <w:tc>
          <w:tcPr>
            <w:tcW w:w="3768" w:type="pct"/>
            <w:gridSpan w:val="4"/>
            <w:tcBorders>
              <w:top w:val="single" w:color="000000" w:sz="4" w:space="0"/>
              <w:left w:val="single" w:color="000000" w:sz="4" w:space="0"/>
              <w:bottom w:val="single" w:color="000000" w:sz="4" w:space="0"/>
              <w:right w:val="single" w:color="000000" w:sz="4" w:space="0"/>
            </w:tcBorders>
            <w:shd w:val="clear" w:color="auto" w:fill="FFFFCC"/>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综合得分</w:t>
            </w:r>
          </w:p>
        </w:tc>
        <w:tc>
          <w:tcPr>
            <w:tcW w:w="1231" w:type="pct"/>
            <w:gridSpan w:val="2"/>
            <w:tcBorders>
              <w:top w:val="single" w:color="CBCDD1" w:sz="4" w:space="0"/>
              <w:left w:val="single" w:color="000000" w:sz="4" w:space="0"/>
              <w:bottom w:val="single" w:color="000000" w:sz="4" w:space="0"/>
              <w:right w:val="single" w:color="000000" w:sz="4" w:space="0"/>
            </w:tcBorders>
            <w:shd w:val="clear" w:color="auto" w:fill="FFFFCC"/>
            <w:tcMar>
              <w:top w:w="0" w:type="dxa"/>
              <w:left w:w="72" w:type="dxa"/>
              <w:bottom w:w="0" w:type="dxa"/>
              <w:right w:w="72"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94" w:hRule="atLeast"/>
          <w:jc w:val="center"/>
        </w:trPr>
        <w:tc>
          <w:tcPr>
            <w:tcW w:w="5000" w:type="pct"/>
            <w:gridSpan w:val="6"/>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b w:val="0"/>
                <w:bCs w:val="0"/>
                <w:i w:val="0"/>
                <w:iCs w:val="0"/>
                <w:color w:val="auto"/>
                <w:spacing w:val="0"/>
                <w:w w:val="100"/>
                <w:sz w:val="21"/>
                <w:szCs w:val="21"/>
                <w:vertAlign w:val="baseline"/>
              </w:rPr>
            </w:pP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说明：</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 子项得分：一般情况下，每1次不符，分项分为5、10、15、20分的，分别扣1分、2分、3分、4分；该子项未发生的则不评分。</w:t>
            </w:r>
          </w:p>
          <w:tbl>
            <w:tblPr>
              <w:tblStyle w:val="2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20"/>
              <w:gridCol w:w="750"/>
              <w:gridCol w:w="750"/>
              <w:gridCol w:w="750"/>
              <w:gridCol w:w="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61" w:hRule="atLeast"/>
                <w:jc w:val="center"/>
              </w:trPr>
              <w:tc>
                <w:tcPr>
                  <w:tcW w:w="1220" w:type="dxa"/>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子项分</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5分</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10分</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15分</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20分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4" w:hRule="atLeast"/>
                <w:jc w:val="center"/>
              </w:trPr>
              <w:tc>
                <w:tcPr>
                  <w:tcW w:w="1220" w:type="dxa"/>
                  <w:tcBorders>
                    <w:top w:val="single" w:color="000000"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每1次不符扣分</w:t>
                  </w:r>
                </w:p>
              </w:tc>
              <w:tc>
                <w:tcPr>
                  <w:tcW w:w="750" w:type="dxa"/>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1分</w:t>
                  </w:r>
                </w:p>
              </w:tc>
              <w:tc>
                <w:tcPr>
                  <w:tcW w:w="750" w:type="dxa"/>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2分</w:t>
                  </w:r>
                </w:p>
              </w:tc>
              <w:tc>
                <w:tcPr>
                  <w:tcW w:w="750" w:type="dxa"/>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3分</w:t>
                  </w:r>
                </w:p>
              </w:tc>
              <w:tc>
                <w:tcPr>
                  <w:tcW w:w="750" w:type="dxa"/>
                  <w:tcBorders>
                    <w:top w:val="single" w:color="CBCDD1" w:sz="4" w:space="0"/>
                    <w:left w:val="single" w:color="000000" w:sz="4" w:space="0"/>
                    <w:bottom w:val="single" w:color="000000" w:sz="4" w:space="0"/>
                    <w:right w:val="single" w:color="000000" w:sz="4" w:space="0"/>
                  </w:tcBorders>
                  <w:shd w:val="clear" w:color="auto" w:fill="auto"/>
                  <w:tcMar>
                    <w:top w:w="0" w:type="dxa"/>
                    <w:left w:w="72" w:type="dxa"/>
                    <w:bottom w:w="0" w:type="dxa"/>
                    <w:right w:w="72" w:type="dxa"/>
                  </w:tcMar>
                  <w:vAlign w:val="center"/>
                </w:tcPr>
                <w:p>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4分</w:t>
                  </w:r>
                </w:p>
              </w:tc>
            </w:tr>
          </w:tbl>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b w:val="0"/>
                <w:bCs w:val="0"/>
                <w:i w:val="0"/>
                <w:iCs w:val="0"/>
                <w:color w:val="auto"/>
                <w:spacing w:val="0"/>
                <w:w w:val="100"/>
                <w:sz w:val="21"/>
                <w:szCs w:val="21"/>
                <w:vertAlign w:val="baseline"/>
              </w:rPr>
            </w:pP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b w:val="0"/>
                <w:bCs w:val="0"/>
                <w:i w:val="0"/>
                <w:iCs w:val="0"/>
                <w:color w:val="auto"/>
                <w:spacing w:val="0"/>
                <w:w w:val="100"/>
                <w:sz w:val="21"/>
                <w:szCs w:val="21"/>
                <w:vertAlign w:val="baseline"/>
              </w:rPr>
            </w:pPr>
            <w:r>
              <w:rPr>
                <w:rFonts w:hint="eastAsia" w:ascii="宋体" w:hAnsi="宋体" w:eastAsia="宋体" w:cs="宋体"/>
                <w:b w:val="0"/>
                <w:bCs w:val="0"/>
                <w:i w:val="0"/>
                <w:iCs w:val="0"/>
                <w:color w:val="auto"/>
                <w:spacing w:val="0"/>
                <w:w w:val="100"/>
                <w:sz w:val="21"/>
                <w:szCs w:val="21"/>
                <w:vertAlign w:val="baseline"/>
              </w:rPr>
              <w:t>2. 综合得分低于80分，为不合格；综合得分80～90之间，为合格；综合得分90以上，为良好。</w:t>
            </w:r>
          </w:p>
          <w:p>
            <w:pPr>
              <w:pStyle w:val="18"/>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3.</w:t>
            </w:r>
            <w:r>
              <w:rPr>
                <w:rFonts w:hint="eastAsia" w:ascii="宋体" w:hAnsi="宋体" w:eastAsia="宋体" w:cs="宋体"/>
                <w:b/>
                <w:bCs/>
                <w:i w:val="0"/>
                <w:iCs w:val="0"/>
                <w:color w:val="auto"/>
                <w:spacing w:val="0"/>
                <w:w w:val="100"/>
                <w:sz w:val="21"/>
                <w:szCs w:val="21"/>
                <w:vertAlign w:val="baseline"/>
              </w:rPr>
              <w:t xml:space="preserve"> </w:t>
            </w:r>
            <w:r>
              <w:rPr>
                <w:rFonts w:hint="eastAsia" w:ascii="宋体" w:hAnsi="宋体" w:eastAsia="宋体" w:cs="宋体"/>
                <w:b w:val="0"/>
                <w:bCs w:val="0"/>
                <w:i w:val="0"/>
                <w:iCs w:val="0"/>
                <w:color w:val="auto"/>
                <w:spacing w:val="0"/>
                <w:w w:val="100"/>
                <w:sz w:val="21"/>
                <w:szCs w:val="21"/>
                <w:vertAlign w:val="baseline"/>
              </w:rPr>
              <w:t>综合得分=监理组织得分×15%+监理资料得分×20%+技术管理得分×15%+现场监督管理得分×50%</w:t>
            </w:r>
          </w:p>
        </w:tc>
      </w:tr>
    </w:tbl>
    <w:p>
      <w:pPr>
        <w:pStyle w:val="18"/>
        <w:keepNext w:val="0"/>
        <w:keepLines w:val="0"/>
        <w:widowControl/>
        <w:suppressLineNumbers w:val="0"/>
        <w:spacing w:before="0" w:beforeAutospacing="0" w:after="0" w:afterAutospacing="0" w:line="360" w:lineRule="auto"/>
        <w:ind w:left="0" w:right="0" w:firstLine="105"/>
        <w:jc w:val="both"/>
        <w:rPr>
          <w:rFonts w:hint="eastAsia" w:ascii="宋体" w:hAnsi="宋体" w:eastAsia="宋体" w:cs="宋体"/>
          <w:color w:val="auto"/>
          <w:sz w:val="21"/>
          <w:szCs w:val="21"/>
          <w:u w:val="single"/>
        </w:rPr>
      </w:pPr>
      <w:r>
        <w:rPr>
          <w:rFonts w:hint="eastAsia" w:ascii="宋体" w:hAnsi="宋体" w:eastAsia="宋体" w:cs="宋体"/>
          <w:b w:val="0"/>
          <w:bCs w:val="0"/>
          <w:i w:val="0"/>
          <w:iCs w:val="0"/>
          <w:color w:val="auto"/>
          <w:spacing w:val="0"/>
          <w:w w:val="100"/>
          <w:sz w:val="21"/>
          <w:szCs w:val="21"/>
          <w:vertAlign w:val="baseline"/>
        </w:rPr>
        <w:t>项目经理（签字）：</w:t>
      </w:r>
      <w:r>
        <w:rPr>
          <w:rFonts w:hint="eastAsia" w:ascii="宋体" w:hAnsi="宋体" w:eastAsia="宋体" w:cs="宋体"/>
          <w:b w:val="0"/>
          <w:bCs w:val="0"/>
          <w:i w:val="0"/>
          <w:iCs w:val="0"/>
          <w:color w:val="auto"/>
          <w:spacing w:val="0"/>
          <w:w w:val="100"/>
          <w:sz w:val="21"/>
          <w:szCs w:val="21"/>
          <w:u w:val="single"/>
          <w:vertAlign w:val="baseline"/>
        </w:rPr>
        <w:t xml:space="preserve"> </w:t>
      </w:r>
      <w:r>
        <w:rPr>
          <w:rFonts w:hint="eastAsia" w:ascii="宋体" w:hAnsi="宋体" w:eastAsia="宋体" w:cs="宋体"/>
          <w:b w:val="0"/>
          <w:bCs w:val="0"/>
          <w:i w:val="0"/>
          <w:iCs w:val="0"/>
          <w:color w:val="auto"/>
          <w:spacing w:val="0"/>
          <w:w w:val="100"/>
          <w:sz w:val="21"/>
          <w:szCs w:val="21"/>
          <w:u w:val="single"/>
          <w:vertAlign w:val="baseline"/>
          <w:lang w:val="en-US" w:eastAsia="zh-CN"/>
        </w:rPr>
        <w:t xml:space="preserve">               </w:t>
      </w:r>
      <w:r>
        <w:rPr>
          <w:rFonts w:hint="eastAsia" w:ascii="宋体" w:hAnsi="宋体" w:eastAsia="宋体" w:cs="宋体"/>
          <w:b w:val="0"/>
          <w:bCs w:val="0"/>
          <w:i w:val="0"/>
          <w:iCs w:val="0"/>
          <w:color w:val="auto"/>
          <w:spacing w:val="0"/>
          <w:w w:val="100"/>
          <w:sz w:val="21"/>
          <w:szCs w:val="21"/>
          <w:u w:val="none"/>
          <w:vertAlign w:val="baseline"/>
          <w:lang w:val="en-US" w:eastAsia="zh-CN"/>
        </w:rPr>
        <w:t xml:space="preserve">                   </w:t>
      </w:r>
      <w:r>
        <w:rPr>
          <w:rFonts w:hint="eastAsia" w:ascii="宋体" w:hAnsi="宋体" w:eastAsia="宋体" w:cs="宋体"/>
          <w:b w:val="0"/>
          <w:bCs w:val="0"/>
          <w:i w:val="0"/>
          <w:iCs w:val="0"/>
          <w:color w:val="auto"/>
          <w:spacing w:val="0"/>
          <w:w w:val="100"/>
          <w:sz w:val="21"/>
          <w:szCs w:val="21"/>
          <w:vertAlign w:val="baseline"/>
        </w:rPr>
        <w:t>工程总（签字）：</w:t>
      </w:r>
      <w:r>
        <w:rPr>
          <w:rFonts w:hint="eastAsia" w:ascii="宋体" w:hAnsi="宋体" w:eastAsia="宋体" w:cs="宋体"/>
          <w:b w:val="0"/>
          <w:bCs w:val="0"/>
          <w:i w:val="0"/>
          <w:iCs w:val="0"/>
          <w:color w:val="auto"/>
          <w:spacing w:val="0"/>
          <w:w w:val="100"/>
          <w:sz w:val="21"/>
          <w:szCs w:val="21"/>
          <w:u w:val="single"/>
          <w:vertAlign w:val="baseline"/>
          <w:lang w:val="en-US" w:eastAsia="zh-CN"/>
        </w:rPr>
        <w:t xml:space="preserve">              </w:t>
      </w:r>
    </w:p>
    <w:p>
      <w:pPr>
        <w:rPr>
          <w:rFonts w:hint="eastAsia" w:ascii="宋体" w:hAnsi="宋体" w:eastAsia="宋体" w:cs="宋体"/>
          <w:b/>
          <w:bCs/>
          <w:i w:val="0"/>
          <w:iCs w:val="0"/>
          <w:color w:val="auto"/>
          <w:spacing w:val="0"/>
          <w:w w:val="100"/>
          <w:sz w:val="21"/>
          <w:szCs w:val="21"/>
          <w:vertAlign w:val="baseline"/>
        </w:rPr>
      </w:pPr>
      <w:r>
        <w:rPr>
          <w:rFonts w:hint="eastAsia" w:ascii="宋体" w:hAnsi="宋体" w:eastAsia="宋体" w:cs="宋体"/>
          <w:b/>
          <w:bCs/>
          <w:i w:val="0"/>
          <w:iCs w:val="0"/>
          <w:color w:val="auto"/>
          <w:spacing w:val="0"/>
          <w:w w:val="100"/>
          <w:sz w:val="21"/>
          <w:szCs w:val="21"/>
          <w:vertAlign w:val="baseline"/>
        </w:rPr>
        <w:br w:type="page"/>
      </w:r>
    </w:p>
    <w:p>
      <w:pPr>
        <w:pStyle w:val="4"/>
        <w:keepNext w:val="0"/>
        <w:keepLines w:val="0"/>
        <w:widowControl/>
        <w:suppressLineNumbers w:val="0"/>
        <w:spacing w:before="0" w:beforeAutospacing="0" w:after="0" w:afterAutospacing="0" w:line="240" w:lineRule="auto"/>
        <w:ind w:left="0"/>
        <w:jc w:val="both"/>
        <w:rPr>
          <w:rFonts w:hint="eastAsia" w:ascii="宋体" w:hAnsi="宋体" w:eastAsia="宋体" w:cs="宋体"/>
          <w:color w:val="auto"/>
          <w:sz w:val="21"/>
          <w:szCs w:val="21"/>
        </w:rPr>
      </w:pPr>
      <w:r>
        <w:rPr>
          <w:rFonts w:hint="eastAsia" w:ascii="宋体" w:hAnsi="宋体" w:eastAsia="宋体" w:cs="宋体"/>
          <w:b/>
          <w:bCs/>
          <w:i w:val="0"/>
          <w:iCs w:val="0"/>
          <w:color w:val="auto"/>
          <w:spacing w:val="0"/>
          <w:w w:val="100"/>
          <w:sz w:val="21"/>
          <w:szCs w:val="21"/>
          <w:vertAlign w:val="baseline"/>
        </w:rPr>
        <w:t>附件15</w:t>
      </w:r>
    </w:p>
    <w:p>
      <w:pPr>
        <w:pStyle w:val="18"/>
        <w:keepNext w:val="0"/>
        <w:keepLines w:val="0"/>
        <w:widowControl/>
        <w:suppressLineNumbers w:val="0"/>
        <w:spacing w:before="0" w:beforeAutospacing="0" w:after="0" w:afterAutospacing="0" w:line="240" w:lineRule="auto"/>
        <w:ind w:left="0" w:right="0" w:firstLine="105"/>
        <w:jc w:val="center"/>
        <w:rPr>
          <w:rFonts w:hint="eastAsia" w:ascii="宋体" w:hAnsi="宋体" w:eastAsia="宋体" w:cs="宋体"/>
          <w:color w:val="auto"/>
          <w:sz w:val="32"/>
          <w:szCs w:val="32"/>
        </w:rPr>
      </w:pPr>
      <w:r>
        <w:rPr>
          <w:rFonts w:hint="eastAsia" w:ascii="宋体" w:hAnsi="宋体" w:eastAsia="宋体" w:cs="宋体"/>
          <w:b/>
          <w:bCs/>
          <w:i w:val="0"/>
          <w:iCs w:val="0"/>
          <w:color w:val="auto"/>
          <w:spacing w:val="0"/>
          <w:w w:val="100"/>
          <w:sz w:val="32"/>
          <w:szCs w:val="32"/>
          <w:vertAlign w:val="baseline"/>
        </w:rPr>
        <w:t>监理单位处罚规定制度</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b w:val="0"/>
          <w:bCs w:val="0"/>
          <w:i w:val="0"/>
          <w:iCs w:val="0"/>
          <w:color w:val="auto"/>
          <w:spacing w:val="0"/>
          <w:w w:val="100"/>
          <w:sz w:val="21"/>
          <w:szCs w:val="21"/>
          <w:vertAlign w:val="baseline"/>
        </w:rPr>
      </w:pP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1、监理人员工作期间无故离岗、迟到、早退、酗酒，且未向委托人主管及以上管理人员请假的，一经发现扣减监理员监理费用100元/次；专业监理工程师扣减监理费用200元/次；总监理工程师监理费用300元/次。</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2、监理人员未获委托人主管及以上管理人员批准就离开工地现场，或每月请假天数超过合同规定天数（5天）的，将按每天200元对监理单位处以违约金，并在工程款中扣除。</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3、监理工程师故意刁难施工单位，现场拖延验收，一经发现违反规定，罚款500元/次。应由监理人审核、审批的资料积压时间过长而无合理理由的，由委托人责令监理人限期完成；在限期内未完成的，罚款500元/次，对违规人员责令调离或追究法律责任。</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4、积极审核各专业施工方案，使之符合规范及标准强制性条文的规定，并监督施工单位按批准的方案施工，发现问题应及时解决。出现严重审查错误的，未按照标准方案施工而不及时处理的，一次罚款500元。</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5、材料进场验收手续齐全，做好见证取样、监理抽检工作，质量证明资料与实物核验符合设计及规范要求。由于发现不及时或发现未经批准的材料使用监理不采取措施制止的，未做好见证取样工作的，罚款500元/次。</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6、施工中存在质量问题，能够及时发现并进行处理，及时安排处理并复查，重大质量问题不得隐瞒并私自处理，否则发现罚款500元/处。</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7、严格执行质量过程控制措施，在过程控制及工程验收时，要按工程管理规定督促施工单位按100%进行实体实测实量，监理人按30%复测，委托人对监理、施工单位数据各复核15%，监理人应对测量结果负责，委托人对实测数据进行抽查，如发现未测或造假，发现一次处罚500元并责令整改。</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8、为了配合施工单位按计划完成施工任务，在施工过程中，监理工程师应加强过程检查、主动发现问题并敢于指出，对施工过程中明显违反施工规范、与图纸不符、有严重错误的问题，应及时指出，要求施工单位整改，必要时对有关问题签发《监理通知单》，以减少工序验收时大量的返工；不符合以上规定的罚款500元/次。施工单位逾期未回复关闭的《监理通知单》，监理单位未采取任何措施进一步追究施工单位的，对监理单位处罚200元~2000元/次。</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9、监理工程师在施工阶段实施监理时，应在施工现场对关键部位和关键工序的施工质量实施全过程跟班旁站监督，建设单位抽查发现旁站不到位，罚款500元/次。</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10、监理人应严格工序报验制度，对施工单位报验的工序，监理工程师首先检查施工方自检资料，齐全后再进行工序验收；凡关键部位或工序未履行签字验收程序就进行下道施工的发现一次处罚200元。</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11、监理人参加施工单位申请的停止点检查验收工作，若委托人在停止点验收或随机抽查中发现监理人验收结果与现场实际不符、验收记录伪造等情况，发现一次处罚500元。</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12、经验收合格的工程，不得再有质量问题。不符合规定的罚款500元/次。</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13、监理例会纪要应在监理周例会后的24小时内下发，不及时传发例会纪要资料或不按时组织会议的一次处罚200元。</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14、做好日常安全监护及督促工作，所有人员应自觉遵守并严格执行安全文明管理制度，监理工程师对发现本指引5.11.4条情况，不按照要求提出整改直至制止的，对监理公司处罚300元/次。</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15、施工单位申报的工程施工资料，监理单位七天内无正当理由未签字确认的，发现一处（次）处罚300元。</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16、监理人应遵照合同现场管理规则执行，违者按合同条款处罚：</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1）、进入施工范围，监理人有下列违反施工安全管理守则行为之一者，监理人按下列标准向委托人支付违约金：</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①、在施工范围内吸烟的，按100.00元/人次支付违约金；</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②、穿拖鞋进入施工范围内的，按100.00元/人次支付违约金；</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③、未佩戴安全帽的，按50.00元/人次支付违约金；</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④、没有配戴有效工作证（工作证须加盖甲方项目部公章）的，按50.00元/人次支付违约金；</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⑤、蓄意破坏、盗窃施工范围内已完成产品的，按500.00元/人次支付违约金，除收取违约金外另赔偿所造成的损失，情节严重者，并送交公安机关处理。</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⑥、在施工范围内，打架斗殴、闹事的，按500.00元/人次支付违约金，一律送交公安机关处理并对监理单位负责人按法律规定进行处理。</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2）、工程施工中应严格遵守甲方项目部其他各项规章制度，监理人如有违反者，按200.00元/人次标准向委托人支付违约金。</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17、监理人在责任期内如果失职，则按以下办法承担责任：</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赔偿金=直接经济损失×20 %（扣除税金）</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18、因监理单位原因造成单位工程质量未达到施工合同约定质量标准，每出现一项扣减监理费用人民币5000元，以此类推。</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19、因监理服务不及时造成工期延误每天扣减监理费用人民币2000元。</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20、因监理责任造成的工程质量返工，按返工损失的50%扣减监理费用。</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21、如监理工程师与施工单位串通弄虚作假，降低工程质量，将不合格材料按照合格签字的，给委托人造成损失。视其情节轻重，扣减监理费用5000元—50000元，并终止合同，追究监理单位法律责任。</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22、若是监理工程师与施工单位串通弄虚作假，签发不实的经济和工期签证，给委托人造成损失。视其情节轻重，扣减监理费用10000元—100000元，并终止合同，追究监理单位法律责任。</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23、监理人每逾期一天完成监理工作的，应当向建设单位支付总监理费千分之一的违约金，逾期5天以上的，委托人有权解除合同，并要求监理人支付合同总金额20﹪的违约金。</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24、委托人通知监理人提供监理咨询意见时，监理人拒绝的，每拒绝一次，委托人扣除监理人2000元监理费，监理人累计拒绝3次以上的，委托人可解除合同，且委托人有权按监理人拒绝提供监理服务的次数扣除监理人的监理费，不足扣除的，委托人有权向监理人另行追偿。</w:t>
      </w:r>
    </w:p>
    <w:p>
      <w:pPr>
        <w:pStyle w:val="18"/>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25、监理人未参加每季度管理中心组织的季度综合评估的，罚款1000元/次。</w:t>
      </w:r>
    </w:p>
    <w:p>
      <w:pPr>
        <w:snapToGrid/>
        <w:spacing w:line="240" w:lineRule="auto"/>
        <w:rPr>
          <w:rFonts w:ascii="Times New Roman" w:hAnsi="Times New Roman" w:eastAsia="宋体" w:cs="Times New Roman"/>
          <w:color w:val="auto"/>
        </w:rPr>
      </w:pPr>
    </w:p>
    <w:p>
      <w:pPr>
        <w:snapToGrid w:val="0"/>
        <w:spacing w:before="0" w:after="0" w:line="360" w:lineRule="auto"/>
        <w:ind w:left="0" w:right="0" w:firstLineChars="0"/>
        <w:jc w:val="both"/>
        <w:rPr>
          <w:rFonts w:ascii="Times New Roman" w:hAnsi="Times New Roman" w:eastAsia="宋体" w:cs="Times New Roman"/>
          <w:color w:val="auto"/>
        </w:rPr>
      </w:pPr>
    </w:p>
    <w:p>
      <w:pPr>
        <w:ind w:right="1120"/>
        <w:jc w:val="center"/>
        <w:outlineLvl w:val="0"/>
        <w:rPr>
          <w:rFonts w:ascii="宋体" w:hAnsi="宋体" w:cs="黑体"/>
          <w:color w:val="auto"/>
          <w:sz w:val="44"/>
          <w:szCs w:val="44"/>
          <w:lang w:val="zh-CN"/>
        </w:rPr>
      </w:pPr>
      <w:r>
        <w:rPr>
          <w:rFonts w:ascii="宋体" w:hAnsi="宋体" w:cs="宋体"/>
          <w:b/>
          <w:bCs/>
          <w:color w:val="auto"/>
          <w:kern w:val="0"/>
          <w:sz w:val="24"/>
          <w:lang w:val="zh-CN"/>
          <w14:shadow w14:blurRad="50800" w14:dist="38100" w14:dir="2700000" w14:sx="100000" w14:sy="100000" w14:kx="0" w14:ky="0" w14:algn="tl">
            <w14:srgbClr w14:val="000000">
              <w14:alpha w14:val="60000"/>
            </w14:srgbClr>
          </w14:shadow>
        </w:rPr>
        <w:br w:type="page"/>
      </w:r>
      <w:bookmarkStart w:id="8" w:name="_Toc3565"/>
      <w:r>
        <w:rPr>
          <w:rFonts w:hint="eastAsia" w:ascii="宋体" w:hAnsi="宋体" w:cs="黑体"/>
          <w:color w:val="auto"/>
          <w:sz w:val="44"/>
          <w:szCs w:val="44"/>
          <w:lang w:val="zh-CN"/>
        </w:rPr>
        <w:t>第四章</w:t>
      </w:r>
      <w:r>
        <w:rPr>
          <w:rFonts w:ascii="宋体" w:hAnsi="宋体" w:cs="黑体"/>
          <w:color w:val="auto"/>
          <w:sz w:val="44"/>
          <w:szCs w:val="44"/>
          <w:lang w:val="zh-CN"/>
        </w:rPr>
        <w:t xml:space="preserve"> </w:t>
      </w:r>
      <w:r>
        <w:rPr>
          <w:rFonts w:hint="eastAsia" w:ascii="宋体" w:hAnsi="宋体" w:cs="黑体"/>
          <w:color w:val="auto"/>
          <w:sz w:val="44"/>
          <w:szCs w:val="44"/>
          <w:lang w:val="zh-CN"/>
        </w:rPr>
        <w:t>投标文件格式</w:t>
      </w:r>
      <w:bookmarkEnd w:id="8"/>
    </w:p>
    <w:p>
      <w:pPr>
        <w:autoSpaceDE w:val="0"/>
        <w:autoSpaceDN w:val="0"/>
        <w:adjustRightInd w:val="0"/>
        <w:spacing w:after="120"/>
        <w:jc w:val="center"/>
        <w:rPr>
          <w:rFonts w:ascii="宋体" w:hAnsi="宋体" w:cs="黑体"/>
          <w:color w:val="auto"/>
          <w:sz w:val="28"/>
          <w:szCs w:val="28"/>
          <w:lang w:val="zh-CN"/>
        </w:rPr>
      </w:pPr>
      <w:r>
        <w:rPr>
          <w:rFonts w:hint="eastAsia" w:ascii="宋体" w:hAnsi="宋体" w:cs="黑体"/>
          <w:color w:val="auto"/>
          <w:sz w:val="28"/>
          <w:szCs w:val="28"/>
          <w:lang w:val="zh-CN"/>
        </w:rPr>
        <w:t>（招标文件只提供部分格式供投标人参考，其他格式由投标人自行编制）</w:t>
      </w:r>
    </w:p>
    <w:p>
      <w:pPr>
        <w:rPr>
          <w:rFonts w:ascii="宋体" w:hAnsi="宋体"/>
          <w:color w:val="auto"/>
        </w:rPr>
      </w:pPr>
      <w:bookmarkStart w:id="9" w:name="_Toc358192062"/>
      <w:bookmarkStart w:id="10" w:name="_Toc22728"/>
      <w:bookmarkStart w:id="11" w:name="_Toc18963"/>
      <w:bookmarkStart w:id="12" w:name="_Toc29445"/>
      <w:bookmarkStart w:id="13" w:name="_Toc30039"/>
      <w:r>
        <w:rPr>
          <w:rFonts w:hint="eastAsia" w:ascii="宋体" w:hAnsi="宋体"/>
          <w:color w:val="auto"/>
        </w:rPr>
        <w:br w:type="page"/>
      </w:r>
    </w:p>
    <w:bookmarkEnd w:id="9"/>
    <w:bookmarkEnd w:id="10"/>
    <w:bookmarkEnd w:id="11"/>
    <w:bookmarkEnd w:id="12"/>
    <w:bookmarkEnd w:id="13"/>
    <w:p>
      <w:pPr>
        <w:pStyle w:val="9"/>
        <w:jc w:val="center"/>
        <w:outlineLvl w:val="1"/>
        <w:rPr>
          <w:rFonts w:ascii="宋体" w:hAnsi="宋体"/>
          <w:color w:val="auto"/>
          <w:sz w:val="32"/>
          <w:szCs w:val="32"/>
        </w:rPr>
      </w:pPr>
      <w:r>
        <w:rPr>
          <w:rFonts w:hint="eastAsia" w:ascii="宋体" w:hAnsi="宋体"/>
          <w:color w:val="auto"/>
          <w:sz w:val="32"/>
          <w:szCs w:val="32"/>
        </w:rPr>
        <w:t>标书封面</w:t>
      </w:r>
    </w:p>
    <w:p>
      <w:pPr>
        <w:pStyle w:val="9"/>
        <w:jc w:val="right"/>
        <w:rPr>
          <w:rFonts w:ascii="宋体" w:hAnsi="宋体"/>
          <w:color w:val="auto"/>
          <w:spacing w:val="120"/>
          <w:sz w:val="32"/>
          <w:szCs w:val="32"/>
        </w:rPr>
      </w:pPr>
      <w:r>
        <w:rPr>
          <w:rFonts w:hint="eastAsia" w:ascii="宋体" w:hAnsi="宋体"/>
          <w:color w:val="auto"/>
          <w:sz w:val="32"/>
          <w:szCs w:val="32"/>
        </w:rPr>
        <w:t>（正本/副本)</w:t>
      </w:r>
    </w:p>
    <w:p>
      <w:pPr>
        <w:pStyle w:val="9"/>
        <w:spacing w:line="500" w:lineRule="exact"/>
        <w:jc w:val="center"/>
        <w:rPr>
          <w:rFonts w:ascii="宋体" w:hAnsi="宋体"/>
          <w:color w:val="auto"/>
          <w:sz w:val="48"/>
        </w:rPr>
      </w:pPr>
    </w:p>
    <w:p>
      <w:pPr>
        <w:spacing w:line="360" w:lineRule="auto"/>
        <w:ind w:left="6000" w:hanging="6000" w:hangingChars="1250"/>
        <w:jc w:val="left"/>
        <w:rPr>
          <w:rFonts w:ascii="黑体" w:eastAsia="黑体"/>
          <w:color w:val="auto"/>
          <w:sz w:val="28"/>
          <w:szCs w:val="28"/>
          <w:u w:val="single"/>
        </w:rPr>
      </w:pPr>
      <w:r>
        <w:rPr>
          <w:rFonts w:hint="eastAsia" w:ascii="黑体" w:eastAsia="黑体"/>
          <w:color w:val="auto"/>
          <w:sz w:val="48"/>
          <w:szCs w:val="72"/>
          <w:u w:val="single"/>
        </w:rPr>
        <w:t xml:space="preserve">                           </w:t>
      </w:r>
      <w:r>
        <w:rPr>
          <w:rFonts w:hint="eastAsia" w:ascii="仿宋_GB2312" w:eastAsia="仿宋_GB2312"/>
          <w:color w:val="auto"/>
          <w:sz w:val="40"/>
          <w:szCs w:val="72"/>
        </w:rPr>
        <w:t>（项目名称）</w:t>
      </w:r>
      <w:r>
        <w:rPr>
          <w:rFonts w:hint="eastAsia" w:ascii="宋体" w:hAnsi="宋体"/>
          <w:color w:val="auto"/>
          <w:sz w:val="22"/>
          <w:szCs w:val="28"/>
        </w:rPr>
        <w:t xml:space="preserve"> </w:t>
      </w:r>
      <w:r>
        <w:rPr>
          <w:rFonts w:hint="eastAsia" w:ascii="仿宋_GB2312" w:eastAsia="仿宋_GB2312"/>
          <w:color w:val="auto"/>
          <w:sz w:val="40"/>
          <w:szCs w:val="72"/>
        </w:rPr>
        <w:t xml:space="preserve"> </w:t>
      </w:r>
    </w:p>
    <w:p>
      <w:pPr>
        <w:ind w:left="3360" w:hanging="3360" w:hangingChars="700"/>
        <w:jc w:val="center"/>
        <w:rPr>
          <w:rStyle w:val="27"/>
          <w:rFonts w:ascii="黑体" w:eastAsia="黑体"/>
          <w:color w:val="auto"/>
          <w:sz w:val="48"/>
          <w:szCs w:val="72"/>
          <w:u w:val="single"/>
        </w:rPr>
      </w:pPr>
      <w:r>
        <w:rPr>
          <w:rFonts w:hint="eastAsia" w:ascii="黑体" w:eastAsia="黑体"/>
          <w:color w:val="auto"/>
          <w:sz w:val="48"/>
          <w:szCs w:val="72"/>
        </w:rPr>
        <w:t>工程监理</w:t>
      </w:r>
    </w:p>
    <w:p>
      <w:pPr>
        <w:pStyle w:val="9"/>
        <w:spacing w:line="500" w:lineRule="exact"/>
        <w:jc w:val="center"/>
        <w:rPr>
          <w:rFonts w:ascii="宋体" w:hAnsi="宋体"/>
          <w:b/>
          <w:bCs/>
          <w:color w:val="auto"/>
          <w:sz w:val="36"/>
        </w:rPr>
      </w:pPr>
    </w:p>
    <w:p>
      <w:pPr>
        <w:pStyle w:val="9"/>
        <w:spacing w:line="500" w:lineRule="exact"/>
        <w:jc w:val="center"/>
        <w:rPr>
          <w:rFonts w:ascii="宋体" w:hAnsi="宋体"/>
          <w:color w:val="auto"/>
        </w:rPr>
      </w:pPr>
    </w:p>
    <w:p>
      <w:pPr>
        <w:pStyle w:val="9"/>
        <w:spacing w:line="700" w:lineRule="exact"/>
        <w:jc w:val="center"/>
        <w:rPr>
          <w:rFonts w:ascii="宋体" w:hAnsi="宋体"/>
          <w:color w:val="auto"/>
        </w:rPr>
      </w:pPr>
    </w:p>
    <w:p>
      <w:pPr>
        <w:pStyle w:val="9"/>
        <w:spacing w:line="700" w:lineRule="exact"/>
        <w:jc w:val="center"/>
        <w:rPr>
          <w:rFonts w:ascii="宋体" w:hAnsi="宋体"/>
          <w:b/>
          <w:color w:val="auto"/>
          <w:sz w:val="72"/>
        </w:rPr>
      </w:pPr>
      <w:r>
        <w:rPr>
          <w:rFonts w:hint="eastAsia" w:ascii="宋体" w:hAnsi="宋体"/>
          <w:b/>
          <w:color w:val="auto"/>
          <w:sz w:val="72"/>
        </w:rPr>
        <w:t>投 标 文 件</w:t>
      </w:r>
    </w:p>
    <w:p>
      <w:pPr>
        <w:pStyle w:val="9"/>
        <w:spacing w:line="500" w:lineRule="exact"/>
        <w:jc w:val="center"/>
        <w:rPr>
          <w:rFonts w:ascii="宋体" w:hAnsi="宋体"/>
          <w:b/>
          <w:color w:val="auto"/>
          <w:sz w:val="36"/>
        </w:rPr>
      </w:pPr>
    </w:p>
    <w:p>
      <w:pPr>
        <w:pStyle w:val="9"/>
        <w:spacing w:line="500" w:lineRule="exact"/>
        <w:ind w:firstLine="2520" w:firstLineChars="900"/>
        <w:rPr>
          <w:rFonts w:ascii="宋体" w:hAnsi="宋体"/>
          <w:b/>
          <w:color w:val="auto"/>
          <w:sz w:val="28"/>
        </w:rPr>
      </w:pPr>
      <w:r>
        <w:rPr>
          <w:rFonts w:hint="eastAsia" w:ascii="宋体" w:hAnsi="宋体"/>
          <w:color w:val="auto"/>
          <w:sz w:val="28"/>
        </w:rPr>
        <w:t xml:space="preserve"> </w:t>
      </w:r>
    </w:p>
    <w:p>
      <w:pPr>
        <w:pStyle w:val="9"/>
        <w:spacing w:line="500" w:lineRule="exact"/>
        <w:rPr>
          <w:rFonts w:ascii="宋体" w:hAnsi="宋体"/>
          <w:b/>
          <w:color w:val="auto"/>
          <w:sz w:val="30"/>
        </w:rPr>
      </w:pPr>
    </w:p>
    <w:p>
      <w:pPr>
        <w:spacing w:line="500" w:lineRule="exact"/>
        <w:rPr>
          <w:rFonts w:ascii="宋体" w:hAnsi="宋体"/>
          <w:b/>
          <w:color w:val="auto"/>
          <w:sz w:val="32"/>
        </w:rPr>
      </w:pPr>
    </w:p>
    <w:p>
      <w:pPr>
        <w:spacing w:line="600" w:lineRule="exact"/>
        <w:ind w:firstLine="560" w:firstLineChars="200"/>
        <w:rPr>
          <w:rFonts w:ascii="宋体" w:hAnsi="宋体"/>
          <w:bCs/>
          <w:color w:val="auto"/>
          <w:sz w:val="28"/>
        </w:rPr>
      </w:pPr>
      <w:r>
        <w:rPr>
          <w:rFonts w:hint="eastAsia" w:ascii="宋体" w:hAnsi="宋体"/>
          <w:bCs/>
          <w:color w:val="auto"/>
          <w:sz w:val="28"/>
        </w:rPr>
        <w:t>项目名称：</w:t>
      </w:r>
      <w:r>
        <w:rPr>
          <w:rFonts w:hint="eastAsia" w:ascii="宋体" w:hAnsi="宋体"/>
          <w:bCs/>
          <w:color w:val="auto"/>
          <w:sz w:val="28"/>
          <w:u w:val="single"/>
        </w:rPr>
        <w:t xml:space="preserve">                              　　         </w:t>
      </w:r>
    </w:p>
    <w:p>
      <w:pPr>
        <w:spacing w:line="600" w:lineRule="exact"/>
        <w:ind w:firstLine="560" w:firstLineChars="200"/>
        <w:rPr>
          <w:rFonts w:ascii="宋体" w:hAnsi="宋体"/>
          <w:bCs/>
          <w:color w:val="auto"/>
          <w:sz w:val="28"/>
          <w:u w:val="single"/>
        </w:rPr>
      </w:pPr>
      <w:r>
        <w:rPr>
          <w:rFonts w:hint="eastAsia" w:ascii="宋体" w:hAnsi="宋体"/>
          <w:bCs/>
          <w:color w:val="auto"/>
          <w:sz w:val="28"/>
        </w:rPr>
        <w:t>投标人：</w:t>
      </w:r>
      <w:r>
        <w:rPr>
          <w:rFonts w:hint="eastAsia" w:ascii="宋体" w:hAnsi="宋体"/>
          <w:bCs/>
          <w:color w:val="auto"/>
          <w:sz w:val="28"/>
          <w:u w:val="single"/>
        </w:rPr>
        <w:t xml:space="preserve">                          　         （盖章）</w:t>
      </w:r>
    </w:p>
    <w:p>
      <w:pPr>
        <w:spacing w:line="600" w:lineRule="exact"/>
        <w:ind w:firstLine="560" w:firstLineChars="200"/>
        <w:rPr>
          <w:rFonts w:ascii="宋体" w:hAnsi="宋体"/>
          <w:bCs/>
          <w:color w:val="auto"/>
          <w:sz w:val="28"/>
          <w:u w:val="single"/>
        </w:rPr>
      </w:pPr>
      <w:r>
        <w:rPr>
          <w:rFonts w:hint="eastAsia" w:ascii="宋体" w:hAnsi="宋体"/>
          <w:bCs/>
          <w:color w:val="auto"/>
          <w:sz w:val="28"/>
        </w:rPr>
        <w:t xml:space="preserve">法定代表人或其委托代理人： </w:t>
      </w:r>
      <w:r>
        <w:rPr>
          <w:rFonts w:hint="eastAsia" w:ascii="宋体" w:hAnsi="宋体"/>
          <w:bCs/>
          <w:color w:val="auto"/>
          <w:sz w:val="28"/>
          <w:u w:val="single"/>
        </w:rPr>
        <w:t xml:space="preserve">           （签字或盖章） </w:t>
      </w:r>
    </w:p>
    <w:p>
      <w:pPr>
        <w:spacing w:line="600" w:lineRule="exact"/>
        <w:ind w:firstLine="560" w:firstLineChars="200"/>
        <w:rPr>
          <w:rFonts w:ascii="宋体" w:hAnsi="宋体"/>
          <w:bCs/>
          <w:color w:val="auto"/>
          <w:sz w:val="28"/>
          <w:u w:val="single"/>
        </w:rPr>
      </w:pPr>
      <w:r>
        <w:rPr>
          <w:rFonts w:hint="eastAsia" w:ascii="宋体" w:hAnsi="宋体"/>
          <w:bCs/>
          <w:color w:val="auto"/>
          <w:sz w:val="28"/>
        </w:rPr>
        <w:t>项目总监理工程师：</w:t>
      </w:r>
      <w:r>
        <w:rPr>
          <w:rFonts w:hint="eastAsia" w:ascii="宋体" w:hAnsi="宋体"/>
          <w:bCs/>
          <w:color w:val="auto"/>
          <w:sz w:val="28"/>
          <w:u w:val="single"/>
        </w:rPr>
        <w:t xml:space="preserve">                        （签字）</w:t>
      </w:r>
    </w:p>
    <w:p>
      <w:pPr>
        <w:spacing w:line="600" w:lineRule="exact"/>
        <w:ind w:firstLine="560" w:firstLineChars="200"/>
        <w:rPr>
          <w:rFonts w:ascii="宋体" w:hAnsi="宋体"/>
          <w:bCs/>
          <w:color w:val="auto"/>
          <w:sz w:val="28"/>
          <w:u w:val="single"/>
        </w:rPr>
      </w:pPr>
      <w:r>
        <w:rPr>
          <w:rFonts w:hint="eastAsia" w:ascii="宋体" w:hAnsi="宋体"/>
          <w:bCs/>
          <w:color w:val="auto"/>
          <w:sz w:val="28"/>
          <w:lang w:val="en-US" w:eastAsia="zh-CN"/>
        </w:rPr>
        <w:t>技术负责人</w:t>
      </w:r>
      <w:r>
        <w:rPr>
          <w:rFonts w:hint="eastAsia" w:ascii="宋体" w:hAnsi="宋体"/>
          <w:bCs/>
          <w:color w:val="auto"/>
          <w:sz w:val="28"/>
        </w:rPr>
        <w:t>：</w:t>
      </w:r>
      <w:r>
        <w:rPr>
          <w:rFonts w:hint="eastAsia" w:ascii="宋体" w:hAnsi="宋体"/>
          <w:bCs/>
          <w:color w:val="auto"/>
          <w:sz w:val="28"/>
          <w:u w:val="single"/>
        </w:rPr>
        <w:t xml:space="preserve">                        （签字）</w:t>
      </w:r>
    </w:p>
    <w:p>
      <w:pPr>
        <w:spacing w:line="600" w:lineRule="exact"/>
        <w:ind w:firstLine="560" w:firstLineChars="200"/>
        <w:rPr>
          <w:rFonts w:ascii="宋体" w:hAnsi="宋体"/>
          <w:bCs/>
          <w:color w:val="auto"/>
          <w:sz w:val="28"/>
        </w:rPr>
      </w:pPr>
    </w:p>
    <w:p>
      <w:pPr>
        <w:spacing w:line="500" w:lineRule="exact"/>
        <w:ind w:firstLine="560" w:firstLineChars="200"/>
        <w:rPr>
          <w:rFonts w:ascii="宋体" w:hAnsi="宋体"/>
          <w:bCs/>
          <w:color w:val="auto"/>
          <w:sz w:val="28"/>
        </w:rPr>
      </w:pPr>
      <w:bookmarkStart w:id="14" w:name="_Toc311896660"/>
      <w:r>
        <w:rPr>
          <w:rFonts w:hint="eastAsia" w:ascii="宋体" w:hAnsi="宋体"/>
          <w:bCs/>
          <w:color w:val="auto"/>
          <w:sz w:val="28"/>
        </w:rPr>
        <w:t>日    期：</w:t>
      </w:r>
      <w:r>
        <w:rPr>
          <w:rFonts w:hint="eastAsia" w:ascii="宋体" w:hAnsi="宋体"/>
          <w:bCs/>
          <w:color w:val="auto"/>
          <w:sz w:val="28"/>
          <w:u w:val="single"/>
        </w:rPr>
        <w:t xml:space="preserve">        </w:t>
      </w:r>
      <w:r>
        <w:rPr>
          <w:rFonts w:hint="eastAsia" w:ascii="宋体" w:hAnsi="宋体"/>
          <w:bCs/>
          <w:color w:val="auto"/>
          <w:sz w:val="28"/>
        </w:rPr>
        <w:t>年</w:t>
      </w:r>
      <w:r>
        <w:rPr>
          <w:rFonts w:hint="eastAsia" w:ascii="宋体" w:hAnsi="宋体"/>
          <w:bCs/>
          <w:color w:val="auto"/>
          <w:sz w:val="28"/>
          <w:u w:val="single"/>
        </w:rPr>
        <w:t xml:space="preserve">      </w:t>
      </w:r>
      <w:r>
        <w:rPr>
          <w:rFonts w:hint="eastAsia" w:ascii="宋体" w:hAnsi="宋体"/>
          <w:bCs/>
          <w:color w:val="auto"/>
          <w:sz w:val="28"/>
        </w:rPr>
        <w:t>月</w:t>
      </w:r>
      <w:r>
        <w:rPr>
          <w:rFonts w:hint="eastAsia" w:ascii="宋体" w:hAnsi="宋体"/>
          <w:bCs/>
          <w:color w:val="auto"/>
          <w:sz w:val="28"/>
          <w:u w:val="single"/>
        </w:rPr>
        <w:t xml:space="preserve">      </w:t>
      </w:r>
      <w:r>
        <w:rPr>
          <w:rFonts w:hint="eastAsia" w:ascii="宋体" w:hAnsi="宋体"/>
          <w:bCs/>
          <w:color w:val="auto"/>
          <w:sz w:val="28"/>
        </w:rPr>
        <w:t>日</w:t>
      </w:r>
      <w:bookmarkEnd w:id="14"/>
      <w:bookmarkStart w:id="15" w:name="_Toc247606241"/>
      <w:bookmarkStart w:id="16" w:name="_Toc311896661"/>
    </w:p>
    <w:p>
      <w:pPr>
        <w:widowControl/>
        <w:jc w:val="left"/>
        <w:rPr>
          <w:rFonts w:ascii="宋体" w:hAnsi="宋体"/>
          <w:b/>
          <w:color w:val="auto"/>
          <w:sz w:val="32"/>
        </w:rPr>
      </w:pPr>
      <w:r>
        <w:rPr>
          <w:rFonts w:ascii="宋体" w:hAnsi="宋体"/>
          <w:bCs/>
          <w:color w:val="auto"/>
          <w:sz w:val="28"/>
        </w:rPr>
        <w:br w:type="page"/>
      </w:r>
    </w:p>
    <w:p>
      <w:pPr>
        <w:spacing w:line="500" w:lineRule="exact"/>
        <w:jc w:val="center"/>
        <w:outlineLvl w:val="1"/>
        <w:rPr>
          <w:rFonts w:ascii="宋体" w:hAnsi="宋体"/>
          <w:b/>
          <w:color w:val="auto"/>
          <w:sz w:val="32"/>
          <w:szCs w:val="32"/>
        </w:rPr>
      </w:pPr>
      <w:r>
        <w:rPr>
          <w:rFonts w:hint="eastAsia" w:ascii="宋体" w:hAnsi="宋体"/>
          <w:b/>
          <w:bCs/>
          <w:color w:val="auto"/>
          <w:sz w:val="32"/>
        </w:rPr>
        <w:t>一、</w:t>
      </w:r>
      <w:bookmarkStart w:id="17" w:name="_Toc311896663"/>
      <w:bookmarkStart w:id="18" w:name="_Toc247606243"/>
      <w:r>
        <w:rPr>
          <w:rFonts w:hint="eastAsia" w:ascii="宋体" w:hAnsi="宋体"/>
          <w:b/>
          <w:color w:val="auto"/>
          <w:sz w:val="32"/>
          <w:szCs w:val="32"/>
        </w:rPr>
        <w:t>投 标 函</w:t>
      </w:r>
      <w:bookmarkEnd w:id="17"/>
      <w:bookmarkEnd w:id="18"/>
    </w:p>
    <w:p>
      <w:pPr>
        <w:spacing w:line="500" w:lineRule="exact"/>
        <w:jc w:val="center"/>
        <w:rPr>
          <w:rFonts w:ascii="宋体" w:hAnsi="宋体"/>
          <w:b/>
          <w:color w:val="auto"/>
          <w:sz w:val="32"/>
        </w:rPr>
      </w:pPr>
    </w:p>
    <w:p>
      <w:pPr>
        <w:spacing w:line="500" w:lineRule="exact"/>
        <w:rPr>
          <w:rFonts w:ascii="宋体" w:hAnsi="宋体"/>
          <w:color w:val="auto"/>
          <w:sz w:val="24"/>
        </w:rPr>
      </w:pPr>
      <w:r>
        <w:rPr>
          <w:rFonts w:hint="eastAsia" w:ascii="宋体" w:hAnsi="宋体"/>
          <w:color w:val="auto"/>
          <w:sz w:val="24"/>
        </w:rPr>
        <w:t>致：</w:t>
      </w:r>
      <w:r>
        <w:rPr>
          <w:rFonts w:ascii="宋体" w:hAnsi="宋体"/>
          <w:color w:val="auto"/>
          <w:sz w:val="24"/>
          <w:u w:val="single"/>
        </w:rPr>
        <w:t xml:space="preserve">  </w:t>
      </w:r>
      <w:r>
        <w:rPr>
          <w:rFonts w:hint="eastAsia" w:ascii="宋体" w:hAnsi="宋体"/>
          <w:color w:val="auto"/>
          <w:sz w:val="24"/>
          <w:u w:val="single"/>
        </w:rPr>
        <w:t>台山市大湾物流园开发有限公司</w:t>
      </w:r>
      <w:r>
        <w:rPr>
          <w:rFonts w:ascii="宋体" w:hAnsi="宋体"/>
          <w:color w:val="auto"/>
          <w:sz w:val="24"/>
          <w:u w:val="single"/>
        </w:rPr>
        <w:t xml:space="preserve"> </w:t>
      </w:r>
      <w:r>
        <w:rPr>
          <w:rFonts w:hint="eastAsia" w:ascii="宋体" w:hAnsi="宋体"/>
          <w:color w:val="auto"/>
          <w:sz w:val="24"/>
          <w:u w:val="single"/>
        </w:rPr>
        <w:t>（招标人）</w:t>
      </w:r>
    </w:p>
    <w:p>
      <w:pPr>
        <w:spacing w:line="500" w:lineRule="exact"/>
        <w:ind w:firstLine="480" w:firstLineChars="200"/>
        <w:rPr>
          <w:rFonts w:ascii="宋体" w:hAnsi="宋体"/>
          <w:color w:val="auto"/>
          <w:sz w:val="24"/>
          <w:u w:val="single" w:color="000000"/>
        </w:rPr>
      </w:pPr>
      <w:r>
        <w:rPr>
          <w:rFonts w:ascii="宋体" w:hAnsi="宋体"/>
          <w:color w:val="auto"/>
          <w:sz w:val="24"/>
        </w:rPr>
        <w:t>1</w:t>
      </w:r>
      <w:r>
        <w:rPr>
          <w:rFonts w:hint="eastAsia" w:ascii="宋体" w:hAnsi="宋体"/>
          <w:color w:val="auto"/>
          <w:sz w:val="24"/>
        </w:rPr>
        <w:t>.根据你方提供的</w:t>
      </w:r>
      <w:r>
        <w:rPr>
          <w:rFonts w:ascii="宋体" w:hAnsi="宋体"/>
          <w:color w:val="auto"/>
          <w:sz w:val="24"/>
          <w:u w:val="single"/>
        </w:rPr>
        <w:t xml:space="preserve">  </w:t>
      </w:r>
      <w:r>
        <w:rPr>
          <w:rFonts w:hint="eastAsia" w:ascii="宋体" w:hAnsi="宋体"/>
          <w:color w:val="auto"/>
          <w:sz w:val="24"/>
          <w:u w:val="single"/>
        </w:rPr>
        <w:t>粤港澳大湾区(江门)农产品交易流通中心一期(启动区)冷链物流B-8/B-9地块项目监理服务（工程名称）</w:t>
      </w:r>
      <w:r>
        <w:rPr>
          <w:rFonts w:hint="eastAsia" w:ascii="宋体" w:hAnsi="宋体"/>
          <w:color w:val="auto"/>
          <w:sz w:val="24"/>
        </w:rPr>
        <w:t>工程监理招标文件，遵照《中华人民共和国招标投标法》等有关法律、法规和规章，经踏勘项目现场和研究了招标文件中所有事项、要求、条款、规定和规范后，我方愿以</w:t>
      </w:r>
      <w:r>
        <w:rPr>
          <w:rFonts w:hint="eastAsia" w:ascii="宋体" w:hAnsi="宋体"/>
          <w:b/>
          <w:bCs/>
          <w:color w:val="auto"/>
          <w:sz w:val="24"/>
        </w:rPr>
        <w:t>监理费下浮率为</w:t>
      </w:r>
      <w:r>
        <w:rPr>
          <w:rFonts w:hint="eastAsia" w:ascii="宋体" w:hAnsi="宋体"/>
          <w:b/>
          <w:bCs/>
          <w:color w:val="auto"/>
          <w:sz w:val="24"/>
          <w:u w:val="single"/>
        </w:rPr>
        <w:t xml:space="preserve">      (用文字和数字分别表示)</w:t>
      </w:r>
      <w:r>
        <w:rPr>
          <w:rFonts w:hint="eastAsia" w:ascii="宋体" w:hAnsi="宋体"/>
          <w:color w:val="auto"/>
          <w:sz w:val="24"/>
        </w:rPr>
        <w:t>的报价按招标文件规定的内容承担该工程的施工准备阶段、施工阶段和缺陷责任阶段的监理任务，严格执行投标期间所承诺的责任和义务。</w:t>
      </w:r>
    </w:p>
    <w:p>
      <w:pPr>
        <w:spacing w:line="500" w:lineRule="exact"/>
        <w:ind w:firstLine="480" w:firstLineChars="200"/>
        <w:rPr>
          <w:rFonts w:ascii="宋体" w:hAnsi="宋体"/>
          <w:color w:val="auto"/>
          <w:sz w:val="24"/>
        </w:rPr>
      </w:pPr>
      <w:r>
        <w:rPr>
          <w:rFonts w:ascii="宋体" w:hAnsi="宋体"/>
          <w:color w:val="auto"/>
          <w:sz w:val="24"/>
        </w:rPr>
        <w:t>2</w:t>
      </w:r>
      <w:r>
        <w:rPr>
          <w:rFonts w:hint="eastAsia" w:ascii="宋体" w:hAnsi="宋体"/>
          <w:color w:val="auto"/>
          <w:sz w:val="24"/>
        </w:rPr>
        <w:t>. 我方已详细审核全部招标文件，包括修改文件(如有)及有关附件。</w:t>
      </w:r>
    </w:p>
    <w:p>
      <w:pPr>
        <w:spacing w:line="500" w:lineRule="exact"/>
        <w:ind w:firstLine="480" w:firstLineChars="200"/>
        <w:rPr>
          <w:rFonts w:ascii="宋体" w:hAnsi="宋体"/>
          <w:color w:val="auto"/>
          <w:sz w:val="24"/>
        </w:rPr>
      </w:pPr>
      <w:r>
        <w:rPr>
          <w:rFonts w:ascii="宋体" w:hAnsi="宋体"/>
          <w:color w:val="auto"/>
          <w:sz w:val="24"/>
        </w:rPr>
        <w:t>3</w:t>
      </w:r>
      <w:r>
        <w:rPr>
          <w:rFonts w:hint="eastAsia" w:ascii="宋体" w:hAnsi="宋体"/>
          <w:color w:val="auto"/>
          <w:sz w:val="24"/>
        </w:rPr>
        <w:t xml:space="preserve">.一旦中标，我方保证按照招标文件的要求和与招标人签订的委托监理合同，成立工程项目监理部，按投标文件拟定的项目总监理工程师和专业监理工程师进驻施工现场实施监理合同。  </w:t>
      </w:r>
    </w:p>
    <w:p>
      <w:pPr>
        <w:spacing w:line="500" w:lineRule="exact"/>
        <w:ind w:firstLine="480" w:firstLineChars="200"/>
        <w:rPr>
          <w:rFonts w:ascii="宋体" w:hAnsi="宋体"/>
          <w:color w:val="auto"/>
          <w:sz w:val="24"/>
        </w:rPr>
      </w:pPr>
      <w:r>
        <w:rPr>
          <w:rFonts w:hint="eastAsia" w:ascii="宋体" w:hAnsi="宋体"/>
          <w:color w:val="auto"/>
          <w:sz w:val="24"/>
        </w:rPr>
        <w:t>4.我方同意所提交的投标文件规定的投标有效期内有效，在此期间内如果中标，我方将受此约束。</w:t>
      </w:r>
    </w:p>
    <w:p>
      <w:pPr>
        <w:spacing w:line="500" w:lineRule="exact"/>
        <w:ind w:firstLine="480" w:firstLineChars="200"/>
        <w:rPr>
          <w:rFonts w:ascii="宋体" w:hAnsi="宋体"/>
          <w:color w:val="auto"/>
          <w:sz w:val="24"/>
        </w:rPr>
      </w:pPr>
      <w:r>
        <w:rPr>
          <w:rFonts w:hint="eastAsia" w:ascii="宋体" w:hAnsi="宋体"/>
          <w:color w:val="auto"/>
          <w:sz w:val="24"/>
        </w:rPr>
        <w:t>5.除非另外达成协议并生效，你方的中标通知书和本投标文件将成为约束双方的合同文件的组成部分。</w:t>
      </w:r>
    </w:p>
    <w:p>
      <w:pPr>
        <w:spacing w:line="500" w:lineRule="exact"/>
        <w:ind w:firstLine="480" w:firstLineChars="200"/>
        <w:rPr>
          <w:rFonts w:ascii="宋体" w:hAnsi="宋体"/>
          <w:color w:val="auto"/>
          <w:sz w:val="24"/>
        </w:rPr>
      </w:pPr>
      <w:r>
        <w:rPr>
          <w:rFonts w:hint="eastAsia" w:ascii="宋体" w:hAnsi="宋体"/>
          <w:color w:val="auto"/>
          <w:sz w:val="24"/>
        </w:rPr>
        <w:t>6.我方将与本投标函一起，提交人民币</w:t>
      </w:r>
      <w:r>
        <w:rPr>
          <w:rFonts w:hint="eastAsia" w:ascii="宋体" w:hAnsi="宋体"/>
          <w:color w:val="auto"/>
          <w:sz w:val="24"/>
          <w:u w:val="single"/>
        </w:rPr>
        <w:t xml:space="preserve">   </w:t>
      </w:r>
      <w:r>
        <w:rPr>
          <w:rFonts w:hint="eastAsia" w:ascii="宋体" w:hAnsi="宋体"/>
          <w:color w:val="auto"/>
          <w:sz w:val="24"/>
          <w:u w:val="single"/>
          <w:lang w:val="en-US" w:eastAsia="zh-CN"/>
        </w:rPr>
        <w:t>5</w:t>
      </w:r>
      <w:r>
        <w:rPr>
          <w:rFonts w:hint="eastAsia" w:ascii="宋体" w:hAnsi="宋体"/>
          <w:color w:val="auto"/>
          <w:sz w:val="24"/>
          <w:u w:val="single"/>
        </w:rPr>
        <w:t xml:space="preserve">0,000.00  </w:t>
      </w:r>
      <w:r>
        <w:rPr>
          <w:rFonts w:hint="eastAsia" w:ascii="宋体" w:hAnsi="宋体"/>
          <w:color w:val="auto"/>
          <w:sz w:val="24"/>
        </w:rPr>
        <w:t>元的投标保证金。</w:t>
      </w:r>
    </w:p>
    <w:p>
      <w:pPr>
        <w:spacing w:line="500" w:lineRule="exact"/>
        <w:ind w:firstLine="480" w:firstLineChars="200"/>
        <w:rPr>
          <w:rFonts w:ascii="宋体" w:hAnsi="宋体"/>
          <w:color w:val="auto"/>
          <w:sz w:val="24"/>
        </w:rPr>
      </w:pPr>
      <w:r>
        <w:rPr>
          <w:rFonts w:hint="eastAsia" w:ascii="宋体" w:hAnsi="宋体"/>
          <w:color w:val="auto"/>
          <w:sz w:val="24"/>
        </w:rPr>
        <w:t>7.我方在此声明，所递交的投标文件及有关资料内容完整、真实和准确，且不存在第二章“投标人须知及前附表”中“投标人须知（正文部分）”第4.8项规定的任何一种情形。</w:t>
      </w:r>
    </w:p>
    <w:p>
      <w:pPr>
        <w:spacing w:line="500" w:lineRule="exact"/>
        <w:ind w:firstLine="240"/>
        <w:rPr>
          <w:rFonts w:ascii="宋体" w:hAnsi="宋体"/>
          <w:color w:val="auto"/>
          <w:sz w:val="24"/>
          <w:u w:val="single"/>
        </w:rPr>
      </w:pPr>
      <w:r>
        <w:rPr>
          <w:rFonts w:hint="eastAsia" w:ascii="宋体" w:hAnsi="宋体"/>
          <w:color w:val="auto"/>
          <w:sz w:val="24"/>
        </w:rPr>
        <w:t>投标人：</w:t>
      </w:r>
      <w:r>
        <w:rPr>
          <w:rFonts w:hint="eastAsia" w:ascii="宋体" w:hAnsi="宋体"/>
          <w:color w:val="auto"/>
          <w:sz w:val="24"/>
          <w:u w:val="single"/>
        </w:rPr>
        <w:t xml:space="preserve">                          （盖章） </w:t>
      </w:r>
    </w:p>
    <w:p>
      <w:pPr>
        <w:spacing w:line="500" w:lineRule="exact"/>
        <w:ind w:firstLine="240"/>
        <w:rPr>
          <w:rFonts w:ascii="宋体" w:hAnsi="宋体"/>
          <w:color w:val="auto"/>
          <w:sz w:val="24"/>
          <w:u w:val="single"/>
        </w:rPr>
      </w:pPr>
      <w:r>
        <w:rPr>
          <w:rFonts w:hint="eastAsia" w:ascii="宋体" w:hAnsi="宋体"/>
          <w:color w:val="auto"/>
          <w:sz w:val="24"/>
        </w:rPr>
        <w:t>法定代表人：</w:t>
      </w:r>
      <w:r>
        <w:rPr>
          <w:rFonts w:hint="eastAsia" w:ascii="宋体" w:hAnsi="宋体"/>
          <w:color w:val="auto"/>
          <w:sz w:val="24"/>
          <w:u w:val="single"/>
        </w:rPr>
        <w:t xml:space="preserve">                      （签字或盖章）</w:t>
      </w:r>
    </w:p>
    <w:p>
      <w:pPr>
        <w:spacing w:line="500" w:lineRule="exact"/>
        <w:ind w:firstLine="240"/>
        <w:rPr>
          <w:rFonts w:ascii="宋体" w:hAnsi="宋体"/>
          <w:color w:val="auto"/>
          <w:sz w:val="24"/>
          <w:u w:val="single"/>
        </w:rPr>
      </w:pPr>
      <w:r>
        <w:rPr>
          <w:rFonts w:hint="eastAsia" w:ascii="宋体" w:hAnsi="宋体"/>
          <w:color w:val="auto"/>
          <w:sz w:val="24"/>
        </w:rPr>
        <w:t>单位地址：</w:t>
      </w:r>
      <w:r>
        <w:rPr>
          <w:rFonts w:hint="eastAsia" w:ascii="宋体" w:hAnsi="宋体"/>
          <w:color w:val="auto"/>
          <w:sz w:val="24"/>
          <w:u w:val="single"/>
        </w:rPr>
        <w:t xml:space="preserve">                              </w:t>
      </w:r>
    </w:p>
    <w:p>
      <w:pPr>
        <w:spacing w:line="500" w:lineRule="exact"/>
        <w:ind w:firstLine="240"/>
        <w:rPr>
          <w:rFonts w:ascii="宋体" w:hAnsi="宋体"/>
          <w:color w:val="auto"/>
          <w:sz w:val="24"/>
          <w:u w:val="single"/>
        </w:rPr>
      </w:pPr>
      <w:r>
        <w:rPr>
          <w:rFonts w:hint="eastAsia" w:ascii="宋体" w:hAnsi="宋体"/>
          <w:color w:val="auto"/>
          <w:sz w:val="24"/>
        </w:rPr>
        <w:t>邮政编码：</w:t>
      </w:r>
      <w:r>
        <w:rPr>
          <w:rFonts w:hint="eastAsia" w:ascii="宋体" w:hAnsi="宋体"/>
          <w:color w:val="auto"/>
          <w:sz w:val="24"/>
          <w:u w:val="single"/>
        </w:rPr>
        <w:t xml:space="preserve">            </w:t>
      </w:r>
      <w:r>
        <w:rPr>
          <w:rFonts w:hint="eastAsia" w:ascii="宋体" w:hAnsi="宋体"/>
          <w:color w:val="auto"/>
          <w:sz w:val="24"/>
        </w:rPr>
        <w:t>电话：</w:t>
      </w:r>
      <w:r>
        <w:rPr>
          <w:rFonts w:hint="eastAsia" w:ascii="宋体" w:hAnsi="宋体"/>
          <w:color w:val="auto"/>
          <w:sz w:val="24"/>
          <w:u w:val="single"/>
        </w:rPr>
        <w:t xml:space="preserve">              </w:t>
      </w:r>
      <w:r>
        <w:rPr>
          <w:rFonts w:hint="eastAsia" w:ascii="宋体" w:hAnsi="宋体"/>
          <w:color w:val="auto"/>
          <w:sz w:val="24"/>
        </w:rPr>
        <w:t xml:space="preserve"> 传真：</w:t>
      </w:r>
      <w:r>
        <w:rPr>
          <w:rFonts w:hint="eastAsia" w:ascii="宋体" w:hAnsi="宋体"/>
          <w:color w:val="auto"/>
          <w:sz w:val="24"/>
          <w:u w:val="single"/>
        </w:rPr>
        <w:t xml:space="preserve">       　    </w:t>
      </w:r>
      <w:r>
        <w:rPr>
          <w:rFonts w:hint="eastAsia" w:ascii="宋体" w:hAnsi="宋体"/>
          <w:color w:val="auto"/>
          <w:sz w:val="24"/>
        </w:rPr>
        <w:t xml:space="preserve"> </w:t>
      </w:r>
    </w:p>
    <w:p>
      <w:pPr>
        <w:spacing w:line="500" w:lineRule="exact"/>
        <w:ind w:firstLine="240"/>
        <w:rPr>
          <w:rFonts w:ascii="宋体" w:hAnsi="宋体"/>
          <w:color w:val="auto"/>
          <w:sz w:val="24"/>
          <w:u w:val="single"/>
        </w:rPr>
      </w:pPr>
      <w:r>
        <w:rPr>
          <w:rFonts w:hint="eastAsia" w:ascii="宋体" w:hAnsi="宋体"/>
          <w:color w:val="auto"/>
          <w:sz w:val="24"/>
        </w:rPr>
        <w:t>开户银行名称：</w:t>
      </w:r>
      <w:r>
        <w:rPr>
          <w:rFonts w:hint="eastAsia" w:ascii="宋体" w:hAnsi="宋体"/>
          <w:color w:val="auto"/>
          <w:sz w:val="24"/>
          <w:u w:val="single"/>
        </w:rPr>
        <w:t xml:space="preserve">                                                </w:t>
      </w:r>
    </w:p>
    <w:p>
      <w:pPr>
        <w:spacing w:line="500" w:lineRule="exact"/>
        <w:ind w:firstLine="240"/>
        <w:rPr>
          <w:rFonts w:ascii="宋体" w:hAnsi="宋体"/>
          <w:color w:val="auto"/>
          <w:sz w:val="24"/>
          <w:u w:val="single"/>
        </w:rPr>
      </w:pPr>
      <w:r>
        <w:rPr>
          <w:rFonts w:hint="eastAsia" w:ascii="宋体" w:hAnsi="宋体"/>
          <w:color w:val="auto"/>
          <w:sz w:val="24"/>
        </w:rPr>
        <w:t>开户银行帐号：</w:t>
      </w:r>
      <w:r>
        <w:rPr>
          <w:rFonts w:hint="eastAsia" w:ascii="宋体" w:hAnsi="宋体"/>
          <w:color w:val="auto"/>
          <w:sz w:val="24"/>
          <w:u w:val="single"/>
        </w:rPr>
        <w:t xml:space="preserve">                                                </w:t>
      </w:r>
    </w:p>
    <w:p>
      <w:pPr>
        <w:spacing w:line="500" w:lineRule="exact"/>
        <w:ind w:firstLine="240"/>
        <w:rPr>
          <w:rFonts w:ascii="宋体" w:hAnsi="宋体"/>
          <w:color w:val="auto"/>
          <w:sz w:val="24"/>
          <w:u w:val="single"/>
        </w:rPr>
      </w:pPr>
      <w:r>
        <w:rPr>
          <w:rFonts w:hint="eastAsia" w:ascii="宋体" w:hAnsi="宋体"/>
          <w:color w:val="auto"/>
          <w:sz w:val="24"/>
        </w:rPr>
        <w:t>开户银行地址：</w:t>
      </w:r>
      <w:r>
        <w:rPr>
          <w:rFonts w:hint="eastAsia" w:ascii="宋体" w:hAnsi="宋体"/>
          <w:color w:val="auto"/>
          <w:sz w:val="24"/>
          <w:u w:val="single"/>
        </w:rPr>
        <w:t xml:space="preserve">                                                </w:t>
      </w:r>
    </w:p>
    <w:p>
      <w:pPr>
        <w:spacing w:line="500" w:lineRule="exact"/>
        <w:ind w:firstLine="240"/>
        <w:rPr>
          <w:rFonts w:ascii="宋体" w:hAnsi="宋体"/>
          <w:color w:val="auto"/>
        </w:rPr>
      </w:pPr>
      <w:r>
        <w:rPr>
          <w:rFonts w:hint="eastAsia" w:ascii="宋体" w:hAnsi="宋体"/>
          <w:color w:val="auto"/>
          <w:sz w:val="24"/>
        </w:rPr>
        <w:t>日期：</w:t>
      </w:r>
      <w:r>
        <w:rPr>
          <w:rFonts w:hint="eastAsia" w:ascii="宋体" w:hAnsi="宋体"/>
          <w:color w:val="auto"/>
          <w:sz w:val="24"/>
          <w:u w:val="single"/>
        </w:rPr>
        <w:t xml:space="preserve">        </w:t>
      </w:r>
      <w:r>
        <w:rPr>
          <w:rFonts w:hint="eastAsia" w:ascii="宋体" w:hAnsi="宋体"/>
          <w:color w:val="auto"/>
          <w:sz w:val="24"/>
        </w:rPr>
        <w:t xml:space="preserve"> 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spacing w:line="500" w:lineRule="exact"/>
        <w:ind w:firstLine="240"/>
        <w:rPr>
          <w:rFonts w:ascii="宋体" w:hAnsi="宋体"/>
          <w:color w:val="auto"/>
        </w:rPr>
      </w:pPr>
    </w:p>
    <w:p>
      <w:pPr>
        <w:spacing w:line="500" w:lineRule="exact"/>
        <w:jc w:val="center"/>
        <w:outlineLvl w:val="1"/>
        <w:rPr>
          <w:rFonts w:ascii="宋体" w:hAnsi="宋体"/>
          <w:b/>
          <w:bCs/>
          <w:color w:val="auto"/>
          <w:sz w:val="32"/>
        </w:rPr>
      </w:pPr>
      <w:r>
        <w:rPr>
          <w:rFonts w:hint="eastAsia" w:ascii="宋体" w:hAnsi="宋体"/>
          <w:b/>
          <w:bCs/>
          <w:color w:val="auto"/>
          <w:sz w:val="32"/>
        </w:rPr>
        <w:t>二、法定代表人身份证明书</w:t>
      </w:r>
      <w:bookmarkEnd w:id="15"/>
      <w:bookmarkEnd w:id="16"/>
      <w:r>
        <w:rPr>
          <w:rFonts w:hint="eastAsia" w:ascii="宋体" w:hAnsi="宋体"/>
          <w:b/>
          <w:bCs/>
          <w:color w:val="auto"/>
          <w:sz w:val="32"/>
        </w:rPr>
        <w:t>、法定代表人授权委托书</w:t>
      </w:r>
    </w:p>
    <w:p>
      <w:pPr>
        <w:spacing w:line="500" w:lineRule="exact"/>
        <w:jc w:val="center"/>
        <w:rPr>
          <w:rFonts w:ascii="宋体" w:hAnsi="宋体"/>
          <w:b/>
          <w:color w:val="auto"/>
          <w:sz w:val="24"/>
        </w:rPr>
      </w:pPr>
    </w:p>
    <w:p>
      <w:pPr>
        <w:spacing w:line="500" w:lineRule="exact"/>
        <w:jc w:val="center"/>
        <w:outlineLvl w:val="2"/>
        <w:rPr>
          <w:rFonts w:ascii="宋体" w:hAnsi="宋体"/>
          <w:b/>
          <w:color w:val="auto"/>
          <w:sz w:val="24"/>
        </w:rPr>
      </w:pPr>
      <w:r>
        <w:rPr>
          <w:rFonts w:hint="eastAsia" w:ascii="宋体" w:hAnsi="宋体"/>
          <w:b/>
          <w:color w:val="auto"/>
          <w:sz w:val="24"/>
        </w:rPr>
        <w:t>（一）</w:t>
      </w:r>
      <w:r>
        <w:rPr>
          <w:rFonts w:hint="eastAsia" w:ascii="宋体" w:hAnsi="宋体"/>
          <w:b/>
          <w:bCs/>
          <w:color w:val="auto"/>
          <w:sz w:val="32"/>
        </w:rPr>
        <w:t>法定代表人身份证明书</w:t>
      </w:r>
    </w:p>
    <w:p>
      <w:pPr>
        <w:spacing w:line="500" w:lineRule="exact"/>
        <w:rPr>
          <w:rFonts w:ascii="宋体" w:hAnsi="宋体"/>
          <w:color w:val="auto"/>
          <w:sz w:val="24"/>
        </w:rPr>
      </w:pPr>
      <w:r>
        <w:rPr>
          <w:rFonts w:ascii="宋体" w:hAnsi="宋体"/>
          <w:color w:val="auto"/>
          <w:sz w:val="24"/>
        </w:rPr>
        <w:t xml:space="preserve">    </w:t>
      </w:r>
    </w:p>
    <w:p>
      <w:pPr>
        <w:spacing w:line="500" w:lineRule="exact"/>
        <w:ind w:firstLine="480" w:firstLineChars="200"/>
        <w:rPr>
          <w:rFonts w:ascii="宋体" w:hAnsi="宋体"/>
          <w:color w:val="auto"/>
          <w:sz w:val="24"/>
          <w:u w:val="single"/>
        </w:rPr>
      </w:pPr>
      <w:r>
        <w:rPr>
          <w:rFonts w:hint="eastAsia" w:ascii="宋体" w:hAnsi="宋体"/>
          <w:color w:val="auto"/>
          <w:sz w:val="24"/>
        </w:rPr>
        <w:t>单位名称：</w:t>
      </w:r>
      <w:r>
        <w:rPr>
          <w:rFonts w:hint="eastAsia" w:ascii="宋体" w:hAnsi="宋体"/>
          <w:color w:val="auto"/>
          <w:sz w:val="24"/>
          <w:u w:val="single"/>
        </w:rPr>
        <w:t xml:space="preserve">                                                    </w:t>
      </w:r>
    </w:p>
    <w:p>
      <w:pPr>
        <w:spacing w:line="500" w:lineRule="exact"/>
        <w:ind w:firstLine="480" w:firstLineChars="200"/>
        <w:rPr>
          <w:rFonts w:ascii="宋体" w:hAnsi="宋体"/>
          <w:color w:val="auto"/>
          <w:sz w:val="24"/>
        </w:rPr>
      </w:pPr>
      <w:r>
        <w:rPr>
          <w:rFonts w:hint="eastAsia" w:ascii="宋体" w:hAnsi="宋体"/>
          <w:color w:val="auto"/>
          <w:sz w:val="24"/>
        </w:rPr>
        <w:t>单位性质：</w:t>
      </w:r>
      <w:r>
        <w:rPr>
          <w:rFonts w:hint="eastAsia" w:ascii="宋体" w:hAnsi="宋体"/>
          <w:color w:val="auto"/>
          <w:sz w:val="24"/>
          <w:u w:val="single"/>
        </w:rPr>
        <w:t xml:space="preserve">                                                    </w:t>
      </w:r>
    </w:p>
    <w:p>
      <w:pPr>
        <w:spacing w:line="500" w:lineRule="exact"/>
        <w:ind w:firstLine="480" w:firstLineChars="200"/>
        <w:rPr>
          <w:rFonts w:ascii="宋体" w:hAnsi="宋体"/>
          <w:color w:val="auto"/>
          <w:sz w:val="24"/>
        </w:rPr>
      </w:pPr>
      <w:r>
        <w:rPr>
          <w:rFonts w:hint="eastAsia" w:ascii="宋体" w:hAnsi="宋体"/>
          <w:color w:val="auto"/>
          <w:sz w:val="24"/>
        </w:rPr>
        <w:t>地    址：</w:t>
      </w:r>
      <w:r>
        <w:rPr>
          <w:rFonts w:hint="eastAsia" w:ascii="宋体" w:hAnsi="宋体"/>
          <w:color w:val="auto"/>
          <w:sz w:val="24"/>
          <w:u w:val="single"/>
        </w:rPr>
        <w:t xml:space="preserve">                                                    </w:t>
      </w:r>
    </w:p>
    <w:p>
      <w:pPr>
        <w:spacing w:line="500" w:lineRule="exact"/>
        <w:ind w:firstLine="480" w:firstLineChars="200"/>
        <w:rPr>
          <w:rFonts w:ascii="宋体" w:hAnsi="宋体"/>
          <w:color w:val="auto"/>
          <w:sz w:val="24"/>
        </w:rPr>
      </w:pPr>
      <w:r>
        <w:rPr>
          <w:rFonts w:hint="eastAsia" w:ascii="宋体" w:hAnsi="宋体"/>
          <w:color w:val="auto"/>
          <w:sz w:val="24"/>
        </w:rPr>
        <w:t>成立时间：</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年</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月</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日</w:t>
      </w:r>
    </w:p>
    <w:p>
      <w:pPr>
        <w:spacing w:line="500" w:lineRule="exact"/>
        <w:ind w:firstLine="480" w:firstLineChars="200"/>
        <w:rPr>
          <w:rFonts w:ascii="宋体" w:hAnsi="宋体"/>
          <w:color w:val="auto"/>
          <w:sz w:val="24"/>
          <w:u w:val="single"/>
        </w:rPr>
      </w:pPr>
      <w:r>
        <w:rPr>
          <w:rFonts w:hint="eastAsia" w:ascii="宋体" w:hAnsi="宋体"/>
          <w:color w:val="auto"/>
          <w:sz w:val="24"/>
        </w:rPr>
        <w:t>经营期限：</w:t>
      </w:r>
      <w:r>
        <w:rPr>
          <w:rFonts w:hint="eastAsia" w:ascii="宋体" w:hAnsi="宋体"/>
          <w:color w:val="auto"/>
          <w:sz w:val="24"/>
          <w:u w:val="single"/>
        </w:rPr>
        <w:tab/>
      </w:r>
      <w:r>
        <w:rPr>
          <w:rFonts w:hint="eastAsia" w:ascii="宋体" w:hAnsi="宋体"/>
          <w:color w:val="auto"/>
          <w:sz w:val="24"/>
          <w:u w:val="single"/>
        </w:rPr>
        <w:t xml:space="preserve">                                                </w:t>
      </w:r>
      <w:r>
        <w:rPr>
          <w:rFonts w:hint="eastAsia" w:ascii="宋体" w:hAnsi="宋体"/>
          <w:color w:val="auto"/>
          <w:sz w:val="24"/>
          <w:u w:val="single"/>
        </w:rPr>
        <w:tab/>
      </w:r>
    </w:p>
    <w:p>
      <w:pPr>
        <w:spacing w:line="500" w:lineRule="exact"/>
        <w:ind w:firstLine="480" w:firstLineChars="200"/>
        <w:rPr>
          <w:rFonts w:ascii="宋体" w:hAnsi="宋体"/>
          <w:color w:val="auto"/>
          <w:sz w:val="24"/>
          <w:u w:val="single"/>
        </w:rPr>
      </w:pPr>
      <w:r>
        <w:rPr>
          <w:rFonts w:hint="eastAsia" w:ascii="宋体" w:hAnsi="宋体"/>
          <w:color w:val="auto"/>
          <w:sz w:val="24"/>
        </w:rPr>
        <w:t>姓</w:t>
      </w:r>
      <w:r>
        <w:rPr>
          <w:rFonts w:ascii="宋体" w:hAnsi="宋体"/>
          <w:color w:val="auto"/>
          <w:sz w:val="24"/>
        </w:rPr>
        <w:t xml:space="preserve">    名：</w:t>
      </w:r>
      <w:r>
        <w:rPr>
          <w:rFonts w:ascii="宋体" w:hAnsi="宋体"/>
          <w:color w:val="auto"/>
          <w:sz w:val="24"/>
          <w:u w:val="single"/>
        </w:rPr>
        <w:t xml:space="preserve">          </w:t>
      </w:r>
      <w:r>
        <w:rPr>
          <w:rFonts w:ascii="宋体" w:hAnsi="宋体"/>
          <w:color w:val="auto"/>
          <w:sz w:val="24"/>
        </w:rPr>
        <w:t xml:space="preserve"> 性别：</w:t>
      </w:r>
      <w:r>
        <w:rPr>
          <w:rFonts w:ascii="宋体" w:hAnsi="宋体"/>
          <w:color w:val="auto"/>
          <w:sz w:val="24"/>
          <w:u w:val="single"/>
        </w:rPr>
        <w:t xml:space="preserve">        </w:t>
      </w:r>
      <w:r>
        <w:rPr>
          <w:rFonts w:ascii="宋体" w:hAnsi="宋体"/>
          <w:color w:val="auto"/>
          <w:sz w:val="24"/>
        </w:rPr>
        <w:t>年龄：</w:t>
      </w:r>
      <w:r>
        <w:rPr>
          <w:rFonts w:ascii="宋体" w:hAnsi="宋体"/>
          <w:color w:val="auto"/>
          <w:sz w:val="24"/>
          <w:u w:val="single"/>
        </w:rPr>
        <w:t xml:space="preserve">          </w:t>
      </w:r>
      <w:r>
        <w:rPr>
          <w:rFonts w:ascii="宋体" w:hAnsi="宋体"/>
          <w:color w:val="auto"/>
          <w:sz w:val="24"/>
        </w:rPr>
        <w:t xml:space="preserve"> 职务：</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 xml:space="preserve"> </w:t>
      </w:r>
    </w:p>
    <w:p>
      <w:pPr>
        <w:spacing w:line="500" w:lineRule="exact"/>
        <w:ind w:firstLine="600" w:firstLineChars="250"/>
        <w:rPr>
          <w:rFonts w:ascii="宋体" w:hAnsi="宋体"/>
          <w:color w:val="auto"/>
          <w:sz w:val="24"/>
        </w:rPr>
      </w:pPr>
      <w:r>
        <w:rPr>
          <w:rFonts w:hint="eastAsia" w:ascii="宋体" w:hAnsi="宋体"/>
          <w:color w:val="auto"/>
          <w:sz w:val="24"/>
        </w:rPr>
        <w:t>系</w:t>
      </w:r>
      <w:r>
        <w:rPr>
          <w:rFonts w:ascii="宋体" w:hAnsi="宋体"/>
          <w:color w:val="auto"/>
          <w:sz w:val="24"/>
          <w:u w:val="single"/>
        </w:rPr>
        <w:t xml:space="preserve">          （投标人单位名称）         </w:t>
      </w:r>
      <w:r>
        <w:rPr>
          <w:rFonts w:hint="eastAsia" w:ascii="宋体" w:hAnsi="宋体"/>
          <w:color w:val="auto"/>
          <w:sz w:val="24"/>
        </w:rPr>
        <w:t>的法定代表人。</w:t>
      </w:r>
    </w:p>
    <w:p>
      <w:pPr>
        <w:spacing w:line="500" w:lineRule="exact"/>
        <w:rPr>
          <w:rFonts w:ascii="宋体" w:hAnsi="宋体"/>
          <w:color w:val="auto"/>
          <w:sz w:val="24"/>
        </w:rPr>
      </w:pPr>
    </w:p>
    <w:p>
      <w:pPr>
        <w:spacing w:line="500" w:lineRule="exact"/>
        <w:rPr>
          <w:rFonts w:ascii="宋体" w:hAnsi="宋体"/>
          <w:color w:val="auto"/>
          <w:sz w:val="24"/>
        </w:rPr>
      </w:pPr>
    </w:p>
    <w:p>
      <w:pPr>
        <w:spacing w:line="500" w:lineRule="exact"/>
        <w:rPr>
          <w:rFonts w:ascii="宋体" w:hAnsi="宋体"/>
          <w:color w:val="auto"/>
          <w:sz w:val="24"/>
        </w:rPr>
      </w:pPr>
      <w:r>
        <w:rPr>
          <w:rFonts w:ascii="宋体" w:hAnsi="宋体"/>
          <w:color w:val="auto"/>
          <w:sz w:val="24"/>
        </w:rPr>
        <w:t xml:space="preserve"> </w:t>
      </w:r>
      <w:r>
        <w:rPr>
          <w:rFonts w:hint="eastAsia" w:ascii="宋体" w:hAnsi="宋体"/>
          <w:color w:val="auto"/>
          <w:sz w:val="24"/>
        </w:rPr>
        <w:t xml:space="preserve">     特此证明。</w:t>
      </w:r>
    </w:p>
    <w:p>
      <w:pPr>
        <w:spacing w:line="500" w:lineRule="exact"/>
        <w:rPr>
          <w:rFonts w:ascii="宋体" w:hAnsi="宋体"/>
          <w:color w:val="auto"/>
          <w:sz w:val="24"/>
        </w:rPr>
      </w:pPr>
    </w:p>
    <w:p>
      <w:pPr>
        <w:spacing w:line="500" w:lineRule="exact"/>
        <w:ind w:firstLine="240" w:firstLineChars="100"/>
        <w:jc w:val="left"/>
        <w:rPr>
          <w:rFonts w:ascii="宋体" w:hAnsi="宋体"/>
          <w:color w:val="auto"/>
          <w:sz w:val="24"/>
        </w:rPr>
      </w:pPr>
      <w:r>
        <w:rPr>
          <w:rFonts w:hint="eastAsia" w:ascii="宋体" w:hAnsi="宋体"/>
          <w:color w:val="auto"/>
          <w:sz w:val="24"/>
        </w:rPr>
        <w:t>投标人：</w:t>
      </w:r>
      <w:r>
        <w:rPr>
          <w:rFonts w:hint="eastAsia" w:ascii="宋体" w:hAnsi="宋体"/>
          <w:color w:val="auto"/>
          <w:sz w:val="24"/>
          <w:u w:val="single"/>
        </w:rPr>
        <w:t xml:space="preserve">             </w:t>
      </w:r>
      <w:r>
        <w:rPr>
          <w:rFonts w:hint="eastAsia" w:ascii="宋体" w:hAnsi="宋体"/>
          <w:color w:val="auto"/>
          <w:sz w:val="24"/>
        </w:rPr>
        <w:t>（盖章）</w:t>
      </w:r>
      <w:r>
        <w:rPr>
          <w:rFonts w:ascii="宋体" w:hAnsi="宋体"/>
          <w:color w:val="auto"/>
          <w:sz w:val="24"/>
        </w:rPr>
        <w:t xml:space="preserve">                                 </w:t>
      </w:r>
    </w:p>
    <w:p>
      <w:pPr>
        <w:spacing w:line="500" w:lineRule="exact"/>
        <w:rPr>
          <w:rFonts w:ascii="宋体" w:hAnsi="宋体"/>
          <w:color w:val="auto"/>
          <w:sz w:val="24"/>
        </w:rPr>
      </w:pPr>
      <w:r>
        <w:rPr>
          <w:rFonts w:ascii="宋体" w:hAnsi="宋体"/>
          <w:color w:val="auto"/>
          <w:sz w:val="24"/>
        </w:rPr>
        <w:t xml:space="preserve">                                                                </w:t>
      </w:r>
    </w:p>
    <w:p>
      <w:pPr>
        <w:spacing w:line="500" w:lineRule="exact"/>
        <w:ind w:firstLine="240" w:firstLineChars="100"/>
        <w:rPr>
          <w:rFonts w:ascii="宋体" w:hAnsi="宋体"/>
          <w:color w:val="auto"/>
          <w:sz w:val="24"/>
        </w:rPr>
      </w:pPr>
      <w:r>
        <w:rPr>
          <w:rFonts w:hint="eastAsia" w:ascii="宋体" w:hAnsi="宋体"/>
          <w:color w:val="auto"/>
          <w:sz w:val="24"/>
        </w:rPr>
        <w:t>日期：</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年</w:t>
      </w:r>
      <w:r>
        <w:rPr>
          <w:rFonts w:ascii="宋体" w:hAnsi="宋体"/>
          <w:color w:val="auto"/>
          <w:sz w:val="24"/>
        </w:rPr>
        <w:t xml:space="preserve"> </w:t>
      </w:r>
      <w:r>
        <w:rPr>
          <w:rFonts w:ascii="宋体" w:hAnsi="宋体"/>
          <w:color w:val="auto"/>
          <w:sz w:val="24"/>
          <w:u w:val="single"/>
        </w:rPr>
        <w:t xml:space="preserve">   </w:t>
      </w:r>
      <w:r>
        <w:rPr>
          <w:rFonts w:hint="eastAsia" w:ascii="宋体" w:hAnsi="宋体"/>
          <w:color w:val="auto"/>
          <w:sz w:val="24"/>
        </w:rPr>
        <w:t>月</w:t>
      </w:r>
      <w:r>
        <w:rPr>
          <w:rFonts w:ascii="宋体" w:hAnsi="宋体"/>
          <w:color w:val="auto"/>
          <w:sz w:val="24"/>
          <w:u w:val="single"/>
        </w:rPr>
        <w:t xml:space="preserve">    </w:t>
      </w:r>
      <w:r>
        <w:rPr>
          <w:rFonts w:hint="eastAsia" w:ascii="宋体" w:hAnsi="宋体"/>
          <w:color w:val="auto"/>
          <w:sz w:val="24"/>
        </w:rPr>
        <w:t>日</w:t>
      </w:r>
    </w:p>
    <w:p>
      <w:pPr>
        <w:spacing w:line="500" w:lineRule="exact"/>
        <w:rPr>
          <w:rFonts w:ascii="宋体" w:hAnsi="宋体"/>
          <w:b/>
          <w:color w:val="auto"/>
          <w:u w:val="single"/>
        </w:rPr>
      </w:pPr>
    </w:p>
    <w:p>
      <w:pPr>
        <w:spacing w:line="500" w:lineRule="exact"/>
        <w:ind w:firstLine="480" w:firstLineChars="200"/>
        <w:rPr>
          <w:rFonts w:ascii="宋体" w:hAnsi="宋体"/>
          <w:color w:val="auto"/>
          <w:kern w:val="0"/>
          <w:sz w:val="24"/>
        </w:rPr>
      </w:pPr>
    </w:p>
    <w:p>
      <w:pPr>
        <w:spacing w:line="500" w:lineRule="exact"/>
        <w:ind w:firstLine="480" w:firstLineChars="200"/>
        <w:rPr>
          <w:rFonts w:ascii="宋体" w:hAnsi="宋体"/>
          <w:color w:val="auto"/>
          <w:kern w:val="0"/>
          <w:sz w:val="24"/>
        </w:rPr>
      </w:pPr>
    </w:p>
    <w:p>
      <w:pPr>
        <w:pStyle w:val="2"/>
        <w:spacing w:line="500" w:lineRule="exact"/>
        <w:jc w:val="center"/>
        <w:rPr>
          <w:rFonts w:hAnsi="宋体"/>
          <w:b/>
          <w:color w:val="auto"/>
          <w:sz w:val="32"/>
        </w:rPr>
      </w:pPr>
      <w:r>
        <w:rPr>
          <w:rFonts w:hAnsi="宋体"/>
          <w:b/>
          <w:color w:val="auto"/>
          <w:sz w:val="32"/>
        </w:rPr>
        <w:br w:type="page"/>
      </w:r>
      <w:bookmarkStart w:id="19" w:name="_Toc311896662"/>
      <w:bookmarkStart w:id="20" w:name="_Toc247606242"/>
    </w:p>
    <w:p>
      <w:pPr>
        <w:pStyle w:val="2"/>
        <w:spacing w:line="500" w:lineRule="exact"/>
        <w:jc w:val="center"/>
        <w:outlineLvl w:val="2"/>
        <w:rPr>
          <w:rFonts w:hAnsi="宋体"/>
          <w:b/>
          <w:color w:val="auto"/>
          <w:sz w:val="32"/>
        </w:rPr>
      </w:pPr>
      <w:r>
        <w:rPr>
          <w:rFonts w:hAnsi="宋体"/>
          <w:b/>
          <w:color w:val="auto"/>
          <w:sz w:val="30"/>
          <w:szCs w:val="30"/>
        </w:rPr>
        <w:t>（二）</w:t>
      </w:r>
      <w:bookmarkEnd w:id="19"/>
      <w:bookmarkEnd w:id="20"/>
      <w:r>
        <w:rPr>
          <w:rFonts w:hAnsi="宋体"/>
          <w:color w:val="auto"/>
          <w:sz w:val="28"/>
          <w:szCs w:val="28"/>
        </w:rPr>
        <w:t>法定代表人授权委托书</w:t>
      </w:r>
    </w:p>
    <w:p>
      <w:pPr>
        <w:pStyle w:val="2"/>
        <w:spacing w:line="500" w:lineRule="exact"/>
        <w:rPr>
          <w:rFonts w:hAnsi="宋体"/>
          <w:color w:val="auto"/>
        </w:rPr>
      </w:pPr>
    </w:p>
    <w:p>
      <w:pPr>
        <w:spacing w:line="500" w:lineRule="exact"/>
        <w:ind w:firstLine="610"/>
        <w:rPr>
          <w:rFonts w:ascii="宋体" w:hAnsi="宋体"/>
          <w:color w:val="auto"/>
          <w:sz w:val="24"/>
        </w:rPr>
      </w:pPr>
      <w:r>
        <w:rPr>
          <w:rFonts w:hint="eastAsia" w:ascii="宋体" w:hAnsi="宋体"/>
          <w:color w:val="auto"/>
          <w:sz w:val="24"/>
        </w:rPr>
        <w:t>本授权书声明：我</w:t>
      </w:r>
      <w:r>
        <w:rPr>
          <w:rFonts w:hint="eastAsia" w:ascii="宋体" w:hAnsi="宋体"/>
          <w:color w:val="auto"/>
          <w:sz w:val="24"/>
          <w:u w:val="single"/>
        </w:rPr>
        <w:t xml:space="preserve">     （姓名）      </w:t>
      </w:r>
      <w:r>
        <w:rPr>
          <w:rFonts w:hint="eastAsia" w:ascii="宋体" w:hAnsi="宋体"/>
          <w:color w:val="auto"/>
          <w:sz w:val="24"/>
        </w:rPr>
        <w:t>系</w:t>
      </w:r>
      <w:r>
        <w:rPr>
          <w:rFonts w:hint="eastAsia" w:ascii="宋体" w:hAnsi="宋体"/>
          <w:color w:val="auto"/>
          <w:sz w:val="24"/>
          <w:u w:val="single"/>
        </w:rPr>
        <w:t xml:space="preserve">            （投标人名称）  </w:t>
      </w:r>
      <w:r>
        <w:rPr>
          <w:rFonts w:hint="eastAsia" w:ascii="宋体" w:hAnsi="宋体"/>
          <w:color w:val="auto"/>
          <w:sz w:val="24"/>
        </w:rPr>
        <w:t>的法定代表人，现授权</w:t>
      </w:r>
      <w:r>
        <w:rPr>
          <w:rFonts w:hint="eastAsia" w:ascii="宋体" w:hAnsi="宋体"/>
          <w:color w:val="auto"/>
          <w:sz w:val="24"/>
          <w:u w:val="single"/>
        </w:rPr>
        <w:t xml:space="preserve">     （姓名）    </w:t>
      </w:r>
      <w:r>
        <w:rPr>
          <w:rFonts w:hint="eastAsia" w:ascii="宋体" w:hAnsi="宋体"/>
          <w:color w:val="auto"/>
          <w:sz w:val="24"/>
        </w:rPr>
        <w:t>为我公司代理人，以本公司名义参加</w:t>
      </w:r>
      <w:r>
        <w:rPr>
          <w:rFonts w:hint="eastAsia" w:ascii="宋体" w:hAnsi="宋体"/>
          <w:color w:val="auto"/>
          <w:sz w:val="24"/>
          <w:u w:val="single"/>
        </w:rPr>
        <w:t xml:space="preserve">  台山市大湾物流园开发有限公司 （招标人名称） 的  粤港澳大湾区(江门)农产品交易流通中心一期(启动区)冷链物流B-8/B-9地块项目监理服务  （项目名称）</w:t>
      </w:r>
      <w:r>
        <w:rPr>
          <w:rFonts w:hint="eastAsia" w:ascii="宋体" w:hAnsi="宋体"/>
          <w:color w:val="auto"/>
          <w:sz w:val="24"/>
        </w:rPr>
        <w:t>工程监理的投标活动，代理人在投标和合同谈判过程中所签署的一切文件和处理与之有关的一切事务，我均予以承认。</w:t>
      </w:r>
    </w:p>
    <w:p>
      <w:pPr>
        <w:spacing w:line="500" w:lineRule="exact"/>
        <w:ind w:firstLine="697"/>
        <w:rPr>
          <w:rFonts w:ascii="宋体" w:hAnsi="宋体"/>
          <w:color w:val="auto"/>
          <w:sz w:val="24"/>
        </w:rPr>
      </w:pPr>
      <w:r>
        <w:rPr>
          <w:rFonts w:hint="eastAsia" w:ascii="宋体" w:hAnsi="宋体"/>
          <w:color w:val="auto"/>
          <w:sz w:val="24"/>
        </w:rPr>
        <w:t>授权代理人无转授权，特此授权。</w:t>
      </w:r>
    </w:p>
    <w:p>
      <w:pPr>
        <w:spacing w:after="240" w:afterLines="100" w:line="500" w:lineRule="exact"/>
        <w:ind w:firstLine="720" w:firstLineChars="300"/>
        <w:rPr>
          <w:rFonts w:ascii="宋体" w:hAnsi="宋体"/>
          <w:color w:val="auto"/>
          <w:sz w:val="24"/>
        </w:rPr>
      </w:pPr>
    </w:p>
    <w:p>
      <w:pPr>
        <w:spacing w:after="240" w:afterLines="100" w:line="500" w:lineRule="exact"/>
        <w:ind w:firstLine="720" w:firstLineChars="300"/>
        <w:rPr>
          <w:rFonts w:ascii="宋体" w:hAnsi="宋体"/>
          <w:color w:val="auto"/>
          <w:sz w:val="24"/>
        </w:rPr>
      </w:pPr>
      <w:r>
        <w:rPr>
          <w:rFonts w:hint="eastAsia" w:ascii="宋体" w:hAnsi="宋体"/>
          <w:color w:val="auto"/>
          <w:sz w:val="24"/>
        </w:rPr>
        <w:t>附：法定代表人身份证明</w:t>
      </w:r>
    </w:p>
    <w:p>
      <w:pPr>
        <w:spacing w:line="500" w:lineRule="exact"/>
        <w:ind w:left="1260"/>
        <w:rPr>
          <w:rFonts w:ascii="宋体" w:hAnsi="宋体"/>
          <w:color w:val="auto"/>
          <w:sz w:val="24"/>
        </w:rPr>
      </w:pPr>
    </w:p>
    <w:p>
      <w:pPr>
        <w:spacing w:line="500" w:lineRule="exact"/>
        <w:ind w:firstLine="720" w:firstLineChars="300"/>
        <w:rPr>
          <w:rFonts w:ascii="宋体" w:hAnsi="宋体"/>
          <w:color w:val="auto"/>
          <w:sz w:val="24"/>
          <w:u w:val="single"/>
        </w:rPr>
      </w:pPr>
      <w:r>
        <w:rPr>
          <w:rFonts w:hint="eastAsia" w:ascii="宋体" w:hAnsi="宋体"/>
          <w:color w:val="auto"/>
          <w:sz w:val="24"/>
        </w:rPr>
        <w:t>代理人：                  性别：           年龄：</w:t>
      </w:r>
    </w:p>
    <w:p>
      <w:pPr>
        <w:spacing w:line="500" w:lineRule="exact"/>
        <w:ind w:firstLine="720" w:firstLineChars="300"/>
        <w:rPr>
          <w:rFonts w:ascii="宋体" w:hAnsi="宋体"/>
          <w:color w:val="auto"/>
          <w:sz w:val="24"/>
        </w:rPr>
      </w:pPr>
      <w:r>
        <w:rPr>
          <w:rFonts w:hint="eastAsia" w:ascii="宋体" w:hAnsi="宋体"/>
          <w:color w:val="auto"/>
          <w:sz w:val="24"/>
        </w:rPr>
        <w:t>单位：                    部门：           职务：</w:t>
      </w:r>
    </w:p>
    <w:p>
      <w:pPr>
        <w:spacing w:line="500" w:lineRule="exact"/>
        <w:ind w:firstLine="720" w:firstLineChars="300"/>
        <w:rPr>
          <w:rFonts w:ascii="宋体" w:hAnsi="宋体"/>
          <w:color w:val="auto"/>
          <w:sz w:val="24"/>
        </w:rPr>
      </w:pPr>
      <w:r>
        <w:rPr>
          <w:rFonts w:hint="eastAsia" w:ascii="宋体" w:hAnsi="宋体"/>
          <w:color w:val="auto"/>
          <w:sz w:val="24"/>
        </w:rPr>
        <w:t>身份证号码：</w:t>
      </w:r>
    </w:p>
    <w:p>
      <w:pPr>
        <w:spacing w:line="500" w:lineRule="exact"/>
        <w:ind w:firstLine="720" w:firstLineChars="300"/>
        <w:rPr>
          <w:rFonts w:ascii="宋体" w:hAnsi="宋体"/>
          <w:color w:val="auto"/>
          <w:sz w:val="24"/>
        </w:rPr>
      </w:pPr>
    </w:p>
    <w:p>
      <w:pPr>
        <w:spacing w:line="500" w:lineRule="exact"/>
        <w:ind w:firstLine="720" w:firstLineChars="300"/>
        <w:rPr>
          <w:rFonts w:ascii="宋体" w:hAnsi="宋体"/>
          <w:color w:val="auto"/>
          <w:sz w:val="24"/>
        </w:rPr>
      </w:pPr>
      <w:r>
        <w:rPr>
          <w:rFonts w:hint="eastAsia" w:ascii="宋体" w:hAnsi="宋体"/>
          <w:color w:val="auto"/>
          <w:sz w:val="24"/>
        </w:rPr>
        <w:t>投标人（盖章）：</w:t>
      </w:r>
    </w:p>
    <w:p>
      <w:pPr>
        <w:spacing w:line="500" w:lineRule="exact"/>
        <w:ind w:firstLine="720" w:firstLineChars="300"/>
        <w:rPr>
          <w:rFonts w:ascii="宋体" w:hAnsi="宋体"/>
          <w:color w:val="auto"/>
          <w:sz w:val="24"/>
        </w:rPr>
      </w:pPr>
    </w:p>
    <w:p>
      <w:pPr>
        <w:spacing w:line="500" w:lineRule="exact"/>
        <w:ind w:firstLine="720" w:firstLineChars="300"/>
        <w:rPr>
          <w:rFonts w:ascii="宋体" w:hAnsi="宋体"/>
          <w:color w:val="auto"/>
          <w:sz w:val="24"/>
        </w:rPr>
      </w:pPr>
      <w:r>
        <w:rPr>
          <w:rFonts w:hint="eastAsia" w:ascii="宋体" w:hAnsi="宋体"/>
          <w:color w:val="auto"/>
          <w:sz w:val="24"/>
        </w:rPr>
        <w:t>法定代表人（签字或盖章）：</w:t>
      </w:r>
    </w:p>
    <w:p>
      <w:pPr>
        <w:pStyle w:val="2"/>
        <w:spacing w:line="500" w:lineRule="exact"/>
        <w:ind w:firstLine="720" w:firstLineChars="300"/>
        <w:rPr>
          <w:rFonts w:hAnsi="宋体"/>
          <w:color w:val="auto"/>
          <w:sz w:val="24"/>
          <w:szCs w:val="24"/>
        </w:rPr>
      </w:pPr>
    </w:p>
    <w:p>
      <w:pPr>
        <w:pStyle w:val="2"/>
        <w:spacing w:line="500" w:lineRule="exact"/>
        <w:ind w:firstLine="720" w:firstLineChars="300"/>
        <w:rPr>
          <w:rFonts w:hAnsi="宋体"/>
          <w:color w:val="auto"/>
          <w:sz w:val="24"/>
          <w:szCs w:val="24"/>
        </w:rPr>
      </w:pPr>
      <w:r>
        <w:rPr>
          <w:rFonts w:hAnsi="宋体"/>
          <w:color w:val="auto"/>
          <w:sz w:val="24"/>
          <w:szCs w:val="24"/>
        </w:rPr>
        <w:t>日期：</w:t>
      </w:r>
      <w:r>
        <w:rPr>
          <w:rFonts w:hAnsi="宋体"/>
          <w:color w:val="auto"/>
          <w:sz w:val="24"/>
          <w:szCs w:val="24"/>
          <w:u w:val="single"/>
        </w:rPr>
        <w:t xml:space="preserve">        </w:t>
      </w:r>
      <w:r>
        <w:rPr>
          <w:rFonts w:hAnsi="宋体"/>
          <w:color w:val="auto"/>
          <w:sz w:val="24"/>
          <w:szCs w:val="24"/>
        </w:rPr>
        <w:t>年</w:t>
      </w:r>
      <w:r>
        <w:rPr>
          <w:rFonts w:hAnsi="宋体"/>
          <w:color w:val="auto"/>
          <w:sz w:val="24"/>
          <w:szCs w:val="24"/>
          <w:u w:val="single"/>
        </w:rPr>
        <w:t xml:space="preserve">     </w:t>
      </w:r>
      <w:r>
        <w:rPr>
          <w:rFonts w:hAnsi="宋体"/>
          <w:color w:val="auto"/>
          <w:sz w:val="24"/>
          <w:szCs w:val="24"/>
        </w:rPr>
        <w:t>月</w:t>
      </w:r>
      <w:r>
        <w:rPr>
          <w:rFonts w:hAnsi="宋体"/>
          <w:color w:val="auto"/>
          <w:sz w:val="24"/>
          <w:szCs w:val="24"/>
          <w:u w:val="single"/>
        </w:rPr>
        <w:t xml:space="preserve">     </w:t>
      </w:r>
      <w:r>
        <w:rPr>
          <w:rFonts w:hAnsi="宋体"/>
          <w:color w:val="auto"/>
          <w:sz w:val="24"/>
          <w:szCs w:val="24"/>
        </w:rPr>
        <w:t>日</w:t>
      </w:r>
    </w:p>
    <w:p>
      <w:pPr>
        <w:pStyle w:val="2"/>
        <w:spacing w:line="500" w:lineRule="exact"/>
        <w:ind w:firstLine="720" w:firstLineChars="300"/>
        <w:rPr>
          <w:rFonts w:hAnsi="宋体"/>
          <w:color w:val="auto"/>
          <w:sz w:val="24"/>
          <w:szCs w:val="24"/>
        </w:rPr>
      </w:pPr>
    </w:p>
    <w:p>
      <w:pPr>
        <w:pStyle w:val="2"/>
        <w:spacing w:line="500" w:lineRule="exact"/>
        <w:jc w:val="center"/>
        <w:rPr>
          <w:rFonts w:hAnsi="宋体"/>
          <w:color w:val="auto"/>
          <w:sz w:val="24"/>
          <w:szCs w:val="24"/>
        </w:rPr>
      </w:pPr>
    </w:p>
    <w:p>
      <w:pPr>
        <w:pStyle w:val="2"/>
        <w:spacing w:line="500" w:lineRule="exact"/>
        <w:jc w:val="center"/>
        <w:rPr>
          <w:rFonts w:hAnsi="宋体"/>
          <w:color w:val="auto"/>
          <w:sz w:val="24"/>
          <w:szCs w:val="24"/>
        </w:rPr>
      </w:pPr>
    </w:p>
    <w:p>
      <w:pPr>
        <w:autoSpaceDE w:val="0"/>
        <w:autoSpaceDN w:val="0"/>
        <w:adjustRightInd w:val="0"/>
        <w:jc w:val="center"/>
        <w:rPr>
          <w:rFonts w:ascii="宋体" w:hAnsi="宋体"/>
          <w:b/>
          <w:bCs/>
          <w:color w:val="auto"/>
          <w:sz w:val="32"/>
        </w:rPr>
      </w:pPr>
    </w:p>
    <w:p>
      <w:pPr>
        <w:autoSpaceDE w:val="0"/>
        <w:autoSpaceDN w:val="0"/>
        <w:adjustRightInd w:val="0"/>
        <w:jc w:val="center"/>
        <w:rPr>
          <w:rFonts w:ascii="宋体" w:hAnsi="宋体"/>
          <w:b/>
          <w:bCs/>
          <w:color w:val="auto"/>
          <w:sz w:val="32"/>
        </w:rPr>
      </w:pPr>
    </w:p>
    <w:p>
      <w:pPr>
        <w:autoSpaceDE w:val="0"/>
        <w:autoSpaceDN w:val="0"/>
        <w:adjustRightInd w:val="0"/>
        <w:jc w:val="center"/>
        <w:rPr>
          <w:rFonts w:ascii="宋体" w:hAnsi="宋体"/>
          <w:b/>
          <w:bCs/>
          <w:color w:val="auto"/>
          <w:sz w:val="32"/>
        </w:rPr>
      </w:pPr>
    </w:p>
    <w:p>
      <w:pPr>
        <w:autoSpaceDE w:val="0"/>
        <w:autoSpaceDN w:val="0"/>
        <w:adjustRightInd w:val="0"/>
        <w:jc w:val="center"/>
        <w:outlineLvl w:val="1"/>
        <w:rPr>
          <w:rFonts w:ascii="宋体" w:hAnsi="宋体"/>
          <w:b/>
          <w:bCs/>
          <w:color w:val="auto"/>
          <w:sz w:val="32"/>
        </w:rPr>
      </w:pPr>
      <w:r>
        <w:rPr>
          <w:rFonts w:hint="eastAsia" w:ascii="宋体" w:hAnsi="宋体"/>
          <w:b/>
          <w:bCs/>
          <w:color w:val="auto"/>
          <w:sz w:val="32"/>
        </w:rPr>
        <w:t>三、联合体投标协议书（本项目不适用）</w:t>
      </w:r>
    </w:p>
    <w:p>
      <w:pPr>
        <w:autoSpaceDE w:val="0"/>
        <w:autoSpaceDN w:val="0"/>
        <w:adjustRightInd w:val="0"/>
        <w:jc w:val="center"/>
        <w:rPr>
          <w:rFonts w:ascii="宋体" w:hAnsi="宋体" w:cs="黑体"/>
          <w:color w:val="auto"/>
          <w:kern w:val="0"/>
          <w:sz w:val="44"/>
          <w:szCs w:val="44"/>
        </w:rPr>
      </w:pPr>
    </w:p>
    <w:p>
      <w:pPr>
        <w:autoSpaceDE w:val="0"/>
        <w:autoSpaceDN w:val="0"/>
        <w:adjustRightInd w:val="0"/>
        <w:jc w:val="center"/>
        <w:rPr>
          <w:rFonts w:ascii="宋体" w:hAnsi="宋体" w:cs="黑体"/>
          <w:color w:val="auto"/>
          <w:kern w:val="0"/>
          <w:sz w:val="36"/>
          <w:szCs w:val="36"/>
        </w:rPr>
      </w:pPr>
      <w:r>
        <w:rPr>
          <w:rFonts w:hint="eastAsia" w:ascii="宋体" w:hAnsi="宋体" w:cs="黑体"/>
          <w:color w:val="auto"/>
          <w:kern w:val="0"/>
          <w:sz w:val="36"/>
          <w:szCs w:val="36"/>
        </w:rPr>
        <w:t>联合体投标协议书</w:t>
      </w:r>
    </w:p>
    <w:p>
      <w:pPr>
        <w:pStyle w:val="9"/>
        <w:spacing w:line="340" w:lineRule="exact"/>
        <w:rPr>
          <w:rFonts w:ascii="宋体" w:hAnsi="宋体"/>
          <w:color w:val="auto"/>
          <w:kern w:val="0"/>
          <w:szCs w:val="21"/>
        </w:rPr>
      </w:pPr>
      <w:r>
        <w:rPr>
          <w:rFonts w:hint="eastAsia" w:ascii="宋体" w:hAnsi="宋体"/>
          <w:color w:val="auto"/>
          <w:kern w:val="0"/>
          <w:szCs w:val="21"/>
          <w:u w:val="single"/>
        </w:rPr>
        <w:t>（招标人名称）</w:t>
      </w:r>
      <w:r>
        <w:rPr>
          <w:rFonts w:hint="eastAsia" w:ascii="宋体" w:hAnsi="宋体"/>
          <w:color w:val="auto"/>
          <w:kern w:val="0"/>
          <w:szCs w:val="21"/>
        </w:rPr>
        <w:t>：</w:t>
      </w:r>
    </w:p>
    <w:p>
      <w:pPr>
        <w:pStyle w:val="9"/>
        <w:spacing w:line="340" w:lineRule="exact"/>
        <w:ind w:firstLine="420" w:firstLineChars="200"/>
        <w:rPr>
          <w:rFonts w:ascii="宋体" w:hAnsi="宋体"/>
          <w:color w:val="auto"/>
          <w:kern w:val="0"/>
          <w:szCs w:val="21"/>
        </w:rPr>
      </w:pPr>
      <w:r>
        <w:rPr>
          <w:rFonts w:hint="eastAsia" w:ascii="宋体" w:hAnsi="宋体"/>
          <w:color w:val="auto"/>
          <w:kern w:val="0"/>
          <w:szCs w:val="21"/>
        </w:rPr>
        <w:t>（所有成员名称）自愿组成（联合体名称）联合体投标人，共同参加</w:t>
      </w:r>
      <w:r>
        <w:rPr>
          <w:rFonts w:hint="eastAsia" w:ascii="宋体" w:hAnsi="宋体"/>
          <w:color w:val="auto"/>
          <w:kern w:val="0"/>
          <w:szCs w:val="21"/>
          <w:u w:val="single"/>
        </w:rPr>
        <w:t>（项目名称）</w:t>
      </w:r>
      <w:r>
        <w:rPr>
          <w:rFonts w:hint="eastAsia" w:ascii="宋体" w:hAnsi="宋体"/>
          <w:color w:val="auto"/>
        </w:rPr>
        <w:t>工程</w:t>
      </w:r>
      <w:r>
        <w:rPr>
          <w:rFonts w:hint="eastAsia" w:ascii="宋体" w:hAnsi="宋体"/>
          <w:color w:val="auto"/>
          <w:kern w:val="0"/>
          <w:szCs w:val="21"/>
        </w:rPr>
        <w:t>监理投标，现就投标事项签订如下协议：</w:t>
      </w:r>
    </w:p>
    <w:p>
      <w:pPr>
        <w:pStyle w:val="9"/>
        <w:spacing w:line="340" w:lineRule="exact"/>
        <w:ind w:firstLine="420" w:firstLineChars="200"/>
        <w:rPr>
          <w:rFonts w:ascii="宋体" w:hAnsi="宋体"/>
          <w:color w:val="auto"/>
          <w:kern w:val="0"/>
          <w:szCs w:val="21"/>
        </w:rPr>
      </w:pPr>
      <w:r>
        <w:rPr>
          <w:rFonts w:hint="eastAsia" w:ascii="宋体" w:hAnsi="宋体"/>
          <w:color w:val="auto"/>
          <w:kern w:val="0"/>
          <w:szCs w:val="21"/>
        </w:rPr>
        <w:t>1.（某成员名称）为联合体投标人的牵头人。</w:t>
      </w:r>
    </w:p>
    <w:p>
      <w:pPr>
        <w:pStyle w:val="9"/>
        <w:spacing w:line="340" w:lineRule="exact"/>
        <w:ind w:firstLine="420" w:firstLineChars="200"/>
        <w:rPr>
          <w:rFonts w:ascii="宋体" w:hAnsi="宋体"/>
          <w:color w:val="auto"/>
          <w:kern w:val="0"/>
          <w:szCs w:val="21"/>
        </w:rPr>
      </w:pPr>
      <w:r>
        <w:rPr>
          <w:rFonts w:hint="eastAsia" w:ascii="宋体" w:hAnsi="宋体"/>
          <w:color w:val="auto"/>
          <w:kern w:val="0"/>
          <w:szCs w:val="21"/>
        </w:rPr>
        <w:t>2.牵头人合法代表联合体投标人负责（项目名称）的投标活动，处理与之相关的事务，包括资格预审申请文件、投标文件的签署、递交、撤回、修改、澄清、说明、补正，以及合同实施阶段的组织及协调工作。</w:t>
      </w:r>
    </w:p>
    <w:p>
      <w:pPr>
        <w:pStyle w:val="9"/>
        <w:spacing w:line="340" w:lineRule="exact"/>
        <w:ind w:firstLine="420" w:firstLineChars="200"/>
        <w:rPr>
          <w:rFonts w:ascii="宋体" w:hAnsi="宋体"/>
          <w:color w:val="auto"/>
          <w:kern w:val="0"/>
          <w:szCs w:val="21"/>
        </w:rPr>
      </w:pPr>
      <w:r>
        <w:rPr>
          <w:rFonts w:hint="eastAsia" w:ascii="宋体" w:hAnsi="宋体"/>
          <w:color w:val="auto"/>
          <w:kern w:val="0"/>
          <w:szCs w:val="21"/>
        </w:rPr>
        <w:t>3.联合体投标人各方将以牵头人名义提交投标保证金。</w:t>
      </w:r>
    </w:p>
    <w:p>
      <w:pPr>
        <w:pStyle w:val="9"/>
        <w:spacing w:line="340" w:lineRule="exact"/>
        <w:ind w:firstLine="420" w:firstLineChars="200"/>
        <w:rPr>
          <w:rFonts w:ascii="宋体" w:hAnsi="宋体"/>
          <w:color w:val="auto"/>
          <w:kern w:val="0"/>
          <w:szCs w:val="21"/>
        </w:rPr>
      </w:pPr>
      <w:r>
        <w:rPr>
          <w:rFonts w:hint="eastAsia" w:ascii="宋体" w:hAnsi="宋体"/>
          <w:color w:val="auto"/>
          <w:kern w:val="0"/>
          <w:szCs w:val="21"/>
        </w:rPr>
        <w:t>4.联合体各方职责分工如下：</w:t>
      </w:r>
    </w:p>
    <w:p>
      <w:pPr>
        <w:pStyle w:val="9"/>
        <w:spacing w:line="340" w:lineRule="exact"/>
        <w:ind w:firstLine="420" w:firstLineChars="200"/>
        <w:rPr>
          <w:rFonts w:ascii="宋体" w:hAnsi="宋体"/>
          <w:color w:val="auto"/>
          <w:kern w:val="0"/>
          <w:szCs w:val="21"/>
        </w:rPr>
      </w:pPr>
      <w:r>
        <w:rPr>
          <w:rFonts w:hint="eastAsia" w:ascii="宋体" w:hAnsi="宋体"/>
          <w:color w:val="auto"/>
          <w:kern w:val="0"/>
          <w:szCs w:val="21"/>
        </w:rPr>
        <w:t>（1）牵头人职责分工：</w:t>
      </w:r>
      <w:r>
        <w:rPr>
          <w:rFonts w:hint="eastAsia" w:ascii="宋体" w:hAnsi="宋体"/>
          <w:color w:val="auto"/>
          <w:kern w:val="0"/>
          <w:szCs w:val="21"/>
          <w:u w:val="single"/>
        </w:rPr>
        <w:t xml:space="preserve">                                                      </w:t>
      </w:r>
    </w:p>
    <w:p>
      <w:pPr>
        <w:pStyle w:val="9"/>
        <w:spacing w:line="340" w:lineRule="exact"/>
        <w:ind w:firstLine="420" w:firstLineChars="200"/>
        <w:rPr>
          <w:rFonts w:ascii="宋体" w:hAnsi="宋体"/>
          <w:color w:val="auto"/>
          <w:kern w:val="0"/>
          <w:szCs w:val="21"/>
        </w:rPr>
      </w:pPr>
      <w:r>
        <w:rPr>
          <w:rFonts w:hint="eastAsia" w:ascii="宋体" w:hAnsi="宋体"/>
          <w:color w:val="auto"/>
          <w:kern w:val="0"/>
          <w:szCs w:val="21"/>
        </w:rPr>
        <w:t>（2）成员一职责分工：</w:t>
      </w:r>
      <w:r>
        <w:rPr>
          <w:rFonts w:hint="eastAsia" w:ascii="宋体" w:hAnsi="宋体"/>
          <w:color w:val="auto"/>
          <w:kern w:val="0"/>
          <w:szCs w:val="21"/>
          <w:u w:val="single"/>
        </w:rPr>
        <w:t xml:space="preserve">                                                      </w:t>
      </w:r>
    </w:p>
    <w:p>
      <w:pPr>
        <w:pStyle w:val="9"/>
        <w:spacing w:line="340" w:lineRule="exact"/>
        <w:ind w:firstLine="420" w:firstLineChars="200"/>
        <w:rPr>
          <w:rFonts w:ascii="宋体" w:hAnsi="宋体"/>
          <w:color w:val="auto"/>
          <w:kern w:val="0"/>
          <w:szCs w:val="21"/>
          <w:u w:val="single"/>
        </w:rPr>
      </w:pPr>
      <w:r>
        <w:rPr>
          <w:rFonts w:hint="eastAsia" w:ascii="宋体" w:hAnsi="宋体"/>
          <w:color w:val="auto"/>
          <w:kern w:val="0"/>
          <w:szCs w:val="21"/>
        </w:rPr>
        <w:t>（3）成员二职责分工：</w:t>
      </w:r>
      <w:r>
        <w:rPr>
          <w:rFonts w:hint="eastAsia" w:ascii="宋体" w:hAnsi="宋体"/>
          <w:color w:val="auto"/>
          <w:kern w:val="0"/>
          <w:szCs w:val="21"/>
          <w:u w:val="single"/>
        </w:rPr>
        <w:t xml:space="preserve">                                                      </w:t>
      </w:r>
    </w:p>
    <w:p>
      <w:pPr>
        <w:pStyle w:val="9"/>
        <w:spacing w:line="340" w:lineRule="exact"/>
        <w:ind w:firstLine="420" w:firstLineChars="200"/>
        <w:rPr>
          <w:rFonts w:ascii="宋体" w:hAnsi="宋体"/>
          <w:color w:val="auto"/>
          <w:kern w:val="0"/>
          <w:szCs w:val="21"/>
        </w:rPr>
      </w:pPr>
      <w:r>
        <w:rPr>
          <w:rFonts w:hint="eastAsia" w:ascii="宋体" w:hAnsi="宋体"/>
          <w:color w:val="auto"/>
          <w:kern w:val="0"/>
          <w:szCs w:val="21"/>
        </w:rPr>
        <w:t>5.联合体投标人各方将按照以上职责分工承担直接责任及连带责任。</w:t>
      </w:r>
    </w:p>
    <w:p>
      <w:pPr>
        <w:pStyle w:val="9"/>
        <w:spacing w:line="340" w:lineRule="exact"/>
        <w:ind w:firstLine="420" w:firstLineChars="200"/>
        <w:rPr>
          <w:rFonts w:ascii="宋体" w:hAnsi="宋体"/>
          <w:color w:val="auto"/>
          <w:kern w:val="0"/>
          <w:szCs w:val="21"/>
        </w:rPr>
      </w:pPr>
      <w:r>
        <w:rPr>
          <w:rFonts w:hint="eastAsia" w:ascii="宋体" w:hAnsi="宋体"/>
          <w:color w:val="auto"/>
          <w:kern w:val="0"/>
          <w:szCs w:val="21"/>
        </w:rPr>
        <w:t>6.本协议书自签署之日起生效，合同履行完毕之后自动失效。</w:t>
      </w:r>
    </w:p>
    <w:p>
      <w:pPr>
        <w:pStyle w:val="9"/>
        <w:spacing w:line="340" w:lineRule="exact"/>
        <w:ind w:firstLine="420" w:firstLineChars="200"/>
        <w:rPr>
          <w:rFonts w:ascii="宋体" w:hAnsi="宋体"/>
          <w:color w:val="auto"/>
          <w:kern w:val="0"/>
          <w:szCs w:val="21"/>
        </w:rPr>
      </w:pPr>
      <w:r>
        <w:rPr>
          <w:rFonts w:hint="eastAsia" w:ascii="宋体" w:hAnsi="宋体"/>
          <w:color w:val="auto"/>
          <w:kern w:val="0"/>
          <w:szCs w:val="21"/>
        </w:rPr>
        <w:t>7.本协议书一式 份，联合体成员和招标人各执一份。</w:t>
      </w:r>
    </w:p>
    <w:p>
      <w:pPr>
        <w:pStyle w:val="9"/>
        <w:spacing w:line="340" w:lineRule="exact"/>
        <w:rPr>
          <w:rFonts w:ascii="宋体" w:hAnsi="宋体"/>
          <w:color w:val="auto"/>
          <w:kern w:val="0"/>
          <w:szCs w:val="21"/>
        </w:rPr>
      </w:pPr>
      <w:r>
        <w:rPr>
          <w:rFonts w:hint="eastAsia" w:ascii="宋体" w:hAnsi="宋体"/>
          <w:color w:val="auto"/>
          <w:kern w:val="0"/>
          <w:szCs w:val="21"/>
        </w:rPr>
        <w:t>（说明：本协议书由被授权委托人签署的，应当附法定代表人授权委托书。）</w:t>
      </w:r>
    </w:p>
    <w:p>
      <w:pPr>
        <w:pStyle w:val="9"/>
        <w:spacing w:line="340" w:lineRule="exact"/>
        <w:rPr>
          <w:rFonts w:ascii="宋体" w:hAnsi="宋体"/>
          <w:color w:val="auto"/>
          <w:kern w:val="0"/>
          <w:szCs w:val="21"/>
        </w:rPr>
      </w:pPr>
      <w:r>
        <w:rPr>
          <w:rFonts w:hint="eastAsia" w:ascii="宋体" w:hAnsi="宋体"/>
          <w:color w:val="auto"/>
          <w:kern w:val="0"/>
          <w:szCs w:val="21"/>
        </w:rPr>
        <w:t>牵头人（投标人公章）：</w:t>
      </w:r>
      <w:r>
        <w:rPr>
          <w:rFonts w:hint="eastAsia" w:ascii="宋体" w:hAnsi="宋体"/>
          <w:color w:val="auto"/>
          <w:kern w:val="0"/>
          <w:szCs w:val="21"/>
          <w:u w:val="single"/>
        </w:rPr>
        <w:t xml:space="preserve">                                                           </w:t>
      </w:r>
    </w:p>
    <w:p>
      <w:pPr>
        <w:pStyle w:val="9"/>
        <w:spacing w:line="340" w:lineRule="exact"/>
        <w:rPr>
          <w:rFonts w:ascii="宋体" w:hAnsi="宋体"/>
          <w:color w:val="auto"/>
          <w:kern w:val="0"/>
          <w:szCs w:val="21"/>
        </w:rPr>
      </w:pPr>
      <w:r>
        <w:rPr>
          <w:rFonts w:hint="eastAsia" w:ascii="宋体" w:hAnsi="宋体"/>
          <w:color w:val="auto"/>
          <w:kern w:val="0"/>
          <w:szCs w:val="21"/>
        </w:rPr>
        <w:t>法定代表人（签名或签章）：</w:t>
      </w:r>
      <w:r>
        <w:rPr>
          <w:rFonts w:hint="eastAsia" w:ascii="宋体" w:hAnsi="宋体"/>
          <w:color w:val="auto"/>
          <w:kern w:val="0"/>
          <w:szCs w:val="21"/>
          <w:u w:val="single"/>
        </w:rPr>
        <w:t xml:space="preserve">                                                     </w:t>
      </w:r>
    </w:p>
    <w:p>
      <w:pPr>
        <w:pStyle w:val="9"/>
        <w:spacing w:line="340" w:lineRule="exact"/>
        <w:rPr>
          <w:rFonts w:ascii="宋体" w:hAnsi="宋体"/>
          <w:color w:val="auto"/>
          <w:kern w:val="0"/>
          <w:szCs w:val="21"/>
        </w:rPr>
      </w:pPr>
      <w:r>
        <w:rPr>
          <w:rFonts w:hint="eastAsia" w:ascii="宋体" w:hAnsi="宋体"/>
          <w:color w:val="auto"/>
          <w:kern w:val="0"/>
          <w:szCs w:val="21"/>
        </w:rPr>
        <w:t>被授权委托人（签名或签章）：</w:t>
      </w:r>
      <w:r>
        <w:rPr>
          <w:rFonts w:hint="eastAsia" w:ascii="宋体" w:hAnsi="宋体"/>
          <w:color w:val="auto"/>
          <w:kern w:val="0"/>
          <w:szCs w:val="21"/>
          <w:u w:val="single"/>
        </w:rPr>
        <w:t xml:space="preserve">                                                   </w:t>
      </w:r>
    </w:p>
    <w:p>
      <w:pPr>
        <w:pStyle w:val="9"/>
        <w:spacing w:line="340" w:lineRule="exact"/>
        <w:rPr>
          <w:rFonts w:ascii="宋体" w:hAnsi="宋体"/>
          <w:color w:val="auto"/>
          <w:kern w:val="0"/>
          <w:szCs w:val="21"/>
        </w:rPr>
      </w:pPr>
      <w:r>
        <w:rPr>
          <w:rFonts w:hint="eastAsia" w:ascii="宋体" w:hAnsi="宋体"/>
          <w:color w:val="auto"/>
          <w:kern w:val="0"/>
          <w:szCs w:val="21"/>
        </w:rPr>
        <w:t>成员一（投标人公章）：</w:t>
      </w:r>
      <w:r>
        <w:rPr>
          <w:rFonts w:hint="eastAsia" w:ascii="宋体" w:hAnsi="宋体"/>
          <w:color w:val="auto"/>
          <w:kern w:val="0"/>
          <w:szCs w:val="21"/>
          <w:u w:val="single"/>
        </w:rPr>
        <w:t xml:space="preserve">                                                           </w:t>
      </w:r>
    </w:p>
    <w:p>
      <w:pPr>
        <w:pStyle w:val="9"/>
        <w:spacing w:line="340" w:lineRule="exact"/>
        <w:rPr>
          <w:rFonts w:ascii="宋体" w:hAnsi="宋体"/>
          <w:color w:val="auto"/>
          <w:kern w:val="0"/>
          <w:szCs w:val="21"/>
        </w:rPr>
      </w:pPr>
      <w:r>
        <w:rPr>
          <w:rFonts w:hint="eastAsia" w:ascii="宋体" w:hAnsi="宋体"/>
          <w:color w:val="auto"/>
          <w:kern w:val="0"/>
          <w:szCs w:val="21"/>
        </w:rPr>
        <w:t>法定代表人（签名或签章）：</w:t>
      </w:r>
      <w:r>
        <w:rPr>
          <w:rFonts w:hint="eastAsia" w:ascii="宋体" w:hAnsi="宋体"/>
          <w:color w:val="auto"/>
          <w:kern w:val="0"/>
          <w:szCs w:val="21"/>
          <w:u w:val="single"/>
        </w:rPr>
        <w:t xml:space="preserve">                                                     </w:t>
      </w:r>
    </w:p>
    <w:p>
      <w:pPr>
        <w:pStyle w:val="9"/>
        <w:spacing w:line="340" w:lineRule="exact"/>
        <w:rPr>
          <w:rFonts w:ascii="宋体" w:hAnsi="宋体"/>
          <w:color w:val="auto"/>
          <w:kern w:val="0"/>
          <w:szCs w:val="21"/>
        </w:rPr>
      </w:pPr>
      <w:r>
        <w:rPr>
          <w:rFonts w:hint="eastAsia" w:ascii="宋体" w:hAnsi="宋体"/>
          <w:color w:val="auto"/>
          <w:kern w:val="0"/>
          <w:szCs w:val="21"/>
        </w:rPr>
        <w:t>被授权委托人（签名或签章）：</w:t>
      </w:r>
      <w:r>
        <w:rPr>
          <w:rFonts w:hint="eastAsia" w:ascii="宋体" w:hAnsi="宋体"/>
          <w:color w:val="auto"/>
          <w:kern w:val="0"/>
          <w:szCs w:val="21"/>
          <w:u w:val="single"/>
        </w:rPr>
        <w:t xml:space="preserve">                                                   </w:t>
      </w:r>
    </w:p>
    <w:p>
      <w:pPr>
        <w:pStyle w:val="9"/>
        <w:spacing w:line="340" w:lineRule="exact"/>
        <w:rPr>
          <w:rFonts w:ascii="宋体" w:hAnsi="宋体"/>
          <w:color w:val="auto"/>
          <w:kern w:val="0"/>
          <w:szCs w:val="21"/>
        </w:rPr>
      </w:pPr>
      <w:r>
        <w:rPr>
          <w:rFonts w:hint="eastAsia" w:ascii="宋体" w:hAnsi="宋体"/>
          <w:color w:val="auto"/>
          <w:kern w:val="0"/>
          <w:szCs w:val="21"/>
        </w:rPr>
        <w:t>成员二（投标人公章）：</w:t>
      </w:r>
      <w:r>
        <w:rPr>
          <w:rFonts w:hint="eastAsia" w:ascii="宋体" w:hAnsi="宋体"/>
          <w:color w:val="auto"/>
          <w:kern w:val="0"/>
          <w:szCs w:val="21"/>
          <w:u w:val="single"/>
        </w:rPr>
        <w:t xml:space="preserve">                                                           </w:t>
      </w:r>
    </w:p>
    <w:p>
      <w:pPr>
        <w:pStyle w:val="9"/>
        <w:spacing w:line="340" w:lineRule="exact"/>
        <w:rPr>
          <w:rFonts w:ascii="宋体" w:hAnsi="宋体"/>
          <w:color w:val="auto"/>
          <w:kern w:val="0"/>
          <w:szCs w:val="21"/>
        </w:rPr>
      </w:pPr>
      <w:r>
        <w:rPr>
          <w:rFonts w:hint="eastAsia" w:ascii="宋体" w:hAnsi="宋体"/>
          <w:color w:val="auto"/>
          <w:kern w:val="0"/>
          <w:szCs w:val="21"/>
        </w:rPr>
        <w:t>法定代表人（签名或签章）：</w:t>
      </w:r>
      <w:r>
        <w:rPr>
          <w:rFonts w:hint="eastAsia" w:ascii="宋体" w:hAnsi="宋体"/>
          <w:color w:val="auto"/>
          <w:kern w:val="0"/>
          <w:szCs w:val="21"/>
          <w:u w:val="single"/>
        </w:rPr>
        <w:t xml:space="preserve">                                                     </w:t>
      </w:r>
    </w:p>
    <w:p>
      <w:pPr>
        <w:pStyle w:val="9"/>
        <w:spacing w:line="340" w:lineRule="exact"/>
        <w:rPr>
          <w:rFonts w:ascii="宋体" w:hAnsi="宋体"/>
          <w:color w:val="auto"/>
          <w:kern w:val="0"/>
          <w:szCs w:val="21"/>
        </w:rPr>
      </w:pPr>
      <w:r>
        <w:rPr>
          <w:rFonts w:hint="eastAsia" w:ascii="宋体" w:hAnsi="宋体"/>
          <w:color w:val="auto"/>
          <w:kern w:val="0"/>
          <w:szCs w:val="21"/>
        </w:rPr>
        <w:t>被授权委托人（签名或签章）：</w:t>
      </w:r>
      <w:r>
        <w:rPr>
          <w:rFonts w:hint="eastAsia" w:ascii="宋体" w:hAnsi="宋体"/>
          <w:color w:val="auto"/>
          <w:kern w:val="0"/>
          <w:szCs w:val="21"/>
          <w:u w:val="single"/>
        </w:rPr>
        <w:t xml:space="preserve">                                                   </w:t>
      </w:r>
    </w:p>
    <w:p>
      <w:pPr>
        <w:pStyle w:val="9"/>
        <w:spacing w:line="340" w:lineRule="exact"/>
        <w:jc w:val="right"/>
        <w:rPr>
          <w:rFonts w:ascii="宋体" w:hAnsi="宋体"/>
          <w:color w:val="auto"/>
          <w:kern w:val="0"/>
          <w:szCs w:val="21"/>
          <w:u w:val="single"/>
        </w:rPr>
      </w:pPr>
    </w:p>
    <w:p>
      <w:pPr>
        <w:pStyle w:val="9"/>
        <w:spacing w:line="340" w:lineRule="exact"/>
        <w:jc w:val="right"/>
        <w:rPr>
          <w:rFonts w:ascii="宋体" w:hAnsi="宋体"/>
          <w:color w:val="auto"/>
          <w:kern w:val="0"/>
          <w:szCs w:val="21"/>
        </w:rPr>
      </w:pPr>
      <w:r>
        <w:rPr>
          <w:rFonts w:hint="eastAsia" w:ascii="宋体" w:hAnsi="宋体"/>
          <w:color w:val="auto"/>
          <w:kern w:val="0"/>
          <w:szCs w:val="21"/>
          <w:u w:val="single"/>
        </w:rPr>
        <w:t xml:space="preserve">        </w:t>
      </w:r>
      <w:r>
        <w:rPr>
          <w:rFonts w:hint="eastAsia" w:ascii="宋体" w:hAnsi="宋体"/>
          <w:color w:val="auto"/>
          <w:kern w:val="0"/>
          <w:szCs w:val="21"/>
        </w:rPr>
        <w:t>年</w:t>
      </w:r>
      <w:r>
        <w:rPr>
          <w:rFonts w:hint="eastAsia" w:ascii="宋体" w:hAnsi="宋体"/>
          <w:color w:val="auto"/>
          <w:kern w:val="0"/>
          <w:szCs w:val="21"/>
          <w:u w:val="single"/>
        </w:rPr>
        <w:t xml:space="preserve">   </w:t>
      </w:r>
      <w:r>
        <w:rPr>
          <w:rFonts w:hint="eastAsia" w:ascii="宋体" w:hAnsi="宋体"/>
          <w:color w:val="auto"/>
          <w:kern w:val="0"/>
          <w:szCs w:val="21"/>
        </w:rPr>
        <w:t>月</w:t>
      </w:r>
      <w:r>
        <w:rPr>
          <w:rFonts w:hint="eastAsia" w:ascii="宋体" w:hAnsi="宋体"/>
          <w:color w:val="auto"/>
          <w:kern w:val="0"/>
          <w:szCs w:val="21"/>
          <w:u w:val="single"/>
        </w:rPr>
        <w:t xml:space="preserve">   </w:t>
      </w:r>
      <w:r>
        <w:rPr>
          <w:rFonts w:hint="eastAsia" w:ascii="宋体" w:hAnsi="宋体"/>
          <w:color w:val="auto"/>
          <w:kern w:val="0"/>
          <w:szCs w:val="21"/>
        </w:rPr>
        <w:t>日</w:t>
      </w:r>
    </w:p>
    <w:p>
      <w:pPr>
        <w:spacing w:line="500" w:lineRule="exact"/>
        <w:jc w:val="center"/>
        <w:outlineLvl w:val="1"/>
        <w:rPr>
          <w:rFonts w:ascii="宋体" w:hAnsi="宋体"/>
          <w:b/>
          <w:bCs/>
          <w:color w:val="auto"/>
          <w:sz w:val="32"/>
        </w:rPr>
      </w:pPr>
      <w:bookmarkStart w:id="21" w:name="_Toc83352811"/>
      <w:bookmarkStart w:id="22" w:name="_Toc81908149"/>
      <w:bookmarkStart w:id="23" w:name="_Toc81908627"/>
      <w:bookmarkStart w:id="24" w:name="_Toc81907991"/>
      <w:bookmarkStart w:id="25" w:name="_Toc83316613"/>
      <w:bookmarkStart w:id="26" w:name="_Toc82327571"/>
      <w:bookmarkStart w:id="27" w:name="_Toc166560318"/>
      <w:bookmarkStart w:id="28" w:name="_Toc166560317"/>
      <w:bookmarkStart w:id="29" w:name="_Toc311896664"/>
      <w:r>
        <w:rPr>
          <w:rFonts w:hint="eastAsia" w:ascii="宋体" w:hAnsi="宋体"/>
          <w:b/>
          <w:bCs/>
          <w:color w:val="auto"/>
          <w:sz w:val="32"/>
        </w:rPr>
        <w:t>四、投标保证金证明文件复印件</w:t>
      </w:r>
    </w:p>
    <w:p>
      <w:pPr>
        <w:spacing w:line="500" w:lineRule="exact"/>
        <w:jc w:val="center"/>
        <w:rPr>
          <w:rFonts w:ascii="宋体" w:hAnsi="宋体"/>
          <w:b/>
          <w:bCs/>
          <w:color w:val="auto"/>
          <w:sz w:val="32"/>
        </w:rPr>
      </w:pPr>
    </w:p>
    <w:p>
      <w:pPr>
        <w:spacing w:before="240" w:beforeLines="100" w:after="120" w:afterLines="50" w:line="360" w:lineRule="auto"/>
        <w:jc w:val="center"/>
        <w:outlineLvl w:val="2"/>
        <w:rPr>
          <w:rFonts w:ascii="黑体" w:hAnsi="黑体" w:eastAsia="黑体"/>
          <w:b/>
          <w:color w:val="auto"/>
          <w:sz w:val="24"/>
        </w:rPr>
      </w:pPr>
      <w:r>
        <w:rPr>
          <w:rFonts w:hint="eastAsia" w:ascii="黑体" w:hAnsi="黑体" w:eastAsia="黑体"/>
          <w:b/>
          <w:color w:val="auto"/>
          <w:sz w:val="24"/>
        </w:rPr>
        <w:t>（一）</w:t>
      </w:r>
      <w:r>
        <w:rPr>
          <w:rFonts w:hint="eastAsia" w:ascii="黑体" w:hAnsi="黑体" w:eastAsia="黑体"/>
          <w:color w:val="auto"/>
          <w:sz w:val="24"/>
        </w:rPr>
        <w:t>投标人基本账户的开户许可证复印件（加盖单位公章）</w:t>
      </w: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widowControl/>
        <w:jc w:val="left"/>
        <w:rPr>
          <w:rFonts w:ascii="宋体" w:hAnsi="宋体"/>
          <w:b/>
          <w:bCs/>
          <w:color w:val="auto"/>
          <w:sz w:val="32"/>
        </w:rPr>
      </w:pPr>
      <w:r>
        <w:rPr>
          <w:rFonts w:ascii="宋体" w:hAnsi="宋体"/>
          <w:b/>
          <w:bCs/>
          <w:color w:val="auto"/>
          <w:sz w:val="32"/>
        </w:rPr>
        <w:br w:type="page"/>
      </w:r>
    </w:p>
    <w:p>
      <w:pPr>
        <w:spacing w:before="240" w:beforeLines="100" w:after="120" w:afterLines="50" w:line="360" w:lineRule="auto"/>
        <w:jc w:val="center"/>
        <w:outlineLvl w:val="2"/>
        <w:rPr>
          <w:rFonts w:ascii="黑体" w:hAnsi="黑体" w:eastAsia="黑体"/>
          <w:b/>
          <w:color w:val="auto"/>
          <w:sz w:val="24"/>
        </w:rPr>
      </w:pPr>
      <w:r>
        <w:rPr>
          <w:rFonts w:hint="eastAsia" w:ascii="黑体" w:hAnsi="黑体" w:eastAsia="黑体"/>
          <w:b/>
          <w:color w:val="auto"/>
          <w:sz w:val="24"/>
        </w:rPr>
        <w:t>（二）投标保证金（A）</w:t>
      </w:r>
    </w:p>
    <w:p>
      <w:pPr>
        <w:spacing w:before="240" w:beforeLines="100" w:after="120" w:afterLines="50" w:line="360" w:lineRule="auto"/>
        <w:jc w:val="center"/>
        <w:rPr>
          <w:rFonts w:ascii="黑体" w:hAnsi="宋体" w:eastAsia="黑体"/>
          <w:b/>
          <w:color w:val="auto"/>
          <w:sz w:val="28"/>
          <w:szCs w:val="28"/>
        </w:rPr>
      </w:pPr>
      <w:r>
        <w:rPr>
          <w:rFonts w:hint="eastAsia" w:ascii="黑体" w:hAnsi="宋体" w:eastAsia="黑体"/>
          <w:b/>
          <w:color w:val="auto"/>
          <w:sz w:val="28"/>
          <w:szCs w:val="28"/>
        </w:rPr>
        <w:t>（参考格式）</w:t>
      </w:r>
    </w:p>
    <w:p>
      <w:pPr>
        <w:spacing w:line="460" w:lineRule="exact"/>
        <w:ind w:firstLine="6300" w:firstLineChars="3000"/>
        <w:rPr>
          <w:rFonts w:ascii="宋体" w:hAnsi="宋体"/>
          <w:color w:val="auto"/>
          <w:szCs w:val="21"/>
        </w:rPr>
      </w:pPr>
      <w:r>
        <w:rPr>
          <w:rFonts w:hint="eastAsia" w:ascii="宋体" w:hAnsi="宋体"/>
          <w:color w:val="auto"/>
          <w:szCs w:val="21"/>
        </w:rPr>
        <w:t>保函编号：</w:t>
      </w:r>
      <w:r>
        <w:rPr>
          <w:rFonts w:hint="eastAsia" w:ascii="宋体" w:hAnsi="宋体"/>
          <w:color w:val="auto"/>
          <w:szCs w:val="21"/>
          <w:u w:val="single"/>
        </w:rPr>
        <w:t xml:space="preserve">          </w:t>
      </w:r>
    </w:p>
    <w:p>
      <w:pPr>
        <w:spacing w:line="460" w:lineRule="exact"/>
        <w:rPr>
          <w:rFonts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rPr>
        <w:t>（招标人名称）：</w:t>
      </w:r>
    </w:p>
    <w:p>
      <w:pPr>
        <w:spacing w:line="460" w:lineRule="exact"/>
        <w:ind w:firstLine="420" w:firstLineChars="200"/>
        <w:rPr>
          <w:rFonts w:ascii="宋体" w:hAnsi="宋体"/>
          <w:color w:val="auto"/>
          <w:szCs w:val="21"/>
        </w:rPr>
      </w:pPr>
      <w:r>
        <w:rPr>
          <w:rFonts w:hint="eastAsia" w:ascii="宋体" w:hAnsi="宋体"/>
          <w:color w:val="auto"/>
          <w:szCs w:val="21"/>
        </w:rPr>
        <w:t>鉴于</w:t>
      </w:r>
      <w:r>
        <w:rPr>
          <w:rFonts w:hint="eastAsia" w:ascii="宋体" w:hAnsi="宋体"/>
          <w:color w:val="auto"/>
          <w:szCs w:val="21"/>
          <w:u w:val="single"/>
        </w:rPr>
        <w:t xml:space="preserve">                   </w:t>
      </w:r>
      <w:r>
        <w:rPr>
          <w:rFonts w:hint="eastAsia" w:ascii="宋体" w:hAnsi="宋体"/>
          <w:color w:val="auto"/>
          <w:szCs w:val="21"/>
        </w:rPr>
        <w:t>（投标人名称）（以下简称“投标人”）参加你方</w:t>
      </w:r>
      <w:r>
        <w:rPr>
          <w:rFonts w:hint="eastAsia" w:ascii="宋体" w:hAnsi="宋体"/>
          <w:color w:val="auto"/>
          <w:szCs w:val="21"/>
          <w:u w:val="single"/>
        </w:rPr>
        <w:t xml:space="preserve">       </w:t>
      </w:r>
      <w:r>
        <w:rPr>
          <w:rFonts w:hint="eastAsia" w:ascii="宋体" w:hAnsi="宋体"/>
          <w:color w:val="auto"/>
          <w:szCs w:val="21"/>
        </w:rPr>
        <w:t>（项目名称）工程监理投标，</w:t>
      </w:r>
      <w:r>
        <w:rPr>
          <w:rFonts w:hint="eastAsia" w:ascii="宋体" w:hAnsi="宋体"/>
          <w:color w:val="auto"/>
          <w:szCs w:val="21"/>
          <w:u w:val="single"/>
        </w:rPr>
        <w:t xml:space="preserve">                            </w:t>
      </w:r>
      <w:r>
        <w:rPr>
          <w:rFonts w:hint="eastAsia" w:ascii="宋体" w:hAnsi="宋体"/>
          <w:color w:val="auto"/>
          <w:szCs w:val="21"/>
        </w:rPr>
        <w:t>（担保人名称）（以下简称“我方”）受该投标人委托，在此无条件地、不可撤销地保证：一旦收到你方提出的下述任何一种事实的书面通知，在7日内无条件地向你方支付总额不超过</w:t>
      </w:r>
      <w:r>
        <w:rPr>
          <w:rFonts w:hint="eastAsia" w:ascii="宋体" w:hAnsi="宋体"/>
          <w:color w:val="auto"/>
          <w:szCs w:val="21"/>
          <w:u w:val="single"/>
        </w:rPr>
        <w:t xml:space="preserve">                  </w:t>
      </w:r>
      <w:r>
        <w:rPr>
          <w:rFonts w:hint="eastAsia" w:ascii="宋体" w:hAnsi="宋体"/>
          <w:color w:val="auto"/>
          <w:szCs w:val="21"/>
        </w:rPr>
        <w:t>（投标保函额度）的任何你方要求的金额：</w:t>
      </w:r>
    </w:p>
    <w:p>
      <w:pPr>
        <w:spacing w:line="460" w:lineRule="exact"/>
        <w:ind w:firstLine="420" w:firstLineChars="200"/>
        <w:rPr>
          <w:rFonts w:ascii="宋体" w:hAnsi="宋体"/>
          <w:color w:val="auto"/>
          <w:szCs w:val="21"/>
        </w:rPr>
      </w:pPr>
      <w:r>
        <w:rPr>
          <w:rFonts w:hint="eastAsia" w:ascii="宋体" w:hAnsi="宋体"/>
          <w:color w:val="auto"/>
          <w:szCs w:val="21"/>
        </w:rPr>
        <w:t>1．投标人在规定的投标有效期内撤销或者修改其投标文件。</w:t>
      </w:r>
    </w:p>
    <w:p>
      <w:pPr>
        <w:spacing w:line="460" w:lineRule="exact"/>
        <w:ind w:firstLine="420" w:firstLineChars="200"/>
        <w:rPr>
          <w:rFonts w:ascii="宋体" w:hAnsi="宋体"/>
          <w:color w:val="auto"/>
          <w:szCs w:val="21"/>
        </w:rPr>
      </w:pPr>
      <w:r>
        <w:rPr>
          <w:rFonts w:hint="eastAsia" w:ascii="宋体" w:hAnsi="宋体"/>
          <w:color w:val="auto"/>
          <w:szCs w:val="21"/>
        </w:rPr>
        <w:t>2．投标人在收到中标通知书后无正当理由而未在规定期限内与贵方签署合同。</w:t>
      </w:r>
    </w:p>
    <w:p>
      <w:pPr>
        <w:spacing w:line="460" w:lineRule="exact"/>
        <w:ind w:firstLine="420" w:firstLineChars="200"/>
        <w:rPr>
          <w:rFonts w:ascii="宋体" w:hAnsi="宋体"/>
          <w:color w:val="auto"/>
          <w:szCs w:val="21"/>
        </w:rPr>
      </w:pPr>
      <w:r>
        <w:rPr>
          <w:rFonts w:hint="eastAsia" w:ascii="宋体" w:hAnsi="宋体"/>
          <w:color w:val="auto"/>
          <w:szCs w:val="21"/>
        </w:rPr>
        <w:t>3．投标人在收到中标通知书后未能在招标文件规定期限内向贵方提交招标文件所要求的履约担保。</w:t>
      </w:r>
    </w:p>
    <w:p>
      <w:pPr>
        <w:spacing w:line="460" w:lineRule="exact"/>
        <w:ind w:firstLine="420" w:firstLineChars="200"/>
        <w:rPr>
          <w:rFonts w:ascii="宋体" w:hAnsi="宋体"/>
          <w:color w:val="auto"/>
          <w:szCs w:val="21"/>
        </w:rPr>
      </w:pPr>
      <w:r>
        <w:rPr>
          <w:rFonts w:hint="eastAsia" w:ascii="宋体" w:hAnsi="宋体"/>
          <w:color w:val="auto"/>
          <w:szCs w:val="21"/>
        </w:rPr>
        <w:t>本保函在投标有效期内保持有效，除非你方提前终止或解除本保函。要求我方承担保证责任的通知应在投标有效期内送达我方。保函失效后请将本保函交投标人退回我方注销。</w:t>
      </w:r>
    </w:p>
    <w:p>
      <w:pPr>
        <w:spacing w:line="460" w:lineRule="exact"/>
        <w:ind w:firstLine="420" w:firstLineChars="200"/>
        <w:rPr>
          <w:rFonts w:ascii="宋体" w:hAnsi="宋体"/>
          <w:color w:val="auto"/>
          <w:szCs w:val="21"/>
        </w:rPr>
      </w:pPr>
      <w:r>
        <w:rPr>
          <w:rFonts w:hint="eastAsia" w:ascii="宋体" w:hAnsi="宋体"/>
          <w:color w:val="auto"/>
          <w:szCs w:val="21"/>
        </w:rPr>
        <w:t>本保函项下所有权利和义务均受中华人民共和国法律管辖和制约。</w:t>
      </w:r>
    </w:p>
    <w:p>
      <w:pPr>
        <w:spacing w:line="460" w:lineRule="exact"/>
        <w:ind w:firstLine="420" w:firstLineChars="200"/>
        <w:rPr>
          <w:rFonts w:ascii="宋体" w:hAnsi="宋体"/>
          <w:color w:val="auto"/>
          <w:szCs w:val="21"/>
        </w:rPr>
      </w:pPr>
    </w:p>
    <w:p>
      <w:pPr>
        <w:spacing w:line="460" w:lineRule="exact"/>
        <w:ind w:firstLine="2100" w:firstLineChars="1000"/>
        <w:rPr>
          <w:rFonts w:ascii="宋体" w:hAnsi="宋体"/>
          <w:color w:val="auto"/>
          <w:szCs w:val="21"/>
        </w:rPr>
      </w:pPr>
      <w:r>
        <w:rPr>
          <w:rFonts w:hint="eastAsia" w:ascii="宋体" w:hAnsi="宋体"/>
          <w:color w:val="auto"/>
          <w:szCs w:val="21"/>
        </w:rPr>
        <w:t>担保人名称：</w:t>
      </w:r>
      <w:r>
        <w:rPr>
          <w:rFonts w:hint="eastAsia" w:ascii="宋体" w:hAnsi="宋体"/>
          <w:color w:val="auto"/>
          <w:szCs w:val="21"/>
          <w:u w:val="single"/>
        </w:rPr>
        <w:t xml:space="preserve">                                </w:t>
      </w:r>
      <w:r>
        <w:rPr>
          <w:rFonts w:hint="eastAsia" w:ascii="宋体" w:hAnsi="宋体"/>
          <w:color w:val="auto"/>
          <w:szCs w:val="21"/>
        </w:rPr>
        <w:t>（盖单位章）</w:t>
      </w:r>
    </w:p>
    <w:p>
      <w:pPr>
        <w:spacing w:line="460" w:lineRule="exact"/>
        <w:ind w:firstLine="2100" w:firstLineChars="1000"/>
        <w:rPr>
          <w:rFonts w:ascii="宋体" w:hAnsi="宋体"/>
          <w:color w:val="auto"/>
          <w:szCs w:val="21"/>
        </w:rPr>
      </w:pPr>
      <w:r>
        <w:rPr>
          <w:rFonts w:hint="eastAsia" w:ascii="宋体" w:hAnsi="宋体"/>
          <w:color w:val="auto"/>
          <w:szCs w:val="21"/>
        </w:rPr>
        <w:t>法定代表人或其委托代理人：</w:t>
      </w:r>
      <w:r>
        <w:rPr>
          <w:rFonts w:hint="eastAsia" w:ascii="宋体" w:hAnsi="宋体"/>
          <w:color w:val="auto"/>
          <w:szCs w:val="21"/>
          <w:u w:val="single"/>
        </w:rPr>
        <w:t xml:space="preserve">                      </w:t>
      </w:r>
      <w:r>
        <w:rPr>
          <w:rFonts w:hint="eastAsia" w:ascii="宋体" w:hAnsi="宋体"/>
          <w:color w:val="auto"/>
          <w:szCs w:val="21"/>
        </w:rPr>
        <w:t>（签字）</w:t>
      </w:r>
    </w:p>
    <w:p>
      <w:pPr>
        <w:spacing w:line="460" w:lineRule="exact"/>
        <w:ind w:firstLine="2100" w:firstLineChars="1000"/>
        <w:rPr>
          <w:rFonts w:ascii="宋体" w:hAnsi="宋体"/>
          <w:color w:val="auto"/>
          <w:szCs w:val="21"/>
        </w:rPr>
      </w:pPr>
      <w:r>
        <w:rPr>
          <w:rFonts w:hint="eastAsia" w:ascii="宋体" w:hAnsi="宋体"/>
          <w:color w:val="auto"/>
          <w:szCs w:val="21"/>
        </w:rPr>
        <w:t>地    址：</w:t>
      </w:r>
      <w:r>
        <w:rPr>
          <w:rFonts w:hint="eastAsia" w:ascii="宋体" w:hAnsi="宋体"/>
          <w:color w:val="auto"/>
          <w:szCs w:val="21"/>
          <w:u w:val="single"/>
        </w:rPr>
        <w:t xml:space="preserve">                                             </w:t>
      </w:r>
    </w:p>
    <w:p>
      <w:pPr>
        <w:spacing w:line="460" w:lineRule="exact"/>
        <w:ind w:firstLine="2100" w:firstLineChars="1000"/>
        <w:rPr>
          <w:rFonts w:ascii="宋体" w:hAnsi="宋体"/>
          <w:color w:val="auto"/>
          <w:szCs w:val="21"/>
        </w:rPr>
      </w:pPr>
      <w:r>
        <w:rPr>
          <w:rFonts w:hint="eastAsia" w:ascii="宋体" w:hAnsi="宋体"/>
          <w:color w:val="auto"/>
          <w:szCs w:val="21"/>
        </w:rPr>
        <w:t>邮政编码：</w:t>
      </w:r>
      <w:r>
        <w:rPr>
          <w:rFonts w:hint="eastAsia" w:ascii="宋体" w:hAnsi="宋体"/>
          <w:color w:val="auto"/>
          <w:szCs w:val="21"/>
          <w:u w:val="single"/>
        </w:rPr>
        <w:t xml:space="preserve">                                             </w:t>
      </w:r>
    </w:p>
    <w:p>
      <w:pPr>
        <w:spacing w:line="460" w:lineRule="exact"/>
        <w:ind w:firstLine="2100" w:firstLineChars="1000"/>
        <w:rPr>
          <w:rFonts w:ascii="宋体" w:hAnsi="宋体"/>
          <w:color w:val="auto"/>
          <w:szCs w:val="21"/>
        </w:rPr>
      </w:pPr>
      <w:r>
        <w:rPr>
          <w:rFonts w:hint="eastAsia" w:ascii="宋体" w:hAnsi="宋体"/>
          <w:color w:val="auto"/>
          <w:szCs w:val="21"/>
        </w:rPr>
        <w:t>电    话：</w:t>
      </w:r>
      <w:r>
        <w:rPr>
          <w:rFonts w:hint="eastAsia" w:ascii="宋体" w:hAnsi="宋体"/>
          <w:color w:val="auto"/>
          <w:szCs w:val="21"/>
          <w:u w:val="single"/>
        </w:rPr>
        <w:t xml:space="preserve">                                             </w:t>
      </w:r>
    </w:p>
    <w:p>
      <w:pPr>
        <w:spacing w:line="460" w:lineRule="exact"/>
        <w:ind w:firstLine="2100" w:firstLineChars="1000"/>
        <w:rPr>
          <w:rFonts w:ascii="宋体" w:hAnsi="宋体"/>
          <w:color w:val="auto"/>
          <w:szCs w:val="21"/>
          <w:u w:val="single"/>
        </w:rPr>
      </w:pPr>
      <w:r>
        <w:rPr>
          <w:rFonts w:hint="eastAsia" w:ascii="宋体" w:hAnsi="宋体"/>
          <w:color w:val="auto"/>
          <w:szCs w:val="21"/>
        </w:rPr>
        <w:t>传    真：</w:t>
      </w:r>
      <w:r>
        <w:rPr>
          <w:rFonts w:hint="eastAsia" w:ascii="宋体" w:hAnsi="宋体"/>
          <w:color w:val="auto"/>
          <w:szCs w:val="21"/>
          <w:u w:val="single"/>
        </w:rPr>
        <w:t xml:space="preserve">                                             </w:t>
      </w:r>
    </w:p>
    <w:p>
      <w:pPr>
        <w:spacing w:line="460" w:lineRule="exact"/>
        <w:rPr>
          <w:rFonts w:ascii="宋体" w:hAnsi="宋体"/>
          <w:color w:val="auto"/>
          <w:szCs w:val="21"/>
        </w:rPr>
      </w:pPr>
    </w:p>
    <w:p>
      <w:pPr>
        <w:spacing w:line="460" w:lineRule="exact"/>
        <w:jc w:val="right"/>
        <w:rPr>
          <w:rFonts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 xml:space="preserve">日      </w:t>
      </w:r>
    </w:p>
    <w:p>
      <w:pPr>
        <w:spacing w:line="460" w:lineRule="exact"/>
        <w:rPr>
          <w:rFonts w:ascii="宋体" w:hAnsi="宋体"/>
          <w:color w:val="auto"/>
          <w:szCs w:val="21"/>
        </w:rPr>
      </w:pPr>
    </w:p>
    <w:p>
      <w:pPr>
        <w:spacing w:line="460" w:lineRule="exact"/>
        <w:rPr>
          <w:rFonts w:ascii="宋体" w:hAnsi="宋体"/>
          <w:color w:val="auto"/>
          <w:szCs w:val="21"/>
        </w:rPr>
      </w:pPr>
      <w:r>
        <w:rPr>
          <w:rFonts w:hint="eastAsia" w:ascii="黑体" w:hAnsi="宋体" w:eastAsia="黑体"/>
          <w:color w:val="auto"/>
          <w:szCs w:val="21"/>
        </w:rPr>
        <w:t>备注：</w:t>
      </w:r>
      <w:r>
        <w:rPr>
          <w:rFonts w:hint="eastAsia" w:ascii="宋体" w:hAnsi="宋体"/>
          <w:color w:val="auto"/>
          <w:szCs w:val="21"/>
        </w:rPr>
        <w:t>经过招标人事先的书面同意，投标人可采用招标人认可的投标保函格式，但相关内容</w:t>
      </w:r>
    </w:p>
    <w:p>
      <w:pPr>
        <w:spacing w:line="460" w:lineRule="exact"/>
        <w:rPr>
          <w:rFonts w:ascii="宋体" w:hAnsi="宋体"/>
          <w:color w:val="auto"/>
          <w:szCs w:val="21"/>
        </w:rPr>
      </w:pPr>
      <w:r>
        <w:rPr>
          <w:rFonts w:hint="eastAsia" w:ascii="宋体" w:hAnsi="宋体"/>
          <w:color w:val="auto"/>
          <w:szCs w:val="21"/>
        </w:rPr>
        <w:t>不得背离招标文件约定的实质性内容。</w:t>
      </w:r>
    </w:p>
    <w:p>
      <w:pPr>
        <w:spacing w:before="240" w:beforeLines="100" w:after="120" w:afterLines="50" w:line="360" w:lineRule="auto"/>
        <w:jc w:val="center"/>
        <w:rPr>
          <w:rFonts w:ascii="黑体" w:hAnsi="宋体" w:eastAsia="黑体"/>
          <w:color w:val="auto"/>
          <w:sz w:val="28"/>
          <w:szCs w:val="28"/>
        </w:rPr>
      </w:pPr>
    </w:p>
    <w:p>
      <w:pPr>
        <w:spacing w:before="240" w:beforeLines="100" w:after="120" w:afterLines="50" w:line="360" w:lineRule="auto"/>
        <w:jc w:val="center"/>
        <w:outlineLvl w:val="2"/>
        <w:rPr>
          <w:rFonts w:ascii="黑体" w:hAnsi="宋体" w:eastAsia="黑体"/>
          <w:color w:val="auto"/>
          <w:sz w:val="24"/>
          <w:szCs w:val="28"/>
        </w:rPr>
      </w:pPr>
      <w:r>
        <w:rPr>
          <w:rFonts w:hint="eastAsia" w:ascii="黑体" w:hAnsi="宋体" w:eastAsia="黑体"/>
          <w:color w:val="auto"/>
          <w:sz w:val="24"/>
          <w:szCs w:val="28"/>
        </w:rPr>
        <w:t>（二）投标保证金（B）</w:t>
      </w:r>
    </w:p>
    <w:p>
      <w:pPr>
        <w:spacing w:before="240" w:beforeLines="100" w:after="120" w:afterLines="50" w:line="360" w:lineRule="auto"/>
        <w:jc w:val="center"/>
        <w:rPr>
          <w:rFonts w:ascii="黑体" w:hAnsi="宋体" w:eastAsia="黑体"/>
          <w:b/>
          <w:color w:val="auto"/>
          <w:sz w:val="28"/>
          <w:szCs w:val="28"/>
        </w:rPr>
      </w:pPr>
      <w:r>
        <w:rPr>
          <w:rFonts w:hint="eastAsia" w:ascii="黑体" w:hAnsi="宋体" w:eastAsia="黑体"/>
          <w:b/>
          <w:color w:val="auto"/>
          <w:sz w:val="28"/>
          <w:szCs w:val="28"/>
        </w:rPr>
        <w:t>（参考格式）</w:t>
      </w:r>
    </w:p>
    <w:p>
      <w:pPr>
        <w:spacing w:line="460" w:lineRule="exact"/>
        <w:ind w:firstLine="6300" w:firstLineChars="3000"/>
        <w:rPr>
          <w:rFonts w:ascii="宋体" w:hAnsi="宋体"/>
          <w:color w:val="auto"/>
          <w:szCs w:val="21"/>
        </w:rPr>
      </w:pPr>
      <w:r>
        <w:rPr>
          <w:rFonts w:hint="eastAsia" w:ascii="宋体" w:hAnsi="宋体"/>
          <w:color w:val="auto"/>
          <w:szCs w:val="21"/>
        </w:rPr>
        <w:t>保险编号：</w:t>
      </w:r>
      <w:r>
        <w:rPr>
          <w:rFonts w:hint="eastAsia" w:ascii="宋体" w:hAnsi="宋体"/>
          <w:color w:val="auto"/>
          <w:szCs w:val="21"/>
          <w:u w:val="single"/>
        </w:rPr>
        <w:t xml:space="preserve">          </w:t>
      </w:r>
    </w:p>
    <w:p>
      <w:pPr>
        <w:spacing w:line="460" w:lineRule="exact"/>
        <w:rPr>
          <w:rFonts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rPr>
        <w:t>（招标人名称）：</w:t>
      </w:r>
    </w:p>
    <w:p>
      <w:pPr>
        <w:spacing w:line="460" w:lineRule="exact"/>
        <w:ind w:firstLine="420" w:firstLineChars="200"/>
        <w:rPr>
          <w:rFonts w:ascii="宋体" w:hAnsi="宋体"/>
          <w:color w:val="auto"/>
          <w:szCs w:val="21"/>
        </w:rPr>
      </w:pPr>
      <w:r>
        <w:rPr>
          <w:rFonts w:hint="eastAsia" w:ascii="宋体" w:hAnsi="宋体"/>
          <w:color w:val="auto"/>
          <w:szCs w:val="21"/>
        </w:rPr>
        <w:t>鉴于</w:t>
      </w:r>
      <w:r>
        <w:rPr>
          <w:rFonts w:hint="eastAsia" w:ascii="宋体" w:hAnsi="宋体"/>
          <w:color w:val="auto"/>
          <w:szCs w:val="21"/>
          <w:u w:val="single"/>
        </w:rPr>
        <w:t xml:space="preserve">                   </w:t>
      </w:r>
      <w:r>
        <w:rPr>
          <w:rFonts w:hint="eastAsia" w:ascii="宋体" w:hAnsi="宋体"/>
          <w:color w:val="auto"/>
          <w:szCs w:val="21"/>
        </w:rPr>
        <w:t>（投标人名称）（以下简称“投标人”）参加你方</w:t>
      </w:r>
      <w:r>
        <w:rPr>
          <w:rFonts w:hint="eastAsia" w:ascii="宋体" w:hAnsi="宋体"/>
          <w:color w:val="auto"/>
          <w:szCs w:val="21"/>
          <w:u w:val="single"/>
        </w:rPr>
        <w:t xml:space="preserve">       </w:t>
      </w:r>
      <w:r>
        <w:rPr>
          <w:rFonts w:hint="eastAsia" w:ascii="宋体" w:hAnsi="宋体"/>
          <w:color w:val="auto"/>
          <w:szCs w:val="21"/>
        </w:rPr>
        <w:t>（项目名称）工程监理投标，</w:t>
      </w:r>
      <w:r>
        <w:rPr>
          <w:rFonts w:hint="eastAsia" w:ascii="宋体" w:hAnsi="宋体"/>
          <w:color w:val="auto"/>
          <w:szCs w:val="21"/>
          <w:u w:val="single"/>
        </w:rPr>
        <w:t xml:space="preserve">                            </w:t>
      </w:r>
      <w:r>
        <w:rPr>
          <w:rFonts w:hint="eastAsia" w:ascii="宋体" w:hAnsi="宋体"/>
          <w:color w:val="auto"/>
          <w:szCs w:val="21"/>
        </w:rPr>
        <w:t>（担保人名称）（以下简称“我方”）受该投标人委托，在此无条件地、不可撤销地保证：一旦收到你方提出的下述任何一种事实的书面通知，在7日内无条件地向你方支付总额不超过</w:t>
      </w:r>
      <w:r>
        <w:rPr>
          <w:rFonts w:hint="eastAsia" w:ascii="宋体" w:hAnsi="宋体"/>
          <w:color w:val="auto"/>
          <w:szCs w:val="21"/>
          <w:u w:val="single"/>
        </w:rPr>
        <w:t xml:space="preserve">                  </w:t>
      </w:r>
      <w:r>
        <w:rPr>
          <w:rFonts w:hint="eastAsia" w:ascii="宋体" w:hAnsi="宋体"/>
          <w:color w:val="auto"/>
          <w:szCs w:val="21"/>
        </w:rPr>
        <w:t>（投标保证保险额度）的任何你方要求的金额：</w:t>
      </w:r>
    </w:p>
    <w:p>
      <w:pPr>
        <w:spacing w:line="460" w:lineRule="exact"/>
        <w:ind w:firstLine="420" w:firstLineChars="200"/>
        <w:rPr>
          <w:rFonts w:ascii="宋体" w:hAnsi="宋体"/>
          <w:color w:val="auto"/>
          <w:szCs w:val="21"/>
        </w:rPr>
      </w:pPr>
      <w:r>
        <w:rPr>
          <w:rFonts w:hint="eastAsia" w:ascii="宋体" w:hAnsi="宋体"/>
          <w:color w:val="auto"/>
          <w:szCs w:val="21"/>
        </w:rPr>
        <w:t>1．投标人在规定的投标有效期内撤销或者修改其投标文件。</w:t>
      </w:r>
    </w:p>
    <w:p>
      <w:pPr>
        <w:spacing w:line="460" w:lineRule="exact"/>
        <w:ind w:firstLine="420" w:firstLineChars="200"/>
        <w:rPr>
          <w:rFonts w:ascii="宋体" w:hAnsi="宋体"/>
          <w:color w:val="auto"/>
          <w:szCs w:val="21"/>
        </w:rPr>
      </w:pPr>
      <w:r>
        <w:rPr>
          <w:rFonts w:hint="eastAsia" w:ascii="宋体" w:hAnsi="宋体"/>
          <w:color w:val="auto"/>
          <w:szCs w:val="21"/>
        </w:rPr>
        <w:t>2．投标人在收到中标通知书后无正当理由而未在规定期限内与贵方签署合同。</w:t>
      </w:r>
    </w:p>
    <w:p>
      <w:pPr>
        <w:spacing w:line="460" w:lineRule="exact"/>
        <w:ind w:firstLine="420" w:firstLineChars="200"/>
        <w:rPr>
          <w:rFonts w:ascii="宋体" w:hAnsi="宋体"/>
          <w:color w:val="auto"/>
          <w:szCs w:val="21"/>
        </w:rPr>
      </w:pPr>
      <w:r>
        <w:rPr>
          <w:rFonts w:hint="eastAsia" w:ascii="宋体" w:hAnsi="宋体"/>
          <w:color w:val="auto"/>
          <w:szCs w:val="21"/>
        </w:rPr>
        <w:t>3．投标人在收到中标通知书后未能在招标文件规定期限内向贵方提交招标文件所要求的履约担保。</w:t>
      </w:r>
    </w:p>
    <w:p>
      <w:pPr>
        <w:spacing w:line="460" w:lineRule="exact"/>
        <w:ind w:firstLine="420" w:firstLineChars="200"/>
        <w:rPr>
          <w:rFonts w:ascii="宋体" w:hAnsi="宋体"/>
          <w:color w:val="auto"/>
          <w:szCs w:val="21"/>
        </w:rPr>
      </w:pPr>
      <w:r>
        <w:rPr>
          <w:rFonts w:hint="eastAsia" w:ascii="宋体" w:hAnsi="宋体"/>
          <w:color w:val="auto"/>
          <w:szCs w:val="21"/>
        </w:rPr>
        <w:t>本保证保险在投标有效期内保持有效，除非你方提前终止或解除本保证保险。要求我方承担保证责任的通知应在投标有效期内送达我方。保证保险失效后请将本保证保险交投标人退回我方注销。</w:t>
      </w:r>
    </w:p>
    <w:p>
      <w:pPr>
        <w:spacing w:line="460" w:lineRule="exact"/>
        <w:ind w:firstLine="420" w:firstLineChars="200"/>
        <w:rPr>
          <w:rFonts w:ascii="宋体" w:hAnsi="宋体"/>
          <w:color w:val="auto"/>
          <w:szCs w:val="21"/>
        </w:rPr>
      </w:pPr>
      <w:r>
        <w:rPr>
          <w:rFonts w:hint="eastAsia" w:ascii="宋体" w:hAnsi="宋体"/>
          <w:color w:val="auto"/>
          <w:szCs w:val="21"/>
        </w:rPr>
        <w:t>本保证保险项下所有权利和义务均受中华人民共和国法律管辖和制约。</w:t>
      </w:r>
    </w:p>
    <w:p>
      <w:pPr>
        <w:spacing w:line="460" w:lineRule="exact"/>
        <w:ind w:firstLine="420" w:firstLineChars="200"/>
        <w:rPr>
          <w:rFonts w:ascii="宋体" w:hAnsi="宋体"/>
          <w:color w:val="auto"/>
          <w:szCs w:val="21"/>
        </w:rPr>
      </w:pPr>
    </w:p>
    <w:p>
      <w:pPr>
        <w:spacing w:line="460" w:lineRule="exact"/>
        <w:ind w:firstLine="2100" w:firstLineChars="1000"/>
        <w:rPr>
          <w:rFonts w:ascii="宋体" w:hAnsi="宋体"/>
          <w:color w:val="auto"/>
          <w:szCs w:val="21"/>
        </w:rPr>
      </w:pPr>
      <w:r>
        <w:rPr>
          <w:rFonts w:hint="eastAsia" w:ascii="宋体" w:hAnsi="宋体"/>
          <w:color w:val="auto"/>
          <w:szCs w:val="21"/>
        </w:rPr>
        <w:t>担保人名称：</w:t>
      </w:r>
      <w:r>
        <w:rPr>
          <w:rFonts w:hint="eastAsia" w:ascii="宋体" w:hAnsi="宋体"/>
          <w:color w:val="auto"/>
          <w:szCs w:val="21"/>
          <w:u w:val="single"/>
        </w:rPr>
        <w:t xml:space="preserve">                                </w:t>
      </w:r>
      <w:r>
        <w:rPr>
          <w:rFonts w:hint="eastAsia" w:ascii="宋体" w:hAnsi="宋体"/>
          <w:color w:val="auto"/>
          <w:szCs w:val="21"/>
        </w:rPr>
        <w:t>（盖单位章）</w:t>
      </w:r>
    </w:p>
    <w:p>
      <w:pPr>
        <w:spacing w:line="460" w:lineRule="exact"/>
        <w:ind w:firstLine="2100" w:firstLineChars="1000"/>
        <w:rPr>
          <w:rFonts w:ascii="宋体" w:hAnsi="宋体"/>
          <w:color w:val="auto"/>
          <w:szCs w:val="21"/>
        </w:rPr>
      </w:pPr>
      <w:r>
        <w:rPr>
          <w:rFonts w:hint="eastAsia" w:ascii="宋体" w:hAnsi="宋体"/>
          <w:color w:val="auto"/>
          <w:szCs w:val="21"/>
        </w:rPr>
        <w:t>法定代表人或其委托代理人：</w:t>
      </w:r>
      <w:r>
        <w:rPr>
          <w:rFonts w:hint="eastAsia" w:ascii="宋体" w:hAnsi="宋体"/>
          <w:color w:val="auto"/>
          <w:szCs w:val="21"/>
          <w:u w:val="single"/>
        </w:rPr>
        <w:t xml:space="preserve">                      </w:t>
      </w:r>
      <w:r>
        <w:rPr>
          <w:rFonts w:hint="eastAsia" w:ascii="宋体" w:hAnsi="宋体"/>
          <w:color w:val="auto"/>
          <w:szCs w:val="21"/>
        </w:rPr>
        <w:t>（签字）</w:t>
      </w:r>
    </w:p>
    <w:p>
      <w:pPr>
        <w:spacing w:line="460" w:lineRule="exact"/>
        <w:ind w:firstLine="2100" w:firstLineChars="1000"/>
        <w:rPr>
          <w:rFonts w:ascii="宋体" w:hAnsi="宋体"/>
          <w:color w:val="auto"/>
          <w:szCs w:val="21"/>
        </w:rPr>
      </w:pPr>
      <w:r>
        <w:rPr>
          <w:rFonts w:hint="eastAsia" w:ascii="宋体" w:hAnsi="宋体"/>
          <w:color w:val="auto"/>
          <w:szCs w:val="21"/>
        </w:rPr>
        <w:t>地    址：</w:t>
      </w:r>
      <w:r>
        <w:rPr>
          <w:rFonts w:hint="eastAsia" w:ascii="宋体" w:hAnsi="宋体"/>
          <w:color w:val="auto"/>
          <w:szCs w:val="21"/>
          <w:u w:val="single"/>
        </w:rPr>
        <w:t xml:space="preserve">                                             </w:t>
      </w:r>
    </w:p>
    <w:p>
      <w:pPr>
        <w:spacing w:line="460" w:lineRule="exact"/>
        <w:ind w:firstLine="2100" w:firstLineChars="1000"/>
        <w:rPr>
          <w:rFonts w:ascii="宋体" w:hAnsi="宋体"/>
          <w:color w:val="auto"/>
          <w:szCs w:val="21"/>
        </w:rPr>
      </w:pPr>
      <w:r>
        <w:rPr>
          <w:rFonts w:hint="eastAsia" w:ascii="宋体" w:hAnsi="宋体"/>
          <w:color w:val="auto"/>
          <w:szCs w:val="21"/>
        </w:rPr>
        <w:t>邮政编码：</w:t>
      </w:r>
      <w:r>
        <w:rPr>
          <w:rFonts w:hint="eastAsia" w:ascii="宋体" w:hAnsi="宋体"/>
          <w:color w:val="auto"/>
          <w:szCs w:val="21"/>
          <w:u w:val="single"/>
        </w:rPr>
        <w:t xml:space="preserve">                                             </w:t>
      </w:r>
    </w:p>
    <w:p>
      <w:pPr>
        <w:spacing w:line="460" w:lineRule="exact"/>
        <w:ind w:firstLine="2100" w:firstLineChars="1000"/>
        <w:rPr>
          <w:rFonts w:ascii="宋体" w:hAnsi="宋体"/>
          <w:color w:val="auto"/>
          <w:szCs w:val="21"/>
        </w:rPr>
      </w:pPr>
      <w:r>
        <w:rPr>
          <w:rFonts w:hint="eastAsia" w:ascii="宋体" w:hAnsi="宋体"/>
          <w:color w:val="auto"/>
          <w:szCs w:val="21"/>
        </w:rPr>
        <w:t>电    话：</w:t>
      </w:r>
      <w:r>
        <w:rPr>
          <w:rFonts w:hint="eastAsia" w:ascii="宋体" w:hAnsi="宋体"/>
          <w:color w:val="auto"/>
          <w:szCs w:val="21"/>
          <w:u w:val="single"/>
        </w:rPr>
        <w:t xml:space="preserve">                                             </w:t>
      </w:r>
    </w:p>
    <w:p>
      <w:pPr>
        <w:spacing w:line="460" w:lineRule="exact"/>
        <w:ind w:firstLine="2100" w:firstLineChars="1000"/>
        <w:rPr>
          <w:rFonts w:ascii="宋体" w:hAnsi="宋体"/>
          <w:color w:val="auto"/>
          <w:szCs w:val="21"/>
          <w:u w:val="single"/>
        </w:rPr>
      </w:pPr>
      <w:r>
        <w:rPr>
          <w:rFonts w:hint="eastAsia" w:ascii="宋体" w:hAnsi="宋体"/>
          <w:color w:val="auto"/>
          <w:szCs w:val="21"/>
        </w:rPr>
        <w:t>传    真：</w:t>
      </w:r>
      <w:r>
        <w:rPr>
          <w:rFonts w:hint="eastAsia" w:ascii="宋体" w:hAnsi="宋体"/>
          <w:color w:val="auto"/>
          <w:szCs w:val="21"/>
          <w:u w:val="single"/>
        </w:rPr>
        <w:t xml:space="preserve">                                             </w:t>
      </w:r>
    </w:p>
    <w:p>
      <w:pPr>
        <w:spacing w:line="460" w:lineRule="exact"/>
        <w:rPr>
          <w:rFonts w:ascii="宋体" w:hAnsi="宋体"/>
          <w:color w:val="auto"/>
          <w:szCs w:val="21"/>
        </w:rPr>
      </w:pPr>
    </w:p>
    <w:p>
      <w:pPr>
        <w:spacing w:line="460" w:lineRule="exact"/>
        <w:jc w:val="right"/>
        <w:rPr>
          <w:rFonts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 xml:space="preserve">日      </w:t>
      </w:r>
    </w:p>
    <w:p>
      <w:pPr>
        <w:spacing w:line="460" w:lineRule="exact"/>
        <w:rPr>
          <w:rFonts w:ascii="宋体" w:hAnsi="宋体"/>
          <w:color w:val="auto"/>
          <w:szCs w:val="21"/>
        </w:rPr>
      </w:pPr>
    </w:p>
    <w:p>
      <w:pPr>
        <w:spacing w:line="460" w:lineRule="exact"/>
        <w:rPr>
          <w:rFonts w:ascii="宋体" w:hAnsi="宋体"/>
          <w:color w:val="auto"/>
          <w:szCs w:val="21"/>
        </w:rPr>
      </w:pPr>
      <w:r>
        <w:rPr>
          <w:rFonts w:hint="eastAsia" w:ascii="黑体" w:hAnsi="宋体" w:eastAsia="黑体"/>
          <w:color w:val="auto"/>
          <w:szCs w:val="21"/>
        </w:rPr>
        <w:t>备注：</w:t>
      </w:r>
      <w:r>
        <w:rPr>
          <w:rFonts w:hint="eastAsia" w:ascii="宋体" w:hAnsi="宋体"/>
          <w:color w:val="auto"/>
          <w:szCs w:val="21"/>
        </w:rPr>
        <w:t>经过招标人事先的书面同意，投标人可采用招标人认可的投标保证保险格式，但相关内容</w:t>
      </w:r>
    </w:p>
    <w:p>
      <w:pPr>
        <w:spacing w:line="460" w:lineRule="exact"/>
        <w:rPr>
          <w:rFonts w:ascii="宋体" w:hAnsi="宋体"/>
          <w:color w:val="auto"/>
          <w:szCs w:val="21"/>
        </w:rPr>
      </w:pPr>
      <w:r>
        <w:rPr>
          <w:rFonts w:hint="eastAsia" w:ascii="宋体" w:hAnsi="宋体"/>
          <w:color w:val="auto"/>
          <w:szCs w:val="21"/>
        </w:rPr>
        <w:t>不得违反相关法律法规规定及背离招标文件约定的实质性内容。</w:t>
      </w:r>
    </w:p>
    <w:p>
      <w:pPr>
        <w:spacing w:before="240" w:beforeLines="100" w:after="120" w:afterLines="50" w:line="360" w:lineRule="auto"/>
        <w:jc w:val="center"/>
        <w:rPr>
          <w:rFonts w:ascii="黑体" w:hAnsi="宋体" w:eastAsia="黑体"/>
          <w:color w:val="auto"/>
          <w:sz w:val="24"/>
          <w:szCs w:val="28"/>
        </w:rPr>
      </w:pPr>
    </w:p>
    <w:p>
      <w:pPr>
        <w:spacing w:before="240" w:beforeLines="100" w:after="120" w:afterLines="50" w:line="360" w:lineRule="auto"/>
        <w:jc w:val="center"/>
        <w:rPr>
          <w:rFonts w:ascii="黑体" w:hAnsi="宋体" w:eastAsia="黑体"/>
          <w:color w:val="auto"/>
          <w:sz w:val="24"/>
          <w:szCs w:val="28"/>
        </w:rPr>
      </w:pPr>
      <w:r>
        <w:rPr>
          <w:rFonts w:hint="eastAsia" w:ascii="黑体" w:hAnsi="宋体" w:eastAsia="黑体"/>
          <w:color w:val="auto"/>
          <w:sz w:val="24"/>
          <w:szCs w:val="28"/>
        </w:rPr>
        <w:t>（三）基本帐户转帐划付资金的收款凭证或收费凭证（如需）（A）</w:t>
      </w:r>
    </w:p>
    <w:p>
      <w:pPr>
        <w:spacing w:before="240" w:beforeLines="100" w:after="120" w:afterLines="50" w:line="360" w:lineRule="auto"/>
        <w:jc w:val="center"/>
        <w:rPr>
          <w:rFonts w:ascii="宋体" w:hAnsi="宋体"/>
          <w:color w:val="auto"/>
          <w:szCs w:val="21"/>
        </w:rPr>
      </w:pPr>
      <w:r>
        <w:rPr>
          <w:rFonts w:hint="eastAsia" w:ascii="宋体" w:hAnsi="宋体"/>
          <w:color w:val="auto"/>
          <w:szCs w:val="21"/>
        </w:rPr>
        <w:t>（如采用银行保函的，且银行保函不是从其基本帐户开户银行开具的，则须提供从其基本帐户转帐划付资金的收款凭证或收费凭证，凭证须注明对应的保函编号，并有银行印章）</w:t>
      </w: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before="240" w:beforeLines="100" w:after="120" w:afterLines="50" w:line="360" w:lineRule="auto"/>
        <w:jc w:val="center"/>
        <w:rPr>
          <w:rFonts w:ascii="黑体" w:hAnsi="宋体" w:eastAsia="黑体"/>
          <w:color w:val="auto"/>
          <w:sz w:val="24"/>
          <w:szCs w:val="28"/>
        </w:rPr>
      </w:pPr>
    </w:p>
    <w:p>
      <w:pPr>
        <w:spacing w:before="240" w:beforeLines="100" w:after="120" w:afterLines="50" w:line="360" w:lineRule="auto"/>
        <w:jc w:val="center"/>
        <w:rPr>
          <w:rFonts w:ascii="黑体" w:hAnsi="宋体" w:eastAsia="黑体"/>
          <w:color w:val="auto"/>
          <w:sz w:val="24"/>
          <w:szCs w:val="28"/>
        </w:rPr>
      </w:pPr>
    </w:p>
    <w:p>
      <w:pPr>
        <w:spacing w:before="240" w:beforeLines="100" w:after="120" w:afterLines="50" w:line="360" w:lineRule="auto"/>
        <w:jc w:val="center"/>
        <w:rPr>
          <w:rFonts w:ascii="黑体" w:hAnsi="宋体" w:eastAsia="黑体"/>
          <w:color w:val="auto"/>
          <w:sz w:val="24"/>
          <w:szCs w:val="28"/>
        </w:rPr>
      </w:pPr>
    </w:p>
    <w:p>
      <w:pPr>
        <w:spacing w:before="240" w:beforeLines="100" w:after="120" w:afterLines="50" w:line="360" w:lineRule="auto"/>
        <w:jc w:val="center"/>
        <w:rPr>
          <w:rFonts w:ascii="黑体" w:hAnsi="宋体" w:eastAsia="黑体"/>
          <w:color w:val="auto"/>
          <w:sz w:val="24"/>
          <w:szCs w:val="28"/>
        </w:rPr>
      </w:pPr>
    </w:p>
    <w:p>
      <w:pPr>
        <w:spacing w:before="240" w:beforeLines="100" w:after="120" w:afterLines="50" w:line="360" w:lineRule="auto"/>
        <w:jc w:val="center"/>
        <w:rPr>
          <w:rFonts w:ascii="黑体" w:hAnsi="宋体" w:eastAsia="黑体"/>
          <w:color w:val="auto"/>
          <w:sz w:val="24"/>
          <w:szCs w:val="28"/>
        </w:rPr>
      </w:pPr>
    </w:p>
    <w:p>
      <w:pPr>
        <w:spacing w:before="240" w:beforeLines="100" w:after="120" w:afterLines="50" w:line="360" w:lineRule="auto"/>
        <w:jc w:val="center"/>
        <w:rPr>
          <w:rFonts w:ascii="黑体" w:hAnsi="宋体" w:eastAsia="黑体"/>
          <w:color w:val="auto"/>
          <w:sz w:val="24"/>
          <w:szCs w:val="28"/>
        </w:rPr>
      </w:pPr>
    </w:p>
    <w:p>
      <w:pPr>
        <w:spacing w:before="240" w:beforeLines="100" w:after="120" w:afterLines="50" w:line="360" w:lineRule="auto"/>
        <w:jc w:val="center"/>
        <w:rPr>
          <w:rFonts w:ascii="黑体" w:hAnsi="宋体" w:eastAsia="黑体"/>
          <w:color w:val="auto"/>
          <w:sz w:val="24"/>
          <w:szCs w:val="28"/>
        </w:rPr>
      </w:pPr>
    </w:p>
    <w:p>
      <w:pPr>
        <w:spacing w:before="240" w:beforeLines="100" w:after="120" w:afterLines="50" w:line="360" w:lineRule="auto"/>
        <w:jc w:val="center"/>
        <w:rPr>
          <w:rFonts w:ascii="黑体" w:hAnsi="宋体" w:eastAsia="黑体"/>
          <w:color w:val="auto"/>
          <w:sz w:val="24"/>
          <w:szCs w:val="28"/>
        </w:rPr>
      </w:pPr>
    </w:p>
    <w:p>
      <w:pPr>
        <w:spacing w:before="240" w:beforeLines="100" w:after="120" w:afterLines="50" w:line="360" w:lineRule="auto"/>
        <w:jc w:val="center"/>
        <w:rPr>
          <w:rFonts w:ascii="黑体" w:hAnsi="宋体" w:eastAsia="黑体"/>
          <w:color w:val="auto"/>
          <w:sz w:val="24"/>
          <w:szCs w:val="28"/>
        </w:rPr>
      </w:pPr>
    </w:p>
    <w:p>
      <w:pPr>
        <w:spacing w:before="240" w:beforeLines="100" w:after="120" w:afterLines="50" w:line="360" w:lineRule="auto"/>
        <w:jc w:val="center"/>
        <w:rPr>
          <w:rFonts w:ascii="黑体" w:hAnsi="宋体" w:eastAsia="黑体"/>
          <w:color w:val="auto"/>
          <w:sz w:val="24"/>
          <w:szCs w:val="28"/>
        </w:rPr>
      </w:pPr>
    </w:p>
    <w:p>
      <w:pPr>
        <w:spacing w:before="240" w:beforeLines="100" w:after="120" w:afterLines="50" w:line="360" w:lineRule="auto"/>
        <w:jc w:val="center"/>
        <w:rPr>
          <w:rFonts w:ascii="黑体" w:hAnsi="宋体" w:eastAsia="黑体"/>
          <w:color w:val="auto"/>
          <w:sz w:val="24"/>
          <w:szCs w:val="28"/>
        </w:rPr>
      </w:pPr>
    </w:p>
    <w:p>
      <w:pPr>
        <w:spacing w:before="240" w:beforeLines="100" w:after="120" w:afterLines="50" w:line="360" w:lineRule="auto"/>
        <w:jc w:val="center"/>
        <w:rPr>
          <w:rFonts w:ascii="黑体" w:hAnsi="宋体" w:eastAsia="黑体"/>
          <w:color w:val="auto"/>
          <w:sz w:val="24"/>
          <w:szCs w:val="28"/>
        </w:rPr>
      </w:pPr>
    </w:p>
    <w:p>
      <w:pPr>
        <w:spacing w:before="240" w:beforeLines="100" w:after="120" w:afterLines="50" w:line="360" w:lineRule="auto"/>
        <w:jc w:val="center"/>
        <w:outlineLvl w:val="2"/>
        <w:rPr>
          <w:rFonts w:ascii="黑体" w:hAnsi="宋体" w:eastAsia="黑体"/>
          <w:color w:val="auto"/>
          <w:sz w:val="24"/>
          <w:szCs w:val="28"/>
        </w:rPr>
      </w:pPr>
      <w:r>
        <w:rPr>
          <w:rFonts w:hint="eastAsia" w:ascii="黑体" w:hAnsi="宋体" w:eastAsia="黑体"/>
          <w:color w:val="auto"/>
          <w:sz w:val="24"/>
          <w:szCs w:val="28"/>
        </w:rPr>
        <w:t>（三）投标保证保险保单（如需）（B）</w:t>
      </w:r>
    </w:p>
    <w:p>
      <w:pPr>
        <w:spacing w:before="240" w:beforeLines="100" w:after="120" w:afterLines="50" w:line="360" w:lineRule="auto"/>
        <w:jc w:val="center"/>
        <w:rPr>
          <w:rFonts w:ascii="宋体" w:hAnsi="宋体"/>
          <w:color w:val="auto"/>
          <w:szCs w:val="21"/>
        </w:rPr>
      </w:pPr>
      <w:r>
        <w:rPr>
          <w:rFonts w:hint="eastAsia" w:ascii="宋体" w:hAnsi="宋体"/>
          <w:color w:val="auto"/>
          <w:szCs w:val="21"/>
        </w:rPr>
        <w:t>（投标人采用保证保险提交投标保证金的，应提供投标保证保险保单复印件）</w:t>
      </w: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outlineLvl w:val="1"/>
        <w:rPr>
          <w:rFonts w:ascii="宋体" w:hAnsi="宋体" w:cs="宋体"/>
          <w:color w:val="auto"/>
          <w:sz w:val="24"/>
          <w:lang w:val="zh-CN"/>
        </w:rPr>
      </w:pPr>
      <w:r>
        <w:rPr>
          <w:rFonts w:hint="eastAsia" w:ascii="宋体" w:hAnsi="宋体"/>
          <w:b/>
          <w:bCs/>
          <w:color w:val="auto"/>
          <w:sz w:val="32"/>
        </w:rPr>
        <w:t>五、企业的营业执照副本、资质证书副本复印件</w:t>
      </w: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outlineLvl w:val="1"/>
        <w:rPr>
          <w:rFonts w:ascii="宋体" w:hAnsi="宋体"/>
          <w:b/>
          <w:bCs/>
          <w:color w:val="auto"/>
          <w:sz w:val="32"/>
        </w:rPr>
      </w:pPr>
      <w:r>
        <w:rPr>
          <w:rFonts w:hint="eastAsia" w:ascii="宋体" w:hAnsi="宋体"/>
          <w:b/>
          <w:bCs/>
          <w:color w:val="auto"/>
          <w:sz w:val="32"/>
        </w:rPr>
        <w:t>六、</w:t>
      </w:r>
      <w:bookmarkEnd w:id="21"/>
      <w:bookmarkEnd w:id="22"/>
      <w:bookmarkEnd w:id="23"/>
      <w:bookmarkEnd w:id="24"/>
      <w:bookmarkEnd w:id="25"/>
      <w:bookmarkEnd w:id="26"/>
      <w:r>
        <w:rPr>
          <w:rFonts w:hint="eastAsia" w:ascii="宋体" w:hAnsi="宋体"/>
          <w:b/>
          <w:bCs/>
          <w:color w:val="auto"/>
          <w:sz w:val="32"/>
        </w:rPr>
        <w:t>监理工作大纲</w:t>
      </w:r>
      <w:bookmarkEnd w:id="27"/>
      <w:bookmarkEnd w:id="28"/>
      <w:bookmarkEnd w:id="29"/>
    </w:p>
    <w:p>
      <w:pPr>
        <w:spacing w:line="500" w:lineRule="exact"/>
        <w:jc w:val="center"/>
        <w:rPr>
          <w:rFonts w:ascii="宋体" w:hAnsi="宋体"/>
          <w:b/>
          <w:bCs/>
          <w:color w:val="auto"/>
          <w:sz w:val="28"/>
        </w:rPr>
      </w:pPr>
    </w:p>
    <w:p>
      <w:pPr>
        <w:pStyle w:val="12"/>
        <w:spacing w:line="360" w:lineRule="auto"/>
        <w:ind w:left="0" w:leftChars="0" w:firstLine="420" w:firstLineChars="200"/>
        <w:rPr>
          <w:rFonts w:ascii="宋体" w:hAnsi="宋体"/>
          <w:color w:val="auto"/>
          <w:szCs w:val="21"/>
        </w:rPr>
      </w:pPr>
      <w:r>
        <w:rPr>
          <w:rFonts w:hint="eastAsia" w:ascii="宋体" w:hAnsi="宋体"/>
          <w:color w:val="auto"/>
          <w:szCs w:val="21"/>
        </w:rPr>
        <w:t>投标人应根据有关规定，针对工程项目的特点和监理工作经验，对委托任务的目的和工作范围的理解，制定工程项目监理计划和方案，提出监理工作大纲。监理大纲应包括以下内容：</w:t>
      </w:r>
    </w:p>
    <w:p>
      <w:pPr>
        <w:spacing w:line="360" w:lineRule="auto"/>
        <w:ind w:firstLine="420" w:firstLineChars="200"/>
        <w:rPr>
          <w:rFonts w:ascii="宋体" w:hAnsi="宋体"/>
          <w:color w:val="auto"/>
          <w:szCs w:val="21"/>
        </w:rPr>
      </w:pPr>
      <w:r>
        <w:rPr>
          <w:rFonts w:hint="eastAsia" w:ascii="宋体" w:hAnsi="宋体"/>
          <w:color w:val="auto"/>
          <w:szCs w:val="21"/>
        </w:rPr>
        <w:t>1. 监理组织机构及人员配置</w:t>
      </w:r>
    </w:p>
    <w:p>
      <w:pPr>
        <w:spacing w:line="360" w:lineRule="auto"/>
        <w:ind w:firstLine="420" w:firstLineChars="200"/>
        <w:rPr>
          <w:rFonts w:ascii="宋体" w:hAnsi="宋体"/>
          <w:color w:val="auto"/>
          <w:szCs w:val="21"/>
        </w:rPr>
      </w:pPr>
      <w:r>
        <w:rPr>
          <w:rFonts w:hint="eastAsia" w:ascii="宋体" w:hAnsi="宋体"/>
          <w:color w:val="auto"/>
          <w:szCs w:val="21"/>
        </w:rPr>
        <w:t>2. 监理工作范围及监理目标：结合本工程范围内单项、分部或分项工程类别和物质特征说明监理工程师的工作内容、职责、分工等，还应分别对各专业的监理工程师阐述各自的工作范围和具体要求。</w:t>
      </w:r>
    </w:p>
    <w:p>
      <w:pPr>
        <w:spacing w:line="360" w:lineRule="auto"/>
        <w:ind w:firstLine="420" w:firstLineChars="200"/>
        <w:rPr>
          <w:rFonts w:ascii="宋体" w:hAnsi="宋体"/>
          <w:color w:val="auto"/>
          <w:szCs w:val="21"/>
        </w:rPr>
      </w:pPr>
      <w:r>
        <w:rPr>
          <w:rFonts w:hint="eastAsia" w:ascii="宋体" w:hAnsi="宋体"/>
          <w:color w:val="auto"/>
          <w:szCs w:val="21"/>
        </w:rPr>
        <w:t>3. 本工程监理重点和难点分析</w:t>
      </w:r>
    </w:p>
    <w:p>
      <w:pPr>
        <w:spacing w:line="360" w:lineRule="auto"/>
        <w:ind w:firstLine="420" w:firstLineChars="200"/>
        <w:rPr>
          <w:rFonts w:ascii="宋体" w:hAnsi="宋体"/>
          <w:color w:val="auto"/>
          <w:szCs w:val="21"/>
        </w:rPr>
      </w:pPr>
      <w:r>
        <w:rPr>
          <w:rFonts w:hint="eastAsia" w:ascii="宋体" w:hAnsi="宋体"/>
          <w:color w:val="auto"/>
          <w:szCs w:val="21"/>
        </w:rPr>
        <w:t>4. 监理工作制度及廉洁自律措施</w:t>
      </w:r>
    </w:p>
    <w:p>
      <w:pPr>
        <w:spacing w:line="360" w:lineRule="auto"/>
        <w:ind w:firstLine="420" w:firstLineChars="200"/>
        <w:rPr>
          <w:rFonts w:ascii="宋体" w:hAnsi="宋体"/>
          <w:color w:val="auto"/>
          <w:szCs w:val="21"/>
        </w:rPr>
      </w:pPr>
      <w:r>
        <w:rPr>
          <w:rFonts w:hint="eastAsia" w:ascii="宋体" w:hAnsi="宋体"/>
          <w:color w:val="auto"/>
          <w:szCs w:val="21"/>
        </w:rPr>
        <w:t>5. 保证施工安全的监理控制措施及环境管理措施</w:t>
      </w:r>
    </w:p>
    <w:p>
      <w:pPr>
        <w:spacing w:line="360" w:lineRule="auto"/>
        <w:ind w:firstLine="420" w:firstLineChars="200"/>
        <w:rPr>
          <w:rFonts w:ascii="宋体" w:hAnsi="宋体"/>
          <w:color w:val="auto"/>
          <w:szCs w:val="21"/>
        </w:rPr>
      </w:pPr>
      <w:r>
        <w:rPr>
          <w:rFonts w:hint="eastAsia" w:ascii="宋体" w:hAnsi="宋体"/>
          <w:color w:val="auto"/>
          <w:szCs w:val="21"/>
        </w:rPr>
        <w:t>6. 质量控制的工作任务与方法</w:t>
      </w:r>
    </w:p>
    <w:p>
      <w:pPr>
        <w:spacing w:line="360" w:lineRule="auto"/>
        <w:ind w:firstLine="420" w:firstLineChars="200"/>
        <w:rPr>
          <w:rFonts w:ascii="宋体" w:hAnsi="宋体"/>
          <w:color w:val="auto"/>
          <w:szCs w:val="21"/>
        </w:rPr>
      </w:pPr>
      <w:r>
        <w:rPr>
          <w:rFonts w:hint="eastAsia" w:ascii="宋体" w:hAnsi="宋体"/>
          <w:color w:val="auto"/>
          <w:szCs w:val="21"/>
        </w:rPr>
        <w:t>7. 进度控制的工作任务与方法</w:t>
      </w:r>
    </w:p>
    <w:p>
      <w:pPr>
        <w:spacing w:line="360" w:lineRule="auto"/>
        <w:ind w:firstLine="420" w:firstLineChars="200"/>
        <w:rPr>
          <w:rFonts w:ascii="宋体" w:hAnsi="宋体"/>
          <w:color w:val="auto"/>
          <w:szCs w:val="21"/>
        </w:rPr>
      </w:pPr>
      <w:r>
        <w:rPr>
          <w:rFonts w:hint="eastAsia" w:ascii="宋体" w:hAnsi="宋体"/>
          <w:color w:val="auto"/>
          <w:szCs w:val="21"/>
        </w:rPr>
        <w:t>8. 投资控制的工作任务与方法</w:t>
      </w:r>
    </w:p>
    <w:p>
      <w:pPr>
        <w:spacing w:line="360" w:lineRule="auto"/>
        <w:ind w:firstLine="420" w:firstLineChars="200"/>
        <w:rPr>
          <w:rFonts w:ascii="宋体" w:hAnsi="宋体"/>
          <w:color w:val="auto"/>
          <w:szCs w:val="21"/>
        </w:rPr>
      </w:pPr>
      <w:r>
        <w:rPr>
          <w:rFonts w:hint="eastAsia" w:ascii="宋体" w:hAnsi="宋体"/>
          <w:color w:val="auto"/>
          <w:szCs w:val="21"/>
        </w:rPr>
        <w:t>9. 合同管理及信息管理工作任务与方法</w:t>
      </w:r>
    </w:p>
    <w:p>
      <w:pPr>
        <w:spacing w:line="360" w:lineRule="auto"/>
        <w:ind w:firstLine="420" w:firstLineChars="200"/>
        <w:rPr>
          <w:rFonts w:ascii="宋体" w:hAnsi="宋体"/>
          <w:color w:val="auto"/>
          <w:szCs w:val="21"/>
        </w:rPr>
      </w:pPr>
      <w:r>
        <w:rPr>
          <w:rFonts w:hint="eastAsia" w:ascii="宋体" w:hAnsi="宋体"/>
          <w:color w:val="auto"/>
          <w:szCs w:val="21"/>
        </w:rPr>
        <w:t>10. 组织协调的工作任务与方法</w:t>
      </w:r>
    </w:p>
    <w:p>
      <w:pPr>
        <w:spacing w:line="360" w:lineRule="auto"/>
        <w:ind w:firstLine="420" w:firstLineChars="200"/>
        <w:rPr>
          <w:rFonts w:ascii="宋体" w:hAnsi="宋体"/>
          <w:color w:val="auto"/>
          <w:szCs w:val="21"/>
        </w:rPr>
      </w:pPr>
      <w:r>
        <w:rPr>
          <w:rFonts w:hint="eastAsia" w:ascii="宋体" w:hAnsi="宋体"/>
          <w:color w:val="auto"/>
          <w:szCs w:val="21"/>
        </w:rPr>
        <w:t>11. 工程保修的监理办法及人员配置</w:t>
      </w:r>
    </w:p>
    <w:p>
      <w:pPr>
        <w:spacing w:line="360" w:lineRule="auto"/>
        <w:ind w:firstLine="420" w:firstLineChars="200"/>
        <w:rPr>
          <w:rFonts w:ascii="宋体" w:hAnsi="宋体"/>
          <w:color w:val="auto"/>
          <w:szCs w:val="21"/>
        </w:rPr>
      </w:pPr>
      <w:r>
        <w:rPr>
          <w:rFonts w:hint="eastAsia" w:ascii="宋体" w:hAnsi="宋体"/>
          <w:color w:val="auto"/>
          <w:szCs w:val="21"/>
        </w:rPr>
        <w:t>12. 合理化建议</w:t>
      </w:r>
    </w:p>
    <w:p>
      <w:pPr>
        <w:spacing w:line="360" w:lineRule="auto"/>
        <w:rPr>
          <w:rFonts w:ascii="宋体" w:hAnsi="宋体"/>
          <w:color w:val="auto"/>
          <w:szCs w:val="21"/>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32"/>
        </w:rPr>
      </w:pPr>
    </w:p>
    <w:p>
      <w:pPr>
        <w:spacing w:line="500" w:lineRule="exact"/>
        <w:jc w:val="center"/>
        <w:rPr>
          <w:rFonts w:ascii="宋体" w:hAnsi="宋体"/>
          <w:color w:val="auto"/>
          <w:sz w:val="32"/>
        </w:rPr>
      </w:pPr>
      <w:r>
        <w:rPr>
          <w:rFonts w:ascii="宋体" w:hAnsi="宋体"/>
          <w:color w:val="auto"/>
          <w:sz w:val="32"/>
        </w:rPr>
        <w:br w:type="page"/>
      </w:r>
      <w:bookmarkStart w:id="30" w:name="_Toc166560319"/>
    </w:p>
    <w:p>
      <w:pPr>
        <w:spacing w:line="500" w:lineRule="exact"/>
        <w:jc w:val="center"/>
        <w:outlineLvl w:val="1"/>
        <w:rPr>
          <w:rFonts w:ascii="宋体" w:hAnsi="宋体"/>
          <w:color w:val="auto"/>
          <w:sz w:val="24"/>
        </w:rPr>
      </w:pPr>
      <w:bookmarkStart w:id="31" w:name="_Toc311896665"/>
      <w:r>
        <w:rPr>
          <w:rFonts w:hint="eastAsia" w:ascii="宋体" w:hAnsi="宋体"/>
          <w:b/>
          <w:bCs/>
          <w:color w:val="auto"/>
          <w:sz w:val="32"/>
        </w:rPr>
        <w:t>七、辅助资料表</w:t>
      </w:r>
      <w:bookmarkEnd w:id="30"/>
      <w:bookmarkEnd w:id="31"/>
    </w:p>
    <w:p>
      <w:pPr>
        <w:spacing w:line="500" w:lineRule="exact"/>
        <w:rPr>
          <w:rFonts w:ascii="宋体" w:hAnsi="宋体"/>
          <w:color w:val="auto"/>
          <w:sz w:val="24"/>
        </w:rPr>
      </w:pPr>
    </w:p>
    <w:p>
      <w:pPr>
        <w:spacing w:line="500" w:lineRule="exact"/>
        <w:rPr>
          <w:rFonts w:ascii="宋体" w:hAnsi="宋体"/>
          <w:b/>
          <w:bCs/>
          <w:color w:val="auto"/>
          <w:sz w:val="28"/>
        </w:rPr>
      </w:pPr>
      <w:r>
        <w:rPr>
          <w:rFonts w:hint="eastAsia" w:ascii="宋体" w:hAnsi="宋体"/>
          <w:b/>
          <w:bCs/>
          <w:color w:val="auto"/>
          <w:sz w:val="28"/>
        </w:rPr>
        <w:t xml:space="preserve">表7.1    </w:t>
      </w:r>
    </w:p>
    <w:p>
      <w:pPr>
        <w:spacing w:line="500" w:lineRule="exact"/>
        <w:jc w:val="center"/>
        <w:outlineLvl w:val="2"/>
        <w:rPr>
          <w:rFonts w:ascii="宋体" w:hAnsi="宋体"/>
          <w:b/>
          <w:bCs/>
          <w:color w:val="auto"/>
          <w:sz w:val="28"/>
        </w:rPr>
      </w:pPr>
      <w:r>
        <w:rPr>
          <w:rFonts w:hint="eastAsia" w:ascii="宋体" w:hAnsi="宋体"/>
          <w:b/>
          <w:bCs/>
          <w:color w:val="auto"/>
          <w:sz w:val="28"/>
        </w:rPr>
        <w:t>投标人一般情况</w:t>
      </w:r>
    </w:p>
    <w:p>
      <w:pPr>
        <w:spacing w:line="500" w:lineRule="exact"/>
        <w:jc w:val="center"/>
        <w:rPr>
          <w:rFonts w:ascii="宋体" w:hAnsi="宋体"/>
          <w:b/>
          <w:bCs/>
          <w:color w:val="auto"/>
          <w:szCs w:val="21"/>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1260"/>
        <w:gridCol w:w="1272"/>
        <w:gridCol w:w="1420"/>
        <w:gridCol w:w="1421"/>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r>
              <w:rPr>
                <w:rFonts w:hint="eastAsia" w:ascii="宋体" w:hAnsi="宋体"/>
                <w:color w:val="auto"/>
                <w:szCs w:val="21"/>
              </w:rPr>
              <w:t>企业注册名称</w:t>
            </w:r>
          </w:p>
        </w:tc>
        <w:tc>
          <w:tcPr>
            <w:tcW w:w="3952" w:type="dxa"/>
            <w:gridSpan w:val="3"/>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p>
        </w:tc>
        <w:tc>
          <w:tcPr>
            <w:tcW w:w="1421"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r>
              <w:rPr>
                <w:rFonts w:hint="eastAsia" w:ascii="宋体" w:hAnsi="宋体"/>
                <w:color w:val="auto"/>
                <w:szCs w:val="21"/>
              </w:rPr>
              <w:t>建立日期</w:t>
            </w:r>
          </w:p>
        </w:tc>
        <w:tc>
          <w:tcPr>
            <w:tcW w:w="1827"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r>
              <w:rPr>
                <w:rFonts w:hint="eastAsia" w:ascii="宋体" w:hAnsi="宋体"/>
                <w:color w:val="auto"/>
                <w:szCs w:val="21"/>
              </w:rPr>
              <w:t>企业法人代表</w:t>
            </w:r>
          </w:p>
        </w:tc>
        <w:tc>
          <w:tcPr>
            <w:tcW w:w="1260"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p>
        </w:tc>
        <w:tc>
          <w:tcPr>
            <w:tcW w:w="1272"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r>
              <w:rPr>
                <w:rFonts w:hint="eastAsia" w:ascii="宋体" w:hAnsi="宋体"/>
                <w:color w:val="auto"/>
                <w:szCs w:val="21"/>
              </w:rPr>
              <w:t>职称</w:t>
            </w:r>
          </w:p>
        </w:tc>
        <w:tc>
          <w:tcPr>
            <w:tcW w:w="1420"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p>
        </w:tc>
        <w:tc>
          <w:tcPr>
            <w:tcW w:w="1421"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r>
              <w:rPr>
                <w:rFonts w:hint="eastAsia" w:ascii="宋体" w:hAnsi="宋体"/>
                <w:color w:val="auto"/>
                <w:szCs w:val="21"/>
              </w:rPr>
              <w:t>企业性质</w:t>
            </w:r>
          </w:p>
        </w:tc>
        <w:tc>
          <w:tcPr>
            <w:tcW w:w="1827"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r>
              <w:rPr>
                <w:rFonts w:hint="eastAsia" w:ascii="宋体" w:hAnsi="宋体"/>
                <w:color w:val="auto"/>
                <w:szCs w:val="21"/>
              </w:rPr>
              <w:t>企业资质等级</w:t>
            </w:r>
          </w:p>
        </w:tc>
        <w:tc>
          <w:tcPr>
            <w:tcW w:w="1260"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p>
        </w:tc>
        <w:tc>
          <w:tcPr>
            <w:tcW w:w="1272"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r>
              <w:rPr>
                <w:rFonts w:hint="eastAsia" w:ascii="宋体" w:hAnsi="宋体"/>
                <w:color w:val="auto"/>
                <w:szCs w:val="21"/>
              </w:rPr>
              <w:t>经营方式</w:t>
            </w:r>
          </w:p>
        </w:tc>
        <w:tc>
          <w:tcPr>
            <w:tcW w:w="4668" w:type="dxa"/>
            <w:gridSpan w:val="3"/>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r>
              <w:rPr>
                <w:rFonts w:hint="eastAsia" w:ascii="宋体" w:hAnsi="宋体"/>
                <w:color w:val="auto"/>
                <w:szCs w:val="21"/>
              </w:rPr>
              <w:t>上级主管部门</w:t>
            </w:r>
          </w:p>
        </w:tc>
        <w:tc>
          <w:tcPr>
            <w:tcW w:w="7200" w:type="dxa"/>
            <w:gridSpan w:val="5"/>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r>
              <w:rPr>
                <w:rFonts w:hint="eastAsia" w:ascii="宋体" w:hAnsi="宋体"/>
                <w:color w:val="auto"/>
                <w:szCs w:val="21"/>
              </w:rPr>
              <w:t>批准成立机构</w:t>
            </w:r>
          </w:p>
        </w:tc>
        <w:tc>
          <w:tcPr>
            <w:tcW w:w="7200" w:type="dxa"/>
            <w:gridSpan w:val="5"/>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r>
              <w:rPr>
                <w:rFonts w:hint="eastAsia" w:ascii="宋体" w:hAnsi="宋体"/>
                <w:color w:val="auto"/>
                <w:szCs w:val="21"/>
              </w:rPr>
              <w:t>经营范围</w:t>
            </w:r>
          </w:p>
        </w:tc>
        <w:tc>
          <w:tcPr>
            <w:tcW w:w="7200" w:type="dxa"/>
            <w:gridSpan w:val="5"/>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p>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p>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1" w:hRule="atLeast"/>
          <w:jc w:val="center"/>
        </w:trPr>
        <w:tc>
          <w:tcPr>
            <w:tcW w:w="1728"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r>
              <w:rPr>
                <w:rFonts w:hint="eastAsia" w:ascii="宋体" w:hAnsi="宋体"/>
                <w:color w:val="auto"/>
                <w:szCs w:val="21"/>
              </w:rPr>
              <w:t>企业简介</w:t>
            </w:r>
          </w:p>
        </w:tc>
        <w:tc>
          <w:tcPr>
            <w:tcW w:w="7200" w:type="dxa"/>
            <w:gridSpan w:val="5"/>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p>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p>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p>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p>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p>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p>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p>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p>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p>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p>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p>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p>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p>
        </w:tc>
      </w:tr>
    </w:tbl>
    <w:p>
      <w:pPr>
        <w:spacing w:line="500" w:lineRule="exact"/>
        <w:ind w:left="420" w:hanging="420" w:hangingChars="200"/>
        <w:rPr>
          <w:rFonts w:ascii="宋体" w:hAnsi="宋体"/>
          <w:color w:val="auto"/>
          <w:szCs w:val="21"/>
        </w:rPr>
      </w:pPr>
      <w:r>
        <w:rPr>
          <w:rFonts w:hint="eastAsia" w:ascii="宋体" w:hAnsi="宋体"/>
          <w:color w:val="auto"/>
          <w:szCs w:val="21"/>
        </w:rPr>
        <w:t>注：附企业法人营业执照副本和企业监理资质等级证书副本复印件（加盖投标人公章）。</w:t>
      </w:r>
    </w:p>
    <w:p>
      <w:pPr>
        <w:spacing w:line="500" w:lineRule="exact"/>
        <w:rPr>
          <w:rFonts w:ascii="宋体" w:hAnsi="宋体"/>
          <w:color w:val="auto"/>
          <w:sz w:val="24"/>
        </w:rPr>
        <w:sectPr>
          <w:footerReference r:id="rId10" w:type="first"/>
          <w:headerReference r:id="rId6" w:type="default"/>
          <w:footerReference r:id="rId8" w:type="default"/>
          <w:headerReference r:id="rId7" w:type="even"/>
          <w:footerReference r:id="rId9" w:type="even"/>
          <w:pgSz w:w="12240" w:h="15840"/>
          <w:pgMar w:top="1247" w:right="1259" w:bottom="992" w:left="1259" w:header="720" w:footer="720" w:gutter="0"/>
          <w:cols w:space="0" w:num="1"/>
          <w:titlePg/>
          <w:docGrid w:linePitch="312" w:charSpace="0"/>
        </w:sectPr>
      </w:pPr>
    </w:p>
    <w:p>
      <w:pPr>
        <w:spacing w:line="500" w:lineRule="exact"/>
        <w:rPr>
          <w:rFonts w:ascii="宋体" w:hAnsi="宋体"/>
          <w:b/>
          <w:bCs/>
          <w:color w:val="auto"/>
          <w:sz w:val="28"/>
        </w:rPr>
      </w:pPr>
      <w:r>
        <w:rPr>
          <w:rFonts w:hint="eastAsia" w:ascii="宋体" w:hAnsi="宋体"/>
          <w:b/>
          <w:bCs/>
          <w:color w:val="auto"/>
          <w:sz w:val="28"/>
        </w:rPr>
        <w:t xml:space="preserve">表7.2  </w:t>
      </w:r>
    </w:p>
    <w:p>
      <w:pPr>
        <w:spacing w:line="500" w:lineRule="exact"/>
        <w:jc w:val="center"/>
        <w:outlineLvl w:val="2"/>
        <w:rPr>
          <w:rFonts w:ascii="宋体" w:hAnsi="宋体"/>
          <w:b/>
          <w:bCs/>
          <w:color w:val="auto"/>
          <w:sz w:val="28"/>
        </w:rPr>
      </w:pPr>
      <w:r>
        <w:rPr>
          <w:rFonts w:hint="eastAsia" w:ascii="宋体" w:hAnsi="宋体"/>
          <w:b/>
          <w:bCs/>
          <w:color w:val="auto"/>
          <w:sz w:val="28"/>
        </w:rPr>
        <w:t>近五年内企业工程监理业绩一览表</w:t>
      </w:r>
    </w:p>
    <w:p>
      <w:pPr>
        <w:spacing w:line="500" w:lineRule="exact"/>
        <w:rPr>
          <w:rFonts w:ascii="宋体" w:hAnsi="宋体"/>
          <w:color w:val="auto"/>
          <w:sz w:val="24"/>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3"/>
        <w:gridCol w:w="2602"/>
        <w:gridCol w:w="739"/>
        <w:gridCol w:w="807"/>
        <w:gridCol w:w="943"/>
        <w:gridCol w:w="818"/>
        <w:gridCol w:w="1243"/>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r>
              <w:rPr>
                <w:rFonts w:hint="eastAsia" w:ascii="宋体" w:hAnsi="宋体"/>
                <w:color w:val="auto"/>
                <w:szCs w:val="21"/>
              </w:rPr>
              <w:t>建设单位</w:t>
            </w:r>
          </w:p>
        </w:tc>
        <w:tc>
          <w:tcPr>
            <w:tcW w:w="2602"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r>
              <w:rPr>
                <w:rFonts w:hint="eastAsia" w:ascii="宋体" w:hAnsi="宋体"/>
                <w:color w:val="auto"/>
                <w:szCs w:val="21"/>
              </w:rPr>
              <w:t>项目名称及建设地点</w:t>
            </w:r>
          </w:p>
        </w:tc>
        <w:tc>
          <w:tcPr>
            <w:tcW w:w="739"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r>
              <w:rPr>
                <w:rFonts w:hint="eastAsia" w:ascii="宋体" w:hAnsi="宋体"/>
                <w:color w:val="auto"/>
                <w:szCs w:val="21"/>
              </w:rPr>
              <w:t>结构类型</w:t>
            </w:r>
          </w:p>
        </w:tc>
        <w:tc>
          <w:tcPr>
            <w:tcW w:w="807"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r>
              <w:rPr>
                <w:rFonts w:hint="eastAsia" w:ascii="宋体" w:hAnsi="宋体"/>
                <w:color w:val="auto"/>
                <w:szCs w:val="21"/>
              </w:rPr>
              <w:t>建设规模</w:t>
            </w:r>
          </w:p>
        </w:tc>
        <w:tc>
          <w:tcPr>
            <w:tcW w:w="94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r>
              <w:rPr>
                <w:rFonts w:hint="eastAsia" w:ascii="宋体" w:hAnsi="宋体"/>
                <w:color w:val="auto"/>
                <w:szCs w:val="21"/>
              </w:rPr>
              <w:t>开竣工日期</w:t>
            </w:r>
          </w:p>
        </w:tc>
        <w:tc>
          <w:tcPr>
            <w:tcW w:w="818"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r>
              <w:rPr>
                <w:rFonts w:hint="eastAsia" w:ascii="宋体" w:hAnsi="宋体"/>
                <w:color w:val="auto"/>
                <w:szCs w:val="21"/>
              </w:rPr>
              <w:t>合同价格</w:t>
            </w:r>
          </w:p>
        </w:tc>
        <w:tc>
          <w:tcPr>
            <w:tcW w:w="124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r>
              <w:rPr>
                <w:rFonts w:hint="eastAsia" w:ascii="宋体" w:hAnsi="宋体"/>
                <w:color w:val="auto"/>
                <w:szCs w:val="21"/>
              </w:rPr>
              <w:t>达到质量标准</w:t>
            </w:r>
          </w:p>
        </w:tc>
        <w:tc>
          <w:tcPr>
            <w:tcW w:w="124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r>
              <w:rPr>
                <w:rFonts w:hint="eastAsia" w:ascii="宋体" w:hAnsi="宋体"/>
                <w:color w:val="auto"/>
                <w:szCs w:val="21"/>
              </w:rPr>
              <w:t>合同履行情况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p>
        </w:tc>
        <w:tc>
          <w:tcPr>
            <w:tcW w:w="2602"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p>
        </w:tc>
        <w:tc>
          <w:tcPr>
            <w:tcW w:w="739"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p>
        </w:tc>
        <w:tc>
          <w:tcPr>
            <w:tcW w:w="807"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p>
        </w:tc>
        <w:tc>
          <w:tcPr>
            <w:tcW w:w="94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p>
        </w:tc>
        <w:tc>
          <w:tcPr>
            <w:tcW w:w="818"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p>
        </w:tc>
        <w:tc>
          <w:tcPr>
            <w:tcW w:w="124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p>
        </w:tc>
        <w:tc>
          <w:tcPr>
            <w:tcW w:w="124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2602"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739"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807"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94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818"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4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4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2602"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739"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807"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94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818"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4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4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2602"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739"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807"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94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818"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4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4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2602"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739"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807"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94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818"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4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4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2602"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739"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807"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94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818"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4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4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2602"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739"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807"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94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818"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4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4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2602"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739"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807"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94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818"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4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4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2602"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739"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807"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94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818"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4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4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2602"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739"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807"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94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818"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4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4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r>
    </w:tbl>
    <w:p>
      <w:pPr>
        <w:spacing w:line="500" w:lineRule="exact"/>
        <w:ind w:firstLine="420" w:firstLineChars="200"/>
        <w:rPr>
          <w:rFonts w:ascii="宋体" w:hAnsi="宋体"/>
          <w:color w:val="auto"/>
          <w:sz w:val="24"/>
        </w:rPr>
        <w:sectPr>
          <w:pgSz w:w="12240" w:h="15840"/>
          <w:pgMar w:top="1247" w:right="1259" w:bottom="992" w:left="1259" w:header="720" w:footer="720" w:gutter="0"/>
          <w:cols w:space="0" w:num="1"/>
          <w:titlePg/>
          <w:docGrid w:linePitch="312" w:charSpace="0"/>
        </w:sectPr>
      </w:pPr>
      <w:r>
        <w:rPr>
          <w:rFonts w:hint="eastAsia" w:ascii="宋体" w:hAnsi="宋体"/>
          <w:color w:val="auto"/>
        </w:rPr>
        <w:t>注：1. 附符合《监理综合评分表》要求的相关业绩证明材料复印件（加盖投标人公章）</w:t>
      </w:r>
    </w:p>
    <w:p>
      <w:pPr>
        <w:spacing w:line="500" w:lineRule="exact"/>
        <w:jc w:val="center"/>
        <w:outlineLvl w:val="2"/>
        <w:rPr>
          <w:rFonts w:ascii="宋体" w:hAnsi="宋体"/>
          <w:color w:val="auto"/>
          <w:sz w:val="30"/>
        </w:rPr>
      </w:pPr>
      <w:r>
        <w:rPr>
          <w:rFonts w:hint="eastAsia" w:ascii="宋体" w:hAnsi="宋体"/>
          <w:b/>
          <w:bCs/>
          <w:color w:val="auto"/>
          <w:sz w:val="30"/>
        </w:rPr>
        <w:t>表7.3</w:t>
      </w:r>
      <w:r>
        <w:rPr>
          <w:rFonts w:hint="eastAsia" w:ascii="宋体" w:hAnsi="宋体"/>
          <w:color w:val="auto"/>
          <w:sz w:val="30"/>
        </w:rPr>
        <w:t xml:space="preserve">   </w:t>
      </w:r>
      <w:r>
        <w:rPr>
          <w:rFonts w:hint="eastAsia" w:ascii="宋体" w:hAnsi="宋体"/>
          <w:b/>
          <w:bCs/>
          <w:color w:val="auto"/>
          <w:sz w:val="30"/>
        </w:rPr>
        <w:t>拟投入的主要管理人员情况</w:t>
      </w:r>
    </w:p>
    <w:p>
      <w:pPr>
        <w:spacing w:line="500" w:lineRule="exact"/>
        <w:rPr>
          <w:rFonts w:ascii="宋体" w:hAnsi="宋体"/>
          <w:b/>
          <w:bCs/>
          <w:color w:val="auto"/>
          <w:sz w:val="28"/>
        </w:rPr>
      </w:pPr>
      <w:r>
        <w:rPr>
          <w:rFonts w:hint="eastAsia" w:ascii="宋体" w:hAnsi="宋体"/>
          <w:b/>
          <w:bCs/>
          <w:color w:val="auto"/>
          <w:sz w:val="28"/>
        </w:rPr>
        <w:t xml:space="preserve">表7.3.1　　　　　　　　 </w:t>
      </w:r>
    </w:p>
    <w:p>
      <w:pPr>
        <w:spacing w:line="500" w:lineRule="exact"/>
        <w:jc w:val="center"/>
        <w:rPr>
          <w:rFonts w:ascii="宋体" w:hAnsi="宋体"/>
          <w:color w:val="auto"/>
          <w:sz w:val="24"/>
        </w:rPr>
      </w:pPr>
      <w:r>
        <w:rPr>
          <w:rFonts w:hint="eastAsia" w:ascii="宋体" w:hAnsi="宋体"/>
          <w:b/>
          <w:bCs/>
          <w:color w:val="auto"/>
          <w:sz w:val="28"/>
        </w:rPr>
        <w:t>拟投入的监理人员一览表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1260"/>
        <w:gridCol w:w="900"/>
        <w:gridCol w:w="1080"/>
        <w:gridCol w:w="1260"/>
        <w:gridCol w:w="108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b/>
                <w:bCs/>
                <w:color w:val="auto"/>
                <w:szCs w:val="21"/>
              </w:rPr>
            </w:pPr>
            <w:r>
              <w:rPr>
                <w:rFonts w:hint="eastAsia" w:ascii="宋体" w:hAnsi="宋体"/>
                <w:b/>
                <w:bCs/>
                <w:color w:val="auto"/>
                <w:szCs w:val="21"/>
              </w:rPr>
              <w:t>名　　称</w:t>
            </w:r>
          </w:p>
        </w:tc>
        <w:tc>
          <w:tcPr>
            <w:tcW w:w="1260"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b/>
                <w:bCs/>
                <w:color w:val="auto"/>
                <w:szCs w:val="21"/>
              </w:rPr>
            </w:pPr>
            <w:r>
              <w:rPr>
                <w:rFonts w:hint="eastAsia" w:ascii="宋体" w:hAnsi="宋体"/>
                <w:b/>
                <w:bCs/>
                <w:color w:val="auto"/>
                <w:szCs w:val="21"/>
              </w:rPr>
              <w:t>姓　名</w:t>
            </w:r>
          </w:p>
        </w:tc>
        <w:tc>
          <w:tcPr>
            <w:tcW w:w="900"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b/>
                <w:bCs/>
                <w:color w:val="auto"/>
                <w:szCs w:val="21"/>
              </w:rPr>
            </w:pPr>
            <w:r>
              <w:rPr>
                <w:rFonts w:hint="eastAsia" w:ascii="宋体" w:hAnsi="宋体"/>
                <w:b/>
                <w:bCs/>
                <w:color w:val="auto"/>
                <w:szCs w:val="21"/>
              </w:rPr>
              <w:t>年龄</w:t>
            </w:r>
          </w:p>
        </w:tc>
        <w:tc>
          <w:tcPr>
            <w:tcW w:w="1080"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b/>
                <w:bCs/>
                <w:color w:val="auto"/>
                <w:szCs w:val="21"/>
              </w:rPr>
            </w:pPr>
            <w:r>
              <w:rPr>
                <w:rFonts w:hint="eastAsia" w:ascii="宋体" w:hAnsi="宋体"/>
                <w:b/>
                <w:bCs/>
                <w:color w:val="auto"/>
                <w:szCs w:val="21"/>
              </w:rPr>
              <w:t>职称</w:t>
            </w:r>
          </w:p>
          <w:p>
            <w:pPr>
              <w:keepNext w:val="0"/>
              <w:keepLines w:val="0"/>
              <w:suppressLineNumbers w:val="0"/>
              <w:spacing w:before="0" w:beforeAutospacing="0" w:after="0" w:afterAutospacing="0" w:line="500" w:lineRule="exact"/>
              <w:ind w:left="0" w:right="0"/>
              <w:jc w:val="center"/>
              <w:rPr>
                <w:rFonts w:hint="default" w:ascii="宋体" w:hAnsi="宋体"/>
                <w:b/>
                <w:bCs/>
                <w:color w:val="auto"/>
                <w:szCs w:val="21"/>
              </w:rPr>
            </w:pPr>
            <w:r>
              <w:rPr>
                <w:rFonts w:hint="eastAsia" w:ascii="宋体" w:hAnsi="宋体"/>
                <w:b/>
                <w:bCs/>
                <w:color w:val="auto"/>
                <w:szCs w:val="21"/>
              </w:rPr>
              <w:t>或职务</w:t>
            </w:r>
          </w:p>
        </w:tc>
        <w:tc>
          <w:tcPr>
            <w:tcW w:w="1260"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b/>
                <w:bCs/>
                <w:color w:val="auto"/>
                <w:szCs w:val="21"/>
              </w:rPr>
            </w:pPr>
            <w:r>
              <w:rPr>
                <w:rFonts w:hint="eastAsia" w:ascii="宋体" w:hAnsi="宋体"/>
                <w:b/>
                <w:bCs/>
                <w:color w:val="auto"/>
                <w:szCs w:val="21"/>
              </w:rPr>
              <w:t>专业</w:t>
            </w:r>
          </w:p>
        </w:tc>
        <w:tc>
          <w:tcPr>
            <w:tcW w:w="1080"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b/>
                <w:bCs/>
                <w:color w:val="auto"/>
                <w:szCs w:val="21"/>
              </w:rPr>
            </w:pPr>
            <w:r>
              <w:rPr>
                <w:rFonts w:hint="eastAsia" w:ascii="宋体" w:hAnsi="宋体"/>
                <w:b/>
                <w:bCs/>
                <w:color w:val="auto"/>
                <w:szCs w:val="21"/>
              </w:rPr>
              <w:t>管理</w:t>
            </w:r>
          </w:p>
          <w:p>
            <w:pPr>
              <w:keepNext w:val="0"/>
              <w:keepLines w:val="0"/>
              <w:suppressLineNumbers w:val="0"/>
              <w:spacing w:before="0" w:beforeAutospacing="0" w:after="0" w:afterAutospacing="0" w:line="500" w:lineRule="exact"/>
              <w:ind w:left="0" w:right="0"/>
              <w:jc w:val="center"/>
              <w:rPr>
                <w:rFonts w:hint="default" w:ascii="宋体" w:hAnsi="宋体"/>
                <w:b/>
                <w:bCs/>
                <w:color w:val="auto"/>
                <w:szCs w:val="21"/>
              </w:rPr>
            </w:pPr>
            <w:r>
              <w:rPr>
                <w:rFonts w:hint="eastAsia" w:ascii="宋体" w:hAnsi="宋体"/>
                <w:b/>
                <w:bCs/>
                <w:color w:val="auto"/>
                <w:szCs w:val="21"/>
              </w:rPr>
              <w:t>内容</w:t>
            </w:r>
          </w:p>
        </w:tc>
        <w:tc>
          <w:tcPr>
            <w:tcW w:w="1800" w:type="dxa"/>
            <w:vAlign w:val="bottom"/>
          </w:tcPr>
          <w:p>
            <w:pPr>
              <w:keepNext w:val="0"/>
              <w:keepLines w:val="0"/>
              <w:suppressLineNumbers w:val="0"/>
              <w:spacing w:before="0" w:beforeAutospacing="0" w:after="0" w:afterAutospacing="0" w:line="500" w:lineRule="exact"/>
              <w:ind w:left="0" w:right="0"/>
              <w:jc w:val="center"/>
              <w:rPr>
                <w:rFonts w:hint="default" w:ascii="宋体" w:hAnsi="宋体"/>
                <w:b/>
                <w:bCs/>
                <w:color w:val="auto"/>
                <w:szCs w:val="21"/>
              </w:rPr>
            </w:pPr>
            <w:r>
              <w:rPr>
                <w:rFonts w:hint="eastAsia" w:ascii="宋体" w:hAnsi="宋体"/>
                <w:b/>
                <w:bCs/>
                <w:color w:val="auto"/>
                <w:szCs w:val="21"/>
              </w:rPr>
              <w:t>岗位证书及进场时间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r>
              <w:rPr>
                <w:rFonts w:hint="eastAsia" w:ascii="宋体" w:hAnsi="宋体"/>
                <w:color w:val="auto"/>
                <w:szCs w:val="21"/>
              </w:rPr>
              <w:t>1.项目总监理工程师</w:t>
            </w:r>
          </w:p>
        </w:tc>
        <w:tc>
          <w:tcPr>
            <w:tcW w:w="126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90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108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126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108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180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48" w:type="dxa"/>
            <w:vAlign w:val="center"/>
          </w:tcPr>
          <w:p>
            <w:pPr>
              <w:keepNext w:val="0"/>
              <w:keepLines w:val="0"/>
              <w:suppressLineNumbers w:val="0"/>
              <w:spacing w:before="0" w:beforeAutospacing="0" w:after="0" w:afterAutospacing="0" w:line="500" w:lineRule="exact"/>
              <w:ind w:left="0" w:right="0"/>
              <w:rPr>
                <w:rFonts w:hint="default" w:ascii="宋体" w:hAnsi="宋体"/>
                <w:color w:val="auto"/>
                <w:szCs w:val="21"/>
              </w:rPr>
            </w:pPr>
            <w:r>
              <w:rPr>
                <w:rFonts w:hint="eastAsia" w:ascii="宋体" w:hAnsi="宋体"/>
                <w:color w:val="auto"/>
                <w:szCs w:val="21"/>
              </w:rPr>
              <w:t>2.总监理工程师代表</w:t>
            </w:r>
          </w:p>
        </w:tc>
        <w:tc>
          <w:tcPr>
            <w:tcW w:w="126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90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108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126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108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180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48" w:type="dxa"/>
            <w:vMerge w:val="restart"/>
            <w:vAlign w:val="center"/>
          </w:tcPr>
          <w:p>
            <w:pPr>
              <w:keepNext w:val="0"/>
              <w:keepLines w:val="0"/>
              <w:suppressLineNumbers w:val="0"/>
              <w:spacing w:before="0" w:beforeAutospacing="0" w:after="0" w:afterAutospacing="0" w:line="500" w:lineRule="exact"/>
              <w:ind w:left="0" w:right="0"/>
              <w:rPr>
                <w:rFonts w:hint="default" w:ascii="宋体" w:hAnsi="宋体"/>
                <w:color w:val="auto"/>
                <w:szCs w:val="21"/>
              </w:rPr>
            </w:pPr>
            <w:r>
              <w:rPr>
                <w:rFonts w:hint="eastAsia" w:ascii="宋体" w:hAnsi="宋体"/>
                <w:color w:val="auto"/>
                <w:szCs w:val="21"/>
              </w:rPr>
              <w:t>3.拟投入的相关专业监理工程师</w:t>
            </w:r>
          </w:p>
        </w:tc>
        <w:tc>
          <w:tcPr>
            <w:tcW w:w="126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90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108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126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108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180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48" w:type="dxa"/>
            <w:vMerge w:val="continue"/>
            <w:vAlign w:val="center"/>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126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90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108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126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108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180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48" w:type="dxa"/>
            <w:vMerge w:val="continue"/>
            <w:vAlign w:val="center"/>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126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90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108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126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108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180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48" w:type="dxa"/>
            <w:vMerge w:val="continue"/>
            <w:vAlign w:val="center"/>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126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90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108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126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108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180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48" w:type="dxa"/>
            <w:vMerge w:val="continue"/>
            <w:vAlign w:val="center"/>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126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90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108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126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108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180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48" w:type="dxa"/>
            <w:vMerge w:val="restart"/>
            <w:vAlign w:val="center"/>
          </w:tcPr>
          <w:p>
            <w:pPr>
              <w:keepNext w:val="0"/>
              <w:keepLines w:val="0"/>
              <w:suppressLineNumbers w:val="0"/>
              <w:spacing w:before="0" w:beforeAutospacing="0" w:after="0" w:afterAutospacing="0" w:line="500" w:lineRule="exact"/>
              <w:ind w:left="0" w:right="0"/>
              <w:rPr>
                <w:rFonts w:hint="default" w:ascii="宋体" w:hAnsi="宋体"/>
                <w:color w:val="auto"/>
                <w:szCs w:val="21"/>
              </w:rPr>
            </w:pPr>
            <w:r>
              <w:rPr>
                <w:rFonts w:hint="eastAsia" w:ascii="宋体" w:hAnsi="宋体"/>
                <w:color w:val="auto"/>
                <w:szCs w:val="21"/>
              </w:rPr>
              <w:t>4.拟投入的造价工程师</w:t>
            </w:r>
          </w:p>
        </w:tc>
        <w:tc>
          <w:tcPr>
            <w:tcW w:w="126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90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108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126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108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180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48" w:type="dxa"/>
            <w:vMerge w:val="continue"/>
            <w:vAlign w:val="center"/>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126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90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108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126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108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180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48" w:type="dxa"/>
            <w:vMerge w:val="restart"/>
            <w:vAlign w:val="center"/>
          </w:tcPr>
          <w:p>
            <w:pPr>
              <w:keepNext w:val="0"/>
              <w:keepLines w:val="0"/>
              <w:suppressLineNumbers w:val="0"/>
              <w:spacing w:before="0" w:beforeAutospacing="0" w:after="0" w:afterAutospacing="0" w:line="500" w:lineRule="exact"/>
              <w:ind w:left="0" w:right="0"/>
              <w:rPr>
                <w:rFonts w:hint="default" w:ascii="宋体" w:hAnsi="宋体"/>
                <w:color w:val="auto"/>
                <w:szCs w:val="21"/>
              </w:rPr>
            </w:pPr>
            <w:r>
              <w:rPr>
                <w:rFonts w:hint="eastAsia" w:ascii="宋体" w:hAnsi="宋体"/>
                <w:color w:val="auto"/>
                <w:szCs w:val="21"/>
              </w:rPr>
              <w:t>5.拟投入的监理员</w:t>
            </w:r>
          </w:p>
        </w:tc>
        <w:tc>
          <w:tcPr>
            <w:tcW w:w="126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90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108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126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108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180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48" w:type="dxa"/>
            <w:vMerge w:val="continue"/>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126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90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108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126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108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180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48"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r>
              <w:rPr>
                <w:rFonts w:hint="eastAsia" w:ascii="宋体" w:hAnsi="宋体"/>
                <w:color w:val="auto"/>
                <w:szCs w:val="21"/>
              </w:rPr>
              <w:t>6.技术负责人</w:t>
            </w:r>
          </w:p>
        </w:tc>
        <w:tc>
          <w:tcPr>
            <w:tcW w:w="126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90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108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126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108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c>
          <w:tcPr>
            <w:tcW w:w="1800" w:type="dxa"/>
          </w:tcPr>
          <w:p>
            <w:pPr>
              <w:keepNext w:val="0"/>
              <w:keepLines w:val="0"/>
              <w:suppressLineNumbers w:val="0"/>
              <w:spacing w:before="0" w:beforeAutospacing="0" w:after="0" w:afterAutospacing="0" w:line="500" w:lineRule="exact"/>
              <w:ind w:left="0" w:right="0"/>
              <w:rPr>
                <w:rFonts w:hint="default" w:ascii="宋体" w:hAnsi="宋体"/>
                <w:color w:val="auto"/>
                <w:szCs w:val="21"/>
              </w:rPr>
            </w:pPr>
          </w:p>
        </w:tc>
      </w:tr>
    </w:tbl>
    <w:p>
      <w:pPr>
        <w:tabs>
          <w:tab w:val="left" w:pos="9720"/>
        </w:tabs>
        <w:rPr>
          <w:rFonts w:ascii="宋体" w:hAnsi="宋体"/>
          <w:color w:val="auto"/>
          <w:szCs w:val="21"/>
        </w:rPr>
      </w:pPr>
    </w:p>
    <w:p>
      <w:pPr>
        <w:tabs>
          <w:tab w:val="left" w:pos="9720"/>
        </w:tabs>
        <w:spacing w:line="360" w:lineRule="auto"/>
        <w:rPr>
          <w:rFonts w:ascii="宋体" w:hAnsi="宋体"/>
          <w:bCs/>
          <w:color w:val="auto"/>
        </w:rPr>
      </w:pPr>
      <w:r>
        <w:rPr>
          <w:rFonts w:hint="eastAsia" w:ascii="宋体" w:hAnsi="宋体"/>
          <w:color w:val="auto"/>
          <w:szCs w:val="21"/>
        </w:rPr>
        <w:t xml:space="preserve">注： </w:t>
      </w:r>
      <w:r>
        <w:rPr>
          <w:rFonts w:hint="eastAsia" w:ascii="宋体" w:hAnsi="宋体"/>
          <w:bCs/>
          <w:color w:val="auto"/>
          <w:szCs w:val="21"/>
        </w:rPr>
        <w:t>1、投标人应根据本工程的实际监理工作量填入拟派驻的主要监理人员，包括总监理工程师、总监</w:t>
      </w:r>
      <w:r>
        <w:rPr>
          <w:rFonts w:hint="eastAsia" w:ascii="宋体" w:hAnsi="宋体"/>
          <w:bCs/>
          <w:color w:val="auto"/>
        </w:rPr>
        <w:t>理工程师代表、技术负责人、专业监理工程师及监理员。</w:t>
      </w:r>
    </w:p>
    <w:p>
      <w:pPr>
        <w:tabs>
          <w:tab w:val="left" w:pos="6700"/>
        </w:tabs>
        <w:spacing w:line="360" w:lineRule="auto"/>
        <w:ind w:firstLine="420" w:firstLineChars="200"/>
        <w:jc w:val="left"/>
        <w:rPr>
          <w:rFonts w:ascii="宋体" w:hAnsi="宋体"/>
          <w:bCs/>
          <w:color w:val="auto"/>
        </w:rPr>
      </w:pPr>
      <w:r>
        <w:rPr>
          <w:rFonts w:hint="eastAsia" w:ascii="宋体" w:hAnsi="宋体"/>
          <w:bCs/>
          <w:color w:val="auto"/>
        </w:rPr>
        <w:t>2、主要监理人员附个人简历表（按表7.3.3格式每人一张）、职称证书、监理人员岗位证书（包括注册监理工程师执业资格证和注册执业证书、专业监理工程师证书、监理员上岗证或培训证书、注册造价师资格证书和注册证书）复印件，并加盖投标人公章。</w:t>
      </w:r>
    </w:p>
    <w:p>
      <w:pPr>
        <w:tabs>
          <w:tab w:val="left" w:pos="6700"/>
        </w:tabs>
        <w:spacing w:line="360" w:lineRule="auto"/>
        <w:ind w:firstLine="420" w:firstLineChars="200"/>
        <w:jc w:val="left"/>
        <w:rPr>
          <w:rFonts w:ascii="宋体" w:hAnsi="宋体"/>
          <w:bCs/>
          <w:color w:val="auto"/>
        </w:rPr>
      </w:pPr>
      <w:r>
        <w:rPr>
          <w:rFonts w:hint="eastAsia" w:ascii="宋体" w:hAnsi="宋体"/>
          <w:bCs/>
          <w:color w:val="auto"/>
        </w:rPr>
        <w:t>3、必须在投标文件正本中提供拟进场的监理人员自（从本项目招标公告发出之月起计）前3个月在本企业购买的养老保险证明材料。已达到退休年龄的，则可提供养老保险待遇领取情况资料（或退休证），及其返聘证明代替)。</w:t>
      </w:r>
    </w:p>
    <w:p>
      <w:pPr>
        <w:kinsoku w:val="0"/>
        <w:overflowPunct w:val="0"/>
        <w:autoSpaceDE w:val="0"/>
        <w:autoSpaceDN w:val="0"/>
        <w:adjustRightInd w:val="0"/>
        <w:snapToGrid w:val="0"/>
        <w:spacing w:after="240" w:line="360" w:lineRule="auto"/>
        <w:ind w:firstLine="420" w:firstLineChars="200"/>
        <w:rPr>
          <w:rFonts w:ascii="宋体" w:hAnsi="宋体"/>
          <w:b/>
          <w:bCs/>
          <w:color w:val="auto"/>
          <w:sz w:val="28"/>
        </w:rPr>
      </w:pPr>
      <w:r>
        <w:rPr>
          <w:rFonts w:hint="eastAsia" w:ascii="宋体" w:hAnsi="宋体"/>
          <w:bCs/>
          <w:color w:val="auto"/>
        </w:rPr>
        <w:t>4、投标人在投标过程中一旦中标，则所投入本工程主要监理人员的职称证（原件）、监理人员岗位证书原件（包括注册监理工程师执业资格证和注册执业证书、专业监理工程师证书、监理员上岗证或培训证书证书、注册造价工程师资格证书和注册证书）由业主核查。</w:t>
      </w:r>
    </w:p>
    <w:p>
      <w:pPr>
        <w:rPr>
          <w:rFonts w:ascii="宋体" w:hAnsi="宋体"/>
          <w:b/>
          <w:bCs/>
          <w:color w:val="auto"/>
          <w:sz w:val="28"/>
        </w:rPr>
      </w:pPr>
      <w:r>
        <w:rPr>
          <w:rFonts w:hint="eastAsia" w:ascii="宋体" w:hAnsi="宋体"/>
          <w:b/>
          <w:bCs/>
          <w:color w:val="auto"/>
          <w:sz w:val="28"/>
        </w:rPr>
        <w:br w:type="page"/>
      </w:r>
    </w:p>
    <w:p>
      <w:pPr>
        <w:spacing w:line="500" w:lineRule="exact"/>
        <w:rPr>
          <w:rFonts w:ascii="宋体" w:hAnsi="宋体"/>
          <w:b/>
          <w:bCs/>
          <w:color w:val="auto"/>
          <w:sz w:val="28"/>
        </w:rPr>
      </w:pPr>
      <w:r>
        <w:rPr>
          <w:rFonts w:hint="eastAsia" w:ascii="宋体" w:hAnsi="宋体"/>
          <w:b/>
          <w:bCs/>
          <w:color w:val="auto"/>
          <w:sz w:val="28"/>
        </w:rPr>
        <w:t>表7.3.2　　　　　　　　　</w:t>
      </w:r>
    </w:p>
    <w:p>
      <w:pPr>
        <w:spacing w:line="500" w:lineRule="exact"/>
        <w:jc w:val="center"/>
        <w:rPr>
          <w:rFonts w:ascii="宋体" w:hAnsi="宋体"/>
          <w:b/>
          <w:bCs/>
          <w:color w:val="auto"/>
          <w:sz w:val="24"/>
        </w:rPr>
      </w:pPr>
      <w:r>
        <w:rPr>
          <w:rFonts w:hint="eastAsia" w:ascii="宋体" w:hAnsi="宋体"/>
          <w:b/>
          <w:bCs/>
          <w:color w:val="auto"/>
          <w:sz w:val="28"/>
        </w:rPr>
        <w:t>项目总监理工程师简历表</w:t>
      </w:r>
    </w:p>
    <w:p>
      <w:pPr>
        <w:spacing w:line="500" w:lineRule="exact"/>
        <w:rPr>
          <w:rFonts w:ascii="宋体" w:hAnsi="宋体"/>
          <w:color w:val="auto"/>
          <w:sz w:val="24"/>
        </w:rPr>
      </w:pPr>
    </w:p>
    <w:tbl>
      <w:tblPr>
        <w:tblStyle w:val="22"/>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540"/>
        <w:gridCol w:w="1316"/>
        <w:gridCol w:w="1000"/>
        <w:gridCol w:w="204"/>
        <w:gridCol w:w="1236"/>
        <w:gridCol w:w="744"/>
        <w:gridCol w:w="336"/>
        <w:gridCol w:w="1284"/>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r>
              <w:rPr>
                <w:rFonts w:hint="eastAsia" w:ascii="宋体" w:hAnsi="宋体"/>
                <w:color w:val="auto"/>
                <w:szCs w:val="21"/>
              </w:rPr>
              <w:t>姓　名</w:t>
            </w:r>
          </w:p>
        </w:tc>
        <w:tc>
          <w:tcPr>
            <w:tcW w:w="1856"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p>
        </w:tc>
        <w:tc>
          <w:tcPr>
            <w:tcW w:w="1000"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r>
              <w:rPr>
                <w:rFonts w:hint="eastAsia" w:ascii="宋体" w:hAnsi="宋体"/>
                <w:color w:val="auto"/>
                <w:szCs w:val="21"/>
              </w:rPr>
              <w:t>性别</w:t>
            </w:r>
          </w:p>
        </w:tc>
        <w:tc>
          <w:tcPr>
            <w:tcW w:w="144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p>
        </w:tc>
        <w:tc>
          <w:tcPr>
            <w:tcW w:w="108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r>
              <w:rPr>
                <w:rFonts w:hint="eastAsia" w:ascii="宋体" w:hAnsi="宋体"/>
                <w:color w:val="auto"/>
                <w:szCs w:val="21"/>
              </w:rPr>
              <w:t>年龄</w:t>
            </w:r>
          </w:p>
        </w:tc>
        <w:tc>
          <w:tcPr>
            <w:tcW w:w="2724"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r>
              <w:rPr>
                <w:rFonts w:hint="eastAsia" w:ascii="宋体" w:hAnsi="宋体"/>
                <w:color w:val="auto"/>
                <w:szCs w:val="21"/>
              </w:rPr>
              <w:t>职　务</w:t>
            </w:r>
          </w:p>
        </w:tc>
        <w:tc>
          <w:tcPr>
            <w:tcW w:w="1856"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p>
        </w:tc>
        <w:tc>
          <w:tcPr>
            <w:tcW w:w="1000"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r>
              <w:rPr>
                <w:rFonts w:hint="eastAsia" w:ascii="宋体" w:hAnsi="宋体"/>
                <w:color w:val="auto"/>
                <w:szCs w:val="21"/>
              </w:rPr>
              <w:t>职称</w:t>
            </w:r>
          </w:p>
        </w:tc>
        <w:tc>
          <w:tcPr>
            <w:tcW w:w="144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p>
        </w:tc>
        <w:tc>
          <w:tcPr>
            <w:tcW w:w="108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r>
              <w:rPr>
                <w:rFonts w:hint="eastAsia" w:ascii="宋体" w:hAnsi="宋体"/>
                <w:color w:val="auto"/>
                <w:szCs w:val="21"/>
              </w:rPr>
              <w:t>学历</w:t>
            </w:r>
          </w:p>
        </w:tc>
        <w:tc>
          <w:tcPr>
            <w:tcW w:w="2724"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r>
              <w:rPr>
                <w:rFonts w:hint="eastAsia" w:ascii="宋体" w:hAnsi="宋体"/>
                <w:color w:val="auto"/>
                <w:szCs w:val="21"/>
              </w:rPr>
              <w:t>参加工作时间</w:t>
            </w:r>
          </w:p>
        </w:tc>
        <w:tc>
          <w:tcPr>
            <w:tcW w:w="3060" w:type="dxa"/>
            <w:gridSpan w:val="4"/>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p>
        </w:tc>
        <w:tc>
          <w:tcPr>
            <w:tcW w:w="2316" w:type="dxa"/>
            <w:gridSpan w:val="3"/>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r>
              <w:rPr>
                <w:rFonts w:hint="eastAsia" w:ascii="宋体" w:hAnsi="宋体"/>
                <w:color w:val="auto"/>
                <w:szCs w:val="21"/>
              </w:rPr>
              <w:t>从事监理工作年限</w:t>
            </w:r>
          </w:p>
        </w:tc>
        <w:tc>
          <w:tcPr>
            <w:tcW w:w="2724"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r>
              <w:rPr>
                <w:rFonts w:hint="eastAsia" w:ascii="宋体" w:hAnsi="宋体"/>
                <w:color w:val="auto"/>
                <w:szCs w:val="21"/>
              </w:rPr>
              <w:t>专　　业</w:t>
            </w:r>
          </w:p>
        </w:tc>
        <w:tc>
          <w:tcPr>
            <w:tcW w:w="3060" w:type="dxa"/>
            <w:gridSpan w:val="4"/>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p>
        </w:tc>
        <w:tc>
          <w:tcPr>
            <w:tcW w:w="2316" w:type="dxa"/>
            <w:gridSpan w:val="3"/>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r>
              <w:rPr>
                <w:rFonts w:hint="eastAsia" w:ascii="宋体" w:hAnsi="宋体"/>
                <w:color w:val="auto"/>
                <w:szCs w:val="21"/>
              </w:rPr>
              <w:t>注册证书号</w:t>
            </w:r>
          </w:p>
        </w:tc>
        <w:tc>
          <w:tcPr>
            <w:tcW w:w="2724"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28" w:type="dxa"/>
            <w:gridSpan w:val="10"/>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r>
              <w:rPr>
                <w:rFonts w:hint="eastAsia" w:ascii="宋体" w:hAnsi="宋体"/>
                <w:color w:val="auto"/>
                <w:szCs w:val="21"/>
              </w:rPr>
              <w:t>已完成工程监理项目情况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r>
              <w:rPr>
                <w:rFonts w:hint="eastAsia" w:ascii="宋体" w:hAnsi="宋体"/>
                <w:color w:val="auto"/>
                <w:szCs w:val="21"/>
              </w:rPr>
              <w:t>建设单位</w:t>
            </w:r>
          </w:p>
        </w:tc>
        <w:tc>
          <w:tcPr>
            <w:tcW w:w="2520" w:type="dxa"/>
            <w:gridSpan w:val="3"/>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r>
              <w:rPr>
                <w:rFonts w:hint="eastAsia" w:ascii="宋体" w:hAnsi="宋体"/>
                <w:color w:val="auto"/>
                <w:szCs w:val="21"/>
              </w:rPr>
              <w:t>项目名称</w:t>
            </w:r>
          </w:p>
        </w:tc>
        <w:tc>
          <w:tcPr>
            <w:tcW w:w="198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r>
              <w:rPr>
                <w:rFonts w:hint="eastAsia" w:ascii="宋体" w:hAnsi="宋体"/>
                <w:color w:val="auto"/>
                <w:szCs w:val="21"/>
              </w:rPr>
              <w:t>建设规模</w:t>
            </w:r>
          </w:p>
        </w:tc>
        <w:tc>
          <w:tcPr>
            <w:tcW w:w="162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r>
              <w:rPr>
                <w:rFonts w:hint="eastAsia" w:ascii="宋体" w:hAnsi="宋体"/>
                <w:color w:val="auto"/>
                <w:szCs w:val="21"/>
              </w:rPr>
              <w:t>开、竣工日期</w:t>
            </w:r>
          </w:p>
        </w:tc>
        <w:tc>
          <w:tcPr>
            <w:tcW w:w="1440"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r>
              <w:rPr>
                <w:rFonts w:hint="eastAsia" w:ascii="宋体" w:hAnsi="宋体"/>
                <w:color w:val="auto"/>
                <w:szCs w:val="21"/>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2520" w:type="dxa"/>
            <w:gridSpan w:val="3"/>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98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62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440"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2520" w:type="dxa"/>
            <w:gridSpan w:val="3"/>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98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62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440"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2520" w:type="dxa"/>
            <w:gridSpan w:val="3"/>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98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62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440"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2520" w:type="dxa"/>
            <w:gridSpan w:val="3"/>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98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62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440"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2520" w:type="dxa"/>
            <w:gridSpan w:val="3"/>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98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62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440"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2520" w:type="dxa"/>
            <w:gridSpan w:val="3"/>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98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62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440"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2520" w:type="dxa"/>
            <w:gridSpan w:val="3"/>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98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62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440"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2520" w:type="dxa"/>
            <w:gridSpan w:val="3"/>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98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62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440"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2520" w:type="dxa"/>
            <w:gridSpan w:val="3"/>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98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62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440"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2520" w:type="dxa"/>
            <w:gridSpan w:val="3"/>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98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62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440"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r>
    </w:tbl>
    <w:p>
      <w:pPr>
        <w:spacing w:line="500" w:lineRule="exact"/>
        <w:rPr>
          <w:rFonts w:ascii="宋体" w:hAnsi="宋体"/>
          <w:color w:val="auto"/>
        </w:rPr>
      </w:pPr>
      <w:r>
        <w:rPr>
          <w:rFonts w:hint="eastAsia" w:ascii="宋体" w:hAnsi="宋体"/>
          <w:color w:val="auto"/>
        </w:rPr>
        <w:t>注：1.　附工程合同证明材料复印件及竣工验收证明材料的复印件（加盖投标人公章）。</w:t>
      </w:r>
    </w:p>
    <w:p>
      <w:pPr>
        <w:spacing w:line="500" w:lineRule="exact"/>
        <w:ind w:left="840" w:leftChars="200" w:hanging="420" w:hangingChars="200"/>
        <w:rPr>
          <w:rFonts w:ascii="宋体" w:hAnsi="宋体"/>
          <w:color w:val="auto"/>
        </w:rPr>
      </w:pPr>
      <w:r>
        <w:rPr>
          <w:rFonts w:hint="eastAsia" w:ascii="宋体" w:hAnsi="宋体"/>
          <w:color w:val="auto"/>
        </w:rPr>
        <w:t>2.　附项目总监理工程师在本单位注册的注册监理工程师证书、职称证书和其他相关证书复印件（加盖投标人公章）。</w:t>
      </w:r>
    </w:p>
    <w:p>
      <w:pPr>
        <w:spacing w:line="500" w:lineRule="exact"/>
        <w:rPr>
          <w:rFonts w:ascii="宋体" w:hAnsi="宋体"/>
          <w:color w:val="auto"/>
          <w:sz w:val="24"/>
        </w:rPr>
      </w:pPr>
      <w:r>
        <w:rPr>
          <w:rFonts w:ascii="宋体" w:hAnsi="宋体"/>
          <w:b/>
          <w:bCs/>
          <w:color w:val="auto"/>
          <w:sz w:val="28"/>
        </w:rPr>
        <w:br w:type="page"/>
      </w:r>
      <w:r>
        <w:rPr>
          <w:rFonts w:hint="eastAsia" w:ascii="宋体" w:hAnsi="宋体"/>
          <w:b/>
          <w:bCs/>
          <w:color w:val="auto"/>
          <w:sz w:val="28"/>
        </w:rPr>
        <w:t>表7.3.3</w:t>
      </w:r>
      <w:r>
        <w:rPr>
          <w:rFonts w:hint="eastAsia" w:ascii="宋体" w:hAnsi="宋体"/>
          <w:b/>
          <w:bCs/>
          <w:color w:val="auto"/>
          <w:sz w:val="24"/>
        </w:rPr>
        <w:t>　　</w:t>
      </w:r>
      <w:r>
        <w:rPr>
          <w:rFonts w:hint="eastAsia" w:ascii="宋体" w:hAnsi="宋体"/>
          <w:color w:val="auto"/>
          <w:sz w:val="24"/>
        </w:rPr>
        <w:t>　　　　　　　　　</w:t>
      </w:r>
    </w:p>
    <w:p>
      <w:pPr>
        <w:spacing w:line="500" w:lineRule="exact"/>
        <w:jc w:val="center"/>
        <w:rPr>
          <w:rFonts w:ascii="宋体" w:hAnsi="宋体"/>
          <w:b/>
          <w:bCs/>
          <w:color w:val="auto"/>
          <w:sz w:val="24"/>
        </w:rPr>
      </w:pPr>
      <w:r>
        <w:rPr>
          <w:rFonts w:hint="eastAsia" w:ascii="宋体" w:hAnsi="宋体"/>
          <w:b/>
          <w:bCs/>
          <w:color w:val="auto"/>
          <w:sz w:val="28"/>
        </w:rPr>
        <w:t>拟投入的总监代表及专业监理工程师简历</w:t>
      </w:r>
    </w:p>
    <w:p>
      <w:pPr>
        <w:spacing w:line="500" w:lineRule="exact"/>
        <w:rPr>
          <w:rFonts w:ascii="宋体" w:hAnsi="宋体"/>
          <w:color w:val="auto"/>
          <w:sz w:val="24"/>
        </w:rPr>
      </w:pPr>
    </w:p>
    <w:tbl>
      <w:tblPr>
        <w:tblStyle w:val="22"/>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360"/>
        <w:gridCol w:w="1440"/>
        <w:gridCol w:w="360"/>
        <w:gridCol w:w="900"/>
        <w:gridCol w:w="156"/>
        <w:gridCol w:w="744"/>
        <w:gridCol w:w="540"/>
        <w:gridCol w:w="540"/>
        <w:gridCol w:w="720"/>
        <w:gridCol w:w="720"/>
        <w:gridCol w:w="72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r>
              <w:rPr>
                <w:rFonts w:hint="eastAsia" w:ascii="宋体" w:hAnsi="宋体"/>
                <w:color w:val="auto"/>
                <w:szCs w:val="21"/>
              </w:rPr>
              <w:t>姓　名</w:t>
            </w:r>
          </w:p>
        </w:tc>
        <w:tc>
          <w:tcPr>
            <w:tcW w:w="180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p>
        </w:tc>
        <w:tc>
          <w:tcPr>
            <w:tcW w:w="1416" w:type="dxa"/>
            <w:gridSpan w:val="3"/>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r>
              <w:rPr>
                <w:rFonts w:hint="eastAsia" w:ascii="宋体" w:hAnsi="宋体"/>
                <w:color w:val="auto"/>
                <w:szCs w:val="21"/>
              </w:rPr>
              <w:t>性　别</w:t>
            </w:r>
          </w:p>
        </w:tc>
        <w:tc>
          <w:tcPr>
            <w:tcW w:w="1824" w:type="dxa"/>
            <w:gridSpan w:val="3"/>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p>
        </w:tc>
        <w:tc>
          <w:tcPr>
            <w:tcW w:w="144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r>
              <w:rPr>
                <w:rFonts w:hint="eastAsia" w:ascii="宋体" w:hAnsi="宋体"/>
                <w:color w:val="auto"/>
                <w:szCs w:val="21"/>
              </w:rPr>
              <w:t>年　龄</w:t>
            </w:r>
          </w:p>
        </w:tc>
        <w:tc>
          <w:tcPr>
            <w:tcW w:w="198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r>
              <w:rPr>
                <w:rFonts w:hint="eastAsia" w:ascii="宋体" w:hAnsi="宋体"/>
                <w:color w:val="auto"/>
                <w:szCs w:val="21"/>
              </w:rPr>
              <w:t>职　务</w:t>
            </w:r>
          </w:p>
        </w:tc>
        <w:tc>
          <w:tcPr>
            <w:tcW w:w="180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p>
        </w:tc>
        <w:tc>
          <w:tcPr>
            <w:tcW w:w="1416" w:type="dxa"/>
            <w:gridSpan w:val="3"/>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r>
              <w:rPr>
                <w:rFonts w:hint="eastAsia" w:ascii="宋体" w:hAnsi="宋体"/>
                <w:color w:val="auto"/>
                <w:szCs w:val="21"/>
              </w:rPr>
              <w:t>职　称</w:t>
            </w:r>
          </w:p>
        </w:tc>
        <w:tc>
          <w:tcPr>
            <w:tcW w:w="1824" w:type="dxa"/>
            <w:gridSpan w:val="3"/>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p>
        </w:tc>
        <w:tc>
          <w:tcPr>
            <w:tcW w:w="144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r>
              <w:rPr>
                <w:rFonts w:hint="eastAsia" w:ascii="宋体" w:hAnsi="宋体"/>
                <w:color w:val="auto"/>
                <w:szCs w:val="21"/>
              </w:rPr>
              <w:t>学　历</w:t>
            </w:r>
          </w:p>
        </w:tc>
        <w:tc>
          <w:tcPr>
            <w:tcW w:w="198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r>
              <w:rPr>
                <w:rFonts w:hint="eastAsia" w:ascii="宋体" w:hAnsi="宋体"/>
                <w:color w:val="auto"/>
                <w:szCs w:val="21"/>
              </w:rPr>
              <w:t>证　号</w:t>
            </w:r>
          </w:p>
        </w:tc>
        <w:tc>
          <w:tcPr>
            <w:tcW w:w="180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p>
        </w:tc>
        <w:tc>
          <w:tcPr>
            <w:tcW w:w="2160" w:type="dxa"/>
            <w:gridSpan w:val="4"/>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r>
              <w:rPr>
                <w:rFonts w:hint="eastAsia" w:ascii="宋体" w:hAnsi="宋体"/>
                <w:color w:val="auto"/>
                <w:szCs w:val="21"/>
              </w:rPr>
              <w:t>从事监理工作年限</w:t>
            </w:r>
          </w:p>
        </w:tc>
        <w:tc>
          <w:tcPr>
            <w:tcW w:w="108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p>
        </w:tc>
        <w:tc>
          <w:tcPr>
            <w:tcW w:w="144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r>
              <w:rPr>
                <w:rFonts w:hint="eastAsia" w:ascii="宋体" w:hAnsi="宋体"/>
                <w:color w:val="auto"/>
                <w:szCs w:val="21"/>
              </w:rPr>
              <w:t>专业</w:t>
            </w:r>
          </w:p>
        </w:tc>
        <w:tc>
          <w:tcPr>
            <w:tcW w:w="198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28" w:type="dxa"/>
            <w:gridSpan w:val="13"/>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r>
              <w:rPr>
                <w:rFonts w:hint="eastAsia" w:ascii="宋体" w:hAnsi="宋体"/>
                <w:color w:val="auto"/>
                <w:szCs w:val="21"/>
              </w:rPr>
              <w:t>已完成工程监理项目情况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r>
              <w:rPr>
                <w:rFonts w:hint="eastAsia" w:ascii="宋体" w:hAnsi="宋体"/>
                <w:color w:val="auto"/>
                <w:szCs w:val="21"/>
              </w:rPr>
              <w:t>建设单位</w:t>
            </w:r>
          </w:p>
        </w:tc>
        <w:tc>
          <w:tcPr>
            <w:tcW w:w="180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r>
              <w:rPr>
                <w:rFonts w:hint="eastAsia" w:ascii="宋体" w:hAnsi="宋体"/>
                <w:color w:val="auto"/>
                <w:szCs w:val="21"/>
              </w:rPr>
              <w:t>项目名称</w:t>
            </w:r>
          </w:p>
        </w:tc>
        <w:tc>
          <w:tcPr>
            <w:tcW w:w="900"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r>
              <w:rPr>
                <w:rFonts w:hint="eastAsia" w:ascii="宋体" w:hAnsi="宋体"/>
                <w:color w:val="auto"/>
                <w:szCs w:val="21"/>
              </w:rPr>
              <w:t>职务</w:t>
            </w:r>
          </w:p>
        </w:tc>
        <w:tc>
          <w:tcPr>
            <w:tcW w:w="1440" w:type="dxa"/>
            <w:gridSpan w:val="3"/>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r>
              <w:rPr>
                <w:rFonts w:hint="eastAsia" w:ascii="宋体" w:hAnsi="宋体"/>
                <w:color w:val="auto"/>
                <w:szCs w:val="21"/>
              </w:rPr>
              <w:t>建设规模</w:t>
            </w:r>
          </w:p>
        </w:tc>
        <w:tc>
          <w:tcPr>
            <w:tcW w:w="126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r>
              <w:rPr>
                <w:rFonts w:hint="eastAsia" w:ascii="宋体" w:hAnsi="宋体"/>
                <w:color w:val="auto"/>
                <w:szCs w:val="21"/>
              </w:rPr>
              <w:t>结构类型</w:t>
            </w:r>
          </w:p>
        </w:tc>
        <w:tc>
          <w:tcPr>
            <w:tcW w:w="144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r>
              <w:rPr>
                <w:rFonts w:hint="eastAsia" w:ascii="宋体" w:hAnsi="宋体"/>
                <w:color w:val="auto"/>
                <w:szCs w:val="21"/>
              </w:rPr>
              <w:t>开竣工日期</w:t>
            </w:r>
          </w:p>
        </w:tc>
        <w:tc>
          <w:tcPr>
            <w:tcW w:w="1260"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r>
              <w:rPr>
                <w:rFonts w:hint="eastAsia" w:ascii="宋体" w:hAnsi="宋体"/>
                <w:color w:val="auto"/>
                <w:szCs w:val="21"/>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80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900"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440" w:type="dxa"/>
            <w:gridSpan w:val="3"/>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6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44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60"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80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900"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440" w:type="dxa"/>
            <w:gridSpan w:val="3"/>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6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44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60"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80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900"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440" w:type="dxa"/>
            <w:gridSpan w:val="3"/>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6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44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60"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80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900"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440" w:type="dxa"/>
            <w:gridSpan w:val="3"/>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6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44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60"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80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900"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440" w:type="dxa"/>
            <w:gridSpan w:val="3"/>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6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44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60"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80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900"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440" w:type="dxa"/>
            <w:gridSpan w:val="3"/>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6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44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60"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80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900"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440" w:type="dxa"/>
            <w:gridSpan w:val="3"/>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6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44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60"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80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900"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440" w:type="dxa"/>
            <w:gridSpan w:val="3"/>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6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44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60"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80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900"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440" w:type="dxa"/>
            <w:gridSpan w:val="3"/>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6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44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60"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80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900"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440" w:type="dxa"/>
            <w:gridSpan w:val="3"/>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6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44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60"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80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900"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440" w:type="dxa"/>
            <w:gridSpan w:val="3"/>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6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44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60"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80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900"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440" w:type="dxa"/>
            <w:gridSpan w:val="3"/>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6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44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60"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80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900"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440" w:type="dxa"/>
            <w:gridSpan w:val="3"/>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6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440" w:type="dxa"/>
            <w:gridSpan w:val="2"/>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60"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r>
    </w:tbl>
    <w:p>
      <w:pPr>
        <w:spacing w:line="360" w:lineRule="auto"/>
        <w:rPr>
          <w:rFonts w:ascii="宋体" w:hAnsi="宋体"/>
          <w:color w:val="auto"/>
        </w:rPr>
      </w:pPr>
      <w:r>
        <w:rPr>
          <w:rFonts w:hint="eastAsia" w:ascii="宋体" w:hAnsi="宋体"/>
          <w:color w:val="auto"/>
        </w:rPr>
        <w:t>注：1.　按不同专业单独具表。</w:t>
      </w:r>
    </w:p>
    <w:p>
      <w:pPr>
        <w:numPr>
          <w:ilvl w:val="0"/>
          <w:numId w:val="3"/>
        </w:numPr>
        <w:spacing w:line="360" w:lineRule="auto"/>
        <w:rPr>
          <w:rFonts w:ascii="宋体" w:hAnsi="宋体"/>
          <w:color w:val="auto"/>
        </w:rPr>
      </w:pPr>
      <w:r>
        <w:rPr>
          <w:rFonts w:hint="eastAsia" w:ascii="宋体" w:hAnsi="宋体"/>
          <w:color w:val="auto"/>
        </w:rPr>
        <w:t>附本表所列人员证书。其中，专业监理工程师提供在本单位注册的注册监理工程师证书（或专业监理工程师证书或监理工程师培训证书）；监理员提供监理员上岗证书（或培训证书）复印件，若有其它证书可相应提供其复印件。</w:t>
      </w:r>
    </w:p>
    <w:p>
      <w:pPr>
        <w:numPr>
          <w:ilvl w:val="0"/>
          <w:numId w:val="3"/>
        </w:numPr>
        <w:spacing w:line="360" w:lineRule="auto"/>
        <w:rPr>
          <w:rFonts w:ascii="宋体" w:hAnsi="宋体"/>
          <w:color w:val="auto"/>
        </w:rPr>
      </w:pPr>
      <w:r>
        <w:rPr>
          <w:rFonts w:hint="eastAsia" w:ascii="宋体" w:hAnsi="宋体"/>
          <w:color w:val="auto"/>
        </w:rPr>
        <w:t>所有证书复印件须加盖投标人公章。</w:t>
      </w:r>
    </w:p>
    <w:p>
      <w:pPr>
        <w:spacing w:line="500" w:lineRule="exact"/>
        <w:ind w:left="420"/>
        <w:rPr>
          <w:rFonts w:ascii="宋体" w:hAnsi="宋体"/>
          <w:color w:val="auto"/>
        </w:rPr>
      </w:pPr>
    </w:p>
    <w:p>
      <w:pPr>
        <w:rPr>
          <w:rFonts w:ascii="宋体" w:hAnsi="宋体"/>
          <w:b/>
          <w:bCs/>
          <w:color w:val="auto"/>
          <w:sz w:val="28"/>
        </w:rPr>
      </w:pPr>
      <w:r>
        <w:rPr>
          <w:rFonts w:hint="eastAsia" w:ascii="宋体" w:hAnsi="宋体"/>
          <w:b/>
          <w:bCs/>
          <w:color w:val="auto"/>
          <w:sz w:val="28"/>
        </w:rPr>
        <w:br w:type="page"/>
      </w:r>
    </w:p>
    <w:p>
      <w:pPr>
        <w:spacing w:line="500" w:lineRule="exact"/>
        <w:rPr>
          <w:rFonts w:ascii="宋体" w:hAnsi="宋体"/>
          <w:b/>
          <w:bCs/>
          <w:color w:val="auto"/>
          <w:sz w:val="28"/>
        </w:rPr>
      </w:pPr>
      <w:r>
        <w:rPr>
          <w:rFonts w:hint="eastAsia" w:ascii="宋体" w:hAnsi="宋体"/>
          <w:b/>
          <w:bCs/>
          <w:color w:val="auto"/>
          <w:sz w:val="28"/>
        </w:rPr>
        <w:t>表7.</w:t>
      </w:r>
      <w:r>
        <w:rPr>
          <w:rFonts w:ascii="宋体" w:hAnsi="宋体"/>
          <w:b/>
          <w:bCs/>
          <w:color w:val="auto"/>
          <w:sz w:val="28"/>
        </w:rPr>
        <w:t>4</w:t>
      </w:r>
      <w:r>
        <w:rPr>
          <w:rFonts w:hint="eastAsia" w:ascii="宋体" w:hAnsi="宋体"/>
          <w:b/>
          <w:bCs/>
          <w:color w:val="auto"/>
          <w:sz w:val="28"/>
        </w:rPr>
        <w:t>　　</w:t>
      </w:r>
    </w:p>
    <w:p>
      <w:pPr>
        <w:spacing w:line="500" w:lineRule="exact"/>
        <w:jc w:val="center"/>
        <w:outlineLvl w:val="2"/>
        <w:rPr>
          <w:rFonts w:ascii="宋体" w:hAnsi="宋体"/>
          <w:b/>
          <w:bCs/>
          <w:color w:val="auto"/>
          <w:sz w:val="28"/>
        </w:rPr>
      </w:pPr>
      <w:r>
        <w:rPr>
          <w:rFonts w:hint="eastAsia" w:ascii="宋体" w:hAnsi="宋体"/>
          <w:b/>
          <w:bCs/>
          <w:color w:val="auto"/>
          <w:sz w:val="28"/>
        </w:rPr>
        <w:t>拟投入的主要工作设备表</w:t>
      </w:r>
    </w:p>
    <w:tbl>
      <w:tblPr>
        <w:tblStyle w:val="2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906"/>
        <w:gridCol w:w="1563"/>
        <w:gridCol w:w="877"/>
        <w:gridCol w:w="855"/>
        <w:gridCol w:w="1959"/>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r>
              <w:rPr>
                <w:rFonts w:hint="eastAsia" w:ascii="宋体" w:hAnsi="宋体"/>
                <w:color w:val="auto"/>
                <w:szCs w:val="21"/>
              </w:rPr>
              <w:t>序号</w:t>
            </w:r>
          </w:p>
        </w:tc>
        <w:tc>
          <w:tcPr>
            <w:tcW w:w="1906"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r>
              <w:rPr>
                <w:rFonts w:hint="eastAsia" w:ascii="宋体" w:hAnsi="宋体"/>
                <w:color w:val="auto"/>
                <w:szCs w:val="21"/>
              </w:rPr>
              <w:t>设备名称</w:t>
            </w:r>
          </w:p>
        </w:tc>
        <w:tc>
          <w:tcPr>
            <w:tcW w:w="156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r>
              <w:rPr>
                <w:rFonts w:hint="eastAsia" w:ascii="宋体" w:hAnsi="宋体"/>
                <w:color w:val="auto"/>
                <w:szCs w:val="21"/>
              </w:rPr>
              <w:t>型号</w:t>
            </w:r>
          </w:p>
        </w:tc>
        <w:tc>
          <w:tcPr>
            <w:tcW w:w="877"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r>
              <w:rPr>
                <w:rFonts w:hint="eastAsia" w:ascii="宋体" w:hAnsi="宋体"/>
                <w:color w:val="auto"/>
                <w:szCs w:val="21"/>
              </w:rPr>
              <w:t>单位</w:t>
            </w:r>
          </w:p>
        </w:tc>
        <w:tc>
          <w:tcPr>
            <w:tcW w:w="855"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r>
              <w:rPr>
                <w:rFonts w:hint="eastAsia" w:ascii="宋体" w:hAnsi="宋体"/>
                <w:color w:val="auto"/>
                <w:szCs w:val="21"/>
              </w:rPr>
              <w:t>数量</w:t>
            </w:r>
          </w:p>
        </w:tc>
        <w:tc>
          <w:tcPr>
            <w:tcW w:w="1959"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r>
              <w:rPr>
                <w:rFonts w:hint="eastAsia" w:ascii="宋体" w:hAnsi="宋体"/>
                <w:color w:val="auto"/>
                <w:szCs w:val="21"/>
              </w:rPr>
              <w:t>自有、新购、租赁</w:t>
            </w:r>
          </w:p>
        </w:tc>
        <w:tc>
          <w:tcPr>
            <w:tcW w:w="1245"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Cs w:val="21"/>
              </w:rPr>
            </w:pPr>
            <w:r>
              <w:rPr>
                <w:rFonts w:hint="eastAsia" w:ascii="宋体" w:hAnsi="宋体"/>
                <w:bCs/>
                <w:color w:val="auto"/>
                <w:szCs w:val="21"/>
              </w:rPr>
              <w:t>设备是否放置施工现场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6" w:type="dxa"/>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906"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56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877"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855"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959"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45"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6" w:type="dxa"/>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906"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56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877"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855"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959"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45"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6" w:type="dxa"/>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906"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56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877"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855"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959"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45"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6" w:type="dxa"/>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906"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56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877"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855"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959"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45"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6" w:type="dxa"/>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906"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56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877"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855"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959"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45"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6" w:type="dxa"/>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906"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56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877"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855"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959"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45"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6" w:type="dxa"/>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906"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56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877"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855"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959"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45"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6" w:type="dxa"/>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906"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56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877"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855"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959"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45"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6" w:type="dxa"/>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906"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56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877"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855"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959"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45"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6" w:type="dxa"/>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906"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56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877"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855"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959"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45"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6" w:type="dxa"/>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906"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56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877"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855"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959"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45"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6" w:type="dxa"/>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906"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56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877"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855"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959"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45"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6" w:type="dxa"/>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906"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56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877"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855"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959"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45"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6" w:type="dxa"/>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906"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56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877"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855"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959"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45"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6" w:type="dxa"/>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906"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56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877"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855"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959"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45"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6" w:type="dxa"/>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906"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56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877"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855"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959"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c>
          <w:tcPr>
            <w:tcW w:w="1245"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olor w:val="auto"/>
                <w:sz w:val="24"/>
              </w:rPr>
            </w:pPr>
          </w:p>
        </w:tc>
      </w:tr>
    </w:tbl>
    <w:p>
      <w:pPr>
        <w:spacing w:line="500" w:lineRule="exact"/>
        <w:ind w:left="525" w:hanging="525" w:hangingChars="250"/>
        <w:rPr>
          <w:rFonts w:ascii="宋体" w:hAnsi="宋体"/>
          <w:color w:val="auto"/>
          <w:sz w:val="24"/>
        </w:rPr>
      </w:pPr>
      <w:r>
        <w:rPr>
          <w:rFonts w:hint="eastAsia" w:ascii="宋体" w:hAnsi="宋体"/>
          <w:color w:val="auto"/>
        </w:rPr>
        <w:t>注：投标人应根据招标文件要求配备必要的试验、测量设备，并说明规格、用途等。</w:t>
      </w:r>
    </w:p>
    <w:p>
      <w:pPr>
        <w:spacing w:line="500" w:lineRule="exact"/>
        <w:jc w:val="center"/>
        <w:rPr>
          <w:rFonts w:ascii="宋体" w:hAnsi="宋体"/>
          <w:color w:val="auto"/>
          <w:sz w:val="24"/>
        </w:rPr>
      </w:pPr>
    </w:p>
    <w:p>
      <w:pPr>
        <w:spacing w:line="500" w:lineRule="exact"/>
        <w:jc w:val="center"/>
        <w:rPr>
          <w:rFonts w:ascii="宋体" w:hAnsi="宋体"/>
          <w:color w:val="auto"/>
          <w:sz w:val="24"/>
        </w:rPr>
      </w:pPr>
    </w:p>
    <w:p>
      <w:pPr>
        <w:spacing w:line="500" w:lineRule="exact"/>
        <w:jc w:val="center"/>
        <w:rPr>
          <w:rFonts w:ascii="宋体" w:hAnsi="宋体"/>
          <w:color w:val="auto"/>
          <w:sz w:val="24"/>
        </w:rPr>
      </w:pPr>
    </w:p>
    <w:p>
      <w:pPr>
        <w:rPr>
          <w:rFonts w:ascii="宋体" w:hAnsi="宋体"/>
          <w:b/>
          <w:bCs/>
          <w:color w:val="auto"/>
          <w:sz w:val="32"/>
        </w:rPr>
      </w:pPr>
      <w:r>
        <w:rPr>
          <w:rFonts w:hint="eastAsia" w:ascii="宋体" w:hAnsi="宋体"/>
          <w:b/>
          <w:bCs/>
          <w:color w:val="auto"/>
          <w:sz w:val="32"/>
        </w:rPr>
        <w:br w:type="page"/>
      </w:r>
    </w:p>
    <w:p>
      <w:pPr>
        <w:spacing w:line="500" w:lineRule="exact"/>
        <w:jc w:val="center"/>
        <w:outlineLvl w:val="1"/>
        <w:rPr>
          <w:rFonts w:ascii="宋体" w:hAnsi="宋体"/>
          <w:color w:val="auto"/>
          <w:sz w:val="24"/>
        </w:rPr>
      </w:pPr>
      <w:r>
        <w:rPr>
          <w:rFonts w:hint="eastAsia" w:ascii="宋体" w:hAnsi="宋体"/>
          <w:b/>
          <w:bCs/>
          <w:color w:val="auto"/>
          <w:sz w:val="32"/>
        </w:rPr>
        <w:t>八、省外建设工程企业提供企业基本信息、资质情况和驻粤技术管理人员情况信息（网上公开信息打印件）</w:t>
      </w:r>
    </w:p>
    <w:p>
      <w:pPr>
        <w:spacing w:line="500" w:lineRule="exact"/>
        <w:jc w:val="center"/>
        <w:rPr>
          <w:rFonts w:ascii="宋体" w:hAnsi="宋体"/>
          <w:color w:val="auto"/>
          <w:sz w:val="24"/>
        </w:rPr>
      </w:pPr>
      <w:r>
        <w:rPr>
          <w:rFonts w:hint="eastAsia" w:ascii="宋体" w:hAnsi="宋体"/>
          <w:color w:val="auto"/>
          <w:sz w:val="24"/>
        </w:rPr>
        <w:t>（省外建设工程企业提供，如非省外建设工程企业无需提供）</w:t>
      </w:r>
    </w:p>
    <w:p>
      <w:pPr>
        <w:spacing w:line="500" w:lineRule="exact"/>
        <w:jc w:val="center"/>
        <w:rPr>
          <w:rFonts w:ascii="宋体" w:hAnsi="宋体"/>
          <w:color w:val="auto"/>
          <w:sz w:val="24"/>
        </w:rPr>
      </w:pPr>
    </w:p>
    <w:p>
      <w:pPr>
        <w:spacing w:line="500" w:lineRule="exact"/>
        <w:jc w:val="center"/>
        <w:rPr>
          <w:rFonts w:ascii="宋体" w:hAnsi="宋体"/>
          <w:color w:val="auto"/>
          <w:sz w:val="24"/>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rPr>
          <w:rFonts w:ascii="宋体" w:hAnsi="宋体"/>
          <w:b/>
          <w:bCs/>
          <w:color w:val="auto"/>
          <w:sz w:val="32"/>
        </w:rPr>
      </w:pPr>
      <w:r>
        <w:rPr>
          <w:rFonts w:hint="eastAsia" w:ascii="宋体" w:hAnsi="宋体"/>
          <w:b/>
          <w:bCs/>
          <w:color w:val="auto"/>
          <w:sz w:val="32"/>
        </w:rPr>
        <w:br w:type="page"/>
      </w:r>
    </w:p>
    <w:p>
      <w:pPr>
        <w:spacing w:line="500" w:lineRule="exact"/>
        <w:jc w:val="center"/>
        <w:outlineLvl w:val="1"/>
        <w:rPr>
          <w:rFonts w:ascii="宋体" w:hAnsi="宋体"/>
          <w:b/>
          <w:bCs/>
          <w:color w:val="auto"/>
          <w:sz w:val="32"/>
        </w:rPr>
      </w:pPr>
      <w:r>
        <w:rPr>
          <w:rFonts w:hint="eastAsia" w:ascii="宋体" w:hAnsi="宋体"/>
          <w:b/>
          <w:bCs/>
          <w:color w:val="auto"/>
          <w:sz w:val="32"/>
        </w:rPr>
        <w:t>九、主要监理人员到位承诺</w:t>
      </w:r>
    </w:p>
    <w:p>
      <w:pPr>
        <w:spacing w:line="500" w:lineRule="exact"/>
        <w:jc w:val="center"/>
        <w:rPr>
          <w:rFonts w:ascii="宋体" w:hAnsi="宋体"/>
          <w:color w:val="auto"/>
          <w:sz w:val="24"/>
        </w:rPr>
      </w:pPr>
    </w:p>
    <w:p>
      <w:pPr>
        <w:spacing w:line="500" w:lineRule="exact"/>
        <w:jc w:val="center"/>
        <w:rPr>
          <w:rFonts w:ascii="宋体" w:hAnsi="宋体"/>
          <w:b/>
          <w:bCs/>
          <w:color w:val="auto"/>
          <w:sz w:val="32"/>
        </w:rPr>
      </w:pPr>
    </w:p>
    <w:p>
      <w:pPr>
        <w:spacing w:line="500" w:lineRule="exact"/>
        <w:ind w:firstLine="420"/>
        <w:rPr>
          <w:color w:val="auto"/>
          <w:sz w:val="24"/>
        </w:rPr>
      </w:pPr>
      <w:r>
        <w:rPr>
          <w:rFonts w:hint="eastAsia"/>
          <w:color w:val="auto"/>
          <w:sz w:val="24"/>
        </w:rPr>
        <w:t>我公司在</w:t>
      </w:r>
      <w:r>
        <w:rPr>
          <w:rFonts w:hint="eastAsia"/>
          <w:color w:val="auto"/>
          <w:sz w:val="24"/>
          <w:u w:val="single"/>
        </w:rPr>
        <w:t xml:space="preserve">  粤港澳大湾区(江门)农产品交易流通中心一期(启动区)冷链物流B-8/B-9地块项目监理服务  </w:t>
      </w:r>
      <w:r>
        <w:rPr>
          <w:rFonts w:hint="eastAsia"/>
          <w:color w:val="auto"/>
          <w:sz w:val="24"/>
        </w:rPr>
        <w:t>工程项目投标，对有关涉及拟投入的监理人员问题承诺如下：</w:t>
      </w:r>
    </w:p>
    <w:p>
      <w:pPr>
        <w:spacing w:line="500" w:lineRule="exact"/>
        <w:ind w:firstLine="420"/>
        <w:rPr>
          <w:color w:val="auto"/>
          <w:sz w:val="24"/>
        </w:rPr>
      </w:pPr>
      <w:r>
        <w:rPr>
          <w:rFonts w:hint="eastAsia"/>
          <w:color w:val="auto"/>
          <w:sz w:val="24"/>
        </w:rPr>
        <w:t>一、保证中标之后按投标文件承诺承诺派驻总监理工程师及主要专业监理工程师。</w:t>
      </w:r>
    </w:p>
    <w:p>
      <w:pPr>
        <w:spacing w:line="500" w:lineRule="exact"/>
        <w:ind w:firstLine="420"/>
        <w:rPr>
          <w:color w:val="auto"/>
          <w:sz w:val="24"/>
        </w:rPr>
      </w:pPr>
      <w:r>
        <w:rPr>
          <w:rFonts w:hint="eastAsia"/>
          <w:color w:val="auto"/>
          <w:sz w:val="24"/>
        </w:rPr>
        <w:t>二、保证按投标文件承诺的总监理工程师及总监理工程师代表办理工程报建手续。</w:t>
      </w:r>
    </w:p>
    <w:p>
      <w:pPr>
        <w:spacing w:line="500" w:lineRule="exact"/>
        <w:ind w:firstLine="420"/>
        <w:rPr>
          <w:rFonts w:ascii="宋体" w:hAnsi="宋体"/>
          <w:color w:val="auto"/>
          <w:kern w:val="0"/>
          <w:sz w:val="24"/>
        </w:rPr>
      </w:pPr>
      <w:r>
        <w:rPr>
          <w:rFonts w:hint="eastAsia"/>
          <w:color w:val="auto"/>
          <w:sz w:val="24"/>
        </w:rPr>
        <w:t>三、</w:t>
      </w:r>
      <w:r>
        <w:rPr>
          <w:rFonts w:hint="eastAsia" w:ascii="宋体" w:hAnsi="宋体"/>
          <w:color w:val="auto"/>
          <w:kern w:val="0"/>
          <w:sz w:val="24"/>
        </w:rPr>
        <w:t>保证总监理工程师每月不少于10天在施工现场。</w:t>
      </w:r>
    </w:p>
    <w:p>
      <w:pPr>
        <w:spacing w:line="500" w:lineRule="exact"/>
        <w:ind w:firstLine="420"/>
        <w:rPr>
          <w:color w:val="auto"/>
          <w:sz w:val="24"/>
        </w:rPr>
      </w:pPr>
      <w:r>
        <w:rPr>
          <w:rFonts w:hint="eastAsia" w:ascii="宋体" w:hAnsi="宋体"/>
          <w:color w:val="auto"/>
          <w:kern w:val="0"/>
          <w:sz w:val="24"/>
        </w:rPr>
        <w:t>以上承诺如有违反，愿接受终止合同的处罚及承担相应违约责任。</w:t>
      </w: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rPr>
          <w:rFonts w:ascii="宋体" w:hAnsi="宋体"/>
          <w:color w:val="auto"/>
          <w:sz w:val="24"/>
        </w:rPr>
      </w:pPr>
      <w:r>
        <w:rPr>
          <w:rFonts w:hint="eastAsia" w:ascii="宋体" w:hAnsi="宋体"/>
          <w:color w:val="auto"/>
          <w:sz w:val="24"/>
        </w:rPr>
        <w:t>投标人：</w:t>
      </w:r>
      <w:r>
        <w:rPr>
          <w:rFonts w:hint="eastAsia" w:ascii="宋体" w:hAnsi="宋体"/>
          <w:color w:val="auto"/>
          <w:sz w:val="24"/>
          <w:u w:val="single"/>
        </w:rPr>
        <w:t xml:space="preserve">              （盖章）</w:t>
      </w:r>
    </w:p>
    <w:p>
      <w:pPr>
        <w:spacing w:line="500" w:lineRule="exact"/>
        <w:rPr>
          <w:rFonts w:ascii="宋体" w:hAnsi="宋体"/>
          <w:color w:val="auto"/>
          <w:sz w:val="24"/>
        </w:rPr>
      </w:pPr>
    </w:p>
    <w:p>
      <w:pPr>
        <w:spacing w:line="500" w:lineRule="exact"/>
        <w:rPr>
          <w:rFonts w:ascii="宋体" w:hAnsi="宋体"/>
          <w:color w:val="auto"/>
          <w:sz w:val="24"/>
        </w:rPr>
      </w:pPr>
      <w:r>
        <w:rPr>
          <w:rFonts w:hint="eastAsia" w:ascii="宋体" w:hAnsi="宋体"/>
          <w:color w:val="auto"/>
          <w:sz w:val="24"/>
        </w:rPr>
        <w:t>法定代表人或其委托代理人：</w:t>
      </w:r>
      <w:r>
        <w:rPr>
          <w:rFonts w:hint="eastAsia" w:ascii="宋体" w:hAnsi="宋体"/>
          <w:color w:val="auto"/>
          <w:sz w:val="24"/>
          <w:u w:val="single"/>
        </w:rPr>
        <w:t xml:space="preserve">        </w:t>
      </w:r>
      <w:r>
        <w:rPr>
          <w:rFonts w:hint="eastAsia" w:ascii="宋体" w:hAnsi="宋体"/>
          <w:color w:val="auto"/>
          <w:sz w:val="24"/>
        </w:rPr>
        <w:t>（签字或盖章）</w:t>
      </w:r>
    </w:p>
    <w:p>
      <w:pPr>
        <w:pStyle w:val="2"/>
        <w:spacing w:line="500" w:lineRule="exact"/>
        <w:ind w:firstLine="720" w:firstLineChars="300"/>
        <w:rPr>
          <w:rFonts w:hAnsi="宋体"/>
          <w:color w:val="auto"/>
          <w:sz w:val="24"/>
          <w:szCs w:val="24"/>
        </w:rPr>
      </w:pPr>
    </w:p>
    <w:p>
      <w:pPr>
        <w:pStyle w:val="2"/>
        <w:spacing w:line="500" w:lineRule="exact"/>
        <w:rPr>
          <w:rFonts w:hAnsi="宋体"/>
          <w:color w:val="auto"/>
          <w:sz w:val="24"/>
          <w:szCs w:val="24"/>
        </w:rPr>
      </w:pPr>
      <w:r>
        <w:rPr>
          <w:rFonts w:hAnsi="宋体"/>
          <w:color w:val="auto"/>
          <w:sz w:val="24"/>
          <w:szCs w:val="24"/>
        </w:rPr>
        <w:t>日期：</w:t>
      </w:r>
      <w:r>
        <w:rPr>
          <w:rFonts w:hAnsi="宋体"/>
          <w:color w:val="auto"/>
          <w:sz w:val="24"/>
          <w:szCs w:val="24"/>
          <w:u w:val="single"/>
        </w:rPr>
        <w:t xml:space="preserve">      </w:t>
      </w:r>
      <w:r>
        <w:rPr>
          <w:rFonts w:hAnsi="宋体"/>
          <w:color w:val="auto"/>
          <w:sz w:val="24"/>
          <w:szCs w:val="24"/>
        </w:rPr>
        <w:t>年</w:t>
      </w:r>
      <w:r>
        <w:rPr>
          <w:rFonts w:hAnsi="宋体"/>
          <w:color w:val="auto"/>
          <w:sz w:val="24"/>
          <w:szCs w:val="24"/>
          <w:u w:val="single"/>
        </w:rPr>
        <w:t xml:space="preserve">     </w:t>
      </w:r>
      <w:r>
        <w:rPr>
          <w:rFonts w:hAnsi="宋体"/>
          <w:color w:val="auto"/>
          <w:sz w:val="24"/>
          <w:szCs w:val="24"/>
        </w:rPr>
        <w:t>月</w:t>
      </w:r>
      <w:r>
        <w:rPr>
          <w:rFonts w:hAnsi="宋体"/>
          <w:color w:val="auto"/>
          <w:sz w:val="24"/>
          <w:szCs w:val="24"/>
          <w:u w:val="single"/>
        </w:rPr>
        <w:t xml:space="preserve">     </w:t>
      </w:r>
      <w:r>
        <w:rPr>
          <w:rFonts w:hAnsi="宋体"/>
          <w:color w:val="auto"/>
          <w:sz w:val="24"/>
          <w:szCs w:val="24"/>
        </w:rPr>
        <w:t>日</w:t>
      </w: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spacing w:line="500" w:lineRule="exact"/>
        <w:jc w:val="center"/>
        <w:rPr>
          <w:rFonts w:ascii="宋体" w:hAnsi="宋体"/>
          <w:b/>
          <w:bCs/>
          <w:color w:val="auto"/>
          <w:sz w:val="32"/>
        </w:rPr>
      </w:pPr>
    </w:p>
    <w:p>
      <w:pPr>
        <w:rPr>
          <w:rFonts w:ascii="宋体" w:hAnsi="宋体"/>
          <w:b/>
          <w:bCs/>
          <w:color w:val="auto"/>
          <w:sz w:val="32"/>
          <w:lang w:bidi="ar"/>
        </w:rPr>
      </w:pPr>
      <w:r>
        <w:rPr>
          <w:rFonts w:hint="eastAsia" w:ascii="宋体" w:hAnsi="宋体"/>
          <w:b/>
          <w:bCs/>
          <w:color w:val="auto"/>
          <w:sz w:val="32"/>
          <w:lang w:bidi="ar"/>
        </w:rPr>
        <w:br w:type="page"/>
      </w:r>
    </w:p>
    <w:p>
      <w:pPr>
        <w:widowControl/>
        <w:spacing w:line="500" w:lineRule="exact"/>
        <w:jc w:val="center"/>
        <w:outlineLvl w:val="1"/>
        <w:rPr>
          <w:rFonts w:ascii="宋体" w:hAnsi="宋体"/>
          <w:b/>
          <w:bCs/>
          <w:color w:val="auto"/>
          <w:sz w:val="32"/>
        </w:rPr>
      </w:pPr>
      <w:r>
        <w:rPr>
          <w:rFonts w:hint="eastAsia" w:ascii="宋体" w:hAnsi="宋体"/>
          <w:b/>
          <w:bCs/>
          <w:color w:val="auto"/>
          <w:sz w:val="32"/>
          <w:lang w:bidi="ar"/>
        </w:rPr>
        <w:t>十、投标报价承诺书（如有）</w:t>
      </w:r>
    </w:p>
    <w:p>
      <w:pPr>
        <w:autoSpaceDE w:val="0"/>
        <w:autoSpaceDN w:val="0"/>
        <w:adjustRightInd w:val="0"/>
        <w:jc w:val="center"/>
        <w:rPr>
          <w:rFonts w:ascii="宋体" w:hAnsi="宋体"/>
          <w:b/>
          <w:bCs/>
          <w:color w:val="auto"/>
          <w:sz w:val="32"/>
        </w:rPr>
      </w:pPr>
    </w:p>
    <w:p>
      <w:pPr>
        <w:rPr>
          <w:rFonts w:ascii="宋体" w:hAnsi="宋体"/>
          <w:b/>
          <w:bCs/>
          <w:color w:val="auto"/>
          <w:sz w:val="32"/>
        </w:rPr>
      </w:pPr>
      <w:r>
        <w:rPr>
          <w:rFonts w:hint="eastAsia" w:ascii="宋体" w:hAnsi="宋体"/>
          <w:b/>
          <w:bCs/>
          <w:color w:val="auto"/>
          <w:sz w:val="32"/>
        </w:rPr>
        <w:br w:type="page"/>
      </w:r>
    </w:p>
    <w:p>
      <w:pPr>
        <w:widowControl/>
        <w:spacing w:line="500" w:lineRule="exact"/>
        <w:jc w:val="center"/>
        <w:outlineLvl w:val="1"/>
        <w:rPr>
          <w:rFonts w:ascii="宋体" w:hAnsi="宋体"/>
          <w:b/>
          <w:bCs/>
          <w:color w:val="auto"/>
          <w:sz w:val="32"/>
        </w:rPr>
      </w:pPr>
      <w:r>
        <w:rPr>
          <w:rFonts w:hint="eastAsia" w:ascii="宋体" w:hAnsi="宋体"/>
          <w:b/>
          <w:bCs/>
          <w:color w:val="auto"/>
          <w:sz w:val="32"/>
          <w:lang w:bidi="ar"/>
        </w:rPr>
        <w:t>十一、在投标文件正本中提供拟进场的监理人员自（从本项目招标公告发出之月起计）前3个月在本企业购买的养老保险证明材料</w:t>
      </w:r>
    </w:p>
    <w:p>
      <w:pPr>
        <w:spacing w:line="360" w:lineRule="auto"/>
        <w:ind w:firstLine="420" w:firstLineChars="200"/>
        <w:jc w:val="left"/>
        <w:rPr>
          <w:rFonts w:ascii="宋体" w:hAnsi="宋体" w:cs="宋体"/>
          <w:color w:val="auto"/>
          <w:kern w:val="0"/>
          <w:szCs w:val="21"/>
          <w:lang w:bidi="ar"/>
        </w:rPr>
      </w:pPr>
    </w:p>
    <w:p>
      <w:pPr>
        <w:jc w:val="left"/>
        <w:rPr>
          <w:rFonts w:ascii="宋体" w:hAnsi="宋体"/>
          <w:b/>
          <w:bCs/>
          <w:color w:val="auto"/>
          <w:sz w:val="32"/>
        </w:rPr>
      </w:pPr>
      <w:r>
        <w:rPr>
          <w:rFonts w:hint="eastAsia" w:ascii="宋体" w:hAnsi="宋体"/>
          <w:b/>
          <w:bCs/>
          <w:color w:val="auto"/>
          <w:sz w:val="32"/>
        </w:rPr>
        <w:br w:type="page"/>
      </w:r>
    </w:p>
    <w:p>
      <w:pPr>
        <w:autoSpaceDE w:val="0"/>
        <w:autoSpaceDN w:val="0"/>
        <w:adjustRightInd w:val="0"/>
        <w:jc w:val="center"/>
        <w:outlineLvl w:val="1"/>
        <w:rPr>
          <w:rFonts w:ascii="宋体" w:hAnsi="宋体"/>
          <w:b/>
          <w:bCs/>
          <w:color w:val="auto"/>
          <w:sz w:val="32"/>
        </w:rPr>
      </w:pPr>
      <w:r>
        <w:rPr>
          <w:rFonts w:hint="eastAsia" w:ascii="宋体" w:hAnsi="宋体"/>
          <w:b/>
          <w:bCs/>
          <w:color w:val="auto"/>
          <w:sz w:val="32"/>
        </w:rPr>
        <w:t>十二、招标文件要求投标人提交的其他资料</w:t>
      </w:r>
    </w:p>
    <w:p>
      <w:pPr>
        <w:autoSpaceDE w:val="0"/>
        <w:autoSpaceDN w:val="0"/>
        <w:adjustRightInd w:val="0"/>
        <w:jc w:val="center"/>
        <w:rPr>
          <w:rFonts w:ascii="宋体" w:hAnsi="宋体" w:cs="黑体"/>
          <w:color w:val="auto"/>
          <w:sz w:val="44"/>
          <w:szCs w:val="44"/>
        </w:rPr>
      </w:pPr>
    </w:p>
    <w:p>
      <w:pPr>
        <w:autoSpaceDE w:val="0"/>
        <w:autoSpaceDN w:val="0"/>
        <w:adjustRightInd w:val="0"/>
        <w:jc w:val="center"/>
        <w:rPr>
          <w:rFonts w:ascii="宋体" w:hAnsi="宋体" w:cs="黑体"/>
          <w:color w:val="auto"/>
          <w:sz w:val="44"/>
          <w:szCs w:val="44"/>
        </w:rPr>
      </w:pPr>
    </w:p>
    <w:p>
      <w:pPr>
        <w:autoSpaceDE w:val="0"/>
        <w:autoSpaceDN w:val="0"/>
        <w:adjustRightInd w:val="0"/>
        <w:jc w:val="center"/>
        <w:rPr>
          <w:rFonts w:ascii="宋体" w:hAnsi="宋体" w:cs="黑体"/>
          <w:color w:val="auto"/>
          <w:sz w:val="44"/>
          <w:szCs w:val="44"/>
        </w:rPr>
      </w:pPr>
    </w:p>
    <w:p>
      <w:pPr>
        <w:autoSpaceDE w:val="0"/>
        <w:autoSpaceDN w:val="0"/>
        <w:adjustRightInd w:val="0"/>
        <w:jc w:val="center"/>
        <w:rPr>
          <w:rFonts w:ascii="宋体" w:hAnsi="宋体" w:cs="黑体"/>
          <w:color w:val="auto"/>
          <w:sz w:val="44"/>
          <w:szCs w:val="44"/>
        </w:rPr>
      </w:pPr>
    </w:p>
    <w:p>
      <w:pPr>
        <w:autoSpaceDE w:val="0"/>
        <w:autoSpaceDN w:val="0"/>
        <w:adjustRightInd w:val="0"/>
        <w:jc w:val="center"/>
        <w:rPr>
          <w:rFonts w:ascii="宋体" w:hAnsi="宋体" w:cs="黑体"/>
          <w:color w:val="auto"/>
          <w:sz w:val="44"/>
          <w:szCs w:val="44"/>
        </w:rPr>
      </w:pPr>
    </w:p>
    <w:p>
      <w:pPr>
        <w:autoSpaceDE w:val="0"/>
        <w:autoSpaceDN w:val="0"/>
        <w:adjustRightInd w:val="0"/>
        <w:jc w:val="center"/>
        <w:rPr>
          <w:rFonts w:ascii="宋体" w:hAnsi="宋体" w:cs="黑体"/>
          <w:color w:val="auto"/>
          <w:sz w:val="44"/>
          <w:szCs w:val="44"/>
        </w:rPr>
      </w:pPr>
    </w:p>
    <w:p>
      <w:pPr>
        <w:autoSpaceDE w:val="0"/>
        <w:autoSpaceDN w:val="0"/>
        <w:adjustRightInd w:val="0"/>
        <w:jc w:val="center"/>
        <w:rPr>
          <w:rFonts w:ascii="宋体" w:hAnsi="宋体" w:cs="黑体"/>
          <w:color w:val="auto"/>
          <w:sz w:val="44"/>
          <w:szCs w:val="44"/>
        </w:rPr>
      </w:pPr>
    </w:p>
    <w:p>
      <w:pPr>
        <w:autoSpaceDE w:val="0"/>
        <w:autoSpaceDN w:val="0"/>
        <w:adjustRightInd w:val="0"/>
        <w:jc w:val="center"/>
        <w:rPr>
          <w:rFonts w:ascii="宋体" w:hAnsi="宋体" w:cs="黑体"/>
          <w:color w:val="auto"/>
          <w:sz w:val="44"/>
          <w:szCs w:val="44"/>
        </w:rPr>
      </w:pPr>
    </w:p>
    <w:p>
      <w:pPr>
        <w:autoSpaceDE w:val="0"/>
        <w:autoSpaceDN w:val="0"/>
        <w:adjustRightInd w:val="0"/>
        <w:jc w:val="center"/>
        <w:rPr>
          <w:rFonts w:ascii="宋体" w:hAnsi="宋体" w:cs="黑体"/>
          <w:color w:val="auto"/>
          <w:sz w:val="44"/>
          <w:szCs w:val="44"/>
        </w:rPr>
      </w:pPr>
    </w:p>
    <w:p>
      <w:pPr>
        <w:autoSpaceDE w:val="0"/>
        <w:autoSpaceDN w:val="0"/>
        <w:adjustRightInd w:val="0"/>
        <w:jc w:val="center"/>
        <w:rPr>
          <w:rFonts w:ascii="宋体" w:hAnsi="宋体" w:cs="黑体"/>
          <w:color w:val="auto"/>
          <w:sz w:val="44"/>
          <w:szCs w:val="44"/>
        </w:rPr>
      </w:pPr>
    </w:p>
    <w:p>
      <w:pPr>
        <w:autoSpaceDE w:val="0"/>
        <w:autoSpaceDN w:val="0"/>
        <w:adjustRightInd w:val="0"/>
        <w:jc w:val="center"/>
        <w:rPr>
          <w:rFonts w:ascii="宋体" w:hAnsi="宋体" w:cs="黑体"/>
          <w:color w:val="auto"/>
          <w:sz w:val="44"/>
          <w:szCs w:val="44"/>
        </w:rPr>
      </w:pPr>
    </w:p>
    <w:p>
      <w:pPr>
        <w:autoSpaceDE w:val="0"/>
        <w:autoSpaceDN w:val="0"/>
        <w:adjustRightInd w:val="0"/>
        <w:jc w:val="center"/>
        <w:rPr>
          <w:rFonts w:ascii="宋体" w:hAnsi="宋体" w:cs="黑体"/>
          <w:color w:val="auto"/>
          <w:sz w:val="44"/>
          <w:szCs w:val="44"/>
        </w:rPr>
      </w:pPr>
    </w:p>
    <w:p>
      <w:pPr>
        <w:autoSpaceDE w:val="0"/>
        <w:autoSpaceDN w:val="0"/>
        <w:adjustRightInd w:val="0"/>
        <w:jc w:val="center"/>
        <w:rPr>
          <w:rFonts w:ascii="宋体" w:hAnsi="宋体" w:cs="黑体"/>
          <w:color w:val="auto"/>
          <w:sz w:val="44"/>
          <w:szCs w:val="44"/>
        </w:rPr>
      </w:pPr>
    </w:p>
    <w:p>
      <w:pPr>
        <w:autoSpaceDE w:val="0"/>
        <w:autoSpaceDN w:val="0"/>
        <w:adjustRightInd w:val="0"/>
        <w:jc w:val="center"/>
        <w:rPr>
          <w:rFonts w:ascii="宋体" w:hAnsi="宋体" w:cs="黑体"/>
          <w:color w:val="auto"/>
          <w:sz w:val="44"/>
          <w:szCs w:val="44"/>
        </w:rPr>
      </w:pPr>
    </w:p>
    <w:p>
      <w:pPr>
        <w:autoSpaceDE w:val="0"/>
        <w:autoSpaceDN w:val="0"/>
        <w:adjustRightInd w:val="0"/>
        <w:jc w:val="center"/>
        <w:rPr>
          <w:rFonts w:ascii="宋体" w:hAnsi="宋体" w:cs="黑体"/>
          <w:color w:val="auto"/>
          <w:sz w:val="44"/>
          <w:szCs w:val="44"/>
        </w:rPr>
      </w:pPr>
    </w:p>
    <w:p>
      <w:pPr>
        <w:autoSpaceDE w:val="0"/>
        <w:autoSpaceDN w:val="0"/>
        <w:adjustRightInd w:val="0"/>
        <w:jc w:val="center"/>
        <w:rPr>
          <w:rFonts w:ascii="宋体" w:hAnsi="宋体" w:cs="黑体"/>
          <w:color w:val="auto"/>
          <w:sz w:val="44"/>
          <w:szCs w:val="44"/>
        </w:rPr>
      </w:pPr>
    </w:p>
    <w:p>
      <w:pPr>
        <w:autoSpaceDE w:val="0"/>
        <w:autoSpaceDN w:val="0"/>
        <w:adjustRightInd w:val="0"/>
        <w:jc w:val="center"/>
        <w:rPr>
          <w:rFonts w:ascii="宋体" w:hAnsi="宋体" w:cs="黑体"/>
          <w:color w:val="auto"/>
          <w:sz w:val="44"/>
          <w:szCs w:val="44"/>
        </w:rPr>
      </w:pPr>
    </w:p>
    <w:p>
      <w:pPr>
        <w:autoSpaceDE w:val="0"/>
        <w:autoSpaceDN w:val="0"/>
        <w:adjustRightInd w:val="0"/>
        <w:jc w:val="center"/>
        <w:rPr>
          <w:rFonts w:ascii="宋体" w:hAnsi="宋体" w:cs="黑体"/>
          <w:color w:val="auto"/>
          <w:sz w:val="44"/>
          <w:szCs w:val="44"/>
        </w:rPr>
      </w:pPr>
    </w:p>
    <w:p>
      <w:pPr>
        <w:autoSpaceDE w:val="0"/>
        <w:autoSpaceDN w:val="0"/>
        <w:adjustRightInd w:val="0"/>
        <w:jc w:val="center"/>
        <w:rPr>
          <w:rFonts w:ascii="宋体" w:hAnsi="宋体" w:cs="黑体"/>
          <w:color w:val="auto"/>
          <w:sz w:val="44"/>
          <w:szCs w:val="44"/>
        </w:rPr>
      </w:pPr>
    </w:p>
    <w:p>
      <w:pPr>
        <w:autoSpaceDE w:val="0"/>
        <w:autoSpaceDN w:val="0"/>
        <w:adjustRightInd w:val="0"/>
        <w:jc w:val="center"/>
        <w:rPr>
          <w:rFonts w:ascii="宋体" w:hAnsi="宋体" w:cs="黑体"/>
          <w:color w:val="auto"/>
          <w:sz w:val="44"/>
          <w:szCs w:val="44"/>
        </w:rPr>
      </w:pPr>
    </w:p>
    <w:p>
      <w:pPr>
        <w:autoSpaceDE w:val="0"/>
        <w:autoSpaceDN w:val="0"/>
        <w:adjustRightInd w:val="0"/>
        <w:jc w:val="center"/>
        <w:rPr>
          <w:rFonts w:ascii="宋体" w:hAnsi="宋体" w:cs="黑体"/>
          <w:color w:val="auto"/>
          <w:sz w:val="44"/>
          <w:szCs w:val="44"/>
        </w:rPr>
      </w:pPr>
    </w:p>
    <w:p>
      <w:pPr>
        <w:jc w:val="left"/>
        <w:rPr>
          <w:rFonts w:ascii="宋体" w:hAnsi="宋体" w:cs="黑体"/>
          <w:color w:val="auto"/>
          <w:sz w:val="44"/>
          <w:szCs w:val="44"/>
          <w:lang w:val="zh-CN"/>
        </w:rPr>
      </w:pPr>
      <w:r>
        <w:rPr>
          <w:rFonts w:hint="eastAsia" w:ascii="宋体" w:hAnsi="宋体" w:cs="黑体"/>
          <w:color w:val="auto"/>
          <w:sz w:val="44"/>
          <w:szCs w:val="44"/>
          <w:lang w:val="zh-CN"/>
        </w:rPr>
        <w:br w:type="page"/>
      </w:r>
    </w:p>
    <w:p>
      <w:pPr>
        <w:autoSpaceDE w:val="0"/>
        <w:autoSpaceDN w:val="0"/>
        <w:adjustRightInd w:val="0"/>
        <w:jc w:val="center"/>
        <w:outlineLvl w:val="0"/>
        <w:rPr>
          <w:rFonts w:ascii="宋体" w:hAnsi="宋体" w:cs="黑体"/>
          <w:color w:val="auto"/>
          <w:sz w:val="44"/>
          <w:szCs w:val="44"/>
          <w:lang w:val="zh-CN"/>
        </w:rPr>
      </w:pPr>
      <w:bookmarkStart w:id="32" w:name="_Toc11923"/>
      <w:r>
        <w:rPr>
          <w:rFonts w:hint="eastAsia" w:ascii="宋体" w:hAnsi="宋体" w:cs="黑体"/>
          <w:color w:val="auto"/>
          <w:sz w:val="44"/>
          <w:szCs w:val="44"/>
          <w:lang w:val="zh-CN"/>
        </w:rPr>
        <w:t>第五章</w:t>
      </w:r>
      <w:r>
        <w:rPr>
          <w:rFonts w:ascii="宋体" w:hAnsi="宋体" w:cs="黑体"/>
          <w:color w:val="auto"/>
          <w:sz w:val="44"/>
          <w:szCs w:val="44"/>
          <w:lang w:val="zh-CN"/>
        </w:rPr>
        <w:t xml:space="preserve"> </w:t>
      </w:r>
      <w:r>
        <w:rPr>
          <w:rFonts w:hint="eastAsia" w:ascii="宋体" w:hAnsi="宋体" w:cs="黑体"/>
          <w:color w:val="auto"/>
          <w:sz w:val="44"/>
          <w:szCs w:val="44"/>
          <w:lang w:val="zh-CN"/>
        </w:rPr>
        <w:t>评标办法（综合评估法）</w:t>
      </w:r>
      <w:bookmarkEnd w:id="32"/>
    </w:p>
    <w:p>
      <w:pPr>
        <w:autoSpaceDE w:val="0"/>
        <w:autoSpaceDN w:val="0"/>
        <w:adjustRightInd w:val="0"/>
        <w:spacing w:after="120"/>
        <w:jc w:val="center"/>
        <w:rPr>
          <w:rFonts w:ascii="宋体" w:hAnsi="宋体" w:cs="黑体"/>
          <w:color w:val="auto"/>
          <w:sz w:val="36"/>
          <w:szCs w:val="36"/>
          <w:lang w:val="zh-CN"/>
        </w:rPr>
      </w:pPr>
    </w:p>
    <w:p>
      <w:pPr>
        <w:spacing w:line="480" w:lineRule="auto"/>
        <w:ind w:firstLine="482" w:firstLineChars="200"/>
        <w:rPr>
          <w:rFonts w:ascii="宋体" w:hAnsi="宋体"/>
          <w:b/>
          <w:color w:val="auto"/>
          <w:sz w:val="24"/>
        </w:rPr>
      </w:pPr>
      <w:r>
        <w:rPr>
          <w:rFonts w:hint="eastAsia" w:ascii="宋体" w:hAnsi="宋体"/>
          <w:b/>
          <w:color w:val="auto"/>
          <w:sz w:val="24"/>
        </w:rPr>
        <w:t>1．评标委员会及其职责</w:t>
      </w:r>
    </w:p>
    <w:p>
      <w:pPr>
        <w:spacing w:line="480" w:lineRule="auto"/>
        <w:ind w:firstLine="480" w:firstLineChars="200"/>
        <w:rPr>
          <w:rFonts w:ascii="宋体" w:hAnsi="宋体"/>
          <w:color w:val="auto"/>
          <w:sz w:val="24"/>
        </w:rPr>
      </w:pPr>
      <w:r>
        <w:rPr>
          <w:rFonts w:hint="eastAsia" w:ascii="宋体" w:hAnsi="宋体"/>
          <w:color w:val="auto"/>
          <w:sz w:val="24"/>
        </w:rPr>
        <w:t>1.1评标委员会由招标人根据《中华人民共和国招标投标法》、《中华人民共和国招标投标法实施条例》依法组建，负责评标活动。</w:t>
      </w:r>
    </w:p>
    <w:p>
      <w:pPr>
        <w:spacing w:line="480" w:lineRule="auto"/>
        <w:ind w:firstLine="480" w:firstLineChars="200"/>
        <w:rPr>
          <w:rFonts w:ascii="宋体" w:hAnsi="宋体"/>
          <w:color w:val="auto"/>
          <w:sz w:val="24"/>
        </w:rPr>
      </w:pPr>
      <w:r>
        <w:rPr>
          <w:rFonts w:hint="eastAsia" w:ascii="宋体" w:hAnsi="宋体"/>
          <w:color w:val="auto"/>
          <w:sz w:val="24"/>
        </w:rPr>
        <w:t>1.2评标委员会由招标人推荐专家(如有)和</w:t>
      </w:r>
      <w:r>
        <w:rPr>
          <w:rFonts w:hint="eastAsia" w:ascii="宋体" w:hAnsi="宋体" w:cs="宋体"/>
          <w:color w:val="auto"/>
          <w:kern w:val="0"/>
          <w:sz w:val="24"/>
        </w:rPr>
        <w:t>从依法设立的建设工程评标专家库中抽取专家共同组成。招标人参加或派代表参加评标委员会的，应当具备国家和省规定的评标专家条件和要求，人数原则上以一人为限，且不得担任评标委员会负责人，不得接受评标报酬，评标过程中不得以任何方式影响其他评标专家独立评标。</w:t>
      </w:r>
    </w:p>
    <w:p>
      <w:pPr>
        <w:spacing w:line="480" w:lineRule="auto"/>
        <w:ind w:firstLine="480" w:firstLineChars="200"/>
        <w:rPr>
          <w:rFonts w:ascii="宋体" w:hAnsi="宋体"/>
          <w:color w:val="auto"/>
          <w:sz w:val="24"/>
        </w:rPr>
      </w:pPr>
      <w:r>
        <w:rPr>
          <w:rFonts w:hint="eastAsia" w:ascii="宋体" w:hAnsi="宋体"/>
          <w:color w:val="auto"/>
          <w:sz w:val="24"/>
        </w:rPr>
        <w:t>1.3评标委员会应坚持“公开、公正、公平、诚信、科学、择优”的原则，根据评标办法，对投标文件进行认真评审，完成评标报告；向招标人报告评审意见，推荐综合得分由高至低排序的前一～三名为第一中标候选人、第二中标候选人和第三中标候选人。</w:t>
      </w:r>
    </w:p>
    <w:p>
      <w:pPr>
        <w:spacing w:before="120" w:beforeLines="50" w:line="480" w:lineRule="auto"/>
        <w:ind w:firstLine="482" w:firstLineChars="200"/>
        <w:rPr>
          <w:rFonts w:ascii="宋体" w:hAnsi="宋体"/>
          <w:b/>
          <w:color w:val="auto"/>
          <w:sz w:val="24"/>
        </w:rPr>
      </w:pPr>
      <w:r>
        <w:rPr>
          <w:rFonts w:hint="eastAsia" w:ascii="宋体" w:hAnsi="宋体"/>
          <w:b/>
          <w:color w:val="auto"/>
          <w:sz w:val="24"/>
        </w:rPr>
        <w:t>2.评标依据</w:t>
      </w:r>
    </w:p>
    <w:p>
      <w:pPr>
        <w:snapToGrid w:val="0"/>
        <w:spacing w:line="480" w:lineRule="auto"/>
        <w:ind w:firstLine="480" w:firstLineChars="200"/>
        <w:rPr>
          <w:rFonts w:ascii="宋体" w:hAnsi="宋体"/>
          <w:color w:val="auto"/>
          <w:kern w:val="0"/>
          <w:sz w:val="24"/>
        </w:rPr>
      </w:pPr>
      <w:r>
        <w:rPr>
          <w:rFonts w:hint="eastAsia" w:ascii="宋体" w:hAnsi="宋体"/>
          <w:color w:val="auto"/>
          <w:kern w:val="0"/>
          <w:sz w:val="24"/>
        </w:rPr>
        <w:t>2.1《中华人民共和国招标投标法》；</w:t>
      </w:r>
    </w:p>
    <w:p>
      <w:pPr>
        <w:snapToGrid w:val="0"/>
        <w:spacing w:line="480" w:lineRule="auto"/>
        <w:ind w:firstLine="480" w:firstLineChars="200"/>
        <w:rPr>
          <w:rFonts w:ascii="宋体" w:hAnsi="宋体"/>
          <w:color w:val="auto"/>
          <w:kern w:val="0"/>
          <w:sz w:val="24"/>
        </w:rPr>
      </w:pPr>
      <w:r>
        <w:rPr>
          <w:rFonts w:hint="eastAsia" w:ascii="宋体" w:hAnsi="宋体"/>
          <w:color w:val="auto"/>
          <w:kern w:val="0"/>
          <w:sz w:val="24"/>
        </w:rPr>
        <w:t>2.2七部委第12号令《评标委员会和评标方法暂行规定》；</w:t>
      </w:r>
    </w:p>
    <w:p>
      <w:pPr>
        <w:snapToGrid w:val="0"/>
        <w:spacing w:line="480" w:lineRule="auto"/>
        <w:ind w:firstLine="480" w:firstLineChars="200"/>
        <w:rPr>
          <w:rFonts w:ascii="宋体" w:hAnsi="宋体"/>
          <w:color w:val="auto"/>
          <w:kern w:val="0"/>
          <w:sz w:val="24"/>
        </w:rPr>
      </w:pPr>
      <w:r>
        <w:rPr>
          <w:rFonts w:hint="eastAsia" w:ascii="宋体" w:hAnsi="宋体"/>
          <w:color w:val="auto"/>
          <w:kern w:val="0"/>
          <w:sz w:val="24"/>
        </w:rPr>
        <w:t>2.3《广东省实施〈中华人民共和国招标投标法〉办法》；</w:t>
      </w:r>
    </w:p>
    <w:p>
      <w:pPr>
        <w:snapToGrid w:val="0"/>
        <w:spacing w:line="480" w:lineRule="auto"/>
        <w:ind w:firstLine="480" w:firstLineChars="200"/>
        <w:rPr>
          <w:rFonts w:ascii="宋体" w:hAnsi="宋体"/>
          <w:color w:val="auto"/>
          <w:kern w:val="0"/>
          <w:sz w:val="24"/>
        </w:rPr>
      </w:pPr>
      <w:r>
        <w:rPr>
          <w:rFonts w:hint="eastAsia" w:ascii="宋体" w:hAnsi="宋体"/>
          <w:color w:val="auto"/>
          <w:kern w:val="0"/>
          <w:sz w:val="24"/>
        </w:rPr>
        <w:t>2.4本招标工程项目的招标文件；</w:t>
      </w:r>
    </w:p>
    <w:p>
      <w:pPr>
        <w:tabs>
          <w:tab w:val="left" w:pos="1620"/>
        </w:tabs>
        <w:snapToGrid w:val="0"/>
        <w:spacing w:line="480" w:lineRule="auto"/>
        <w:ind w:firstLine="480" w:firstLineChars="200"/>
        <w:rPr>
          <w:rFonts w:ascii="宋体" w:hAnsi="宋体"/>
          <w:color w:val="auto"/>
          <w:kern w:val="0"/>
          <w:sz w:val="24"/>
        </w:rPr>
      </w:pPr>
      <w:r>
        <w:rPr>
          <w:rFonts w:hint="eastAsia" w:ascii="宋体" w:hAnsi="宋体"/>
          <w:color w:val="auto"/>
          <w:kern w:val="0"/>
          <w:sz w:val="24"/>
        </w:rPr>
        <w:t>2.5省、市各级行政主管部门颁发的其他有关招投标相关法律法规。</w:t>
      </w:r>
    </w:p>
    <w:p>
      <w:pPr>
        <w:spacing w:before="120" w:beforeLines="50" w:line="480" w:lineRule="auto"/>
        <w:ind w:firstLine="361" w:firstLineChars="150"/>
        <w:rPr>
          <w:rFonts w:ascii="宋体" w:hAnsi="宋体"/>
          <w:b/>
          <w:color w:val="auto"/>
          <w:sz w:val="24"/>
        </w:rPr>
      </w:pPr>
      <w:r>
        <w:rPr>
          <w:rFonts w:hint="eastAsia" w:ascii="宋体" w:hAnsi="宋体"/>
          <w:b/>
          <w:color w:val="auto"/>
          <w:sz w:val="24"/>
        </w:rPr>
        <w:t>3.</w:t>
      </w:r>
      <w:r>
        <w:rPr>
          <w:rFonts w:ascii="宋体" w:hAnsi="宋体"/>
          <w:b/>
          <w:color w:val="auto"/>
          <w:sz w:val="24"/>
        </w:rPr>
        <w:t xml:space="preserve"> </w:t>
      </w:r>
      <w:r>
        <w:rPr>
          <w:rFonts w:hint="eastAsia" w:ascii="宋体" w:hAnsi="宋体"/>
          <w:b/>
          <w:color w:val="auto"/>
          <w:sz w:val="24"/>
        </w:rPr>
        <w:t>评标专家守则</w:t>
      </w:r>
    </w:p>
    <w:p>
      <w:pPr>
        <w:spacing w:line="480" w:lineRule="auto"/>
        <w:ind w:firstLine="480"/>
        <w:rPr>
          <w:rFonts w:ascii="宋体" w:hAnsi="宋体"/>
          <w:color w:val="auto"/>
          <w:sz w:val="24"/>
        </w:rPr>
      </w:pPr>
      <w:r>
        <w:rPr>
          <w:rFonts w:hint="eastAsia" w:ascii="宋体" w:hAnsi="宋体"/>
          <w:color w:val="auto"/>
          <w:sz w:val="24"/>
        </w:rPr>
        <w:t>3.1所有参加评标的专家必须遵守国家、地方政府制定的有关工程招标投标的法则、规定，遵守有关工程招标投标的保密制度；如有违反者，给予行政处分；情节严重，构成犯罪的，由司法机关依法追究其刑事责任。</w:t>
      </w:r>
    </w:p>
    <w:p>
      <w:pPr>
        <w:spacing w:line="480" w:lineRule="auto"/>
        <w:ind w:firstLine="480"/>
        <w:rPr>
          <w:rFonts w:ascii="宋体" w:hAnsi="宋体"/>
          <w:color w:val="auto"/>
          <w:sz w:val="24"/>
        </w:rPr>
      </w:pPr>
      <w:r>
        <w:rPr>
          <w:rFonts w:hint="eastAsia" w:ascii="宋体" w:hAnsi="宋体"/>
          <w:color w:val="auto"/>
          <w:sz w:val="24"/>
        </w:rPr>
        <w:t>3.2参与评标专家：</w:t>
      </w:r>
    </w:p>
    <w:p>
      <w:pPr>
        <w:spacing w:line="480" w:lineRule="auto"/>
        <w:ind w:firstLine="480"/>
        <w:rPr>
          <w:rFonts w:ascii="宋体" w:hAnsi="宋体"/>
          <w:color w:val="auto"/>
          <w:sz w:val="24"/>
        </w:rPr>
      </w:pPr>
      <w:r>
        <w:rPr>
          <w:rFonts w:hint="eastAsia" w:ascii="宋体" w:hAnsi="宋体"/>
          <w:color w:val="auto"/>
          <w:sz w:val="24"/>
        </w:rPr>
        <w:t>3.2.1必须遵守评标纪律、不得泄密；</w:t>
      </w:r>
    </w:p>
    <w:p>
      <w:pPr>
        <w:spacing w:line="480" w:lineRule="auto"/>
        <w:ind w:firstLine="480"/>
        <w:rPr>
          <w:rFonts w:ascii="宋体" w:hAnsi="宋体"/>
          <w:color w:val="auto"/>
          <w:sz w:val="24"/>
        </w:rPr>
      </w:pPr>
      <w:r>
        <w:rPr>
          <w:rFonts w:hint="eastAsia" w:ascii="宋体" w:hAnsi="宋体"/>
          <w:color w:val="auto"/>
          <w:sz w:val="24"/>
        </w:rPr>
        <w:t>3.2.2必须公正、不得循私；</w:t>
      </w:r>
    </w:p>
    <w:p>
      <w:pPr>
        <w:spacing w:line="480" w:lineRule="auto"/>
        <w:ind w:firstLine="480"/>
        <w:rPr>
          <w:rFonts w:ascii="宋体" w:hAnsi="宋体"/>
          <w:color w:val="auto"/>
          <w:sz w:val="24"/>
        </w:rPr>
      </w:pPr>
      <w:r>
        <w:rPr>
          <w:rFonts w:hint="eastAsia" w:ascii="宋体" w:hAnsi="宋体"/>
          <w:color w:val="auto"/>
          <w:sz w:val="24"/>
        </w:rPr>
        <w:t>3.2.3必须科学、不得草率；</w:t>
      </w:r>
    </w:p>
    <w:p>
      <w:pPr>
        <w:spacing w:line="480" w:lineRule="auto"/>
        <w:ind w:firstLine="480"/>
        <w:rPr>
          <w:rFonts w:ascii="宋体" w:hAnsi="宋体"/>
          <w:color w:val="auto"/>
          <w:sz w:val="24"/>
        </w:rPr>
      </w:pPr>
      <w:r>
        <w:rPr>
          <w:rFonts w:hint="eastAsia" w:ascii="宋体" w:hAnsi="宋体"/>
          <w:color w:val="auto"/>
          <w:sz w:val="24"/>
        </w:rPr>
        <w:t>3.2.4必须客观、不得带有成见；</w:t>
      </w:r>
    </w:p>
    <w:p>
      <w:pPr>
        <w:spacing w:line="480" w:lineRule="auto"/>
        <w:ind w:firstLine="480"/>
        <w:rPr>
          <w:rFonts w:ascii="宋体" w:hAnsi="宋体"/>
          <w:color w:val="auto"/>
          <w:sz w:val="24"/>
        </w:rPr>
      </w:pPr>
      <w:r>
        <w:rPr>
          <w:rFonts w:hint="eastAsia" w:ascii="宋体" w:hAnsi="宋体"/>
          <w:color w:val="auto"/>
          <w:sz w:val="24"/>
        </w:rPr>
        <w:t>3.2.5必须平等、不得强加于人；</w:t>
      </w:r>
    </w:p>
    <w:p>
      <w:pPr>
        <w:spacing w:line="480" w:lineRule="auto"/>
        <w:ind w:firstLine="480"/>
        <w:rPr>
          <w:rFonts w:ascii="宋体" w:hAnsi="宋体"/>
          <w:color w:val="auto"/>
          <w:sz w:val="24"/>
        </w:rPr>
      </w:pPr>
      <w:r>
        <w:rPr>
          <w:rFonts w:hint="eastAsia" w:ascii="宋体" w:hAnsi="宋体"/>
          <w:color w:val="auto"/>
          <w:sz w:val="24"/>
        </w:rPr>
        <w:t>3.2.6必须严谨、不得随意马虎。</w:t>
      </w:r>
    </w:p>
    <w:p>
      <w:pPr>
        <w:spacing w:before="120" w:beforeLines="50" w:line="480" w:lineRule="auto"/>
        <w:ind w:firstLine="482" w:firstLineChars="200"/>
        <w:rPr>
          <w:rFonts w:ascii="宋体" w:hAnsi="宋体"/>
          <w:b/>
          <w:color w:val="auto"/>
          <w:sz w:val="24"/>
        </w:rPr>
      </w:pPr>
      <w:r>
        <w:rPr>
          <w:rFonts w:hint="eastAsia" w:ascii="宋体" w:hAnsi="宋体"/>
          <w:b/>
          <w:color w:val="auto"/>
          <w:sz w:val="24"/>
        </w:rPr>
        <w:t>4.评标程序</w:t>
      </w:r>
    </w:p>
    <w:p>
      <w:pPr>
        <w:spacing w:line="480" w:lineRule="auto"/>
        <w:ind w:firstLine="480"/>
        <w:rPr>
          <w:rFonts w:ascii="宋体" w:hAnsi="宋体"/>
          <w:color w:val="auto"/>
          <w:sz w:val="24"/>
        </w:rPr>
      </w:pPr>
      <w:r>
        <w:rPr>
          <w:rFonts w:hint="eastAsia" w:ascii="宋体" w:hAnsi="宋体"/>
          <w:color w:val="auto"/>
          <w:sz w:val="24"/>
        </w:rPr>
        <w:t xml:space="preserve">4.1投标文件符合性审查； </w:t>
      </w:r>
    </w:p>
    <w:p>
      <w:pPr>
        <w:spacing w:line="480" w:lineRule="auto"/>
        <w:ind w:firstLine="480"/>
        <w:rPr>
          <w:rFonts w:ascii="宋体" w:hAnsi="宋体"/>
          <w:color w:val="auto"/>
          <w:sz w:val="24"/>
        </w:rPr>
      </w:pPr>
      <w:r>
        <w:rPr>
          <w:rFonts w:hint="eastAsia" w:ascii="宋体" w:hAnsi="宋体"/>
          <w:color w:val="auto"/>
          <w:sz w:val="24"/>
        </w:rPr>
        <w:t>4.2投标文件资格审查；</w:t>
      </w:r>
    </w:p>
    <w:p>
      <w:pPr>
        <w:spacing w:line="480" w:lineRule="auto"/>
        <w:ind w:firstLine="480"/>
        <w:rPr>
          <w:rFonts w:ascii="宋体" w:hAnsi="宋体"/>
          <w:color w:val="auto"/>
          <w:sz w:val="24"/>
        </w:rPr>
      </w:pPr>
      <w:r>
        <w:rPr>
          <w:rFonts w:hint="eastAsia" w:ascii="宋体" w:hAnsi="宋体"/>
          <w:color w:val="auto"/>
          <w:sz w:val="24"/>
        </w:rPr>
        <w:t>4.3投标文件综合评审；</w:t>
      </w:r>
    </w:p>
    <w:p>
      <w:pPr>
        <w:spacing w:line="480" w:lineRule="auto"/>
        <w:ind w:firstLine="480"/>
        <w:rPr>
          <w:rFonts w:ascii="宋体" w:hAnsi="宋体"/>
          <w:color w:val="auto"/>
          <w:sz w:val="24"/>
        </w:rPr>
      </w:pPr>
      <w:r>
        <w:rPr>
          <w:rFonts w:hint="eastAsia" w:ascii="宋体" w:hAnsi="宋体"/>
          <w:color w:val="auto"/>
          <w:sz w:val="24"/>
        </w:rPr>
        <w:t>4.4计算投标人总得分（评标总得分=报价得分×权重+监理综合评分得分×权重+信用等级分×信用因素权重）；</w:t>
      </w:r>
    </w:p>
    <w:p>
      <w:pPr>
        <w:spacing w:line="480" w:lineRule="auto"/>
        <w:ind w:firstLine="480"/>
        <w:rPr>
          <w:rFonts w:ascii="宋体" w:hAnsi="宋体"/>
          <w:color w:val="auto"/>
          <w:sz w:val="24"/>
        </w:rPr>
      </w:pPr>
      <w:r>
        <w:rPr>
          <w:rFonts w:hint="eastAsia" w:ascii="宋体" w:hAnsi="宋体"/>
          <w:color w:val="auto"/>
          <w:sz w:val="24"/>
        </w:rPr>
        <w:t>4.5完成评标报告，向招标人推荐中标候选人。</w:t>
      </w:r>
    </w:p>
    <w:p>
      <w:pPr>
        <w:spacing w:before="120" w:beforeLines="50" w:line="480" w:lineRule="auto"/>
        <w:ind w:firstLine="361" w:firstLineChars="150"/>
        <w:rPr>
          <w:rFonts w:ascii="宋体" w:hAnsi="宋体"/>
          <w:b/>
          <w:color w:val="auto"/>
          <w:sz w:val="24"/>
        </w:rPr>
      </w:pPr>
      <w:r>
        <w:rPr>
          <w:rFonts w:hint="eastAsia" w:ascii="宋体" w:hAnsi="宋体"/>
          <w:b/>
          <w:color w:val="auto"/>
          <w:sz w:val="24"/>
        </w:rPr>
        <w:t>5. 投标文件的有效性（详见《投标文件否决性条款摘要》第二点）</w:t>
      </w:r>
    </w:p>
    <w:p>
      <w:pPr>
        <w:spacing w:before="120" w:beforeLines="50" w:line="480" w:lineRule="auto"/>
        <w:ind w:firstLine="360" w:firstLineChars="150"/>
        <w:rPr>
          <w:rFonts w:ascii="宋体" w:hAnsi="宋体"/>
          <w:color w:val="auto"/>
          <w:kern w:val="0"/>
          <w:sz w:val="24"/>
        </w:rPr>
      </w:pPr>
      <w:r>
        <w:rPr>
          <w:rFonts w:hint="eastAsia" w:ascii="宋体" w:hAnsi="宋体"/>
          <w:color w:val="auto"/>
          <w:kern w:val="0"/>
          <w:sz w:val="24"/>
        </w:rPr>
        <w:t>投标文件实质上响应招标文件要求的标准：投标文件中没有出现任一种属于招标文件所列出的无效标情形。</w:t>
      </w:r>
    </w:p>
    <w:p>
      <w:pPr>
        <w:spacing w:before="120" w:beforeLines="50" w:line="480" w:lineRule="auto"/>
        <w:ind w:firstLine="361" w:firstLineChars="150"/>
        <w:rPr>
          <w:rFonts w:ascii="宋体" w:hAnsi="宋体"/>
          <w:b/>
          <w:color w:val="auto"/>
          <w:sz w:val="24"/>
        </w:rPr>
      </w:pPr>
      <w:r>
        <w:rPr>
          <w:rFonts w:hint="eastAsia" w:ascii="宋体" w:hAnsi="宋体"/>
          <w:b/>
          <w:color w:val="auto"/>
          <w:sz w:val="24"/>
        </w:rPr>
        <w:t>6．评标细则</w:t>
      </w:r>
      <w:r>
        <w:rPr>
          <w:rFonts w:hint="eastAsia" w:ascii="宋体" w:hAnsi="宋体"/>
          <w:color w:val="auto"/>
          <w:sz w:val="24"/>
        </w:rPr>
        <w:t>（截标后，开标时间因故推迟的，相关评标信息仍以原定的开标时间为准）</w:t>
      </w:r>
    </w:p>
    <w:p>
      <w:pPr>
        <w:spacing w:line="480" w:lineRule="auto"/>
        <w:ind w:firstLine="352" w:firstLineChars="147"/>
        <w:rPr>
          <w:rFonts w:ascii="宋体" w:hAnsi="宋体"/>
          <w:color w:val="auto"/>
          <w:sz w:val="24"/>
        </w:rPr>
      </w:pPr>
      <w:r>
        <w:rPr>
          <w:rFonts w:hint="eastAsia" w:ascii="宋体" w:hAnsi="宋体"/>
          <w:color w:val="auto"/>
          <w:sz w:val="24"/>
        </w:rPr>
        <w:t>6.1由评委对各投标文件的符合性进行审查（详见《符合性审查表》），符合性审查不进行详细打分，标准只有通过与不通过之分。评委对各投标文件评审时，对每个不通过评审的具体项目须在评标报告中详细说明。对通过符合性审查的投标文件再进行资格审查（详见《资格审查内容表》、《资格审查表》），资格审查不进行详细打分，标准只有通过与不通过之分。对通过资格审查的投标文件再进行综合评审。</w:t>
      </w:r>
    </w:p>
    <w:p>
      <w:pPr>
        <w:spacing w:line="480" w:lineRule="auto"/>
        <w:ind w:firstLine="480" w:firstLineChars="200"/>
        <w:rPr>
          <w:rFonts w:ascii="宋体" w:hAnsi="宋体"/>
          <w:color w:val="auto"/>
          <w:sz w:val="24"/>
        </w:rPr>
      </w:pPr>
      <w:r>
        <w:rPr>
          <w:rFonts w:hint="eastAsia" w:ascii="宋体" w:hAnsi="宋体"/>
          <w:color w:val="auto"/>
          <w:sz w:val="24"/>
        </w:rPr>
        <w:t xml:space="preserve">6.2综合评审采用百分制评分法，监理综合评分标评审详见《监理综合评分表》（附件二）。 </w:t>
      </w:r>
    </w:p>
    <w:p>
      <w:pPr>
        <w:spacing w:line="480" w:lineRule="auto"/>
        <w:ind w:firstLine="480" w:firstLineChars="200"/>
        <w:rPr>
          <w:rFonts w:ascii="宋体" w:hAnsi="宋体"/>
          <w:color w:val="auto"/>
          <w:sz w:val="24"/>
        </w:rPr>
      </w:pPr>
      <w:r>
        <w:rPr>
          <w:rFonts w:hint="eastAsia" w:ascii="宋体" w:hAnsi="宋体"/>
          <w:color w:val="auto"/>
          <w:sz w:val="24"/>
        </w:rPr>
        <w:t>6.3报价得分计算</w:t>
      </w:r>
    </w:p>
    <w:p>
      <w:pPr>
        <w:spacing w:line="480" w:lineRule="auto"/>
        <w:ind w:firstLine="480" w:firstLineChars="200"/>
        <w:rPr>
          <w:rFonts w:ascii="宋体" w:hAnsi="宋体"/>
          <w:color w:val="auto"/>
          <w:sz w:val="24"/>
        </w:rPr>
      </w:pPr>
      <w:r>
        <w:rPr>
          <w:rFonts w:hint="eastAsia" w:ascii="宋体" w:hAnsi="宋体"/>
          <w:color w:val="auto"/>
          <w:sz w:val="24"/>
        </w:rPr>
        <w:t>6.3.1投标人投标报价下浮率</w:t>
      </w:r>
      <w:r>
        <w:rPr>
          <w:rFonts w:hint="eastAsia" w:ascii="宋体" w:hAnsi="宋体" w:cs="宋体"/>
          <w:color w:val="auto"/>
          <w:sz w:val="24"/>
          <w:lang w:val="zh-CN"/>
        </w:rPr>
        <w:t>不在</w:t>
      </w:r>
      <w:r>
        <w:rPr>
          <w:rFonts w:hint="eastAsia" w:ascii="宋体" w:hAnsi="宋体"/>
          <w:color w:val="auto"/>
          <w:sz w:val="24"/>
        </w:rPr>
        <w:t>招标文件要求</w:t>
      </w:r>
      <w:r>
        <w:rPr>
          <w:rFonts w:hint="eastAsia" w:ascii="宋体" w:hAnsi="宋体" w:cs="宋体"/>
          <w:color w:val="auto"/>
          <w:sz w:val="24"/>
          <w:lang w:val="zh-CN"/>
        </w:rPr>
        <w:t>的下浮率范围内的，为无效报价，投标文件作无效处理</w:t>
      </w:r>
      <w:r>
        <w:rPr>
          <w:rFonts w:hint="eastAsia" w:ascii="宋体" w:hAnsi="宋体"/>
          <w:color w:val="auto"/>
          <w:sz w:val="24"/>
        </w:rPr>
        <w:t>（投标人必须提供投标报价承诺书并加盖公章）。</w:t>
      </w:r>
    </w:p>
    <w:p>
      <w:pPr>
        <w:spacing w:line="480" w:lineRule="auto"/>
        <w:ind w:firstLine="480" w:firstLineChars="200"/>
        <w:rPr>
          <w:rFonts w:ascii="宋体" w:hAnsi="宋体"/>
          <w:color w:val="auto"/>
          <w:sz w:val="24"/>
        </w:rPr>
      </w:pPr>
      <w:r>
        <w:rPr>
          <w:rFonts w:hint="eastAsia" w:ascii="宋体" w:hAnsi="宋体"/>
          <w:color w:val="auto"/>
          <w:sz w:val="24"/>
        </w:rPr>
        <w:t>6.3.2评标委员会按照下列方法计算投标人投标报价的算术平均值：</w:t>
      </w:r>
    </w:p>
    <w:p>
      <w:pPr>
        <w:spacing w:line="480" w:lineRule="auto"/>
        <w:ind w:firstLine="480" w:firstLineChars="200"/>
        <w:rPr>
          <w:rFonts w:ascii="宋体" w:hAnsi="宋体"/>
          <w:color w:val="auto"/>
          <w:sz w:val="24"/>
        </w:rPr>
      </w:pPr>
      <w:r>
        <w:rPr>
          <w:rFonts w:hint="eastAsia" w:ascii="宋体" w:hAnsi="宋体"/>
          <w:color w:val="auto"/>
          <w:sz w:val="24"/>
        </w:rPr>
        <w:t>设</w:t>
      </w:r>
      <w:r>
        <w:rPr>
          <w:rFonts w:hint="eastAsia" w:ascii="宋体" w:hAnsi="宋体"/>
          <w:color w:val="auto"/>
          <w:sz w:val="24"/>
        </w:rPr>
        <w:object>
          <v:shape id="_x0000_i1025" o:spt="75" type="#_x0000_t75" style="height:30.65pt;width:166pt;" o:ole="t" filled="f" o:preferrelative="t" stroked="f" coordsize="21600,21600">
            <v:path/>
            <v:fill on="f" focussize="0,0"/>
            <v:stroke on="f" joinstyle="miter"/>
            <v:imagedata r:id="rId17" o:title=""/>
            <o:lock v:ext="edit" aspectratio="t"/>
            <w10:wrap type="none"/>
            <w10:anchorlock/>
          </v:shape>
          <o:OLEObject Type="Embed" ProgID="Equation.3" ShapeID="_x0000_i1025" DrawAspect="Content" ObjectID="_1468075725" r:id="rId16">
            <o:LockedField>false</o:LockedField>
          </o:OLEObject>
        </w:object>
      </w:r>
      <w:r>
        <w:rPr>
          <w:rFonts w:hint="eastAsia" w:ascii="宋体" w:hAnsi="宋体"/>
          <w:color w:val="auto"/>
          <w:sz w:val="24"/>
        </w:rPr>
        <w:t>,其中Int为取整函数，不进行四舍五入。评标委员会将通过综合评审的投标人的投标报价按由低至高的顺序进行排序，去掉排名最靠前的N个投标人的投标报价以及排名最靠后的N个投标人的投标报价之后，再对剩余投标人的投标报价取算术平均值，此算术平均值为评标基准价。随后的评审中无论出现何种情形，该基准价不作调整。</w:t>
      </w:r>
    </w:p>
    <w:p>
      <w:pPr>
        <w:spacing w:line="480" w:lineRule="auto"/>
        <w:ind w:firstLine="480" w:firstLineChars="200"/>
        <w:rPr>
          <w:rFonts w:ascii="宋体" w:hAnsi="宋体"/>
          <w:color w:val="auto"/>
          <w:sz w:val="24"/>
        </w:rPr>
      </w:pPr>
      <w:r>
        <w:rPr>
          <w:rFonts w:hint="eastAsia" w:ascii="宋体" w:hAnsi="宋体"/>
          <w:color w:val="auto"/>
          <w:sz w:val="24"/>
        </w:rPr>
        <w:t>6.3.3评标委员会按照最接近评标基准价的顺序进行排序（若出现投标报价与评标基准价的差值的绝对值相同的则投标报价较低的排前；若出现投标报价相同的，则由评标委员会抽签确定排名）。投标报价得分折算公式如下：</w:t>
      </w:r>
    </w:p>
    <w:p>
      <w:pPr>
        <w:spacing w:line="480" w:lineRule="auto"/>
        <w:ind w:firstLine="480" w:firstLineChars="200"/>
        <w:rPr>
          <w:rFonts w:ascii="宋体" w:hAnsi="宋体"/>
          <w:color w:val="auto"/>
          <w:sz w:val="24"/>
        </w:rPr>
      </w:pPr>
      <w:r>
        <w:rPr>
          <w:rFonts w:hint="eastAsia" w:ascii="宋体" w:hAnsi="宋体"/>
          <w:color w:val="auto"/>
          <w:sz w:val="24"/>
        </w:rPr>
        <w:t>S=[</w:t>
      </w:r>
      <w:r>
        <w:rPr>
          <w:rFonts w:hint="eastAsia" w:ascii="宋体" w:hAnsi="宋体"/>
          <w:color w:val="auto"/>
          <w:sz w:val="24"/>
        </w:rPr>
        <w:object>
          <v:shape id="_x0000_i1026" o:spt="75" type="#_x0000_t75" style="height:33.35pt;width:88.65pt;" o:ole="t" filled="f" o:preferrelative="t" stroked="f" coordsize="21600,21600">
            <v:path/>
            <v:fill on="f" focussize="0,0"/>
            <v:stroke on="f" joinstyle="miter"/>
            <v:imagedata r:id="rId19" o:title=""/>
            <o:lock v:ext="edit" aspectratio="t"/>
            <w10:wrap type="none"/>
            <w10:anchorlock/>
          </v:shape>
          <o:OLEObject Type="Embed" ProgID="Equation.3" ShapeID="_x0000_i1026" DrawAspect="Content" ObjectID="_1468075726" r:id="rId18">
            <o:LockedField>false</o:LockedField>
          </o:OLEObject>
        </w:object>
      </w:r>
      <w:r>
        <w:rPr>
          <w:rFonts w:hint="eastAsia" w:ascii="宋体" w:hAnsi="宋体"/>
          <w:color w:val="auto"/>
          <w:sz w:val="24"/>
        </w:rPr>
        <w:t xml:space="preserve"> ]</w:t>
      </w:r>
    </w:p>
    <w:p>
      <w:pPr>
        <w:spacing w:line="480" w:lineRule="auto"/>
        <w:ind w:firstLine="480" w:firstLineChars="200"/>
        <w:rPr>
          <w:rFonts w:ascii="宋体" w:hAnsi="宋体"/>
          <w:color w:val="auto"/>
          <w:sz w:val="24"/>
        </w:rPr>
      </w:pPr>
      <w:r>
        <w:rPr>
          <w:rFonts w:hint="eastAsia" w:ascii="宋体" w:hAnsi="宋体"/>
          <w:color w:val="auto"/>
          <w:sz w:val="24"/>
        </w:rPr>
        <w:t>S—投标报价得分；</w:t>
      </w:r>
    </w:p>
    <w:p>
      <w:pPr>
        <w:spacing w:line="480" w:lineRule="auto"/>
        <w:ind w:firstLine="480" w:firstLineChars="200"/>
        <w:rPr>
          <w:rFonts w:ascii="宋体" w:hAnsi="宋体"/>
          <w:color w:val="auto"/>
          <w:sz w:val="24"/>
        </w:rPr>
      </w:pPr>
      <w:r>
        <w:rPr>
          <w:rFonts w:hint="eastAsia" w:ascii="宋体" w:hAnsi="宋体"/>
          <w:color w:val="auto"/>
          <w:sz w:val="24"/>
        </w:rPr>
        <w:t>B—投标人的投标报价；</w:t>
      </w:r>
    </w:p>
    <w:p>
      <w:pPr>
        <w:spacing w:line="480" w:lineRule="auto"/>
        <w:ind w:firstLine="480" w:firstLineChars="200"/>
        <w:rPr>
          <w:rFonts w:ascii="宋体" w:hAnsi="宋体"/>
          <w:color w:val="auto"/>
          <w:sz w:val="24"/>
        </w:rPr>
      </w:pPr>
      <w:r>
        <w:rPr>
          <w:rFonts w:hint="eastAsia" w:ascii="宋体" w:hAnsi="宋体"/>
          <w:color w:val="auto"/>
          <w:sz w:val="24"/>
        </w:rPr>
        <w:t>A—评标基准价；</w:t>
      </w:r>
    </w:p>
    <w:p>
      <w:pPr>
        <w:spacing w:line="480" w:lineRule="auto"/>
        <w:ind w:firstLine="480" w:firstLineChars="200"/>
        <w:rPr>
          <w:rFonts w:ascii="宋体" w:hAnsi="宋体"/>
          <w:color w:val="auto"/>
          <w:sz w:val="24"/>
        </w:rPr>
      </w:pPr>
      <w:r>
        <w:rPr>
          <w:rFonts w:hint="eastAsia" w:ascii="宋体" w:hAnsi="宋体"/>
          <w:color w:val="auto"/>
          <w:sz w:val="24"/>
        </w:rPr>
        <w:t xml:space="preserve">投标人投标报价得分最低分为0分，取值保留到小数点后四位。 </w:t>
      </w:r>
    </w:p>
    <w:p>
      <w:pPr>
        <w:spacing w:line="360" w:lineRule="auto"/>
        <w:ind w:firstLine="480" w:firstLineChars="200"/>
        <w:jc w:val="left"/>
        <w:rPr>
          <w:rFonts w:ascii="宋体" w:hAnsi="宋体"/>
          <w:color w:val="auto"/>
          <w:sz w:val="24"/>
        </w:rPr>
      </w:pPr>
      <w:r>
        <w:rPr>
          <w:rFonts w:hint="eastAsia" w:ascii="宋体" w:hAnsi="宋体"/>
          <w:color w:val="auto"/>
          <w:sz w:val="24"/>
        </w:rPr>
        <w:t>6.4信用因素评分</w:t>
      </w:r>
    </w:p>
    <w:p>
      <w:pPr>
        <w:spacing w:line="480" w:lineRule="auto"/>
        <w:ind w:firstLine="480" w:firstLineChars="200"/>
        <w:rPr>
          <w:rFonts w:ascii="宋体" w:hAnsi="宋体"/>
          <w:color w:val="auto"/>
          <w:sz w:val="24"/>
        </w:rPr>
      </w:pPr>
      <w:r>
        <w:rPr>
          <w:rFonts w:hint="eastAsia" w:ascii="宋体" w:hAnsi="宋体"/>
          <w:color w:val="auto"/>
          <w:sz w:val="24"/>
        </w:rPr>
        <w:t>6.4.1评标委员会对各投标单位的信用因素进行评分</w:t>
      </w:r>
      <w:r>
        <w:rPr>
          <w:rFonts w:hint="eastAsia"/>
          <w:color w:val="auto"/>
          <w:sz w:val="24"/>
        </w:rPr>
        <w:t>。</w:t>
      </w:r>
      <w:r>
        <w:rPr>
          <w:rFonts w:hint="eastAsia" w:ascii="宋体" w:hAnsi="宋体"/>
          <w:color w:val="auto"/>
          <w:sz w:val="24"/>
        </w:rPr>
        <w:t>（格式见附表五）</w:t>
      </w:r>
    </w:p>
    <w:p>
      <w:pPr>
        <w:spacing w:line="480" w:lineRule="auto"/>
        <w:ind w:firstLine="480" w:firstLineChars="200"/>
        <w:rPr>
          <w:rFonts w:ascii="宋体" w:hAnsi="宋体"/>
          <w:color w:val="auto"/>
          <w:sz w:val="24"/>
        </w:rPr>
      </w:pPr>
      <w:r>
        <w:rPr>
          <w:rFonts w:hint="eastAsia" w:ascii="宋体" w:hAnsi="宋体"/>
          <w:color w:val="auto"/>
          <w:sz w:val="24"/>
        </w:rPr>
        <w:t>6.4.2信用因素评审按以下原则计算：</w:t>
      </w:r>
    </w:p>
    <w:p>
      <w:pPr>
        <w:spacing w:line="480" w:lineRule="auto"/>
        <w:ind w:firstLine="480" w:firstLineChars="200"/>
        <w:rPr>
          <w:rFonts w:ascii="宋体" w:hAnsi="宋体"/>
          <w:color w:val="auto"/>
          <w:sz w:val="24"/>
        </w:rPr>
      </w:pPr>
      <w:r>
        <w:rPr>
          <w:rFonts w:hint="eastAsia" w:ascii="宋体" w:hAnsi="宋体"/>
          <w:color w:val="auto"/>
          <w:sz w:val="24"/>
        </w:rPr>
        <w:t>1、根据《江门市住房和城乡建设局关于江门市建筑业企业信用管理评价标准》的规定，企业信用等级和信用分以开标当天凌晨一时“江门市建筑业企业信用管理信息系统”公布的结果为准，其余时间不变。</w:t>
      </w:r>
    </w:p>
    <w:p>
      <w:pPr>
        <w:spacing w:line="480" w:lineRule="auto"/>
        <w:ind w:firstLine="480" w:firstLineChars="200"/>
        <w:rPr>
          <w:rFonts w:ascii="宋体" w:hAnsi="宋体"/>
          <w:color w:val="auto"/>
          <w:sz w:val="24"/>
        </w:rPr>
      </w:pPr>
      <w:r>
        <w:rPr>
          <w:rFonts w:hint="eastAsia" w:ascii="宋体" w:hAnsi="宋体"/>
          <w:color w:val="auto"/>
          <w:sz w:val="24"/>
        </w:rPr>
        <w:t>2、根据</w:t>
      </w:r>
      <w:r>
        <w:rPr>
          <w:rFonts w:hint="eastAsia" w:ascii="宋体" w:hAnsi="宋体"/>
          <w:color w:val="auto"/>
          <w:sz w:val="24"/>
          <w:highlight w:val="none"/>
        </w:rPr>
        <w:t>江建〔2017〕521号文</w:t>
      </w:r>
      <w:r>
        <w:rPr>
          <w:rFonts w:hint="eastAsia" w:ascii="宋体" w:hAnsi="宋体"/>
          <w:color w:val="auto"/>
          <w:sz w:val="24"/>
        </w:rPr>
        <w:t>精神，以联合体投标的，联合体投标人企业信用得分＝主办方企业信用得分×80%＋其它各方企业信用得分的算术平均×20%。</w:t>
      </w:r>
    </w:p>
    <w:p>
      <w:pPr>
        <w:spacing w:line="480" w:lineRule="auto"/>
        <w:ind w:firstLine="480" w:firstLineChars="200"/>
        <w:rPr>
          <w:rFonts w:ascii="宋体" w:hAnsi="宋体"/>
          <w:color w:val="auto"/>
          <w:sz w:val="24"/>
        </w:rPr>
      </w:pPr>
      <w:r>
        <w:rPr>
          <w:rFonts w:hint="eastAsia" w:ascii="宋体" w:hAnsi="宋体"/>
          <w:color w:val="auto"/>
          <w:sz w:val="24"/>
        </w:rPr>
        <w:t>3、按照信用评价评分标准，综合信用评价等级为A级的正式投标人信用等级分得100分，综合信用评价等级为B级的正式投标人信用等级分得80分，综合信用评价等级为C级的正式投标人信用等级分得60分。</w:t>
      </w:r>
    </w:p>
    <w:p>
      <w:pPr>
        <w:spacing w:line="480" w:lineRule="auto"/>
        <w:ind w:firstLine="480" w:firstLineChars="200"/>
        <w:rPr>
          <w:rFonts w:ascii="宋体" w:hAnsi="宋体"/>
          <w:color w:val="auto"/>
          <w:sz w:val="24"/>
        </w:rPr>
      </w:pPr>
      <w:r>
        <w:rPr>
          <w:rFonts w:hint="eastAsia" w:ascii="宋体" w:hAnsi="宋体"/>
          <w:color w:val="auto"/>
          <w:sz w:val="24"/>
        </w:rPr>
        <w:t>6.5综合评分要求</w:t>
      </w:r>
    </w:p>
    <w:p>
      <w:pPr>
        <w:spacing w:line="480" w:lineRule="auto"/>
        <w:ind w:firstLine="480" w:firstLineChars="200"/>
        <w:rPr>
          <w:rFonts w:ascii="宋体" w:hAnsi="宋体"/>
          <w:color w:val="auto"/>
          <w:sz w:val="24"/>
        </w:rPr>
      </w:pPr>
      <w:r>
        <w:rPr>
          <w:rFonts w:hint="eastAsia" w:ascii="宋体" w:hAnsi="宋体"/>
          <w:color w:val="auto"/>
          <w:sz w:val="24"/>
        </w:rPr>
        <w:t>6.5.1评委应严格按照本评标办法对投标文件独立进行评议，作出个人评价。</w:t>
      </w:r>
    </w:p>
    <w:p>
      <w:pPr>
        <w:spacing w:line="480" w:lineRule="auto"/>
        <w:ind w:firstLine="480" w:firstLineChars="200"/>
        <w:rPr>
          <w:rFonts w:ascii="宋体" w:hAnsi="宋体"/>
          <w:color w:val="auto"/>
          <w:sz w:val="24"/>
        </w:rPr>
      </w:pPr>
      <w:r>
        <w:rPr>
          <w:rFonts w:hint="eastAsia" w:ascii="宋体" w:hAnsi="宋体"/>
          <w:color w:val="auto"/>
          <w:sz w:val="24"/>
        </w:rPr>
        <w:t>6.5.2评委按照个人评议情况对各分项内容进行各自记名打分。</w:t>
      </w:r>
    </w:p>
    <w:p>
      <w:pPr>
        <w:spacing w:line="480" w:lineRule="auto"/>
        <w:ind w:firstLine="482" w:firstLineChars="200"/>
        <w:rPr>
          <w:rFonts w:ascii="宋体" w:hAnsi="宋体"/>
          <w:b/>
          <w:bCs/>
          <w:color w:val="auto"/>
          <w:sz w:val="24"/>
        </w:rPr>
      </w:pPr>
      <w:r>
        <w:rPr>
          <w:rFonts w:hint="eastAsia" w:ascii="宋体" w:hAnsi="宋体"/>
          <w:b/>
          <w:bCs/>
          <w:color w:val="auto"/>
          <w:sz w:val="24"/>
        </w:rPr>
        <w:t>6.5.3投标人的综合得分为各评委的评分去掉一个最高分和一个最低分后计取的算术平均分（分数出现小数点时，保留小数点后四位，第五位小数四舍五入）。</w:t>
      </w:r>
    </w:p>
    <w:p>
      <w:pPr>
        <w:spacing w:line="480" w:lineRule="auto"/>
        <w:ind w:firstLine="480" w:firstLineChars="200"/>
        <w:rPr>
          <w:rFonts w:ascii="宋体" w:hAnsi="宋体"/>
          <w:color w:val="auto"/>
          <w:sz w:val="24"/>
        </w:rPr>
      </w:pPr>
      <w:r>
        <w:rPr>
          <w:rFonts w:hint="eastAsia" w:ascii="宋体" w:hAnsi="宋体"/>
          <w:color w:val="auto"/>
          <w:sz w:val="24"/>
        </w:rPr>
        <w:t>6.6计算投标人的总得分（满分为100分）</w:t>
      </w:r>
    </w:p>
    <w:p>
      <w:pPr>
        <w:spacing w:before="120" w:beforeLines="50" w:after="120" w:afterLines="50" w:line="360" w:lineRule="auto"/>
        <w:ind w:firstLine="600" w:firstLineChars="250"/>
        <w:rPr>
          <w:rFonts w:ascii="宋体" w:hAnsi="宋体"/>
          <w:color w:val="auto"/>
          <w:sz w:val="24"/>
        </w:rPr>
      </w:pPr>
      <w:r>
        <w:rPr>
          <w:rFonts w:hint="eastAsia" w:ascii="宋体" w:hAnsi="宋体"/>
          <w:color w:val="auto"/>
          <w:sz w:val="24"/>
        </w:rPr>
        <w:t>6.6.1</w:t>
      </w:r>
      <w:r>
        <w:rPr>
          <w:rFonts w:hint="eastAsia" w:ascii="宋体" w:hAnsi="宋体"/>
          <w:b/>
          <w:color w:val="auto"/>
          <w:sz w:val="24"/>
        </w:rPr>
        <w:t>评标总得分计算方法：</w:t>
      </w:r>
    </w:p>
    <w:p>
      <w:pPr>
        <w:spacing w:before="120" w:beforeLines="50" w:after="120" w:afterLines="50" w:line="360" w:lineRule="auto"/>
        <w:ind w:firstLine="600" w:firstLineChars="250"/>
        <w:rPr>
          <w:rFonts w:ascii="宋体" w:hAnsi="宋体"/>
          <w:color w:val="auto"/>
          <w:sz w:val="24"/>
        </w:rPr>
      </w:pPr>
      <w:r>
        <w:rPr>
          <w:rFonts w:hint="eastAsia" w:ascii="宋体" w:hAnsi="宋体"/>
          <w:color w:val="auto"/>
          <w:sz w:val="24"/>
        </w:rPr>
        <w:t>评标总得分=报价得分×权重（22%）+监理综合评分得分×权重（70%）+信用等级分×信</w:t>
      </w:r>
    </w:p>
    <w:p>
      <w:pPr>
        <w:spacing w:before="120" w:beforeLines="50" w:after="120" w:afterLines="50" w:line="360" w:lineRule="auto"/>
        <w:ind w:firstLine="600" w:firstLineChars="250"/>
        <w:rPr>
          <w:rFonts w:ascii="宋体" w:hAnsi="宋体"/>
          <w:color w:val="auto"/>
          <w:sz w:val="24"/>
        </w:rPr>
      </w:pPr>
      <w:r>
        <w:rPr>
          <w:rFonts w:hint="eastAsia" w:ascii="宋体" w:hAnsi="宋体"/>
          <w:color w:val="auto"/>
          <w:sz w:val="24"/>
        </w:rPr>
        <w:t>用因素权重（8%）。</w:t>
      </w:r>
    </w:p>
    <w:p>
      <w:pPr>
        <w:spacing w:line="480" w:lineRule="auto"/>
        <w:ind w:firstLine="480" w:firstLineChars="200"/>
        <w:rPr>
          <w:rFonts w:ascii="宋体" w:hAnsi="宋体"/>
          <w:color w:val="auto"/>
          <w:sz w:val="24"/>
        </w:rPr>
      </w:pPr>
      <w:r>
        <w:rPr>
          <w:rFonts w:hint="eastAsia" w:ascii="宋体" w:hAnsi="宋体"/>
          <w:color w:val="auto"/>
          <w:sz w:val="24"/>
        </w:rPr>
        <w:t>6.7评审过程中，评标委员会可在必要时安排投标人对有关细节加以澄清，但这种澄清不应使其它投标人处于不公平的地位。</w:t>
      </w:r>
    </w:p>
    <w:p>
      <w:pPr>
        <w:spacing w:line="480" w:lineRule="auto"/>
        <w:ind w:firstLine="480" w:firstLineChars="200"/>
        <w:rPr>
          <w:rFonts w:ascii="宋体" w:hAnsi="宋体"/>
          <w:color w:val="auto"/>
          <w:sz w:val="24"/>
        </w:rPr>
      </w:pPr>
      <w:r>
        <w:rPr>
          <w:rFonts w:hint="eastAsia" w:ascii="宋体" w:hAnsi="宋体"/>
          <w:color w:val="auto"/>
          <w:sz w:val="24"/>
        </w:rPr>
        <w:t>6.8评标委员会依据有关法律、法规和招标文件的规定对投标文件进行评审，经评定的有效投标人不足三名时，招标人应当依法重新组织招标。</w:t>
      </w:r>
    </w:p>
    <w:p>
      <w:pPr>
        <w:spacing w:before="120" w:beforeLines="50" w:line="480" w:lineRule="auto"/>
        <w:ind w:firstLine="482" w:firstLineChars="200"/>
        <w:rPr>
          <w:rFonts w:ascii="宋体" w:hAnsi="宋体"/>
          <w:b/>
          <w:color w:val="auto"/>
          <w:sz w:val="24"/>
        </w:rPr>
      </w:pPr>
      <w:r>
        <w:rPr>
          <w:rFonts w:hint="eastAsia" w:ascii="宋体" w:hAnsi="宋体"/>
          <w:b/>
          <w:color w:val="auto"/>
          <w:sz w:val="24"/>
        </w:rPr>
        <w:t>7．推荐中标候选人</w:t>
      </w:r>
    </w:p>
    <w:p>
      <w:pPr>
        <w:spacing w:line="480" w:lineRule="auto"/>
        <w:ind w:firstLine="480" w:firstLineChars="200"/>
        <w:rPr>
          <w:rFonts w:ascii="宋体" w:hAnsi="宋体"/>
          <w:color w:val="auto"/>
          <w:sz w:val="24"/>
        </w:rPr>
      </w:pPr>
      <w:r>
        <w:rPr>
          <w:rFonts w:hint="eastAsia" w:ascii="宋体" w:hAnsi="宋体"/>
          <w:color w:val="auto"/>
          <w:sz w:val="24"/>
        </w:rPr>
        <w:t>以上评审完成后，按投标人的总得分从高到低进行排序，如果评标总得分相同的，以信用等级高的排前。如是联合体投标的，以联合体牵头人（主办方）或投标人主办资质类别信用等级高的排前；如果评标总得分、信用等级均相同的，则对信用等级相同的投标人，按中标候选人数量的规定，由评标委员会采用随机抽取方式，确定中标候选人的排序。评标委员会编写评标报告，并全体签字确认，推荐满足招标文件要求且总得分排序的名次最高者为第一中标候选人，推荐满足招标文件要求且总得分排序的名次次高者为第二中标候选人，推荐满足招标文件要求且总得分排序第三高者为第三中标候选人。</w:t>
      </w:r>
    </w:p>
    <w:p>
      <w:pPr>
        <w:spacing w:before="120" w:beforeLines="50" w:line="480" w:lineRule="auto"/>
        <w:ind w:firstLine="482" w:firstLineChars="200"/>
        <w:rPr>
          <w:rFonts w:ascii="宋体" w:hAnsi="宋体"/>
          <w:b/>
          <w:color w:val="auto"/>
          <w:sz w:val="24"/>
        </w:rPr>
      </w:pPr>
      <w:r>
        <w:rPr>
          <w:rFonts w:hint="eastAsia" w:ascii="宋体" w:hAnsi="宋体"/>
          <w:b/>
          <w:color w:val="auto"/>
          <w:sz w:val="24"/>
        </w:rPr>
        <w:t>8．定标</w:t>
      </w:r>
    </w:p>
    <w:p>
      <w:pPr>
        <w:tabs>
          <w:tab w:val="left" w:pos="720"/>
        </w:tabs>
        <w:snapToGrid w:val="0"/>
        <w:spacing w:line="480" w:lineRule="auto"/>
        <w:ind w:firstLine="495"/>
        <w:rPr>
          <w:rFonts w:ascii="宋体" w:hAnsi="宋体"/>
          <w:color w:val="auto"/>
          <w:sz w:val="24"/>
        </w:rPr>
      </w:pPr>
      <w:r>
        <w:rPr>
          <w:rFonts w:hint="eastAsia" w:ascii="宋体" w:hAnsi="宋体"/>
          <w:color w:val="auto"/>
          <w:sz w:val="24"/>
        </w:rPr>
        <w:t>招标人委托评标委员会直接确定中标人。但在签订合同前的任何时候，评委、招标人以及其他人员发现投标人在招标过程有弄虚作假行为、虚报资料情况，一经查实，立即取消其中标人资格。</w:t>
      </w:r>
    </w:p>
    <w:p>
      <w:pPr>
        <w:tabs>
          <w:tab w:val="left" w:pos="720"/>
        </w:tabs>
        <w:snapToGrid w:val="0"/>
        <w:spacing w:line="480" w:lineRule="auto"/>
        <w:rPr>
          <w:color w:val="auto"/>
          <w:sz w:val="24"/>
        </w:rPr>
      </w:pPr>
      <w:r>
        <w:rPr>
          <w:rFonts w:hint="eastAsia"/>
          <w:color w:val="auto"/>
          <w:sz w:val="24"/>
        </w:rPr>
        <w:t>二、若出现《符合性审查表》中所述情况，作无效处理。</w:t>
      </w:r>
    </w:p>
    <w:p>
      <w:pPr>
        <w:widowControl/>
        <w:jc w:val="left"/>
        <w:rPr>
          <w:color w:val="auto"/>
          <w:sz w:val="24"/>
        </w:rPr>
      </w:pPr>
      <w:r>
        <w:rPr>
          <w:color w:val="auto"/>
          <w:sz w:val="24"/>
        </w:rPr>
        <w:br w:type="page"/>
      </w:r>
    </w:p>
    <w:p>
      <w:pPr>
        <w:tabs>
          <w:tab w:val="left" w:pos="720"/>
        </w:tabs>
        <w:snapToGrid w:val="0"/>
        <w:spacing w:line="460" w:lineRule="exact"/>
        <w:jc w:val="center"/>
        <w:outlineLvl w:val="2"/>
        <w:rPr>
          <w:rFonts w:ascii="宋体" w:hAnsi="宋体"/>
          <w:b/>
          <w:color w:val="auto"/>
          <w:spacing w:val="20"/>
          <w:sz w:val="28"/>
          <w:szCs w:val="28"/>
        </w:rPr>
      </w:pPr>
      <w:r>
        <w:rPr>
          <w:rFonts w:hint="eastAsia" w:ascii="宋体" w:hAnsi="宋体"/>
          <w:b/>
          <w:color w:val="auto"/>
          <w:spacing w:val="20"/>
          <w:sz w:val="28"/>
          <w:szCs w:val="28"/>
        </w:rPr>
        <w:t>符合性审查表</w:t>
      </w:r>
    </w:p>
    <w:tbl>
      <w:tblPr>
        <w:tblStyle w:val="22"/>
        <w:tblpPr w:leftFromText="180" w:rightFromText="180" w:vertAnchor="text" w:horzAnchor="margin" w:tblpXSpec="center" w:tblpY="6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4489"/>
        <w:gridCol w:w="711"/>
        <w:gridCol w:w="712"/>
        <w:gridCol w:w="712"/>
        <w:gridCol w:w="713"/>
        <w:gridCol w:w="712"/>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36"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r>
              <w:rPr>
                <w:rFonts w:hint="eastAsia" w:ascii="宋体" w:hAnsi="宋体"/>
                <w:color w:val="auto"/>
                <w:szCs w:val="21"/>
              </w:rPr>
              <w:t>编号</w:t>
            </w:r>
          </w:p>
        </w:tc>
        <w:tc>
          <w:tcPr>
            <w:tcW w:w="4489" w:type="dxa"/>
            <w:tcBorders>
              <w:tl2br w:val="single" w:color="auto" w:sz="4" w:space="0"/>
            </w:tcBorders>
            <w:vAlign w:val="center"/>
          </w:tcPr>
          <w:p>
            <w:pPr>
              <w:keepNext w:val="0"/>
              <w:keepLines w:val="0"/>
              <w:suppressLineNumbers w:val="0"/>
              <w:tabs>
                <w:tab w:val="left" w:pos="720"/>
              </w:tabs>
              <w:snapToGrid w:val="0"/>
              <w:spacing w:before="0" w:beforeAutospacing="0" w:after="0" w:afterAutospacing="0"/>
              <w:ind w:left="0" w:right="0" w:firstLine="2100" w:firstLineChars="1000"/>
              <w:rPr>
                <w:rFonts w:hint="default" w:ascii="宋体" w:hAnsi="宋体"/>
                <w:color w:val="auto"/>
                <w:szCs w:val="21"/>
              </w:rPr>
            </w:pPr>
            <w:r>
              <w:rPr>
                <w:rFonts w:hint="eastAsia" w:ascii="宋体" w:hAnsi="宋体"/>
                <w:color w:val="auto"/>
                <w:szCs w:val="21"/>
              </w:rPr>
              <w:t>投标人名称</w:t>
            </w:r>
          </w:p>
          <w:p>
            <w:pPr>
              <w:keepNext w:val="0"/>
              <w:keepLines w:val="0"/>
              <w:suppressLineNumbers w:val="0"/>
              <w:tabs>
                <w:tab w:val="left" w:pos="720"/>
              </w:tabs>
              <w:snapToGrid w:val="0"/>
              <w:spacing w:before="0" w:beforeAutospacing="0" w:after="0" w:afterAutospacing="0"/>
              <w:ind w:left="0" w:right="0"/>
              <w:rPr>
                <w:rFonts w:hint="default" w:ascii="宋体" w:hAnsi="宋体"/>
                <w:color w:val="auto"/>
                <w:szCs w:val="21"/>
              </w:rPr>
            </w:pPr>
          </w:p>
          <w:p>
            <w:pPr>
              <w:keepNext w:val="0"/>
              <w:keepLines w:val="0"/>
              <w:suppressLineNumbers w:val="0"/>
              <w:tabs>
                <w:tab w:val="left" w:pos="720"/>
              </w:tabs>
              <w:snapToGrid w:val="0"/>
              <w:spacing w:before="0" w:beforeAutospacing="0" w:after="0" w:afterAutospacing="0"/>
              <w:ind w:left="0" w:right="0"/>
              <w:rPr>
                <w:rFonts w:hint="default" w:ascii="宋体" w:hAnsi="宋体"/>
                <w:color w:val="auto"/>
                <w:szCs w:val="21"/>
              </w:rPr>
            </w:pPr>
            <w:r>
              <w:rPr>
                <w:rFonts w:hint="eastAsia" w:ascii="宋体" w:hAnsi="宋体"/>
                <w:color w:val="auto"/>
                <w:szCs w:val="21"/>
              </w:rPr>
              <w:t>审查项目</w:t>
            </w:r>
          </w:p>
        </w:tc>
        <w:tc>
          <w:tcPr>
            <w:tcW w:w="711" w:type="dxa"/>
            <w:vAlign w:val="center"/>
          </w:tcPr>
          <w:p>
            <w:pPr>
              <w:keepNext w:val="0"/>
              <w:keepLines w:val="0"/>
              <w:suppressLineNumbers w:val="0"/>
              <w:tabs>
                <w:tab w:val="left" w:pos="720"/>
              </w:tabs>
              <w:snapToGrid w:val="0"/>
              <w:spacing w:before="0" w:beforeAutospacing="0" w:after="0" w:afterAutospacing="0"/>
              <w:ind w:left="0" w:right="0"/>
              <w:rPr>
                <w:rFonts w:hint="default" w:ascii="宋体" w:hAnsi="宋体"/>
                <w:color w:val="auto"/>
                <w:szCs w:val="21"/>
              </w:rPr>
            </w:pPr>
          </w:p>
        </w:tc>
        <w:tc>
          <w:tcPr>
            <w:tcW w:w="712"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2"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3"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2"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4"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r>
              <w:rPr>
                <w:rFonts w:hint="default" w:ascii="宋体" w:hAnsi="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636"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r>
              <w:rPr>
                <w:rFonts w:hint="eastAsia" w:ascii="宋体" w:hAnsi="宋体"/>
                <w:color w:val="auto"/>
                <w:szCs w:val="21"/>
              </w:rPr>
              <w:t>1</w:t>
            </w:r>
          </w:p>
        </w:tc>
        <w:tc>
          <w:tcPr>
            <w:tcW w:w="4489" w:type="dxa"/>
            <w:vAlign w:val="center"/>
          </w:tcPr>
          <w:p>
            <w:pPr>
              <w:keepNext w:val="0"/>
              <w:keepLines w:val="0"/>
              <w:suppressLineNumbers w:val="0"/>
              <w:tabs>
                <w:tab w:val="left" w:pos="720"/>
              </w:tabs>
              <w:snapToGrid w:val="0"/>
              <w:spacing w:before="0" w:beforeAutospacing="0" w:after="0" w:afterAutospacing="0"/>
              <w:ind w:left="0" w:right="0"/>
              <w:rPr>
                <w:rFonts w:hint="default" w:ascii="宋体" w:hAnsi="宋体"/>
                <w:color w:val="auto"/>
                <w:szCs w:val="21"/>
              </w:rPr>
            </w:pPr>
            <w:r>
              <w:rPr>
                <w:rFonts w:hint="eastAsia" w:ascii="宋体" w:hAnsi="宋体"/>
                <w:color w:val="auto"/>
                <w:szCs w:val="21"/>
              </w:rPr>
              <w:t>投标文件中没有有效的法定代表人证明书</w:t>
            </w:r>
            <w:r>
              <w:rPr>
                <w:rFonts w:hint="eastAsia" w:ascii="宋体" w:hAnsi="宋体"/>
                <w:color w:val="auto"/>
              </w:rPr>
              <w:t>原件，</w:t>
            </w:r>
            <w:r>
              <w:rPr>
                <w:rFonts w:hint="eastAsia" w:ascii="宋体" w:hAnsi="宋体"/>
                <w:color w:val="auto"/>
                <w:szCs w:val="21"/>
              </w:rPr>
              <w:t>或</w:t>
            </w:r>
            <w:r>
              <w:rPr>
                <w:rFonts w:hint="eastAsia" w:ascii="宋体" w:hAnsi="宋体"/>
                <w:color w:val="auto"/>
                <w:sz w:val="24"/>
                <w:szCs w:val="21"/>
              </w:rPr>
              <w:t>由</w:t>
            </w:r>
            <w:r>
              <w:rPr>
                <w:rFonts w:hint="eastAsia" w:ascii="宋体" w:hAnsi="宋体"/>
                <w:color w:val="auto"/>
                <w:szCs w:val="21"/>
              </w:rPr>
              <w:t>委托代理人签署的投标文件中没有法定代表人授权书</w:t>
            </w:r>
            <w:r>
              <w:rPr>
                <w:rFonts w:hint="eastAsia" w:ascii="宋体" w:hAnsi="宋体"/>
                <w:color w:val="auto"/>
              </w:rPr>
              <w:t>原件</w:t>
            </w:r>
            <w:r>
              <w:rPr>
                <w:rFonts w:hint="eastAsia" w:ascii="宋体" w:hAnsi="宋体"/>
                <w:color w:val="auto"/>
                <w:szCs w:val="21"/>
              </w:rPr>
              <w:t>；</w:t>
            </w:r>
          </w:p>
        </w:tc>
        <w:tc>
          <w:tcPr>
            <w:tcW w:w="711"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2"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2"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3"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2"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4"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36"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r>
              <w:rPr>
                <w:rFonts w:hint="eastAsia" w:ascii="宋体" w:hAnsi="宋体"/>
                <w:color w:val="auto"/>
                <w:szCs w:val="21"/>
              </w:rPr>
              <w:t>2</w:t>
            </w:r>
          </w:p>
        </w:tc>
        <w:tc>
          <w:tcPr>
            <w:tcW w:w="4489" w:type="dxa"/>
            <w:vAlign w:val="center"/>
          </w:tcPr>
          <w:p>
            <w:pPr>
              <w:keepNext w:val="0"/>
              <w:keepLines w:val="0"/>
              <w:suppressLineNumbers w:val="0"/>
              <w:tabs>
                <w:tab w:val="left" w:pos="720"/>
              </w:tabs>
              <w:snapToGrid w:val="0"/>
              <w:spacing w:before="0" w:beforeAutospacing="0" w:after="0" w:afterAutospacing="0"/>
              <w:ind w:left="0" w:right="0"/>
              <w:rPr>
                <w:rFonts w:hint="default" w:ascii="宋体" w:hAnsi="宋体"/>
                <w:color w:val="auto"/>
              </w:rPr>
            </w:pPr>
            <w:r>
              <w:rPr>
                <w:rFonts w:hint="eastAsia" w:ascii="宋体" w:hAnsi="宋体"/>
                <w:color w:val="auto"/>
                <w:szCs w:val="21"/>
              </w:rPr>
              <w:t>投标文件未按招标文件的相关规定加盖投标人企业公章，或没有投标人企业法定代表人或其授权委托人签名或盖章的</w:t>
            </w:r>
            <w:r>
              <w:rPr>
                <w:rFonts w:hint="eastAsia" w:ascii="宋体" w:hAnsi="宋体"/>
                <w:color w:val="auto"/>
              </w:rPr>
              <w:t>；</w:t>
            </w:r>
          </w:p>
        </w:tc>
        <w:tc>
          <w:tcPr>
            <w:tcW w:w="711"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2"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2"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3"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2"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4"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6"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r>
              <w:rPr>
                <w:rFonts w:hint="eastAsia" w:ascii="宋体" w:hAnsi="宋体"/>
                <w:color w:val="auto"/>
                <w:szCs w:val="21"/>
              </w:rPr>
              <w:t>3</w:t>
            </w:r>
          </w:p>
        </w:tc>
        <w:tc>
          <w:tcPr>
            <w:tcW w:w="4489" w:type="dxa"/>
            <w:vAlign w:val="center"/>
          </w:tcPr>
          <w:p>
            <w:pPr>
              <w:keepNext w:val="0"/>
              <w:keepLines w:val="0"/>
              <w:suppressLineNumbers w:val="0"/>
              <w:tabs>
                <w:tab w:val="left" w:pos="720"/>
              </w:tabs>
              <w:snapToGrid w:val="0"/>
              <w:spacing w:before="0" w:beforeAutospacing="0" w:after="0" w:afterAutospacing="0"/>
              <w:ind w:left="0" w:right="0"/>
              <w:rPr>
                <w:rFonts w:hint="default" w:ascii="宋体" w:hAnsi="宋体"/>
                <w:color w:val="auto"/>
              </w:rPr>
            </w:pPr>
            <w:r>
              <w:rPr>
                <w:rFonts w:hint="eastAsia" w:ascii="宋体" w:hAnsi="宋体"/>
                <w:color w:val="auto"/>
              </w:rPr>
              <w:t>投标文件未按规定的格式填写，内容不全或关键字迹模糊、无法辩认的；</w:t>
            </w:r>
          </w:p>
        </w:tc>
        <w:tc>
          <w:tcPr>
            <w:tcW w:w="711"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2"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2"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3"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2"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4"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6"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r>
              <w:rPr>
                <w:rFonts w:hint="eastAsia" w:ascii="宋体" w:hAnsi="宋体"/>
                <w:color w:val="auto"/>
                <w:szCs w:val="21"/>
              </w:rPr>
              <w:t>4</w:t>
            </w:r>
          </w:p>
        </w:tc>
        <w:tc>
          <w:tcPr>
            <w:tcW w:w="4489" w:type="dxa"/>
            <w:vAlign w:val="center"/>
          </w:tcPr>
          <w:p>
            <w:pPr>
              <w:keepNext w:val="0"/>
              <w:keepLines w:val="0"/>
              <w:suppressLineNumbers w:val="0"/>
              <w:tabs>
                <w:tab w:val="left" w:pos="720"/>
              </w:tabs>
              <w:snapToGrid w:val="0"/>
              <w:spacing w:before="0" w:beforeAutospacing="0" w:after="0" w:afterAutospacing="0"/>
              <w:ind w:left="0" w:right="0"/>
              <w:rPr>
                <w:rFonts w:hint="default" w:ascii="宋体" w:hAnsi="宋体"/>
                <w:color w:val="auto"/>
              </w:rPr>
            </w:pPr>
            <w:r>
              <w:rPr>
                <w:rFonts w:hint="eastAsia" w:ascii="宋体" w:hAnsi="宋体" w:cs="仿宋_GB2312"/>
                <w:color w:val="auto"/>
                <w:kern w:val="0"/>
                <w:szCs w:val="21"/>
              </w:rPr>
              <w:t>投标文件不符合招标文件规定的报价、工期、质量、技术规格、技术标准等实质要求；</w:t>
            </w:r>
          </w:p>
        </w:tc>
        <w:tc>
          <w:tcPr>
            <w:tcW w:w="711"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2"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2"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3"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2"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4"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636"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r>
              <w:rPr>
                <w:rFonts w:hint="eastAsia" w:ascii="宋体" w:hAnsi="宋体"/>
                <w:color w:val="auto"/>
                <w:szCs w:val="21"/>
              </w:rPr>
              <w:t>5</w:t>
            </w:r>
          </w:p>
        </w:tc>
        <w:tc>
          <w:tcPr>
            <w:tcW w:w="4489" w:type="dxa"/>
            <w:vAlign w:val="center"/>
          </w:tcPr>
          <w:p>
            <w:pPr>
              <w:keepNext w:val="0"/>
              <w:keepLines w:val="0"/>
              <w:suppressLineNumbers w:val="0"/>
              <w:tabs>
                <w:tab w:val="left" w:pos="720"/>
              </w:tabs>
              <w:snapToGrid w:val="0"/>
              <w:spacing w:before="0" w:beforeAutospacing="0" w:after="0" w:afterAutospacing="0"/>
              <w:ind w:left="0" w:right="0"/>
              <w:rPr>
                <w:rFonts w:hint="default" w:ascii="宋体" w:hAnsi="宋体"/>
                <w:color w:val="auto"/>
                <w:szCs w:val="21"/>
              </w:rPr>
            </w:pPr>
            <w:r>
              <w:rPr>
                <w:rFonts w:hint="eastAsia" w:ascii="宋体" w:hAnsi="宋体"/>
                <w:color w:val="auto"/>
                <w:szCs w:val="21"/>
              </w:rPr>
              <w:t>投标人递交两份或多份内容不同的投标文件，或在一份投标文件中对同一招标项目报有两个或多个报价，且未声明哪一个有效；</w:t>
            </w:r>
          </w:p>
        </w:tc>
        <w:tc>
          <w:tcPr>
            <w:tcW w:w="711"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2"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2"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3"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2"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4"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36"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r>
              <w:rPr>
                <w:rFonts w:hint="eastAsia" w:ascii="宋体" w:hAnsi="宋体"/>
                <w:color w:val="auto"/>
                <w:szCs w:val="21"/>
              </w:rPr>
              <w:t>6</w:t>
            </w:r>
          </w:p>
        </w:tc>
        <w:tc>
          <w:tcPr>
            <w:tcW w:w="4489" w:type="dxa"/>
            <w:vAlign w:val="center"/>
          </w:tcPr>
          <w:p>
            <w:pPr>
              <w:keepNext w:val="0"/>
              <w:keepLines w:val="0"/>
              <w:suppressLineNumbers w:val="0"/>
              <w:tabs>
                <w:tab w:val="left" w:pos="720"/>
              </w:tabs>
              <w:snapToGrid w:val="0"/>
              <w:spacing w:before="0" w:beforeAutospacing="0" w:after="0" w:afterAutospacing="0"/>
              <w:ind w:left="0" w:right="0"/>
              <w:rPr>
                <w:rFonts w:hint="default" w:ascii="宋体" w:hAnsi="宋体"/>
                <w:color w:val="auto"/>
              </w:rPr>
            </w:pPr>
            <w:r>
              <w:rPr>
                <w:rFonts w:hint="eastAsia" w:ascii="宋体" w:hAnsi="宋体"/>
                <w:color w:val="auto"/>
              </w:rPr>
              <w:t>投标报价未按招标文件的规定进行报价的；</w:t>
            </w:r>
          </w:p>
        </w:tc>
        <w:tc>
          <w:tcPr>
            <w:tcW w:w="711"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2"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2"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3"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2"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4"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36"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r>
              <w:rPr>
                <w:rFonts w:hint="eastAsia" w:ascii="宋体" w:hAnsi="宋体"/>
                <w:color w:val="auto"/>
                <w:szCs w:val="21"/>
              </w:rPr>
              <w:t>7</w:t>
            </w:r>
          </w:p>
        </w:tc>
        <w:tc>
          <w:tcPr>
            <w:tcW w:w="4489" w:type="dxa"/>
            <w:vAlign w:val="center"/>
          </w:tcPr>
          <w:p>
            <w:pPr>
              <w:keepNext w:val="0"/>
              <w:keepLines w:val="0"/>
              <w:suppressLineNumbers w:val="0"/>
              <w:tabs>
                <w:tab w:val="left" w:pos="720"/>
              </w:tabs>
              <w:snapToGrid w:val="0"/>
              <w:spacing w:before="0" w:beforeAutospacing="0" w:after="0" w:afterAutospacing="0"/>
              <w:ind w:left="0" w:right="0"/>
              <w:rPr>
                <w:rFonts w:hint="default" w:ascii="宋体" w:hAnsi="宋体"/>
                <w:color w:val="auto"/>
              </w:rPr>
            </w:pPr>
            <w:r>
              <w:rPr>
                <w:rFonts w:hint="eastAsia" w:ascii="宋体" w:hAnsi="宋体"/>
                <w:color w:val="auto"/>
                <w:szCs w:val="21"/>
              </w:rPr>
              <w:t>凡属省外建设工程企业未按相关规定办理企业和人员进粤信息登记手续的；</w:t>
            </w:r>
          </w:p>
        </w:tc>
        <w:tc>
          <w:tcPr>
            <w:tcW w:w="711"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2"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2"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3"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2"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4"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36"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r>
              <w:rPr>
                <w:rFonts w:hint="eastAsia" w:ascii="宋体" w:hAnsi="宋体"/>
                <w:color w:val="auto"/>
                <w:szCs w:val="21"/>
              </w:rPr>
              <w:t>8</w:t>
            </w:r>
          </w:p>
        </w:tc>
        <w:tc>
          <w:tcPr>
            <w:tcW w:w="4489" w:type="dxa"/>
            <w:vAlign w:val="center"/>
          </w:tcPr>
          <w:p>
            <w:pPr>
              <w:keepNext w:val="0"/>
              <w:keepLines w:val="0"/>
              <w:suppressLineNumbers w:val="0"/>
              <w:tabs>
                <w:tab w:val="left" w:pos="720"/>
              </w:tabs>
              <w:snapToGrid w:val="0"/>
              <w:spacing w:before="0" w:beforeAutospacing="0" w:after="0" w:afterAutospacing="0"/>
              <w:ind w:left="0" w:right="0"/>
              <w:rPr>
                <w:rFonts w:hint="default" w:ascii="宋体" w:hAnsi="宋体"/>
                <w:color w:val="auto"/>
                <w:szCs w:val="21"/>
              </w:rPr>
            </w:pPr>
            <w:r>
              <w:rPr>
                <w:rFonts w:hint="eastAsia" w:ascii="宋体" w:hAnsi="宋体"/>
                <w:color w:val="auto"/>
                <w:szCs w:val="21"/>
              </w:rPr>
              <w:t>投标文件内容存在重大偏差，实质上不能响应招标文件要求的；</w:t>
            </w:r>
          </w:p>
        </w:tc>
        <w:tc>
          <w:tcPr>
            <w:tcW w:w="711"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2"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2"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3"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2"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4"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36"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r>
              <w:rPr>
                <w:rFonts w:hint="eastAsia" w:ascii="宋体" w:hAnsi="宋体"/>
                <w:color w:val="auto"/>
                <w:szCs w:val="21"/>
              </w:rPr>
              <w:t>9</w:t>
            </w:r>
          </w:p>
        </w:tc>
        <w:tc>
          <w:tcPr>
            <w:tcW w:w="4489" w:type="dxa"/>
            <w:vAlign w:val="center"/>
          </w:tcPr>
          <w:p>
            <w:pPr>
              <w:keepNext w:val="0"/>
              <w:keepLines w:val="0"/>
              <w:suppressLineNumbers w:val="0"/>
              <w:tabs>
                <w:tab w:val="left" w:pos="720"/>
              </w:tabs>
              <w:snapToGrid w:val="0"/>
              <w:spacing w:before="0" w:beforeAutospacing="0" w:after="0" w:afterAutospacing="0"/>
              <w:ind w:left="0" w:right="0"/>
              <w:rPr>
                <w:rFonts w:hint="default" w:ascii="宋体" w:hAnsi="宋体"/>
                <w:color w:val="auto"/>
                <w:szCs w:val="21"/>
              </w:rPr>
            </w:pPr>
            <w:r>
              <w:rPr>
                <w:rFonts w:hint="eastAsia" w:ascii="宋体" w:hAnsi="宋体"/>
                <w:color w:val="auto"/>
                <w:szCs w:val="21"/>
              </w:rPr>
              <w:t>投标人以他人的名义投标或有弄虚作假投标嫌疑，或出现上述围标或串标情形的</w:t>
            </w:r>
          </w:p>
        </w:tc>
        <w:tc>
          <w:tcPr>
            <w:tcW w:w="711"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2"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2"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3"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2"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4"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36"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r>
              <w:rPr>
                <w:rFonts w:hint="eastAsia" w:ascii="宋体" w:hAnsi="宋体"/>
                <w:color w:val="auto"/>
                <w:szCs w:val="21"/>
              </w:rPr>
              <w:t>10</w:t>
            </w:r>
          </w:p>
        </w:tc>
        <w:tc>
          <w:tcPr>
            <w:tcW w:w="4489" w:type="dxa"/>
            <w:vAlign w:val="center"/>
          </w:tcPr>
          <w:p>
            <w:pPr>
              <w:keepNext w:val="0"/>
              <w:keepLines w:val="0"/>
              <w:suppressLineNumbers w:val="0"/>
              <w:tabs>
                <w:tab w:val="left" w:pos="720"/>
              </w:tabs>
              <w:snapToGrid w:val="0"/>
              <w:spacing w:before="0" w:beforeAutospacing="0" w:after="0" w:afterAutospacing="0"/>
              <w:ind w:left="0" w:right="0"/>
              <w:rPr>
                <w:rFonts w:hint="default" w:ascii="宋体" w:hAnsi="宋体"/>
                <w:color w:val="auto"/>
                <w:szCs w:val="21"/>
              </w:rPr>
            </w:pPr>
            <w:r>
              <w:rPr>
                <w:rFonts w:hint="eastAsia" w:ascii="宋体" w:hAnsi="宋体"/>
                <w:color w:val="auto"/>
                <w:szCs w:val="21"/>
              </w:rPr>
              <w:t>投标文件中拟投入本项目的项目总监理工程师（注册监理工程师）信息与网上核查不相符的；</w:t>
            </w:r>
          </w:p>
        </w:tc>
        <w:tc>
          <w:tcPr>
            <w:tcW w:w="711"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2"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2"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3"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2"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4"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36"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r>
              <w:rPr>
                <w:rFonts w:hint="eastAsia" w:ascii="宋体" w:hAnsi="宋体"/>
                <w:color w:val="auto"/>
                <w:szCs w:val="21"/>
              </w:rPr>
              <w:t>11</w:t>
            </w:r>
          </w:p>
        </w:tc>
        <w:tc>
          <w:tcPr>
            <w:tcW w:w="4489" w:type="dxa"/>
            <w:vAlign w:val="center"/>
          </w:tcPr>
          <w:p>
            <w:pPr>
              <w:keepNext w:val="0"/>
              <w:keepLines w:val="0"/>
              <w:suppressLineNumbers w:val="0"/>
              <w:tabs>
                <w:tab w:val="left" w:pos="720"/>
              </w:tabs>
              <w:snapToGrid w:val="0"/>
              <w:spacing w:before="0" w:beforeAutospacing="0" w:after="0" w:afterAutospacing="0"/>
              <w:ind w:left="0" w:right="0"/>
              <w:rPr>
                <w:rFonts w:hint="default" w:ascii="宋体" w:hAnsi="宋体"/>
                <w:color w:val="auto"/>
                <w:szCs w:val="21"/>
              </w:rPr>
            </w:pPr>
            <w:r>
              <w:rPr>
                <w:rFonts w:hint="eastAsia" w:ascii="宋体" w:hAnsi="宋体"/>
                <w:color w:val="auto"/>
                <w:szCs w:val="21"/>
              </w:rPr>
              <w:t>有“投标文件否决性条款摘要”第二点中载明的相关情形。</w:t>
            </w:r>
          </w:p>
        </w:tc>
        <w:tc>
          <w:tcPr>
            <w:tcW w:w="711"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2"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2"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3"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2"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4"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36"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r>
              <w:rPr>
                <w:rFonts w:hint="eastAsia" w:ascii="宋体" w:hAnsi="宋体"/>
                <w:color w:val="auto"/>
                <w:szCs w:val="21"/>
              </w:rPr>
              <w:t>结论</w:t>
            </w:r>
          </w:p>
        </w:tc>
        <w:tc>
          <w:tcPr>
            <w:tcW w:w="4489" w:type="dxa"/>
            <w:vAlign w:val="center"/>
          </w:tcPr>
          <w:p>
            <w:pPr>
              <w:keepNext w:val="0"/>
              <w:keepLines w:val="0"/>
              <w:suppressLineNumbers w:val="0"/>
              <w:tabs>
                <w:tab w:val="left" w:pos="720"/>
              </w:tabs>
              <w:snapToGrid w:val="0"/>
              <w:spacing w:before="0" w:beforeAutospacing="0" w:after="0" w:afterAutospacing="0"/>
              <w:ind w:left="0" w:right="0"/>
              <w:rPr>
                <w:rFonts w:hint="default" w:ascii="宋体" w:hAnsi="宋体"/>
                <w:color w:val="auto"/>
                <w:szCs w:val="21"/>
              </w:rPr>
            </w:pPr>
            <w:r>
              <w:rPr>
                <w:rFonts w:hint="eastAsia" w:ascii="宋体" w:hAnsi="宋体"/>
                <w:color w:val="auto"/>
                <w:szCs w:val="21"/>
              </w:rPr>
              <w:t>是否通过并进入下一阶段评审</w:t>
            </w:r>
          </w:p>
        </w:tc>
        <w:tc>
          <w:tcPr>
            <w:tcW w:w="711"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2"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2"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3"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2"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c>
          <w:tcPr>
            <w:tcW w:w="714"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olor w:val="auto"/>
                <w:szCs w:val="21"/>
              </w:rPr>
            </w:pPr>
          </w:p>
        </w:tc>
      </w:tr>
    </w:tbl>
    <w:p>
      <w:pPr>
        <w:tabs>
          <w:tab w:val="left" w:pos="720"/>
        </w:tabs>
        <w:snapToGrid w:val="0"/>
        <w:spacing w:before="60" w:beforeLines="25" w:after="60" w:afterLines="25" w:line="460" w:lineRule="exact"/>
        <w:rPr>
          <w:rFonts w:ascii="宋体" w:hAnsi="宋体"/>
          <w:color w:val="auto"/>
          <w:sz w:val="24"/>
        </w:rPr>
      </w:pPr>
      <w:r>
        <w:rPr>
          <w:rFonts w:hint="eastAsia" w:ascii="宋体" w:hAnsi="宋体"/>
          <w:color w:val="auto"/>
          <w:sz w:val="24"/>
        </w:rPr>
        <w:t>项目名称：</w:t>
      </w:r>
    </w:p>
    <w:p>
      <w:pPr>
        <w:tabs>
          <w:tab w:val="left" w:pos="720"/>
        </w:tabs>
        <w:snapToGrid w:val="0"/>
        <w:spacing w:before="120" w:beforeLines="50"/>
        <w:rPr>
          <w:rFonts w:ascii="宋体" w:hAnsi="宋体"/>
          <w:color w:val="auto"/>
          <w:szCs w:val="21"/>
        </w:rPr>
      </w:pPr>
      <w:r>
        <w:rPr>
          <w:rFonts w:hint="eastAsia" w:ascii="宋体" w:hAnsi="宋体"/>
          <w:color w:val="auto"/>
          <w:szCs w:val="21"/>
        </w:rPr>
        <w:t>备注：1、“是否通过并进入下一阶段评审”一栏应写“通过”“不通过”。</w:t>
      </w:r>
    </w:p>
    <w:p>
      <w:pPr>
        <w:tabs>
          <w:tab w:val="left" w:pos="720"/>
        </w:tabs>
        <w:snapToGrid w:val="0"/>
        <w:spacing w:before="120" w:beforeLines="50"/>
        <w:ind w:firstLine="630" w:firstLineChars="300"/>
        <w:rPr>
          <w:rFonts w:ascii="宋体" w:hAnsi="宋体"/>
          <w:color w:val="auto"/>
          <w:szCs w:val="21"/>
        </w:rPr>
      </w:pPr>
      <w:r>
        <w:rPr>
          <w:rFonts w:hint="eastAsia" w:ascii="宋体" w:hAnsi="宋体"/>
          <w:color w:val="auto"/>
          <w:szCs w:val="21"/>
        </w:rPr>
        <w:t>2、未出现上述情况的打“</w:t>
      </w:r>
      <w:r>
        <w:rPr>
          <w:rFonts w:hint="eastAsia" w:ascii="宋体" w:hAnsi="宋体"/>
          <w:color w:val="auto"/>
          <w:szCs w:val="21"/>
        </w:rPr>
        <w:sym w:font="Wingdings 2" w:char="F050"/>
      </w:r>
      <w:r>
        <w:rPr>
          <w:rFonts w:hint="eastAsia" w:ascii="宋体" w:hAnsi="宋体"/>
          <w:color w:val="auto"/>
          <w:szCs w:val="21"/>
        </w:rPr>
        <w:t>”，出现的打“×”。</w:t>
      </w:r>
    </w:p>
    <w:p>
      <w:pPr>
        <w:tabs>
          <w:tab w:val="left" w:pos="720"/>
        </w:tabs>
        <w:snapToGrid w:val="0"/>
        <w:spacing w:before="120" w:beforeLines="50"/>
        <w:ind w:firstLine="630" w:firstLineChars="300"/>
        <w:rPr>
          <w:rFonts w:ascii="宋体" w:hAnsi="宋体"/>
          <w:color w:val="auto"/>
          <w:szCs w:val="21"/>
        </w:rPr>
      </w:pPr>
      <w:r>
        <w:rPr>
          <w:rFonts w:hint="eastAsia" w:ascii="宋体" w:hAnsi="宋体"/>
          <w:color w:val="auto"/>
          <w:szCs w:val="21"/>
        </w:rPr>
        <w:t>3、经评标委员会审核后，出现一个“×”的结论为“不通过”，即按无效处理。</w:t>
      </w:r>
    </w:p>
    <w:p>
      <w:pPr>
        <w:tabs>
          <w:tab w:val="left" w:pos="720"/>
        </w:tabs>
        <w:snapToGrid w:val="0"/>
        <w:spacing w:before="120" w:beforeLines="50"/>
        <w:rPr>
          <w:rFonts w:ascii="宋体" w:hAnsi="宋体"/>
          <w:color w:val="auto"/>
          <w:szCs w:val="21"/>
        </w:rPr>
      </w:pPr>
      <w:r>
        <w:rPr>
          <w:rFonts w:hint="eastAsia" w:ascii="宋体" w:hAnsi="宋体"/>
          <w:color w:val="auto"/>
          <w:szCs w:val="21"/>
        </w:rPr>
        <w:t xml:space="preserve">      4、表中全部条件满足为“通过”，同意进入下一阶段评审。</w:t>
      </w:r>
    </w:p>
    <w:p>
      <w:pPr>
        <w:tabs>
          <w:tab w:val="left" w:pos="720"/>
        </w:tabs>
        <w:snapToGrid w:val="0"/>
        <w:spacing w:before="120" w:beforeLines="50"/>
        <w:ind w:left="945" w:leftChars="300" w:hanging="315" w:hangingChars="150"/>
        <w:rPr>
          <w:rFonts w:ascii="宋体" w:hAnsi="宋体"/>
          <w:color w:val="auto"/>
          <w:szCs w:val="21"/>
        </w:rPr>
      </w:pPr>
      <w:r>
        <w:rPr>
          <w:rFonts w:hint="eastAsia" w:ascii="宋体" w:hAnsi="宋体"/>
          <w:color w:val="auto"/>
          <w:szCs w:val="21"/>
        </w:rPr>
        <w:t>5、若评委意见不一致时，则按少数服从多数的原则，决定该投标人是否通过符合性审查，进入下一阶段评审。</w:t>
      </w:r>
    </w:p>
    <w:p>
      <w:pPr>
        <w:tabs>
          <w:tab w:val="left" w:pos="720"/>
        </w:tabs>
        <w:snapToGrid w:val="0"/>
        <w:rPr>
          <w:rFonts w:ascii="宋体" w:hAnsi="宋体"/>
          <w:color w:val="auto"/>
          <w:szCs w:val="21"/>
        </w:rPr>
      </w:pPr>
      <w:r>
        <w:rPr>
          <w:rFonts w:hint="eastAsia" w:ascii="宋体" w:hAnsi="宋体"/>
          <w:color w:val="auto"/>
          <w:szCs w:val="21"/>
        </w:rPr>
        <w:t>评委签名：                                             日期：</w:t>
      </w:r>
    </w:p>
    <w:p>
      <w:pPr>
        <w:spacing w:line="360" w:lineRule="auto"/>
        <w:rPr>
          <w:rFonts w:ascii="黑体" w:eastAsia="黑体"/>
          <w:color w:val="auto"/>
        </w:rPr>
      </w:pPr>
    </w:p>
    <w:p>
      <w:pPr>
        <w:spacing w:line="360" w:lineRule="auto"/>
        <w:rPr>
          <w:rFonts w:ascii="黑体" w:eastAsia="黑体"/>
          <w:color w:val="auto"/>
        </w:rPr>
      </w:pPr>
    </w:p>
    <w:p>
      <w:pPr>
        <w:spacing w:line="360" w:lineRule="auto"/>
        <w:rPr>
          <w:rFonts w:ascii="黑体" w:eastAsia="黑体"/>
          <w:color w:val="auto"/>
        </w:rPr>
      </w:pPr>
    </w:p>
    <w:p>
      <w:pPr>
        <w:rPr>
          <w:rFonts w:ascii="宋体" w:hAnsi="宋体"/>
          <w:color w:val="auto"/>
          <w:sz w:val="24"/>
        </w:rPr>
      </w:pPr>
      <w:r>
        <w:rPr>
          <w:rFonts w:hint="eastAsia" w:ascii="宋体" w:hAnsi="宋体"/>
          <w:color w:val="auto"/>
          <w:sz w:val="24"/>
        </w:rPr>
        <w:br w:type="page"/>
      </w:r>
    </w:p>
    <w:p>
      <w:pPr>
        <w:tabs>
          <w:tab w:val="left" w:pos="720"/>
        </w:tabs>
        <w:snapToGrid w:val="0"/>
        <w:spacing w:line="460" w:lineRule="exact"/>
        <w:jc w:val="center"/>
        <w:outlineLvl w:val="2"/>
        <w:rPr>
          <w:rFonts w:ascii="宋体" w:hAnsi="宋体"/>
          <w:b/>
          <w:color w:val="auto"/>
          <w:spacing w:val="20"/>
          <w:sz w:val="28"/>
          <w:szCs w:val="28"/>
        </w:rPr>
      </w:pPr>
      <w:r>
        <w:rPr>
          <w:rFonts w:hint="eastAsia" w:ascii="宋体" w:hAnsi="宋体"/>
          <w:b/>
          <w:color w:val="auto"/>
          <w:spacing w:val="20"/>
          <w:sz w:val="28"/>
          <w:szCs w:val="28"/>
        </w:rPr>
        <w:t>资格审查内容表</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437"/>
        <w:gridCol w:w="7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65" w:type="pct"/>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color w:val="auto"/>
                <w:sz w:val="24"/>
              </w:rPr>
            </w:pPr>
            <w:r>
              <w:rPr>
                <w:rFonts w:hint="eastAsia" w:ascii="宋体" w:hAnsi="宋体" w:cs="宋体"/>
                <w:b/>
                <w:color w:val="auto"/>
                <w:sz w:val="24"/>
              </w:rPr>
              <w:t>序号</w:t>
            </w:r>
          </w:p>
        </w:tc>
        <w:tc>
          <w:tcPr>
            <w:tcW w:w="723" w:type="pct"/>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color w:val="auto"/>
                <w:sz w:val="24"/>
              </w:rPr>
            </w:pPr>
            <w:r>
              <w:rPr>
                <w:rFonts w:hint="eastAsia" w:ascii="宋体" w:hAnsi="宋体" w:cs="宋体"/>
                <w:b/>
                <w:color w:val="auto"/>
                <w:sz w:val="24"/>
              </w:rPr>
              <w:t>资格审查项目</w:t>
            </w:r>
          </w:p>
        </w:tc>
        <w:tc>
          <w:tcPr>
            <w:tcW w:w="3911" w:type="pct"/>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color w:val="auto"/>
                <w:sz w:val="24"/>
              </w:rPr>
            </w:pPr>
            <w:r>
              <w:rPr>
                <w:rFonts w:hint="eastAsia" w:ascii="宋体" w:hAnsi="宋体" w:cs="宋体"/>
                <w:b/>
                <w:color w:val="auto"/>
                <w:sz w:val="24"/>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365" w:type="pct"/>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color w:val="auto"/>
                <w:szCs w:val="21"/>
              </w:rPr>
              <w:t>1</w:t>
            </w:r>
          </w:p>
        </w:tc>
        <w:tc>
          <w:tcPr>
            <w:tcW w:w="723" w:type="pct"/>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rPr>
            </w:pPr>
            <w:r>
              <w:rPr>
                <w:rFonts w:hint="eastAsia" w:ascii="宋体" w:hAnsi="宋体" w:cs="宋体"/>
                <w:color w:val="auto"/>
                <w:szCs w:val="21"/>
              </w:rPr>
              <w:t>营业执照</w:t>
            </w:r>
          </w:p>
        </w:tc>
        <w:tc>
          <w:tcPr>
            <w:tcW w:w="3911" w:type="pct"/>
            <w:vAlign w:val="center"/>
          </w:tcPr>
          <w:p>
            <w:pPr>
              <w:keepNext w:val="0"/>
              <w:keepLines w:val="0"/>
              <w:suppressLineNumbers w:val="0"/>
              <w:spacing w:before="0" w:beforeAutospacing="0" w:after="0" w:afterAutospacing="0" w:line="360" w:lineRule="auto"/>
              <w:ind w:left="0" w:right="0"/>
              <w:rPr>
                <w:rFonts w:hint="default" w:ascii="宋体" w:hAnsi="宋体" w:cs="宋体"/>
                <w:color w:val="auto"/>
                <w:szCs w:val="21"/>
              </w:rPr>
            </w:pPr>
            <w:r>
              <w:rPr>
                <w:rFonts w:hint="eastAsia" w:ascii="宋体" w:hAnsi="宋体" w:cs="宋体"/>
                <w:color w:val="auto"/>
                <w:szCs w:val="21"/>
              </w:rPr>
              <w:t>持有工商管理部门颁发的有效营业执照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365" w:type="pct"/>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rPr>
            </w:pPr>
            <w:r>
              <w:rPr>
                <w:rFonts w:hint="eastAsia" w:ascii="宋体" w:hAnsi="宋体" w:cs="宋体"/>
                <w:color w:val="auto"/>
                <w:szCs w:val="21"/>
              </w:rPr>
              <w:t>2</w:t>
            </w:r>
          </w:p>
        </w:tc>
        <w:tc>
          <w:tcPr>
            <w:tcW w:w="723" w:type="pct"/>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rPr>
            </w:pPr>
            <w:r>
              <w:rPr>
                <w:rFonts w:hint="eastAsia" w:ascii="宋体" w:hAnsi="宋体" w:cs="宋体"/>
                <w:color w:val="auto"/>
                <w:szCs w:val="21"/>
              </w:rPr>
              <w:t>企业资质</w:t>
            </w:r>
          </w:p>
        </w:tc>
        <w:tc>
          <w:tcPr>
            <w:tcW w:w="3911" w:type="pct"/>
            <w:vAlign w:val="center"/>
          </w:tcPr>
          <w:p>
            <w:pPr>
              <w:keepNext w:val="0"/>
              <w:keepLines w:val="0"/>
              <w:suppressLineNumbers w:val="0"/>
              <w:spacing w:before="0" w:beforeAutospacing="0" w:after="0" w:afterAutospacing="0" w:line="360" w:lineRule="auto"/>
              <w:ind w:left="0" w:right="0"/>
              <w:rPr>
                <w:rFonts w:hint="default" w:ascii="宋体" w:hAnsi="宋体" w:cs="宋体"/>
                <w:color w:val="auto"/>
                <w:szCs w:val="21"/>
              </w:rPr>
            </w:pPr>
            <w:r>
              <w:rPr>
                <w:rFonts w:hint="eastAsia" w:ascii="宋体" w:hAnsi="宋体" w:cs="宋体"/>
                <w:color w:val="auto"/>
                <w:szCs w:val="21"/>
              </w:rPr>
              <w:t>投标申请人必须具备以下资质：</w:t>
            </w:r>
          </w:p>
          <w:p>
            <w:pPr>
              <w:keepNext w:val="0"/>
              <w:keepLines w:val="0"/>
              <w:suppressLineNumbers w:val="0"/>
              <w:spacing w:before="0" w:beforeAutospacing="0" w:after="0" w:afterAutospacing="0" w:line="360" w:lineRule="auto"/>
              <w:ind w:left="0" w:right="0"/>
              <w:rPr>
                <w:rFonts w:hint="default" w:ascii="宋体" w:hAnsi="宋体" w:cs="宋体"/>
                <w:color w:val="auto"/>
                <w:kern w:val="0"/>
                <w:szCs w:val="21"/>
              </w:rPr>
            </w:pPr>
            <w:r>
              <w:rPr>
                <w:rFonts w:hint="eastAsia" w:ascii="宋体" w:hAnsi="宋体" w:cs="宋体"/>
                <w:color w:val="auto"/>
                <w:kern w:val="0"/>
                <w:szCs w:val="21"/>
              </w:rPr>
              <w:t>具备建设行政主管部门核发的</w:t>
            </w:r>
            <w:r>
              <w:rPr>
                <w:rFonts w:hint="eastAsia" w:ascii="宋体" w:hAnsi="宋体" w:cs="宋体"/>
                <w:color w:val="auto"/>
                <w:kern w:val="0"/>
                <w:szCs w:val="21"/>
                <w:u w:val="single"/>
              </w:rPr>
              <w:t xml:space="preserve"> </w:t>
            </w:r>
            <w:r>
              <w:rPr>
                <w:rFonts w:hint="eastAsia" w:ascii="宋体" w:hAnsi="宋体" w:cs="宋体"/>
                <w:b/>
                <w:bCs/>
                <w:color w:val="auto"/>
                <w:kern w:val="0"/>
                <w:szCs w:val="21"/>
                <w:u w:val="single"/>
              </w:rPr>
              <w:t>工程监理综合资质或建设主管部门颁发的房屋建筑工程监</w:t>
            </w:r>
            <w:r>
              <w:rPr>
                <w:rFonts w:hint="eastAsia" w:ascii="宋体" w:hAnsi="宋体" w:cs="宋体"/>
                <w:b/>
                <w:bCs/>
                <w:color w:val="auto"/>
                <w:kern w:val="0"/>
                <w:szCs w:val="21"/>
                <w:highlight w:val="none"/>
                <w:u w:val="single"/>
              </w:rPr>
              <w:t xml:space="preserve">理甲级 </w:t>
            </w:r>
            <w:r>
              <w:rPr>
                <w:rFonts w:hint="eastAsia" w:ascii="宋体" w:hAnsi="宋体" w:cs="宋体"/>
                <w:color w:val="auto"/>
                <w:kern w:val="0"/>
                <w:szCs w:val="21"/>
              </w:rPr>
              <w:t>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365" w:type="pct"/>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rPr>
            </w:pPr>
            <w:r>
              <w:rPr>
                <w:rFonts w:hint="eastAsia" w:ascii="宋体" w:hAnsi="宋体" w:cs="宋体"/>
                <w:color w:val="auto"/>
                <w:szCs w:val="21"/>
              </w:rPr>
              <w:t>3</w:t>
            </w:r>
          </w:p>
        </w:tc>
        <w:tc>
          <w:tcPr>
            <w:tcW w:w="723" w:type="pct"/>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rPr>
            </w:pPr>
            <w:r>
              <w:rPr>
                <w:rFonts w:hint="eastAsia" w:ascii="宋体" w:hAnsi="宋体" w:cs="宋体"/>
                <w:color w:val="auto"/>
                <w:szCs w:val="21"/>
              </w:rPr>
              <w:t>项目总监理工程师</w:t>
            </w:r>
          </w:p>
        </w:tc>
        <w:tc>
          <w:tcPr>
            <w:tcW w:w="3911" w:type="pct"/>
            <w:vAlign w:val="center"/>
          </w:tcPr>
          <w:p>
            <w:pPr>
              <w:keepNext w:val="0"/>
              <w:keepLines w:val="0"/>
              <w:suppressLineNumbers w:val="0"/>
              <w:spacing w:before="0" w:beforeAutospacing="0" w:after="0" w:afterAutospacing="0" w:line="360" w:lineRule="auto"/>
              <w:ind w:left="0" w:right="0"/>
              <w:rPr>
                <w:rFonts w:hint="default" w:ascii="宋体" w:hAnsi="宋体" w:cs="宋体"/>
                <w:color w:val="auto"/>
                <w:szCs w:val="21"/>
              </w:rPr>
            </w:pPr>
            <w:r>
              <w:rPr>
                <w:rFonts w:hint="eastAsia" w:ascii="宋体" w:hAnsi="宋体" w:cs="宋体"/>
                <w:color w:val="auto"/>
                <w:szCs w:val="21"/>
              </w:rPr>
              <w:t>具有</w:t>
            </w:r>
            <w:r>
              <w:rPr>
                <w:rFonts w:hint="eastAsia" w:ascii="宋体" w:hAnsi="宋体" w:cs="宋体"/>
                <w:b/>
                <w:bCs/>
                <w:color w:val="auto"/>
                <w:szCs w:val="21"/>
                <w:u w:val="single"/>
              </w:rPr>
              <w:t>住建部颁发的中华人民共和国注册监理工程师执业证书</w:t>
            </w:r>
            <w:r>
              <w:rPr>
                <w:rFonts w:hint="eastAsia" w:ascii="宋体" w:hAnsi="宋体" w:cs="宋体"/>
                <w:color w:val="auto"/>
                <w:szCs w:val="21"/>
              </w:rPr>
              <w:t xml:space="preserve">，且其注册证书专业为 </w:t>
            </w:r>
            <w:r>
              <w:rPr>
                <w:rFonts w:hint="eastAsia" w:ascii="宋体" w:hAnsi="宋体" w:cs="宋体"/>
                <w:b/>
                <w:bCs/>
                <w:color w:val="auto"/>
                <w:szCs w:val="21"/>
                <w:u w:val="single"/>
              </w:rPr>
              <w:t xml:space="preserve">房屋建筑工程 </w:t>
            </w:r>
            <w:r>
              <w:rPr>
                <w:rFonts w:hint="eastAsia" w:ascii="宋体" w:hAnsi="宋体" w:cs="宋体"/>
                <w:color w:val="auto"/>
                <w:szCs w:val="21"/>
              </w:rPr>
              <w:t>,注册执业单位为本公司，须在投标单位缴纳养老保险（需提供在投标单位缴纳养老保险的证明）。</w:t>
            </w:r>
          </w:p>
          <w:p>
            <w:pPr>
              <w:keepNext w:val="0"/>
              <w:keepLines w:val="0"/>
              <w:suppressLineNumbers w:val="0"/>
              <w:spacing w:before="0" w:beforeAutospacing="0" w:after="0" w:afterAutospacing="0" w:line="360" w:lineRule="auto"/>
              <w:ind w:left="0" w:right="0"/>
              <w:rPr>
                <w:rFonts w:hint="default" w:ascii="宋体" w:hAnsi="宋体" w:cs="宋体"/>
                <w:color w:val="auto"/>
                <w:szCs w:val="21"/>
              </w:rPr>
            </w:pPr>
            <w:r>
              <w:rPr>
                <w:rFonts w:hint="eastAsia" w:ascii="宋体" w:hAnsi="宋体" w:cs="宋体"/>
                <w:color w:val="auto"/>
                <w:szCs w:val="21"/>
              </w:rPr>
              <w:t>【注：①需提供在投标单位（或其分支机构）自（从本项目招标公告发出之月起计）前3个月缴纳养老保险的证明材料，已达到退休年龄的，则可提供养老保险待遇领取情况资料（或退休证），及其返聘证明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65" w:type="pct"/>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rPr>
            </w:pPr>
            <w:r>
              <w:rPr>
                <w:rFonts w:hint="eastAsia" w:ascii="宋体" w:hAnsi="宋体" w:cs="宋体"/>
                <w:color w:val="auto"/>
                <w:szCs w:val="21"/>
              </w:rPr>
              <w:t>4</w:t>
            </w:r>
          </w:p>
        </w:tc>
        <w:tc>
          <w:tcPr>
            <w:tcW w:w="723" w:type="pct"/>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rPr>
            </w:pPr>
            <w:r>
              <w:rPr>
                <w:rFonts w:hint="eastAsia" w:ascii="宋体" w:hAnsi="宋体" w:cs="宋体"/>
                <w:color w:val="auto"/>
                <w:szCs w:val="21"/>
              </w:rPr>
              <w:t>业绩</w:t>
            </w:r>
          </w:p>
        </w:tc>
        <w:tc>
          <w:tcPr>
            <w:tcW w:w="3911" w:type="pct"/>
            <w:vAlign w:val="center"/>
          </w:tcPr>
          <w:p>
            <w:pPr>
              <w:keepNext w:val="0"/>
              <w:keepLines w:val="0"/>
              <w:suppressLineNumbers w:val="0"/>
              <w:spacing w:before="0" w:beforeAutospacing="0" w:after="0" w:afterAutospacing="0" w:line="360" w:lineRule="auto"/>
              <w:ind w:left="0" w:right="0"/>
              <w:rPr>
                <w:rFonts w:hint="default" w:ascii="宋体" w:hAnsi="宋体" w:cs="宋体"/>
                <w:color w:val="auto"/>
                <w:szCs w:val="21"/>
              </w:rPr>
            </w:pPr>
            <w:r>
              <w:rPr>
                <w:rFonts w:hint="eastAsia" w:ascii="宋体" w:hAnsi="宋体" w:cs="宋体"/>
                <w:color w:val="auto"/>
                <w:szCs w:val="21"/>
              </w:rPr>
              <w:t>投标申请人近五年内（ 2018 年1月至今）曾完成过质量合格的房屋建筑工程监理业绩。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5" w:type="pct"/>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rPr>
            </w:pPr>
            <w:r>
              <w:rPr>
                <w:rFonts w:hint="eastAsia" w:ascii="宋体" w:hAnsi="宋体" w:cs="宋体"/>
                <w:color w:val="auto"/>
                <w:szCs w:val="21"/>
              </w:rPr>
              <w:t>5</w:t>
            </w:r>
          </w:p>
        </w:tc>
        <w:tc>
          <w:tcPr>
            <w:tcW w:w="723" w:type="pct"/>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rPr>
            </w:pPr>
            <w:r>
              <w:rPr>
                <w:rFonts w:hint="eastAsia" w:ascii="宋体" w:hAnsi="宋体" w:cs="宋体"/>
                <w:color w:val="auto"/>
                <w:szCs w:val="21"/>
              </w:rPr>
              <w:t>省外建设工程企业和人员已完成进粤信息登记</w:t>
            </w:r>
          </w:p>
        </w:tc>
        <w:tc>
          <w:tcPr>
            <w:tcW w:w="3911" w:type="pct"/>
            <w:vAlign w:val="center"/>
          </w:tcPr>
          <w:p>
            <w:pPr>
              <w:keepNext w:val="0"/>
              <w:keepLines w:val="0"/>
              <w:suppressLineNumbers w:val="0"/>
              <w:spacing w:before="0" w:beforeAutospacing="0" w:after="0" w:afterAutospacing="0" w:line="360" w:lineRule="auto"/>
              <w:ind w:left="0" w:right="0"/>
              <w:rPr>
                <w:rFonts w:hint="default" w:ascii="宋体" w:hAnsi="宋体" w:cs="宋体"/>
                <w:color w:val="auto"/>
                <w:szCs w:val="21"/>
              </w:rPr>
            </w:pPr>
            <w:r>
              <w:rPr>
                <w:rFonts w:hint="eastAsia" w:ascii="宋体" w:hAnsi="宋体" w:cs="宋体"/>
                <w:color w:val="auto"/>
                <w:szCs w:val="21"/>
              </w:rPr>
              <w:t>根据《广东省住房和城乡建设厅关于取消省外建筑企业和人员进粤信息备案有关工作的通知》（粤建市[2015]52号）要求，省外建筑企业需在“进粤企业和人员诚信信息登记平台”录入相关信息并通过数据规范检查，并在投标文件中提供企业基本信息、资质情况和驻粤技术管理人员情况信息（网上公开信息打印件）以备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5" w:type="pct"/>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rPr>
            </w:pPr>
            <w:r>
              <w:rPr>
                <w:rFonts w:hint="eastAsia" w:ascii="宋体" w:hAnsi="宋体" w:cs="宋体"/>
                <w:color w:val="auto"/>
                <w:szCs w:val="21"/>
              </w:rPr>
              <w:t>6</w:t>
            </w:r>
          </w:p>
        </w:tc>
        <w:tc>
          <w:tcPr>
            <w:tcW w:w="723" w:type="pct"/>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rPr>
            </w:pPr>
            <w:r>
              <w:rPr>
                <w:rFonts w:hint="eastAsia" w:ascii="宋体" w:hAnsi="宋体" w:cs="宋体"/>
                <w:color w:val="auto"/>
                <w:szCs w:val="21"/>
              </w:rPr>
              <w:t>签字</w:t>
            </w:r>
          </w:p>
        </w:tc>
        <w:tc>
          <w:tcPr>
            <w:tcW w:w="3911" w:type="pct"/>
            <w:vAlign w:val="center"/>
          </w:tcPr>
          <w:p>
            <w:pPr>
              <w:keepNext w:val="0"/>
              <w:keepLines w:val="0"/>
              <w:suppressLineNumbers w:val="0"/>
              <w:spacing w:before="0" w:beforeAutospacing="0" w:after="0" w:afterAutospacing="0" w:line="360" w:lineRule="auto"/>
              <w:ind w:left="0" w:right="0"/>
              <w:rPr>
                <w:rFonts w:hint="default" w:ascii="宋体" w:hAnsi="宋体" w:cs="宋体"/>
                <w:color w:val="auto"/>
                <w:szCs w:val="21"/>
              </w:rPr>
            </w:pPr>
            <w:r>
              <w:rPr>
                <w:rFonts w:hint="eastAsia" w:ascii="宋体" w:hAnsi="宋体" w:cs="宋体"/>
                <w:color w:val="auto"/>
                <w:szCs w:val="21"/>
              </w:rPr>
              <w:t>投标人拟派出的项目总监理工程师</w:t>
            </w:r>
            <w:r>
              <w:rPr>
                <w:rFonts w:hint="eastAsia" w:ascii="宋体" w:hAnsi="宋体" w:cs="宋体"/>
                <w:color w:val="auto"/>
                <w:szCs w:val="21"/>
                <w:lang w:eastAsia="zh-CN"/>
              </w:rPr>
              <w:t>、</w:t>
            </w:r>
            <w:r>
              <w:rPr>
                <w:rFonts w:hint="eastAsia" w:ascii="宋体" w:hAnsi="宋体" w:cs="宋体"/>
                <w:color w:val="auto"/>
                <w:szCs w:val="21"/>
                <w:lang w:val="en-US" w:eastAsia="zh-CN"/>
              </w:rPr>
              <w:t>技术负责人</w:t>
            </w:r>
            <w:r>
              <w:rPr>
                <w:rFonts w:hint="eastAsia" w:ascii="宋体" w:hAnsi="宋体" w:cs="宋体"/>
                <w:color w:val="auto"/>
                <w:szCs w:val="21"/>
              </w:rPr>
              <w:t>须在投标文件中签字确认。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5" w:type="pct"/>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rPr>
            </w:pPr>
            <w:r>
              <w:rPr>
                <w:rFonts w:hint="eastAsia" w:ascii="宋体" w:hAnsi="宋体" w:cs="宋体"/>
                <w:color w:val="auto"/>
                <w:szCs w:val="21"/>
              </w:rPr>
              <w:t>7</w:t>
            </w:r>
          </w:p>
        </w:tc>
        <w:tc>
          <w:tcPr>
            <w:tcW w:w="723" w:type="pct"/>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rPr>
            </w:pPr>
            <w:r>
              <w:rPr>
                <w:rFonts w:hint="eastAsia" w:ascii="宋体" w:hAnsi="宋体" w:cs="宋体"/>
                <w:color w:val="auto"/>
                <w:szCs w:val="21"/>
              </w:rPr>
              <w:t>其他</w:t>
            </w:r>
          </w:p>
        </w:tc>
        <w:tc>
          <w:tcPr>
            <w:tcW w:w="3911" w:type="pct"/>
            <w:vAlign w:val="center"/>
          </w:tcPr>
          <w:p>
            <w:pPr>
              <w:keepNext w:val="0"/>
              <w:keepLines w:val="0"/>
              <w:suppressLineNumbers w:val="0"/>
              <w:spacing w:before="0" w:beforeAutospacing="0" w:after="0" w:afterAutospacing="0" w:line="360" w:lineRule="auto"/>
              <w:ind w:left="0" w:right="0"/>
              <w:rPr>
                <w:rFonts w:hint="default" w:ascii="宋体" w:hAnsi="宋体" w:cs="宋体"/>
                <w:color w:val="auto"/>
                <w:szCs w:val="21"/>
              </w:rPr>
            </w:pPr>
            <w:r>
              <w:rPr>
                <w:rFonts w:hint="eastAsia" w:ascii="宋体" w:hAnsi="宋体" w:cs="宋体"/>
                <w:color w:val="auto"/>
                <w:szCs w:val="21"/>
              </w:rPr>
              <w:t>取得香港工程建设咨询从业资格的企业和执业资格的专业人士，按照《广东省住房和城乡建设厅关于印发香港工程咨询企业和专业人士在粤港澳大湾区内地城市开业执业试点管理暂行办法的通知》规定备案，且备案信息已在广东省建设信息网公布，可以在我市范围内开业执业，为市场主体直接提供服务。经备案的香港企业和香港专业人士应当在备案的业务范围内开业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5" w:type="pct"/>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rPr>
            </w:pPr>
            <w:r>
              <w:rPr>
                <w:rFonts w:hint="eastAsia" w:ascii="宋体" w:hAnsi="宋体" w:cs="宋体"/>
                <w:color w:val="auto"/>
                <w:szCs w:val="21"/>
              </w:rPr>
              <w:t>8</w:t>
            </w:r>
          </w:p>
        </w:tc>
        <w:tc>
          <w:tcPr>
            <w:tcW w:w="723" w:type="pct"/>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rPr>
            </w:pPr>
            <w:r>
              <w:rPr>
                <w:rFonts w:hint="eastAsia" w:ascii="宋体" w:hAnsi="宋体" w:cs="宋体"/>
                <w:color w:val="auto"/>
                <w:szCs w:val="21"/>
              </w:rPr>
              <w:t>联合体</w:t>
            </w:r>
          </w:p>
        </w:tc>
        <w:tc>
          <w:tcPr>
            <w:tcW w:w="3911" w:type="pct"/>
            <w:vAlign w:val="center"/>
          </w:tcPr>
          <w:p>
            <w:pPr>
              <w:keepNext w:val="0"/>
              <w:keepLines w:val="0"/>
              <w:suppressLineNumbers w:val="0"/>
              <w:spacing w:before="0" w:beforeAutospacing="0" w:after="0" w:afterAutospacing="0" w:line="360" w:lineRule="auto"/>
              <w:ind w:left="0" w:right="0"/>
              <w:rPr>
                <w:rFonts w:hint="default" w:ascii="宋体" w:hAnsi="宋体" w:cs="宋体"/>
                <w:color w:val="auto"/>
                <w:szCs w:val="21"/>
              </w:rPr>
            </w:pPr>
            <w:r>
              <w:rPr>
                <w:rFonts w:hint="eastAsia" w:ascii="宋体" w:hAnsi="宋体" w:cs="宋体"/>
                <w:color w:val="auto"/>
                <w:szCs w:val="21"/>
              </w:rPr>
              <w:t>本项目不接受联合体投标。</w:t>
            </w:r>
          </w:p>
        </w:tc>
      </w:tr>
    </w:tbl>
    <w:p>
      <w:pPr>
        <w:rPr>
          <w:rFonts w:ascii="黑体" w:hAnsi="宋体" w:eastAsia="黑体"/>
          <w:color w:val="auto"/>
          <w:sz w:val="32"/>
          <w:szCs w:val="32"/>
        </w:rPr>
      </w:pPr>
      <w:r>
        <w:rPr>
          <w:rFonts w:hint="eastAsia" w:ascii="黑体" w:hAnsi="宋体" w:eastAsia="黑体"/>
          <w:color w:val="auto"/>
          <w:sz w:val="32"/>
          <w:szCs w:val="32"/>
        </w:rPr>
        <w:br w:type="page"/>
      </w:r>
    </w:p>
    <w:p>
      <w:pPr>
        <w:adjustRightInd w:val="0"/>
        <w:snapToGrid w:val="0"/>
        <w:spacing w:before="240" w:beforeLines="100" w:after="240" w:afterLines="100"/>
        <w:jc w:val="center"/>
        <w:outlineLvl w:val="2"/>
        <w:rPr>
          <w:rFonts w:ascii="黑体" w:hAnsi="宋体" w:eastAsia="黑体"/>
          <w:color w:val="auto"/>
          <w:sz w:val="32"/>
          <w:szCs w:val="32"/>
        </w:rPr>
      </w:pPr>
      <w:r>
        <w:rPr>
          <w:rFonts w:hint="eastAsia" w:ascii="黑体" w:hAnsi="宋体" w:eastAsia="黑体"/>
          <w:color w:val="auto"/>
          <w:sz w:val="32"/>
          <w:szCs w:val="32"/>
        </w:rPr>
        <w:t>资格评审记录表</w:t>
      </w:r>
    </w:p>
    <w:p>
      <w:pPr>
        <w:spacing w:after="240" w:afterLines="100" w:line="360" w:lineRule="auto"/>
        <w:rPr>
          <w:rFonts w:ascii="宋体" w:hAnsi="宋体"/>
          <w:color w:val="auto"/>
          <w:szCs w:val="44"/>
        </w:rPr>
      </w:pPr>
      <w:r>
        <w:rPr>
          <w:rFonts w:hint="eastAsia" w:ascii="宋体" w:hAnsi="宋体"/>
          <w:color w:val="auto"/>
          <w:szCs w:val="44"/>
        </w:rPr>
        <w:t>工程名称：</w:t>
      </w:r>
      <w:r>
        <w:rPr>
          <w:rFonts w:hint="eastAsia" w:ascii="宋体" w:hAnsi="宋体"/>
          <w:color w:val="auto"/>
          <w:szCs w:val="44"/>
          <w:u w:val="single"/>
        </w:rPr>
        <w:t xml:space="preserve">                                                                      </w:t>
      </w:r>
    </w:p>
    <w:tbl>
      <w:tblPr>
        <w:tblStyle w:val="22"/>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980"/>
        <w:gridCol w:w="806"/>
        <w:gridCol w:w="709"/>
        <w:gridCol w:w="567"/>
        <w:gridCol w:w="567"/>
        <w:gridCol w:w="850"/>
        <w:gridCol w:w="709"/>
        <w:gridCol w:w="709"/>
        <w:gridCol w:w="567"/>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008" w:type="dxa"/>
            <w:vMerge w:val="restart"/>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r>
              <w:rPr>
                <w:rFonts w:hint="eastAsia" w:ascii="宋体" w:hAnsi="宋体"/>
                <w:color w:val="auto"/>
                <w:szCs w:val="44"/>
              </w:rPr>
              <w:t>序号</w:t>
            </w:r>
          </w:p>
        </w:tc>
        <w:tc>
          <w:tcPr>
            <w:tcW w:w="1980" w:type="dxa"/>
            <w:vMerge w:val="restart"/>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r>
              <w:rPr>
                <w:rFonts w:hint="eastAsia" w:ascii="宋体" w:hAnsi="宋体"/>
                <w:color w:val="auto"/>
                <w:szCs w:val="44"/>
              </w:rPr>
              <w:t>评审因素</w:t>
            </w:r>
          </w:p>
        </w:tc>
        <w:tc>
          <w:tcPr>
            <w:tcW w:w="5909" w:type="dxa"/>
            <w:gridSpan w:val="9"/>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r>
              <w:rPr>
                <w:rFonts w:hint="eastAsia" w:ascii="宋体" w:hAnsi="宋体"/>
                <w:color w:val="auto"/>
                <w:szCs w:val="44"/>
              </w:rPr>
              <w:t>投标人名称及评审意见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08" w:type="dxa"/>
            <w:vMerge w:val="continue"/>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1980" w:type="dxa"/>
            <w:vMerge w:val="continue"/>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806"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709"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567"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567"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850"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709"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709"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567"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425"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08"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黑体" w:hAnsi="宋体" w:eastAsia="黑体"/>
                <w:color w:val="auto"/>
                <w:szCs w:val="44"/>
              </w:rPr>
            </w:pPr>
            <w:r>
              <w:rPr>
                <w:rFonts w:hint="eastAsia" w:ascii="黑体" w:hAnsi="宋体" w:eastAsia="黑体"/>
                <w:color w:val="auto"/>
                <w:szCs w:val="44"/>
              </w:rPr>
              <w:t>1</w:t>
            </w:r>
          </w:p>
        </w:tc>
        <w:tc>
          <w:tcPr>
            <w:tcW w:w="198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color w:val="auto"/>
                <w:szCs w:val="21"/>
              </w:rPr>
            </w:pPr>
            <w:r>
              <w:rPr>
                <w:rFonts w:hint="default" w:ascii="宋体" w:hAnsi="宋体"/>
                <w:color w:val="auto"/>
                <w:szCs w:val="21"/>
              </w:rPr>
              <w:t>营业执照</w:t>
            </w:r>
          </w:p>
        </w:tc>
        <w:tc>
          <w:tcPr>
            <w:tcW w:w="806"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709"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567"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567"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850"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709"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709"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567"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425"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黑体" w:hAnsi="宋体" w:eastAsia="黑体"/>
                <w:color w:val="auto"/>
                <w:szCs w:val="44"/>
              </w:rPr>
            </w:pPr>
            <w:r>
              <w:rPr>
                <w:rFonts w:hint="eastAsia" w:ascii="黑体" w:hAnsi="宋体" w:eastAsia="黑体"/>
                <w:color w:val="auto"/>
                <w:szCs w:val="44"/>
              </w:rPr>
              <w:t>2</w:t>
            </w:r>
          </w:p>
        </w:tc>
        <w:tc>
          <w:tcPr>
            <w:tcW w:w="198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color w:val="auto"/>
                <w:szCs w:val="21"/>
              </w:rPr>
            </w:pPr>
            <w:r>
              <w:rPr>
                <w:rFonts w:hint="default" w:ascii="宋体" w:hAnsi="宋体"/>
                <w:color w:val="auto"/>
                <w:szCs w:val="21"/>
              </w:rPr>
              <w:t>企业资质</w:t>
            </w:r>
          </w:p>
        </w:tc>
        <w:tc>
          <w:tcPr>
            <w:tcW w:w="806"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709"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567"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567"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850"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709"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709"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567"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425"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黑体" w:hAnsi="宋体" w:eastAsia="黑体"/>
                <w:color w:val="auto"/>
                <w:szCs w:val="44"/>
              </w:rPr>
            </w:pPr>
            <w:r>
              <w:rPr>
                <w:rFonts w:hint="eastAsia" w:ascii="黑体" w:hAnsi="宋体" w:eastAsia="黑体"/>
                <w:color w:val="auto"/>
                <w:szCs w:val="44"/>
              </w:rPr>
              <w:t>3</w:t>
            </w:r>
          </w:p>
        </w:tc>
        <w:tc>
          <w:tcPr>
            <w:tcW w:w="198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color w:val="auto"/>
                <w:szCs w:val="21"/>
              </w:rPr>
            </w:pPr>
            <w:r>
              <w:rPr>
                <w:rFonts w:hint="default" w:ascii="宋体" w:hAnsi="宋体"/>
                <w:color w:val="auto"/>
                <w:szCs w:val="21"/>
              </w:rPr>
              <w:t>项目</w:t>
            </w:r>
            <w:r>
              <w:rPr>
                <w:rFonts w:hint="eastAsia" w:ascii="宋体" w:hAnsi="宋体"/>
                <w:color w:val="auto"/>
                <w:szCs w:val="21"/>
              </w:rPr>
              <w:t>总监理工程师</w:t>
            </w:r>
          </w:p>
        </w:tc>
        <w:tc>
          <w:tcPr>
            <w:tcW w:w="806"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709"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567"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567"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850"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709"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709"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567"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425"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黑体" w:hAnsi="宋体" w:eastAsia="黑体"/>
                <w:color w:val="auto"/>
                <w:szCs w:val="44"/>
              </w:rPr>
            </w:pPr>
            <w:r>
              <w:rPr>
                <w:rFonts w:hint="eastAsia" w:ascii="黑体" w:hAnsi="宋体" w:eastAsia="黑体"/>
                <w:color w:val="auto"/>
                <w:szCs w:val="44"/>
              </w:rPr>
              <w:t>4</w:t>
            </w:r>
          </w:p>
        </w:tc>
        <w:tc>
          <w:tcPr>
            <w:tcW w:w="198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color w:val="auto"/>
                <w:szCs w:val="21"/>
              </w:rPr>
            </w:pPr>
            <w:r>
              <w:rPr>
                <w:rFonts w:hint="eastAsia" w:ascii="宋体" w:hAnsi="宋体"/>
                <w:color w:val="auto"/>
                <w:szCs w:val="21"/>
              </w:rPr>
              <w:t>业绩</w:t>
            </w:r>
          </w:p>
        </w:tc>
        <w:tc>
          <w:tcPr>
            <w:tcW w:w="806"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709"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567"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567"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850"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709"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709"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567"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425"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黑体" w:hAnsi="宋体" w:eastAsia="黑体"/>
                <w:color w:val="auto"/>
                <w:szCs w:val="44"/>
              </w:rPr>
            </w:pPr>
            <w:r>
              <w:rPr>
                <w:rFonts w:hint="eastAsia" w:ascii="黑体" w:hAnsi="宋体" w:eastAsia="黑体"/>
                <w:color w:val="auto"/>
                <w:szCs w:val="44"/>
              </w:rPr>
              <w:t>5</w:t>
            </w:r>
          </w:p>
        </w:tc>
        <w:tc>
          <w:tcPr>
            <w:tcW w:w="198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color w:val="auto"/>
                <w:szCs w:val="21"/>
              </w:rPr>
            </w:pPr>
            <w:r>
              <w:rPr>
                <w:rFonts w:hint="eastAsia" w:ascii="宋体" w:hAnsi="宋体"/>
                <w:color w:val="auto"/>
                <w:szCs w:val="21"/>
              </w:rPr>
              <w:t>省外建设工程企业和人员已完成进粤信息登记</w:t>
            </w:r>
          </w:p>
        </w:tc>
        <w:tc>
          <w:tcPr>
            <w:tcW w:w="806"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709"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567"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567"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850"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709"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709"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567"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425"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黑体" w:hAnsi="宋体" w:eastAsia="黑体"/>
                <w:color w:val="auto"/>
                <w:szCs w:val="44"/>
              </w:rPr>
            </w:pPr>
            <w:r>
              <w:rPr>
                <w:rFonts w:hint="eastAsia" w:ascii="黑体" w:hAnsi="宋体" w:eastAsia="黑体"/>
                <w:color w:val="auto"/>
                <w:szCs w:val="44"/>
              </w:rPr>
              <w:t>6</w:t>
            </w:r>
          </w:p>
        </w:tc>
        <w:tc>
          <w:tcPr>
            <w:tcW w:w="198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color w:val="auto"/>
                <w:szCs w:val="21"/>
              </w:rPr>
            </w:pPr>
            <w:r>
              <w:rPr>
                <w:rFonts w:hint="eastAsia" w:ascii="宋体" w:hAnsi="宋体" w:cs="宋体"/>
                <w:color w:val="auto"/>
                <w:szCs w:val="21"/>
              </w:rPr>
              <w:t>签字</w:t>
            </w:r>
          </w:p>
        </w:tc>
        <w:tc>
          <w:tcPr>
            <w:tcW w:w="806"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709"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567"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567"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850"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709"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709"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567"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425"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黑体" w:hAnsi="宋体" w:eastAsia="黑体"/>
                <w:color w:val="auto"/>
                <w:szCs w:val="44"/>
              </w:rPr>
            </w:pPr>
            <w:r>
              <w:rPr>
                <w:rFonts w:hint="eastAsia" w:ascii="黑体" w:hAnsi="宋体" w:eastAsia="黑体"/>
                <w:color w:val="auto"/>
                <w:szCs w:val="44"/>
              </w:rPr>
              <w:t>7</w:t>
            </w:r>
          </w:p>
        </w:tc>
        <w:tc>
          <w:tcPr>
            <w:tcW w:w="198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color w:val="auto"/>
                <w:szCs w:val="21"/>
              </w:rPr>
            </w:pPr>
            <w:r>
              <w:rPr>
                <w:rFonts w:hint="eastAsia" w:ascii="宋体" w:hAnsi="宋体" w:cs="宋体"/>
                <w:color w:val="auto"/>
                <w:szCs w:val="21"/>
              </w:rPr>
              <w:t>其他</w:t>
            </w:r>
          </w:p>
        </w:tc>
        <w:tc>
          <w:tcPr>
            <w:tcW w:w="806"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709"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567"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567"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850"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709"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709"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567"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425"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黑体" w:hAnsi="宋体" w:eastAsia="黑体"/>
                <w:color w:val="auto"/>
                <w:szCs w:val="44"/>
              </w:rPr>
            </w:pPr>
            <w:r>
              <w:rPr>
                <w:rFonts w:hint="eastAsia" w:ascii="黑体" w:hAnsi="宋体" w:eastAsia="黑体"/>
                <w:color w:val="auto"/>
                <w:szCs w:val="44"/>
              </w:rPr>
              <w:t>8</w:t>
            </w:r>
          </w:p>
        </w:tc>
        <w:tc>
          <w:tcPr>
            <w:tcW w:w="198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color w:val="auto"/>
                <w:szCs w:val="21"/>
              </w:rPr>
            </w:pPr>
            <w:r>
              <w:rPr>
                <w:rFonts w:hint="eastAsia" w:ascii="宋体" w:hAnsi="宋体" w:cs="宋体"/>
                <w:color w:val="auto"/>
                <w:szCs w:val="21"/>
              </w:rPr>
              <w:t>联合体</w:t>
            </w:r>
          </w:p>
        </w:tc>
        <w:tc>
          <w:tcPr>
            <w:tcW w:w="806"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709"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567"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567"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850"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709"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709"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567"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425"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黑体" w:hAnsi="宋体" w:eastAsia="黑体"/>
                <w:color w:val="auto"/>
                <w:szCs w:val="44"/>
              </w:rPr>
            </w:pPr>
            <w:r>
              <w:rPr>
                <w:rFonts w:hint="eastAsia" w:ascii="宋体" w:hAnsi="宋体" w:cs="宋体"/>
                <w:color w:val="auto"/>
                <w:szCs w:val="44"/>
              </w:rPr>
              <w:t>结论</w:t>
            </w:r>
          </w:p>
        </w:tc>
        <w:tc>
          <w:tcPr>
            <w:tcW w:w="198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color w:val="auto"/>
                <w:szCs w:val="21"/>
              </w:rPr>
            </w:pPr>
            <w:r>
              <w:rPr>
                <w:rFonts w:hint="eastAsia" w:ascii="宋体" w:hAnsi="宋体"/>
                <w:color w:val="auto"/>
                <w:szCs w:val="21"/>
              </w:rPr>
              <w:t>是否通过并进入下一阶段评审</w:t>
            </w:r>
          </w:p>
        </w:tc>
        <w:tc>
          <w:tcPr>
            <w:tcW w:w="806"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709"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567"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567"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850"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709"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709"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567"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c>
          <w:tcPr>
            <w:tcW w:w="425"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Cs w:val="44"/>
              </w:rPr>
            </w:pPr>
          </w:p>
        </w:tc>
      </w:tr>
    </w:tbl>
    <w:p>
      <w:pPr>
        <w:tabs>
          <w:tab w:val="left" w:pos="720"/>
        </w:tabs>
        <w:snapToGrid w:val="0"/>
        <w:spacing w:before="120" w:beforeLines="50" w:line="360" w:lineRule="auto"/>
        <w:rPr>
          <w:rFonts w:ascii="宋体" w:hAnsi="宋体"/>
          <w:color w:val="auto"/>
          <w:szCs w:val="21"/>
        </w:rPr>
      </w:pPr>
      <w:r>
        <w:rPr>
          <w:rFonts w:hint="eastAsia" w:ascii="宋体" w:hAnsi="宋体"/>
          <w:color w:val="auto"/>
          <w:szCs w:val="21"/>
        </w:rPr>
        <w:t>备注：1、符合评审要求的的打“</w:t>
      </w:r>
      <w:r>
        <w:rPr>
          <w:rFonts w:hint="eastAsia" w:ascii="宋体" w:hAnsi="宋体"/>
          <w:color w:val="auto"/>
          <w:szCs w:val="21"/>
        </w:rPr>
        <w:sym w:font="Wingdings 2" w:char="F050"/>
      </w:r>
      <w:r>
        <w:rPr>
          <w:rFonts w:hint="eastAsia" w:ascii="宋体" w:hAnsi="宋体"/>
          <w:color w:val="auto"/>
          <w:szCs w:val="21"/>
        </w:rPr>
        <w:t>”，不符合评审要求的打“×”。</w:t>
      </w:r>
    </w:p>
    <w:p>
      <w:pPr>
        <w:tabs>
          <w:tab w:val="left" w:pos="720"/>
        </w:tabs>
        <w:snapToGrid w:val="0"/>
        <w:spacing w:before="120" w:beforeLines="50" w:line="360" w:lineRule="auto"/>
        <w:ind w:firstLine="630" w:firstLineChars="300"/>
        <w:rPr>
          <w:rFonts w:ascii="宋体" w:hAnsi="宋体"/>
          <w:color w:val="auto"/>
          <w:szCs w:val="21"/>
        </w:rPr>
      </w:pPr>
      <w:r>
        <w:rPr>
          <w:rFonts w:hint="eastAsia" w:ascii="宋体" w:hAnsi="宋体"/>
          <w:color w:val="auto"/>
          <w:szCs w:val="21"/>
        </w:rPr>
        <w:t>2、经评标委员会审核后，出现一个“×”的结论为“不通过”，即按无效处理。</w:t>
      </w:r>
    </w:p>
    <w:p>
      <w:pPr>
        <w:tabs>
          <w:tab w:val="left" w:pos="720"/>
        </w:tabs>
        <w:snapToGrid w:val="0"/>
        <w:spacing w:before="120" w:beforeLines="50" w:line="360" w:lineRule="auto"/>
        <w:ind w:firstLine="630" w:firstLineChars="300"/>
        <w:rPr>
          <w:rFonts w:ascii="宋体" w:hAnsi="宋体"/>
          <w:color w:val="auto"/>
          <w:szCs w:val="21"/>
        </w:rPr>
      </w:pPr>
      <w:r>
        <w:rPr>
          <w:rFonts w:hint="eastAsia" w:ascii="宋体" w:hAnsi="宋体"/>
          <w:color w:val="auto"/>
          <w:szCs w:val="21"/>
        </w:rPr>
        <w:t>3、表中全部条件符合的为“通过”，同意进入下一阶段评审。</w:t>
      </w:r>
    </w:p>
    <w:p>
      <w:pPr>
        <w:tabs>
          <w:tab w:val="left" w:pos="720"/>
        </w:tabs>
        <w:snapToGrid w:val="0"/>
        <w:spacing w:before="120" w:beforeLines="50" w:line="360" w:lineRule="auto"/>
        <w:rPr>
          <w:rFonts w:ascii="宋体" w:hAnsi="宋体"/>
          <w:color w:val="auto"/>
          <w:szCs w:val="21"/>
        </w:rPr>
      </w:pPr>
      <w:r>
        <w:rPr>
          <w:rFonts w:hint="eastAsia" w:ascii="宋体" w:hAnsi="宋体"/>
          <w:color w:val="auto"/>
          <w:szCs w:val="21"/>
        </w:rPr>
        <w:t xml:space="preserve">      4、若评委意见不一致时，则按少数服从多数的原则，决定该投标人是否通过资格审查，进入下一阶段评审。</w:t>
      </w:r>
    </w:p>
    <w:p>
      <w:pPr>
        <w:spacing w:line="360" w:lineRule="auto"/>
        <w:rPr>
          <w:rFonts w:ascii="宋体" w:hAnsi="宋体"/>
          <w:color w:val="auto"/>
          <w:szCs w:val="44"/>
        </w:rPr>
      </w:pPr>
    </w:p>
    <w:p>
      <w:pPr>
        <w:spacing w:line="360" w:lineRule="auto"/>
        <w:jc w:val="left"/>
        <w:rPr>
          <w:rFonts w:ascii="宋体" w:hAnsi="宋体"/>
          <w:color w:val="auto"/>
          <w:szCs w:val="44"/>
        </w:rPr>
      </w:pPr>
      <w:r>
        <w:rPr>
          <w:rFonts w:hint="eastAsia" w:ascii="宋体" w:hAnsi="宋体"/>
          <w:color w:val="auto"/>
          <w:szCs w:val="44"/>
        </w:rPr>
        <w:t>评标委员会成员签名：                                                                                日期：      年    月    日</w:t>
      </w:r>
    </w:p>
    <w:p>
      <w:pPr>
        <w:tabs>
          <w:tab w:val="left" w:pos="720"/>
        </w:tabs>
        <w:snapToGrid w:val="0"/>
        <w:spacing w:line="460" w:lineRule="exact"/>
        <w:rPr>
          <w:rFonts w:ascii="宋体" w:hAnsi="宋体"/>
          <w:color w:val="auto"/>
          <w:position w:val="12"/>
          <w:sz w:val="24"/>
        </w:rPr>
      </w:pPr>
      <w:r>
        <w:rPr>
          <w:rFonts w:ascii="宋体" w:hAnsi="宋体"/>
          <w:color w:val="auto"/>
          <w:szCs w:val="21"/>
        </w:rPr>
        <w:br w:type="page"/>
      </w:r>
      <w:r>
        <w:rPr>
          <w:rFonts w:hint="eastAsia" w:ascii="宋体" w:hAnsi="宋体"/>
          <w:color w:val="auto"/>
          <w:position w:val="12"/>
          <w:sz w:val="24"/>
        </w:rPr>
        <w:t>附件二：</w:t>
      </w:r>
    </w:p>
    <w:p>
      <w:pPr>
        <w:tabs>
          <w:tab w:val="left" w:pos="720"/>
        </w:tabs>
        <w:snapToGrid w:val="0"/>
        <w:spacing w:line="460" w:lineRule="exact"/>
        <w:jc w:val="center"/>
        <w:outlineLvl w:val="2"/>
        <w:rPr>
          <w:rFonts w:ascii="宋体" w:hAnsi="宋体"/>
          <w:b/>
          <w:color w:val="auto"/>
          <w:sz w:val="28"/>
          <w:szCs w:val="28"/>
        </w:rPr>
      </w:pPr>
      <w:bookmarkStart w:id="33" w:name="_Hlk130510373"/>
      <w:r>
        <w:rPr>
          <w:rFonts w:hint="eastAsia" w:ascii="宋体" w:hAnsi="宋体"/>
          <w:b/>
          <w:bCs/>
          <w:color w:val="auto"/>
          <w:sz w:val="28"/>
          <w:szCs w:val="28"/>
        </w:rPr>
        <w:t>监理</w:t>
      </w:r>
      <w:r>
        <w:rPr>
          <w:rFonts w:hint="eastAsia" w:ascii="宋体" w:hAnsi="宋体"/>
          <w:b/>
          <w:color w:val="auto"/>
          <w:sz w:val="28"/>
          <w:szCs w:val="28"/>
        </w:rPr>
        <w:t>综合评分表</w:t>
      </w:r>
    </w:p>
    <w:bookmarkEnd w:id="33"/>
    <w:p>
      <w:pPr>
        <w:tabs>
          <w:tab w:val="left" w:pos="720"/>
        </w:tabs>
        <w:snapToGrid w:val="0"/>
        <w:spacing w:line="460" w:lineRule="exact"/>
        <w:jc w:val="both"/>
        <w:rPr>
          <w:rFonts w:ascii="宋体" w:hAnsi="宋体"/>
          <w:b/>
          <w:color w:val="auto"/>
          <w:sz w:val="28"/>
          <w:szCs w:val="28"/>
        </w:rPr>
      </w:pPr>
    </w:p>
    <w:p>
      <w:pPr>
        <w:rPr>
          <w:rFonts w:ascii="宋体" w:hAnsi="宋体"/>
          <w:color w:val="auto"/>
          <w:szCs w:val="21"/>
          <w:u w:val="single"/>
        </w:rPr>
      </w:pPr>
    </w:p>
    <w:tbl>
      <w:tblPr>
        <w:tblStyle w:val="2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790"/>
        <w:gridCol w:w="395"/>
        <w:gridCol w:w="925"/>
        <w:gridCol w:w="657"/>
        <w:gridCol w:w="509"/>
        <w:gridCol w:w="5322"/>
        <w:gridCol w:w="647"/>
        <w:gridCol w:w="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tblHeader/>
        </w:trPr>
        <w:tc>
          <w:tcPr>
            <w:tcW w:w="404" w:type="pct"/>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b/>
                <w:color w:val="auto"/>
                <w:szCs w:val="21"/>
                <w:highlight w:val="none"/>
                <w:u w:val="single"/>
              </w:rPr>
            </w:pPr>
            <w:r>
              <w:rPr>
                <w:rFonts w:hint="eastAsia" w:ascii="宋体" w:hAnsi="宋体"/>
                <w:b/>
                <w:color w:val="auto"/>
                <w:szCs w:val="21"/>
                <w:highlight w:val="none"/>
              </w:rPr>
              <w:t>类别</w:t>
            </w:r>
          </w:p>
        </w:tc>
        <w:tc>
          <w:tcPr>
            <w:tcW w:w="202" w:type="pct"/>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b/>
                <w:color w:val="auto"/>
                <w:szCs w:val="21"/>
                <w:highlight w:val="none"/>
              </w:rPr>
            </w:pPr>
            <w:r>
              <w:rPr>
                <w:rFonts w:hint="eastAsia" w:ascii="宋体" w:hAnsi="宋体"/>
                <w:b/>
                <w:color w:val="auto"/>
                <w:szCs w:val="21"/>
                <w:highlight w:val="none"/>
              </w:rPr>
              <w:t>分</w:t>
            </w:r>
          </w:p>
          <w:p>
            <w:pPr>
              <w:keepNext w:val="0"/>
              <w:keepLines w:val="0"/>
              <w:suppressLineNumbers w:val="0"/>
              <w:spacing w:before="0" w:beforeAutospacing="0" w:after="0" w:afterAutospacing="0" w:line="360" w:lineRule="exact"/>
              <w:ind w:left="0" w:right="0"/>
              <w:jc w:val="center"/>
              <w:rPr>
                <w:rFonts w:hint="eastAsia" w:ascii="宋体" w:hAnsi="宋体"/>
                <w:b/>
                <w:color w:val="auto"/>
                <w:szCs w:val="21"/>
                <w:highlight w:val="none"/>
              </w:rPr>
            </w:pPr>
            <w:r>
              <w:rPr>
                <w:rFonts w:hint="eastAsia" w:ascii="宋体" w:hAnsi="宋体"/>
                <w:b/>
                <w:color w:val="auto"/>
                <w:szCs w:val="21"/>
                <w:highlight w:val="none"/>
              </w:rPr>
              <w:t>数</w:t>
            </w:r>
          </w:p>
        </w:tc>
        <w:tc>
          <w:tcPr>
            <w:tcW w:w="473" w:type="pct"/>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b/>
                <w:color w:val="auto"/>
                <w:szCs w:val="21"/>
                <w:highlight w:val="none"/>
                <w:u w:val="single"/>
              </w:rPr>
            </w:pPr>
            <w:r>
              <w:rPr>
                <w:rFonts w:hint="eastAsia" w:ascii="宋体" w:hAnsi="宋体"/>
                <w:b/>
                <w:color w:val="auto"/>
                <w:szCs w:val="21"/>
                <w:highlight w:val="none"/>
              </w:rPr>
              <w:t>分项内容</w:t>
            </w:r>
          </w:p>
        </w:tc>
        <w:tc>
          <w:tcPr>
            <w:tcW w:w="336" w:type="pct"/>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b/>
                <w:color w:val="auto"/>
                <w:szCs w:val="21"/>
                <w:highlight w:val="none"/>
              </w:rPr>
            </w:pPr>
            <w:r>
              <w:rPr>
                <w:rFonts w:hint="eastAsia" w:ascii="宋体" w:hAnsi="宋体"/>
                <w:b/>
                <w:color w:val="auto"/>
                <w:szCs w:val="21"/>
                <w:highlight w:val="none"/>
              </w:rPr>
              <w:t>标准分值</w:t>
            </w:r>
          </w:p>
        </w:tc>
        <w:tc>
          <w:tcPr>
            <w:tcW w:w="260" w:type="pct"/>
            <w:tcBorders>
              <w:right w:val="single" w:color="auto" w:sz="6"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b/>
                <w:color w:val="auto"/>
                <w:szCs w:val="21"/>
                <w:highlight w:val="none"/>
              </w:rPr>
            </w:pPr>
            <w:r>
              <w:rPr>
                <w:rFonts w:hint="eastAsia" w:ascii="宋体" w:hAnsi="宋体"/>
                <w:b/>
                <w:color w:val="auto"/>
                <w:szCs w:val="21"/>
                <w:highlight w:val="none"/>
              </w:rPr>
              <w:t>分项分</w:t>
            </w:r>
          </w:p>
        </w:tc>
        <w:tc>
          <w:tcPr>
            <w:tcW w:w="2721" w:type="pct"/>
            <w:tcBorders>
              <w:lef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b/>
                <w:color w:val="auto"/>
                <w:szCs w:val="21"/>
                <w:highlight w:val="none"/>
              </w:rPr>
            </w:pPr>
            <w:r>
              <w:rPr>
                <w:rFonts w:hint="eastAsia" w:ascii="宋体" w:hAnsi="宋体"/>
                <w:b/>
                <w:color w:val="auto"/>
                <w:szCs w:val="21"/>
                <w:highlight w:val="none"/>
              </w:rPr>
              <w:t>评  分  内  容</w:t>
            </w:r>
          </w:p>
        </w:tc>
        <w:tc>
          <w:tcPr>
            <w:tcW w:w="331" w:type="pct"/>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b/>
                <w:color w:val="auto"/>
                <w:szCs w:val="21"/>
                <w:highlight w:val="none"/>
              </w:rPr>
            </w:pPr>
            <w:r>
              <w:rPr>
                <w:rFonts w:hint="eastAsia" w:ascii="宋体" w:hAnsi="宋体"/>
                <w:b/>
                <w:color w:val="auto"/>
                <w:szCs w:val="21"/>
                <w:highlight w:val="none"/>
              </w:rPr>
              <w:t>得分</w:t>
            </w:r>
          </w:p>
        </w:tc>
        <w:tc>
          <w:tcPr>
            <w:tcW w:w="269" w:type="pct"/>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b/>
                <w:color w:val="auto"/>
                <w:szCs w:val="21"/>
                <w:highlight w:val="none"/>
              </w:rPr>
            </w:pPr>
            <w:r>
              <w:rPr>
                <w:rFonts w:hint="eastAsia" w:ascii="宋体" w:hAnsi="宋体"/>
                <w:b/>
                <w:color w:val="auto"/>
                <w:szCs w:val="21"/>
                <w:highlight w:val="none"/>
              </w:rPr>
              <w:t>评审</w:t>
            </w:r>
          </w:p>
          <w:p>
            <w:pPr>
              <w:keepNext w:val="0"/>
              <w:keepLines w:val="0"/>
              <w:suppressLineNumbers w:val="0"/>
              <w:spacing w:before="0" w:beforeAutospacing="0" w:after="0" w:afterAutospacing="0" w:line="320" w:lineRule="exact"/>
              <w:ind w:left="0" w:right="0"/>
              <w:jc w:val="center"/>
              <w:rPr>
                <w:rFonts w:hint="eastAsia" w:ascii="宋体" w:hAnsi="宋体"/>
                <w:b/>
                <w:color w:val="auto"/>
                <w:szCs w:val="21"/>
                <w:highlight w:val="none"/>
              </w:rPr>
            </w:pPr>
            <w:r>
              <w:rPr>
                <w:rFonts w:hint="eastAsia" w:ascii="宋体" w:hAnsi="宋体"/>
                <w:b/>
                <w:color w:val="auto"/>
                <w:szCs w:val="21"/>
                <w:highlight w:val="none"/>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34" w:hRule="atLeast"/>
        </w:trPr>
        <w:tc>
          <w:tcPr>
            <w:tcW w:w="404" w:type="pct"/>
            <w:vMerge w:val="restart"/>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b/>
                <w:color w:val="auto"/>
                <w:szCs w:val="21"/>
                <w:highlight w:val="none"/>
              </w:rPr>
            </w:pPr>
            <w:r>
              <w:rPr>
                <w:rFonts w:hint="eastAsia" w:ascii="宋体" w:hAnsi="宋体"/>
                <w:b/>
                <w:color w:val="auto"/>
                <w:szCs w:val="21"/>
                <w:highlight w:val="none"/>
              </w:rPr>
              <w:t>一</w:t>
            </w:r>
          </w:p>
          <w:p>
            <w:pPr>
              <w:keepNext w:val="0"/>
              <w:keepLines w:val="0"/>
              <w:suppressLineNumbers w:val="0"/>
              <w:spacing w:before="0" w:beforeAutospacing="0" w:after="0" w:afterAutospacing="0" w:line="360" w:lineRule="exact"/>
              <w:ind w:left="0" w:right="0"/>
              <w:jc w:val="center"/>
              <w:rPr>
                <w:rFonts w:hint="eastAsia" w:ascii="宋体" w:hAnsi="宋体"/>
                <w:b/>
                <w:color w:val="auto"/>
                <w:szCs w:val="21"/>
                <w:highlight w:val="none"/>
              </w:rPr>
            </w:pPr>
          </w:p>
          <w:p>
            <w:pPr>
              <w:keepNext w:val="0"/>
              <w:keepLines w:val="0"/>
              <w:suppressLineNumbers w:val="0"/>
              <w:spacing w:before="0" w:beforeAutospacing="0" w:after="0" w:afterAutospacing="0" w:line="360" w:lineRule="exact"/>
              <w:ind w:left="0" w:right="0"/>
              <w:jc w:val="center"/>
              <w:rPr>
                <w:rFonts w:hint="eastAsia" w:ascii="宋体" w:hAnsi="宋体"/>
                <w:b/>
                <w:color w:val="auto"/>
                <w:szCs w:val="21"/>
                <w:highlight w:val="none"/>
              </w:rPr>
            </w:pPr>
            <w:r>
              <w:rPr>
                <w:rFonts w:hint="eastAsia" w:ascii="宋体" w:hAnsi="宋体"/>
                <w:b/>
                <w:color w:val="auto"/>
                <w:szCs w:val="21"/>
                <w:highlight w:val="none"/>
              </w:rPr>
              <w:t>监理</w:t>
            </w:r>
          </w:p>
          <w:p>
            <w:pPr>
              <w:keepNext w:val="0"/>
              <w:keepLines w:val="0"/>
              <w:suppressLineNumbers w:val="0"/>
              <w:spacing w:before="0" w:beforeAutospacing="0" w:after="0" w:afterAutospacing="0" w:line="360" w:lineRule="exact"/>
              <w:ind w:left="0" w:right="0"/>
              <w:jc w:val="center"/>
              <w:rPr>
                <w:rFonts w:hint="default" w:ascii="宋体" w:hAnsi="宋体"/>
                <w:b/>
                <w:color w:val="auto"/>
                <w:szCs w:val="21"/>
                <w:highlight w:val="none"/>
              </w:rPr>
            </w:pPr>
            <w:r>
              <w:rPr>
                <w:rFonts w:hint="eastAsia" w:ascii="宋体" w:hAnsi="宋体"/>
                <w:b/>
                <w:color w:val="auto"/>
                <w:szCs w:val="21"/>
                <w:highlight w:val="none"/>
              </w:rPr>
              <w:t>大纲</w:t>
            </w:r>
          </w:p>
          <w:p>
            <w:pPr>
              <w:keepNext w:val="0"/>
              <w:keepLines w:val="0"/>
              <w:suppressLineNumbers w:val="0"/>
              <w:spacing w:before="0" w:beforeAutospacing="0" w:after="0" w:afterAutospacing="0" w:line="360" w:lineRule="exact"/>
              <w:ind w:left="0" w:right="0"/>
              <w:jc w:val="center"/>
              <w:rPr>
                <w:rFonts w:hint="eastAsia" w:ascii="宋体" w:hAnsi="宋体"/>
                <w:b/>
                <w:color w:val="auto"/>
                <w:szCs w:val="21"/>
                <w:highlight w:val="none"/>
                <w:lang w:val="zh-CN"/>
              </w:rPr>
            </w:pPr>
          </w:p>
        </w:tc>
        <w:tc>
          <w:tcPr>
            <w:tcW w:w="202" w:type="pct"/>
            <w:vMerge w:val="restart"/>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r>
              <w:rPr>
                <w:rFonts w:hint="eastAsia" w:ascii="宋体" w:hAnsi="宋体"/>
                <w:color w:val="auto"/>
                <w:szCs w:val="21"/>
                <w:highlight w:val="none"/>
              </w:rPr>
              <w:t>50分</w:t>
            </w:r>
          </w:p>
        </w:tc>
        <w:tc>
          <w:tcPr>
            <w:tcW w:w="473" w:type="pct"/>
            <w:noWrap w:val="0"/>
            <w:vAlign w:val="center"/>
          </w:tcPr>
          <w:p>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r>
              <w:rPr>
                <w:rFonts w:hint="eastAsia" w:ascii="宋体" w:hAnsi="宋体"/>
                <w:color w:val="auto"/>
                <w:szCs w:val="21"/>
                <w:highlight w:val="none"/>
              </w:rPr>
              <w:t>工程总体策划</w:t>
            </w:r>
          </w:p>
        </w:tc>
        <w:tc>
          <w:tcPr>
            <w:tcW w:w="336" w:type="pct"/>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10</w:t>
            </w:r>
          </w:p>
        </w:tc>
        <w:tc>
          <w:tcPr>
            <w:tcW w:w="260" w:type="pct"/>
            <w:tcBorders>
              <w:bottom w:val="single" w:color="auto" w:sz="6" w:space="0"/>
              <w:right w:val="single" w:color="auto" w:sz="6"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10</w:t>
            </w:r>
          </w:p>
        </w:tc>
        <w:tc>
          <w:tcPr>
            <w:tcW w:w="2721" w:type="pct"/>
            <w:tcBorders>
              <w:left w:val="single" w:color="auto" w:sz="6" w:space="0"/>
              <w:bottom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color w:val="auto"/>
                <w:szCs w:val="21"/>
                <w:highlight w:val="none"/>
                <w:lang w:val="zh-CN"/>
              </w:rPr>
            </w:pPr>
            <w:r>
              <w:rPr>
                <w:rFonts w:hint="eastAsia" w:ascii="宋体" w:hAnsi="宋体"/>
                <w:color w:val="auto"/>
                <w:szCs w:val="21"/>
                <w:highlight w:val="none"/>
                <w:lang w:val="zh-CN"/>
              </w:rPr>
              <w:t>1.对项目工程的总体策划有深刻的认识，对工程建设的各个过程理解特别透彻，总体策划合理科学，得10分；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color w:val="auto"/>
                <w:szCs w:val="21"/>
                <w:highlight w:val="none"/>
                <w:lang w:val="zh-CN"/>
              </w:rPr>
            </w:pPr>
            <w:r>
              <w:rPr>
                <w:rFonts w:hint="eastAsia" w:ascii="宋体" w:hAnsi="宋体"/>
                <w:color w:val="auto"/>
                <w:szCs w:val="21"/>
                <w:highlight w:val="none"/>
                <w:lang w:val="zh-CN"/>
              </w:rPr>
              <w:t>2.对项目工程的总体策划有一定的认识，对工程建设的各个过程理解透彻，总体策划相对合理，得8分；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color w:val="auto"/>
                <w:szCs w:val="21"/>
                <w:highlight w:val="none"/>
                <w:lang w:val="zh-CN"/>
              </w:rPr>
            </w:pPr>
            <w:r>
              <w:rPr>
                <w:rFonts w:hint="eastAsia" w:ascii="宋体" w:hAnsi="宋体"/>
                <w:color w:val="auto"/>
                <w:szCs w:val="21"/>
                <w:highlight w:val="none"/>
                <w:lang w:val="zh-CN"/>
              </w:rPr>
              <w:t>3.对项目工程的总体策划有一定的认识，对工程建设的各个过程认识不足，得6分。</w:t>
            </w:r>
          </w:p>
        </w:tc>
        <w:tc>
          <w:tcPr>
            <w:tcW w:w="331" w:type="pct"/>
            <w:tcBorders>
              <w:bottom w:val="single" w:color="auto" w:sz="6"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p>
        </w:tc>
        <w:tc>
          <w:tcPr>
            <w:tcW w:w="269" w:type="pct"/>
            <w:tcBorders>
              <w:bottom w:val="single" w:color="auto" w:sz="6"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34" w:hRule="atLeast"/>
        </w:trPr>
        <w:tc>
          <w:tcPr>
            <w:tcW w:w="404" w:type="pct"/>
            <w:vMerge w:val="continue"/>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b/>
                <w:color w:val="auto"/>
                <w:szCs w:val="21"/>
                <w:highlight w:val="none"/>
                <w:lang w:val="zh-CN"/>
              </w:rPr>
            </w:pPr>
          </w:p>
        </w:tc>
        <w:tc>
          <w:tcPr>
            <w:tcW w:w="202" w:type="pct"/>
            <w:vMerge w:val="continue"/>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p>
        </w:tc>
        <w:tc>
          <w:tcPr>
            <w:tcW w:w="473" w:type="pct"/>
            <w:noWrap w:val="0"/>
            <w:vAlign w:val="center"/>
          </w:tcPr>
          <w:p>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r>
              <w:rPr>
                <w:rFonts w:hint="eastAsia" w:ascii="宋体" w:hAnsi="宋体"/>
                <w:color w:val="auto"/>
                <w:szCs w:val="21"/>
                <w:highlight w:val="none"/>
              </w:rPr>
              <w:t>进度控制的方法及措施</w:t>
            </w:r>
          </w:p>
        </w:tc>
        <w:tc>
          <w:tcPr>
            <w:tcW w:w="336" w:type="pct"/>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8</w:t>
            </w:r>
          </w:p>
        </w:tc>
        <w:tc>
          <w:tcPr>
            <w:tcW w:w="260" w:type="pct"/>
            <w:tcBorders>
              <w:bottom w:val="single" w:color="auto" w:sz="6" w:space="0"/>
              <w:right w:val="single" w:color="auto" w:sz="6" w:space="0"/>
            </w:tcBorders>
            <w:noWrap w:val="0"/>
            <w:vAlign w:val="center"/>
          </w:tcPr>
          <w:p>
            <w:pPr>
              <w:keepNext w:val="0"/>
              <w:keepLines w:val="0"/>
              <w:suppressLineNumbers w:val="0"/>
              <w:spacing w:before="0" w:beforeAutospacing="0" w:after="0" w:afterAutospacing="0" w:line="240" w:lineRule="exact"/>
              <w:ind w:left="0" w:right="0" w:firstLine="210" w:firstLineChars="100"/>
              <w:rPr>
                <w:rFonts w:hint="eastAsia" w:ascii="宋体" w:hAnsi="宋体"/>
                <w:color w:val="auto"/>
                <w:szCs w:val="21"/>
                <w:highlight w:val="none"/>
              </w:rPr>
            </w:pPr>
            <w:r>
              <w:rPr>
                <w:rFonts w:hint="eastAsia" w:ascii="宋体" w:hAnsi="宋体"/>
                <w:color w:val="auto"/>
                <w:szCs w:val="21"/>
                <w:highlight w:val="none"/>
              </w:rPr>
              <w:t>8</w:t>
            </w:r>
          </w:p>
        </w:tc>
        <w:tc>
          <w:tcPr>
            <w:tcW w:w="2721" w:type="pct"/>
            <w:tcBorders>
              <w:left w:val="single" w:color="auto" w:sz="6" w:space="0"/>
              <w:bottom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olor w:val="auto"/>
                <w:szCs w:val="21"/>
                <w:highlight w:val="none"/>
                <w:lang w:val="zh-CN"/>
              </w:rPr>
            </w:pPr>
            <w:r>
              <w:rPr>
                <w:rFonts w:hint="eastAsia" w:ascii="宋体" w:hAnsi="宋体"/>
                <w:color w:val="auto"/>
                <w:szCs w:val="21"/>
                <w:highlight w:val="none"/>
                <w:lang w:val="zh-CN"/>
              </w:rPr>
              <w:t>进度控制要求目标明确，工作方法合理，事前、事中、事后进度控制措施得当。</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olor w:val="auto"/>
                <w:szCs w:val="21"/>
                <w:highlight w:val="none"/>
                <w:lang w:val="zh-CN"/>
              </w:rPr>
            </w:pPr>
            <w:r>
              <w:rPr>
                <w:rFonts w:hint="eastAsia" w:ascii="宋体" w:hAnsi="宋体"/>
                <w:color w:val="auto"/>
                <w:szCs w:val="21"/>
                <w:highlight w:val="none"/>
                <w:lang w:val="zh-CN"/>
              </w:rPr>
              <w:t>目标明确最多得3分；方法合理最多得2分；措施得力最多得3分；本项累计不超过8分，最低得0分。</w:t>
            </w:r>
          </w:p>
        </w:tc>
        <w:tc>
          <w:tcPr>
            <w:tcW w:w="331" w:type="pct"/>
            <w:tcBorders>
              <w:bottom w:val="single" w:color="auto" w:sz="6"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p>
        </w:tc>
        <w:tc>
          <w:tcPr>
            <w:tcW w:w="269" w:type="pct"/>
            <w:tcBorders>
              <w:bottom w:val="single" w:color="auto" w:sz="6"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34" w:hRule="atLeast"/>
        </w:trPr>
        <w:tc>
          <w:tcPr>
            <w:tcW w:w="404" w:type="pct"/>
            <w:vMerge w:val="continue"/>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b/>
                <w:color w:val="auto"/>
                <w:szCs w:val="21"/>
                <w:highlight w:val="none"/>
                <w:lang w:val="zh-CN"/>
              </w:rPr>
            </w:pPr>
          </w:p>
        </w:tc>
        <w:tc>
          <w:tcPr>
            <w:tcW w:w="202" w:type="pct"/>
            <w:vMerge w:val="continue"/>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p>
        </w:tc>
        <w:tc>
          <w:tcPr>
            <w:tcW w:w="473" w:type="pct"/>
            <w:noWrap w:val="0"/>
            <w:vAlign w:val="center"/>
          </w:tcPr>
          <w:p>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r>
              <w:rPr>
                <w:rFonts w:hint="eastAsia" w:ascii="宋体" w:hAnsi="宋体"/>
                <w:color w:val="auto"/>
                <w:szCs w:val="21"/>
                <w:highlight w:val="none"/>
              </w:rPr>
              <w:t>质量控制的方法及措施</w:t>
            </w:r>
          </w:p>
        </w:tc>
        <w:tc>
          <w:tcPr>
            <w:tcW w:w="336" w:type="pct"/>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8</w:t>
            </w:r>
          </w:p>
        </w:tc>
        <w:tc>
          <w:tcPr>
            <w:tcW w:w="260" w:type="pct"/>
            <w:tcBorders>
              <w:bottom w:val="single" w:color="auto" w:sz="6" w:space="0"/>
              <w:right w:val="single" w:color="auto" w:sz="6"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8</w:t>
            </w:r>
          </w:p>
        </w:tc>
        <w:tc>
          <w:tcPr>
            <w:tcW w:w="2721" w:type="pct"/>
            <w:tcBorders>
              <w:left w:val="single" w:color="auto" w:sz="6" w:space="0"/>
              <w:bottom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olor w:val="auto"/>
                <w:szCs w:val="21"/>
                <w:highlight w:val="none"/>
                <w:lang w:val="zh-CN"/>
              </w:rPr>
            </w:pPr>
            <w:r>
              <w:rPr>
                <w:rFonts w:hint="eastAsia" w:ascii="宋体" w:hAnsi="宋体"/>
                <w:color w:val="auto"/>
                <w:szCs w:val="21"/>
                <w:highlight w:val="none"/>
                <w:lang w:val="zh-CN"/>
              </w:rPr>
              <w:t>质量控制要求目标明确，预控和动态控制措施完整，实施方法、手段先进、可靠、科学。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olor w:val="auto"/>
                <w:szCs w:val="21"/>
                <w:highlight w:val="none"/>
                <w:lang w:val="zh-CN"/>
              </w:rPr>
            </w:pPr>
            <w:r>
              <w:rPr>
                <w:rFonts w:hint="eastAsia" w:ascii="宋体" w:hAnsi="宋体"/>
                <w:color w:val="auto"/>
                <w:szCs w:val="21"/>
                <w:highlight w:val="none"/>
                <w:lang w:val="zh-CN"/>
              </w:rPr>
              <w:t>目标明确最多得3分；方法合理最多得2分；措施得力最多得3分；本项累计不超过8分，最低得0分。</w:t>
            </w:r>
          </w:p>
        </w:tc>
        <w:tc>
          <w:tcPr>
            <w:tcW w:w="331" w:type="pct"/>
            <w:tcBorders>
              <w:bottom w:val="single" w:color="auto" w:sz="6"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p>
        </w:tc>
        <w:tc>
          <w:tcPr>
            <w:tcW w:w="269" w:type="pct"/>
            <w:tcBorders>
              <w:bottom w:val="single" w:color="auto" w:sz="6"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34" w:hRule="atLeast"/>
        </w:trPr>
        <w:tc>
          <w:tcPr>
            <w:tcW w:w="404" w:type="pct"/>
            <w:vMerge w:val="continue"/>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b/>
                <w:color w:val="auto"/>
                <w:szCs w:val="21"/>
                <w:highlight w:val="none"/>
                <w:lang w:val="zh-CN"/>
              </w:rPr>
            </w:pPr>
          </w:p>
        </w:tc>
        <w:tc>
          <w:tcPr>
            <w:tcW w:w="202" w:type="pct"/>
            <w:vMerge w:val="continue"/>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p>
        </w:tc>
        <w:tc>
          <w:tcPr>
            <w:tcW w:w="473" w:type="pct"/>
            <w:noWrap w:val="0"/>
            <w:vAlign w:val="center"/>
          </w:tcPr>
          <w:p>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r>
              <w:rPr>
                <w:rFonts w:hint="eastAsia" w:ascii="宋体" w:hAnsi="宋体"/>
                <w:color w:val="auto"/>
                <w:szCs w:val="21"/>
                <w:highlight w:val="none"/>
              </w:rPr>
              <w:t>安全文明施工方法措施及环境管理</w:t>
            </w:r>
          </w:p>
        </w:tc>
        <w:tc>
          <w:tcPr>
            <w:tcW w:w="336" w:type="pct"/>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8</w:t>
            </w:r>
          </w:p>
        </w:tc>
        <w:tc>
          <w:tcPr>
            <w:tcW w:w="260" w:type="pct"/>
            <w:tcBorders>
              <w:bottom w:val="single" w:color="auto" w:sz="6" w:space="0"/>
              <w:right w:val="single" w:color="auto" w:sz="6"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8</w:t>
            </w:r>
          </w:p>
        </w:tc>
        <w:tc>
          <w:tcPr>
            <w:tcW w:w="2721" w:type="pct"/>
            <w:tcBorders>
              <w:left w:val="single" w:color="auto" w:sz="6" w:space="0"/>
              <w:bottom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olor w:val="auto"/>
                <w:szCs w:val="21"/>
                <w:highlight w:val="none"/>
                <w:lang w:val="zh-CN"/>
              </w:rPr>
            </w:pPr>
            <w:r>
              <w:rPr>
                <w:rFonts w:hint="eastAsia" w:ascii="宋体" w:hAnsi="宋体"/>
                <w:color w:val="auto"/>
                <w:szCs w:val="21"/>
                <w:highlight w:val="none"/>
                <w:lang w:val="zh-CN"/>
              </w:rPr>
              <w:t>安全文明施工要求方法合理，措施明确，环境的计划、质量、技术管理得当。</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olor w:val="auto"/>
                <w:szCs w:val="21"/>
                <w:highlight w:val="none"/>
                <w:lang w:val="zh-CN"/>
              </w:rPr>
            </w:pPr>
            <w:r>
              <w:rPr>
                <w:rFonts w:hint="eastAsia" w:ascii="宋体" w:hAnsi="宋体"/>
                <w:color w:val="auto"/>
                <w:szCs w:val="21"/>
                <w:highlight w:val="none"/>
                <w:lang w:val="zh-CN"/>
              </w:rPr>
              <w:t>安全文明施工方法合理最多得3分；措施得力最多得3分，环境管理得当最多得2分；本项累计不超过8分，最低得0分。</w:t>
            </w:r>
          </w:p>
        </w:tc>
        <w:tc>
          <w:tcPr>
            <w:tcW w:w="331" w:type="pct"/>
            <w:tcBorders>
              <w:bottom w:val="single" w:color="auto" w:sz="6"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p>
        </w:tc>
        <w:tc>
          <w:tcPr>
            <w:tcW w:w="269" w:type="pct"/>
            <w:tcBorders>
              <w:bottom w:val="single" w:color="auto" w:sz="6"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34" w:hRule="atLeast"/>
        </w:trPr>
        <w:tc>
          <w:tcPr>
            <w:tcW w:w="404" w:type="pct"/>
            <w:vMerge w:val="continue"/>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b/>
                <w:color w:val="auto"/>
                <w:szCs w:val="21"/>
                <w:highlight w:val="none"/>
                <w:lang w:val="zh-CN"/>
              </w:rPr>
            </w:pPr>
          </w:p>
        </w:tc>
        <w:tc>
          <w:tcPr>
            <w:tcW w:w="202" w:type="pct"/>
            <w:vMerge w:val="continue"/>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p>
        </w:tc>
        <w:tc>
          <w:tcPr>
            <w:tcW w:w="473" w:type="pct"/>
            <w:noWrap w:val="0"/>
            <w:vAlign w:val="center"/>
          </w:tcPr>
          <w:p>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r>
              <w:rPr>
                <w:rFonts w:hint="eastAsia" w:ascii="宋体" w:hAnsi="宋体"/>
                <w:color w:val="auto"/>
                <w:szCs w:val="21"/>
                <w:highlight w:val="none"/>
              </w:rPr>
              <w:t>投资控制的方法及措施</w:t>
            </w:r>
          </w:p>
        </w:tc>
        <w:tc>
          <w:tcPr>
            <w:tcW w:w="336" w:type="pct"/>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8</w:t>
            </w:r>
          </w:p>
        </w:tc>
        <w:tc>
          <w:tcPr>
            <w:tcW w:w="260" w:type="pct"/>
            <w:tcBorders>
              <w:bottom w:val="single" w:color="auto" w:sz="6" w:space="0"/>
              <w:right w:val="single" w:color="auto" w:sz="6"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8</w:t>
            </w:r>
          </w:p>
        </w:tc>
        <w:tc>
          <w:tcPr>
            <w:tcW w:w="2721" w:type="pct"/>
            <w:tcBorders>
              <w:left w:val="single" w:color="auto" w:sz="6" w:space="0"/>
              <w:bottom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olor w:val="auto"/>
                <w:szCs w:val="21"/>
                <w:highlight w:val="none"/>
                <w:lang w:val="zh-CN"/>
              </w:rPr>
            </w:pPr>
            <w:r>
              <w:rPr>
                <w:rFonts w:hint="eastAsia" w:ascii="宋体" w:hAnsi="宋体"/>
                <w:color w:val="auto"/>
                <w:szCs w:val="21"/>
                <w:highlight w:val="none"/>
                <w:lang w:val="zh-CN"/>
              </w:rPr>
              <w:t>投资控制的分析和措施明确，事前、事中、事后投资控制的分析和措施明确合理，得8分，其次得6分，</w:t>
            </w:r>
            <w:r>
              <w:rPr>
                <w:rFonts w:hint="eastAsia" w:ascii="宋体" w:hAnsi="宋体"/>
                <w:color w:val="auto"/>
                <w:szCs w:val="21"/>
                <w:highlight w:val="none"/>
              </w:rPr>
              <w:t>一般的得4分，</w:t>
            </w:r>
            <w:r>
              <w:rPr>
                <w:rFonts w:hint="eastAsia" w:ascii="宋体" w:hAnsi="宋体"/>
                <w:color w:val="auto"/>
                <w:szCs w:val="21"/>
                <w:highlight w:val="none"/>
                <w:lang w:val="zh-CN"/>
              </w:rPr>
              <w:t>无投资控制分析和措施的，不得分。</w:t>
            </w:r>
          </w:p>
        </w:tc>
        <w:tc>
          <w:tcPr>
            <w:tcW w:w="331" w:type="pct"/>
            <w:tcBorders>
              <w:bottom w:val="single" w:color="auto" w:sz="6"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p>
        </w:tc>
        <w:tc>
          <w:tcPr>
            <w:tcW w:w="269" w:type="pct"/>
            <w:tcBorders>
              <w:bottom w:val="single" w:color="auto" w:sz="6"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21" w:hRule="atLeast"/>
        </w:trPr>
        <w:tc>
          <w:tcPr>
            <w:tcW w:w="404" w:type="pct"/>
            <w:vMerge w:val="continue"/>
            <w:tcBorders>
              <w:bottom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b/>
                <w:color w:val="auto"/>
                <w:szCs w:val="21"/>
                <w:highlight w:val="none"/>
                <w:lang w:val="zh-CN"/>
              </w:rPr>
            </w:pPr>
          </w:p>
        </w:tc>
        <w:tc>
          <w:tcPr>
            <w:tcW w:w="202" w:type="pct"/>
            <w:vMerge w:val="continue"/>
            <w:tcBorders>
              <w:bottom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p>
        </w:tc>
        <w:tc>
          <w:tcPr>
            <w:tcW w:w="473" w:type="pct"/>
            <w:tcBorders>
              <w:bottom w:val="single" w:color="auto" w:sz="4" w:space="0"/>
            </w:tcBorders>
            <w:noWrap w:val="0"/>
            <w:vAlign w:val="center"/>
          </w:tcPr>
          <w:p>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r>
              <w:rPr>
                <w:rFonts w:hint="eastAsia" w:ascii="宋体" w:hAnsi="宋体"/>
                <w:color w:val="auto"/>
                <w:szCs w:val="21"/>
                <w:highlight w:val="none"/>
              </w:rPr>
              <w:t>合同管理</w:t>
            </w:r>
          </w:p>
        </w:tc>
        <w:tc>
          <w:tcPr>
            <w:tcW w:w="336" w:type="pct"/>
            <w:tcBorders>
              <w:bottom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8</w:t>
            </w:r>
          </w:p>
        </w:tc>
        <w:tc>
          <w:tcPr>
            <w:tcW w:w="260" w:type="pct"/>
            <w:tcBorders>
              <w:bottom w:val="single" w:color="auto" w:sz="4" w:space="0"/>
              <w:right w:val="single" w:color="auto" w:sz="6"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8</w:t>
            </w:r>
          </w:p>
        </w:tc>
        <w:tc>
          <w:tcPr>
            <w:tcW w:w="2721" w:type="pct"/>
            <w:tcBorders>
              <w:left w:val="single" w:color="auto" w:sz="6" w:space="0"/>
              <w:bottom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olor w:val="auto"/>
                <w:szCs w:val="21"/>
                <w:highlight w:val="none"/>
              </w:rPr>
            </w:pPr>
            <w:r>
              <w:rPr>
                <w:rFonts w:hint="eastAsia" w:ascii="宋体" w:hAnsi="宋体"/>
                <w:color w:val="auto"/>
                <w:szCs w:val="21"/>
                <w:highlight w:val="none"/>
              </w:rPr>
              <w:t>合同管理措施得当，合同纠纷监控措施可行，信息管理任务、措施明确并符合要求，得8分，其次得6分，一般的得4分，较差的不得分。</w:t>
            </w:r>
          </w:p>
        </w:tc>
        <w:tc>
          <w:tcPr>
            <w:tcW w:w="331" w:type="pct"/>
            <w:tcBorders>
              <w:bottom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p>
        </w:tc>
        <w:tc>
          <w:tcPr>
            <w:tcW w:w="269" w:type="pct"/>
            <w:tcBorders>
              <w:bottom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626" w:hRule="atLeast"/>
        </w:trPr>
        <w:tc>
          <w:tcPr>
            <w:tcW w:w="404" w:type="pct"/>
            <w:vMerge w:val="restart"/>
            <w:tcBorders>
              <w:right w:val="single" w:color="auto" w:sz="4" w:space="0"/>
            </w:tcBorders>
            <w:shd w:val="clear" w:color="auto" w:fill="auto"/>
            <w:noWrap w:val="0"/>
            <w:vAlign w:val="center"/>
          </w:tcPr>
          <w:p>
            <w:pPr>
              <w:keepNext w:val="0"/>
              <w:keepLines w:val="0"/>
              <w:suppressLineNumbers w:val="0"/>
              <w:spacing w:before="0" w:beforeAutospacing="0" w:after="0" w:afterAutospacing="0" w:line="360" w:lineRule="exact"/>
              <w:ind w:left="1" w:right="0"/>
              <w:jc w:val="center"/>
              <w:rPr>
                <w:rFonts w:hint="eastAsia" w:ascii="宋体" w:hAnsi="宋体"/>
                <w:b/>
                <w:color w:val="auto"/>
                <w:szCs w:val="21"/>
                <w:highlight w:val="none"/>
              </w:rPr>
            </w:pPr>
            <w:r>
              <w:rPr>
                <w:rFonts w:hint="eastAsia" w:ascii="宋体" w:hAnsi="宋体"/>
                <w:b/>
                <w:color w:val="auto"/>
                <w:szCs w:val="21"/>
                <w:highlight w:val="none"/>
              </w:rPr>
              <w:t xml:space="preserve">二 </w:t>
            </w:r>
          </w:p>
          <w:p>
            <w:pPr>
              <w:keepNext w:val="0"/>
              <w:keepLines w:val="0"/>
              <w:suppressLineNumbers w:val="0"/>
              <w:spacing w:before="0" w:beforeAutospacing="0" w:after="0" w:afterAutospacing="0" w:line="360" w:lineRule="exact"/>
              <w:ind w:left="1" w:right="0"/>
              <w:jc w:val="center"/>
              <w:rPr>
                <w:rFonts w:hint="eastAsia" w:ascii="宋体" w:hAnsi="宋体"/>
                <w:b/>
                <w:color w:val="auto"/>
                <w:szCs w:val="21"/>
                <w:highlight w:val="none"/>
              </w:rPr>
            </w:pPr>
          </w:p>
          <w:p>
            <w:pPr>
              <w:keepNext w:val="0"/>
              <w:keepLines w:val="0"/>
              <w:suppressLineNumbers w:val="0"/>
              <w:spacing w:before="0" w:beforeAutospacing="0" w:after="0" w:afterAutospacing="0" w:line="360" w:lineRule="exact"/>
              <w:ind w:left="1" w:right="0"/>
              <w:jc w:val="center"/>
              <w:rPr>
                <w:rFonts w:hint="eastAsia" w:ascii="宋体" w:hAnsi="宋体"/>
                <w:b/>
                <w:color w:val="auto"/>
                <w:spacing w:val="20"/>
                <w:szCs w:val="21"/>
                <w:highlight w:val="none"/>
              </w:rPr>
            </w:pPr>
            <w:r>
              <w:rPr>
                <w:rFonts w:hint="eastAsia" w:ascii="宋体" w:hAnsi="宋体"/>
                <w:b/>
                <w:color w:val="auto"/>
                <w:spacing w:val="20"/>
                <w:szCs w:val="21"/>
                <w:highlight w:val="none"/>
              </w:rPr>
              <w:t>企业</w:t>
            </w:r>
          </w:p>
          <w:p>
            <w:pPr>
              <w:keepNext w:val="0"/>
              <w:keepLines w:val="0"/>
              <w:suppressLineNumbers w:val="0"/>
              <w:spacing w:before="0" w:beforeAutospacing="0" w:after="0" w:afterAutospacing="0" w:line="360" w:lineRule="exact"/>
              <w:ind w:left="1" w:right="0"/>
              <w:jc w:val="center"/>
              <w:rPr>
                <w:rFonts w:hint="default" w:ascii="宋体" w:hAnsi="宋体"/>
                <w:b/>
                <w:color w:val="auto"/>
                <w:szCs w:val="21"/>
                <w:highlight w:val="none"/>
              </w:rPr>
            </w:pPr>
            <w:r>
              <w:rPr>
                <w:rFonts w:hint="eastAsia" w:ascii="宋体" w:hAnsi="宋体"/>
                <w:b/>
                <w:color w:val="auto"/>
                <w:spacing w:val="20"/>
                <w:szCs w:val="21"/>
                <w:highlight w:val="none"/>
              </w:rPr>
              <w:t>业绩</w:t>
            </w:r>
          </w:p>
          <w:p>
            <w:pPr>
              <w:keepNext w:val="0"/>
              <w:keepLines w:val="0"/>
              <w:suppressLineNumbers w:val="0"/>
              <w:spacing w:before="0" w:beforeAutospacing="0" w:after="0" w:afterAutospacing="0" w:line="360" w:lineRule="exact"/>
              <w:ind w:left="0" w:right="0"/>
              <w:jc w:val="center"/>
              <w:rPr>
                <w:rFonts w:hint="eastAsia" w:ascii="宋体" w:hAnsi="宋体"/>
                <w:b/>
                <w:color w:val="auto"/>
                <w:szCs w:val="21"/>
                <w:highlight w:val="none"/>
                <w:lang w:val="zh-CN"/>
              </w:rPr>
            </w:pPr>
          </w:p>
        </w:tc>
        <w:tc>
          <w:tcPr>
            <w:tcW w:w="202" w:type="pct"/>
            <w:vMerge w:val="restart"/>
            <w:tcBorders>
              <w:left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4</w:t>
            </w:r>
            <w:r>
              <w:rPr>
                <w:rFonts w:hint="eastAsia" w:ascii="宋体" w:hAnsi="宋体"/>
                <w:color w:val="auto"/>
                <w:szCs w:val="21"/>
                <w:highlight w:val="none"/>
              </w:rPr>
              <w:t>分</w:t>
            </w:r>
          </w:p>
        </w:tc>
        <w:tc>
          <w:tcPr>
            <w:tcW w:w="473" w:type="pct"/>
            <w:vMerge w:val="restart"/>
            <w:tcBorders>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r>
              <w:rPr>
                <w:rFonts w:hint="eastAsia" w:ascii="宋体" w:hAnsi="宋体"/>
                <w:color w:val="auto"/>
                <w:szCs w:val="21"/>
                <w:highlight w:val="none"/>
              </w:rPr>
              <w:t>监理公司业绩</w:t>
            </w:r>
          </w:p>
        </w:tc>
        <w:tc>
          <w:tcPr>
            <w:tcW w:w="336" w:type="pct"/>
            <w:vMerge w:val="restart"/>
            <w:tcBorders>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8</w:t>
            </w:r>
          </w:p>
        </w:tc>
        <w:tc>
          <w:tcPr>
            <w:tcW w:w="260"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4</w:t>
            </w:r>
          </w:p>
        </w:tc>
        <w:tc>
          <w:tcPr>
            <w:tcW w:w="2721" w:type="pct"/>
            <w:tcBorders>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color w:val="auto"/>
                <w:szCs w:val="21"/>
                <w:highlight w:val="none"/>
              </w:rPr>
            </w:pPr>
            <w:r>
              <w:rPr>
                <w:rFonts w:hint="eastAsia" w:ascii="宋体" w:hAnsi="宋体"/>
                <w:color w:val="auto"/>
                <w:szCs w:val="21"/>
                <w:highlight w:val="none"/>
              </w:rPr>
              <w:t>企业</w:t>
            </w:r>
            <w:r>
              <w:rPr>
                <w:rFonts w:hint="eastAsia" w:ascii="宋体" w:hAnsi="宋体"/>
                <w:color w:val="auto"/>
                <w:szCs w:val="21"/>
                <w:highlight w:val="none"/>
                <w:lang w:val="en-US" w:eastAsia="zh-CN"/>
              </w:rPr>
              <w:t>2018年1月1日起至今</w:t>
            </w:r>
            <w:r>
              <w:rPr>
                <w:rFonts w:hint="eastAsia" w:ascii="宋体" w:hAnsi="宋体"/>
                <w:color w:val="auto"/>
                <w:szCs w:val="21"/>
                <w:highlight w:val="none"/>
              </w:rPr>
              <w:t>曾获以下奖项的，按以下规则得分，本项最多不超过4分，</w:t>
            </w:r>
            <w:r>
              <w:rPr>
                <w:rFonts w:hint="eastAsia" w:ascii="宋体" w:hAnsi="宋体"/>
                <w:color w:val="auto"/>
                <w:szCs w:val="21"/>
                <w:highlight w:val="none"/>
                <w:lang w:val="en-US" w:eastAsia="zh-CN"/>
              </w:rPr>
              <w:t>四</w:t>
            </w:r>
            <w:r>
              <w:rPr>
                <w:rFonts w:hint="eastAsia" w:ascii="宋体" w:hAnsi="宋体"/>
                <w:color w:val="auto"/>
                <w:szCs w:val="21"/>
                <w:highlight w:val="none"/>
              </w:rPr>
              <w:t>小项得分合计超4分的，按4分计：</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i/>
                <w:color w:val="auto"/>
                <w:szCs w:val="21"/>
                <w:highlight w:val="none"/>
              </w:rPr>
            </w:pPr>
            <w:r>
              <w:rPr>
                <w:rFonts w:hint="eastAsia" w:ascii="宋体" w:hAnsi="宋体"/>
                <w:i w:val="0"/>
                <w:iCs w:val="0"/>
                <w:color w:val="auto"/>
                <w:szCs w:val="21"/>
                <w:highlight w:val="none"/>
                <w:lang w:val="en-US" w:eastAsia="zh-CN"/>
              </w:rPr>
              <w:t>1.</w:t>
            </w:r>
            <w:r>
              <w:rPr>
                <w:rFonts w:hint="eastAsia" w:ascii="宋体" w:hAnsi="宋体"/>
                <w:color w:val="auto"/>
                <w:szCs w:val="21"/>
                <w:highlight w:val="none"/>
                <w:lang w:val="en-US" w:eastAsia="zh-CN"/>
              </w:rPr>
              <w:t>2018年1月1日起至今</w:t>
            </w:r>
            <w:r>
              <w:rPr>
                <w:rFonts w:hint="eastAsia" w:ascii="宋体" w:hAnsi="宋体"/>
                <w:color w:val="auto"/>
                <w:szCs w:val="21"/>
                <w:highlight w:val="none"/>
              </w:rPr>
              <w:t>监理的</w:t>
            </w:r>
            <w:r>
              <w:rPr>
                <w:rFonts w:hint="eastAsia" w:ascii="宋体" w:hAnsi="宋体"/>
                <w:color w:val="auto"/>
                <w:szCs w:val="21"/>
                <w:highlight w:val="none"/>
                <w:lang w:val="zh-CN"/>
              </w:rPr>
              <w:t>同类别</w:t>
            </w:r>
            <w:r>
              <w:rPr>
                <w:rFonts w:hint="eastAsia" w:ascii="宋体" w:hAnsi="宋体"/>
                <w:color w:val="auto"/>
                <w:szCs w:val="21"/>
                <w:highlight w:val="none"/>
              </w:rPr>
              <w:t>工程曾获省级</w:t>
            </w:r>
            <w:r>
              <w:rPr>
                <w:rFonts w:hint="eastAsia" w:ascii="宋体" w:hAnsi="宋体"/>
                <w:color w:val="auto"/>
                <w:szCs w:val="21"/>
                <w:highlight w:val="none"/>
                <w:lang w:val="en-US" w:eastAsia="zh-CN"/>
              </w:rPr>
              <w:t>及以上</w:t>
            </w:r>
            <w:r>
              <w:rPr>
                <w:rFonts w:hint="eastAsia" w:ascii="宋体" w:hAnsi="宋体"/>
                <w:color w:val="auto"/>
                <w:szCs w:val="21"/>
                <w:highlight w:val="none"/>
              </w:rPr>
              <w:t>工程建设质量类奖项的每项得</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rPr>
              <w:t xml:space="preserve"> </w:t>
            </w:r>
            <w:r>
              <w:rPr>
                <w:rFonts w:hint="eastAsia" w:ascii="宋体" w:hAnsi="宋体"/>
                <w:color w:val="auto"/>
                <w:szCs w:val="21"/>
                <w:highlight w:val="none"/>
              </w:rPr>
              <w:t>分，获地市级工程建设质量类奖项的每项得</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 xml:space="preserve"> </w:t>
            </w:r>
            <w:r>
              <w:rPr>
                <w:rFonts w:hint="eastAsia" w:ascii="宋体" w:hAnsi="宋体"/>
                <w:color w:val="auto"/>
                <w:szCs w:val="21"/>
                <w:highlight w:val="none"/>
              </w:rPr>
              <w:t>分。</w:t>
            </w:r>
            <w:r>
              <w:rPr>
                <w:rFonts w:hint="eastAsia" w:ascii="宋体" w:hAnsi="宋体"/>
                <w:color w:val="auto"/>
                <w:szCs w:val="21"/>
                <w:highlight w:val="none"/>
                <w:lang w:eastAsia="zh-CN"/>
              </w:rPr>
              <w:t>（</w:t>
            </w:r>
            <w:r>
              <w:rPr>
                <w:rFonts w:hint="eastAsia" w:ascii="宋体" w:hAnsi="宋体"/>
                <w:i w:val="0"/>
                <w:iCs/>
                <w:color w:val="auto"/>
                <w:szCs w:val="21"/>
                <w:highlight w:val="none"/>
                <w:lang w:val="en-US" w:eastAsia="zh-CN"/>
              </w:rPr>
              <w:t>本小项最高得4分</w:t>
            </w:r>
            <w:r>
              <w:rPr>
                <w:rFonts w:hint="eastAsia" w:ascii="宋体" w:hAnsi="宋体"/>
                <w:color w:val="auto"/>
                <w:szCs w:val="21"/>
                <w:highlight w:val="none"/>
                <w:lang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color w:val="auto"/>
                <w:szCs w:val="21"/>
                <w:highlight w:val="none"/>
                <w:lang w:eastAsia="zh-CN"/>
              </w:rPr>
            </w:pPr>
            <w:r>
              <w:rPr>
                <w:rFonts w:hint="eastAsia" w:ascii="宋体" w:hAnsi="宋体"/>
                <w:color w:val="auto"/>
                <w:szCs w:val="21"/>
                <w:highlight w:val="none"/>
                <w:lang w:val="en-US" w:eastAsia="zh-CN"/>
              </w:rPr>
              <w:t>2.2018年1月1日起至今</w:t>
            </w:r>
            <w:r>
              <w:rPr>
                <w:rFonts w:hint="eastAsia" w:ascii="宋体" w:hAnsi="宋体"/>
                <w:color w:val="auto"/>
                <w:szCs w:val="21"/>
                <w:highlight w:val="none"/>
              </w:rPr>
              <w:t>监理的</w:t>
            </w:r>
            <w:r>
              <w:rPr>
                <w:rFonts w:hint="eastAsia" w:ascii="宋体" w:hAnsi="宋体"/>
                <w:color w:val="auto"/>
                <w:szCs w:val="21"/>
                <w:highlight w:val="none"/>
                <w:lang w:val="zh-CN"/>
              </w:rPr>
              <w:t>同类别</w:t>
            </w:r>
            <w:r>
              <w:rPr>
                <w:rFonts w:hint="eastAsia" w:ascii="宋体" w:hAnsi="宋体"/>
                <w:color w:val="auto"/>
                <w:szCs w:val="21"/>
                <w:highlight w:val="none"/>
              </w:rPr>
              <w:t>工程曾获省级</w:t>
            </w:r>
            <w:r>
              <w:rPr>
                <w:rFonts w:hint="eastAsia" w:ascii="宋体" w:hAnsi="宋体"/>
                <w:color w:val="auto"/>
                <w:szCs w:val="21"/>
                <w:highlight w:val="none"/>
                <w:lang w:val="en-US" w:eastAsia="zh-CN"/>
              </w:rPr>
              <w:t>及以上</w:t>
            </w:r>
            <w:r>
              <w:rPr>
                <w:rFonts w:hint="eastAsia" w:ascii="宋体" w:hAnsi="宋体"/>
                <w:color w:val="auto"/>
                <w:szCs w:val="21"/>
                <w:highlight w:val="none"/>
              </w:rPr>
              <w:t>工程建设安全生产管理类奖项的每项得</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2.5</w:t>
            </w:r>
            <w:r>
              <w:rPr>
                <w:rFonts w:hint="eastAsia" w:ascii="宋体" w:hAnsi="宋体"/>
                <w:color w:val="auto"/>
                <w:szCs w:val="21"/>
                <w:highlight w:val="none"/>
              </w:rPr>
              <w:t>分，获地市级工程建设安全生产管理类奖项的每项得</w:t>
            </w:r>
            <w:r>
              <w:rPr>
                <w:rFonts w:hint="eastAsia" w:ascii="宋体" w:hAnsi="宋体"/>
                <w:color w:val="auto"/>
                <w:szCs w:val="21"/>
                <w:highlight w:val="none"/>
                <w:u w:val="single"/>
                <w:lang w:val="en-US" w:eastAsia="zh-CN"/>
              </w:rPr>
              <w:t>1.5</w:t>
            </w:r>
            <w:r>
              <w:rPr>
                <w:rFonts w:hint="eastAsia" w:ascii="宋体" w:hAnsi="宋体"/>
                <w:color w:val="auto"/>
                <w:szCs w:val="21"/>
                <w:highlight w:val="none"/>
              </w:rPr>
              <w:t>分。</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本小项最高得2.5分</w:t>
            </w:r>
            <w:r>
              <w:rPr>
                <w:rFonts w:hint="eastAsia" w:ascii="宋体" w:hAnsi="宋体"/>
                <w:color w:val="auto"/>
                <w:szCs w:val="21"/>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olor w:val="auto"/>
                <w:szCs w:val="21"/>
                <w:highlight w:val="none"/>
              </w:rPr>
            </w:pPr>
            <w:r>
              <w:rPr>
                <w:rFonts w:hint="eastAsia" w:ascii="宋体" w:hAnsi="宋体"/>
                <w:color w:val="auto"/>
                <w:szCs w:val="21"/>
                <w:highlight w:val="none"/>
              </w:rPr>
              <w:t>备注：同一项目各级奖项不累计，并且以获奖最高级别为准。同一项目只可得质量类奖项或安全生产管理类奖项评分，并且以得分最高的奖项为准。</w:t>
            </w:r>
          </w:p>
        </w:tc>
        <w:tc>
          <w:tcPr>
            <w:tcW w:w="331"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p>
        </w:tc>
        <w:tc>
          <w:tcPr>
            <w:tcW w:w="269" w:type="pct"/>
            <w:tcBorders>
              <w:left w:val="single" w:color="auto" w:sz="4" w:space="0"/>
              <w:bottom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39" w:hRule="atLeast"/>
        </w:trPr>
        <w:tc>
          <w:tcPr>
            <w:tcW w:w="404" w:type="pct"/>
            <w:vMerge w:val="continue"/>
            <w:tcBorders>
              <w:right w:val="single" w:color="auto" w:sz="4" w:space="0"/>
            </w:tcBorders>
            <w:shd w:val="clear" w:color="auto" w:fill="auto"/>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b/>
                <w:color w:val="auto"/>
                <w:szCs w:val="21"/>
                <w:highlight w:val="none"/>
                <w:lang w:val="zh-CN"/>
              </w:rPr>
            </w:pPr>
          </w:p>
        </w:tc>
        <w:tc>
          <w:tcPr>
            <w:tcW w:w="202" w:type="pct"/>
            <w:vMerge w:val="continue"/>
            <w:tcBorders>
              <w:left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p>
        </w:tc>
        <w:tc>
          <w:tcPr>
            <w:tcW w:w="473" w:type="pct"/>
            <w:vMerge w:val="continue"/>
            <w:tcBorders>
              <w:top w:val="single" w:color="auto" w:sz="4" w:space="0"/>
              <w:left w:val="single" w:color="auto" w:sz="4" w:space="0"/>
            </w:tcBorders>
            <w:shd w:val="clear" w:color="auto" w:fill="auto"/>
            <w:noWrap w:val="0"/>
            <w:vAlign w:val="center"/>
          </w:tcPr>
          <w:p>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p>
        </w:tc>
        <w:tc>
          <w:tcPr>
            <w:tcW w:w="336" w:type="pct"/>
            <w:vMerge w:val="continue"/>
            <w:tcBorders>
              <w:top w:val="single" w:color="auto" w:sz="4" w:space="0"/>
            </w:tcBorders>
            <w:shd w:val="clear" w:color="auto" w:fill="auto"/>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p>
        </w:tc>
        <w:tc>
          <w:tcPr>
            <w:tcW w:w="260" w:type="pct"/>
            <w:tcBorders>
              <w:top w:val="single" w:color="auto" w:sz="4"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2</w:t>
            </w:r>
          </w:p>
        </w:tc>
        <w:tc>
          <w:tcPr>
            <w:tcW w:w="2721" w:type="pct"/>
            <w:tcBorders>
              <w:top w:val="single" w:color="auto" w:sz="4" w:space="0"/>
              <w:left w:val="single" w:color="auto" w:sz="6" w:space="0"/>
              <w:bottom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color w:val="auto"/>
                <w:szCs w:val="21"/>
                <w:highlight w:val="none"/>
              </w:rPr>
            </w:pPr>
            <w:r>
              <w:rPr>
                <w:rFonts w:hint="eastAsia" w:ascii="宋体" w:hAnsi="宋体"/>
                <w:color w:val="auto"/>
                <w:szCs w:val="21"/>
                <w:highlight w:val="none"/>
              </w:rPr>
              <w:t>企业</w:t>
            </w:r>
            <w:r>
              <w:rPr>
                <w:rFonts w:hint="eastAsia" w:ascii="宋体" w:hAnsi="宋体"/>
                <w:color w:val="auto"/>
                <w:szCs w:val="21"/>
                <w:highlight w:val="none"/>
                <w:lang w:val="en-US" w:eastAsia="zh-CN"/>
              </w:rPr>
              <w:t>2018年1月1日起至今</w:t>
            </w:r>
            <w:r>
              <w:rPr>
                <w:rFonts w:hint="eastAsia" w:ascii="宋体" w:hAnsi="宋体"/>
                <w:color w:val="auto"/>
                <w:szCs w:val="21"/>
                <w:highlight w:val="none"/>
              </w:rPr>
              <w:t>监理一项已竣工验收</w:t>
            </w:r>
            <w:r>
              <w:rPr>
                <w:rFonts w:hint="eastAsia" w:ascii="宋体" w:hAnsi="宋体"/>
                <w:color w:val="auto"/>
                <w:szCs w:val="21"/>
                <w:highlight w:val="none"/>
                <w:lang w:val="zh-CN"/>
              </w:rPr>
              <w:t>同类别</w:t>
            </w:r>
            <w:r>
              <w:rPr>
                <w:rFonts w:hint="eastAsia" w:ascii="宋体" w:hAnsi="宋体"/>
                <w:color w:val="auto"/>
                <w:szCs w:val="21"/>
                <w:highlight w:val="none"/>
              </w:rPr>
              <w:t>工程的得</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0.5</w:t>
            </w:r>
            <w:r>
              <w:rPr>
                <w:rFonts w:hint="eastAsia" w:ascii="宋体" w:hAnsi="宋体"/>
                <w:color w:val="auto"/>
                <w:szCs w:val="21"/>
                <w:highlight w:val="none"/>
                <w:u w:val="single"/>
              </w:rPr>
              <w:t xml:space="preserve">  </w:t>
            </w:r>
            <w:r>
              <w:rPr>
                <w:rFonts w:hint="eastAsia" w:ascii="宋体" w:hAnsi="宋体"/>
                <w:color w:val="auto"/>
                <w:szCs w:val="21"/>
                <w:highlight w:val="none"/>
              </w:rPr>
              <w:t>分，增加一项加</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0.5</w:t>
            </w:r>
            <w:r>
              <w:rPr>
                <w:rFonts w:hint="eastAsia" w:ascii="宋体" w:hAnsi="宋体"/>
                <w:color w:val="auto"/>
                <w:szCs w:val="21"/>
                <w:highlight w:val="none"/>
                <w:u w:val="single"/>
              </w:rPr>
              <w:t xml:space="preserve">  </w:t>
            </w:r>
            <w:r>
              <w:rPr>
                <w:rFonts w:hint="eastAsia" w:ascii="宋体" w:hAnsi="宋体"/>
                <w:color w:val="auto"/>
                <w:szCs w:val="21"/>
                <w:highlight w:val="none"/>
              </w:rPr>
              <w:t>分，本项累计不超过2分。</w:t>
            </w:r>
          </w:p>
        </w:tc>
        <w:tc>
          <w:tcPr>
            <w:tcW w:w="331" w:type="pct"/>
            <w:tcBorders>
              <w:top w:val="single" w:color="auto" w:sz="4" w:space="0"/>
              <w:bottom w:val="single" w:color="auto" w:sz="6"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p>
        </w:tc>
        <w:tc>
          <w:tcPr>
            <w:tcW w:w="269" w:type="pct"/>
            <w:tcBorders>
              <w:top w:val="single" w:color="auto" w:sz="4" w:space="0"/>
              <w:bottom w:val="single" w:color="auto" w:sz="6"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78" w:hRule="atLeast"/>
        </w:trPr>
        <w:tc>
          <w:tcPr>
            <w:tcW w:w="404" w:type="pct"/>
            <w:vMerge w:val="continue"/>
            <w:tcBorders>
              <w:right w:val="single" w:color="auto" w:sz="4" w:space="0"/>
            </w:tcBorders>
            <w:shd w:val="clear" w:color="auto" w:fill="auto"/>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b/>
                <w:color w:val="auto"/>
                <w:szCs w:val="21"/>
                <w:highlight w:val="none"/>
                <w:lang w:val="zh-CN"/>
              </w:rPr>
            </w:pPr>
          </w:p>
        </w:tc>
        <w:tc>
          <w:tcPr>
            <w:tcW w:w="202" w:type="pct"/>
            <w:vMerge w:val="continue"/>
            <w:tcBorders>
              <w:left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p>
        </w:tc>
        <w:tc>
          <w:tcPr>
            <w:tcW w:w="473" w:type="pct"/>
            <w:vMerge w:val="continue"/>
            <w:tcBorders>
              <w:left w:val="single" w:color="auto" w:sz="4" w:space="0"/>
            </w:tcBorders>
            <w:shd w:val="clear" w:color="auto" w:fill="auto"/>
            <w:noWrap w:val="0"/>
            <w:vAlign w:val="center"/>
          </w:tcPr>
          <w:p>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p>
        </w:tc>
        <w:tc>
          <w:tcPr>
            <w:tcW w:w="336" w:type="pct"/>
            <w:vMerge w:val="continue"/>
            <w:shd w:val="clear" w:color="auto" w:fill="auto"/>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p>
        </w:tc>
        <w:tc>
          <w:tcPr>
            <w:tcW w:w="260" w:type="pct"/>
            <w:tcBorders>
              <w:bottom w:val="single" w:color="auto" w:sz="6" w:space="0"/>
              <w:right w:val="single" w:color="auto" w:sz="6"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2</w:t>
            </w:r>
          </w:p>
        </w:tc>
        <w:tc>
          <w:tcPr>
            <w:tcW w:w="2721" w:type="pct"/>
            <w:tcBorders>
              <w:left w:val="single" w:color="auto" w:sz="6" w:space="0"/>
              <w:bottom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color w:val="auto"/>
                <w:szCs w:val="21"/>
                <w:highlight w:val="none"/>
              </w:rPr>
            </w:pPr>
            <w:r>
              <w:rPr>
                <w:rFonts w:hint="eastAsia" w:ascii="宋体" w:hAnsi="宋体"/>
                <w:color w:val="auto"/>
                <w:szCs w:val="21"/>
                <w:highlight w:val="none"/>
              </w:rPr>
              <w:t>企业</w:t>
            </w:r>
            <w:r>
              <w:rPr>
                <w:rFonts w:hint="eastAsia" w:ascii="宋体" w:hAnsi="宋体"/>
                <w:color w:val="auto"/>
                <w:szCs w:val="21"/>
                <w:highlight w:val="none"/>
                <w:lang w:val="en-US" w:eastAsia="zh-CN"/>
              </w:rPr>
              <w:t>2018年1月1日起至今</w:t>
            </w:r>
            <w:r>
              <w:rPr>
                <w:rFonts w:hint="eastAsia" w:ascii="宋体" w:hAnsi="宋体"/>
                <w:color w:val="auto"/>
                <w:szCs w:val="21"/>
                <w:highlight w:val="none"/>
              </w:rPr>
              <w:t>监理一项已竣工验收</w:t>
            </w:r>
            <w:r>
              <w:rPr>
                <w:rFonts w:hint="eastAsia" w:ascii="宋体" w:hAnsi="宋体"/>
                <w:color w:val="auto"/>
                <w:szCs w:val="21"/>
                <w:highlight w:val="none"/>
                <w:lang w:val="zh-CN"/>
              </w:rPr>
              <w:t>同类别且规模相当</w:t>
            </w:r>
            <w:r>
              <w:rPr>
                <w:rFonts w:hint="eastAsia" w:ascii="宋体" w:hAnsi="宋体"/>
                <w:color w:val="auto"/>
                <w:szCs w:val="21"/>
                <w:highlight w:val="none"/>
              </w:rPr>
              <w:t>工程工作的得</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 xml:space="preserve"> </w:t>
            </w:r>
            <w:r>
              <w:rPr>
                <w:rFonts w:hint="eastAsia" w:ascii="宋体" w:hAnsi="宋体"/>
                <w:color w:val="auto"/>
                <w:szCs w:val="21"/>
                <w:highlight w:val="none"/>
              </w:rPr>
              <w:t>分，每增加一项加</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 xml:space="preserve"> </w:t>
            </w:r>
            <w:r>
              <w:rPr>
                <w:rFonts w:hint="eastAsia" w:ascii="宋体" w:hAnsi="宋体"/>
                <w:color w:val="auto"/>
                <w:szCs w:val="21"/>
                <w:highlight w:val="none"/>
              </w:rPr>
              <w:t>分，本项累计不超过2分。</w:t>
            </w:r>
          </w:p>
        </w:tc>
        <w:tc>
          <w:tcPr>
            <w:tcW w:w="331" w:type="pct"/>
            <w:tcBorders>
              <w:bottom w:val="single" w:color="auto" w:sz="6"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p>
        </w:tc>
        <w:tc>
          <w:tcPr>
            <w:tcW w:w="269" w:type="pct"/>
            <w:tcBorders>
              <w:bottom w:val="single" w:color="auto" w:sz="6"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38" w:hRule="atLeast"/>
        </w:trPr>
        <w:tc>
          <w:tcPr>
            <w:tcW w:w="404" w:type="pct"/>
            <w:vMerge w:val="continue"/>
            <w:tcBorders>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b/>
                <w:color w:val="auto"/>
                <w:szCs w:val="21"/>
                <w:highlight w:val="none"/>
                <w:lang w:val="zh-CN"/>
              </w:rPr>
            </w:pPr>
          </w:p>
        </w:tc>
        <w:tc>
          <w:tcPr>
            <w:tcW w:w="202"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p>
        </w:tc>
        <w:tc>
          <w:tcPr>
            <w:tcW w:w="473" w:type="pct"/>
            <w:vMerge w:val="restart"/>
            <w:tcBorders>
              <w:lef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r>
              <w:rPr>
                <w:rFonts w:hint="eastAsia" w:ascii="宋体" w:hAnsi="宋体"/>
                <w:color w:val="auto"/>
                <w:szCs w:val="21"/>
                <w:highlight w:val="none"/>
              </w:rPr>
              <w:t>监理公司信誉</w:t>
            </w:r>
          </w:p>
        </w:tc>
        <w:tc>
          <w:tcPr>
            <w:tcW w:w="336" w:type="pct"/>
            <w:vMerge w:val="restart"/>
            <w:noWrap w:val="0"/>
            <w:vAlign w:val="center"/>
          </w:tcPr>
          <w:p>
            <w:pPr>
              <w:keepNext w:val="0"/>
              <w:keepLines w:val="0"/>
              <w:suppressLineNumbers w:val="0"/>
              <w:autoSpaceDE w:val="0"/>
              <w:autoSpaceDN w:val="0"/>
              <w:adjustRightInd w:val="0"/>
              <w:spacing w:before="0" w:beforeAutospacing="0" w:after="0" w:afterAutospacing="0" w:line="260" w:lineRule="exact"/>
              <w:ind w:left="0" w:right="0"/>
              <w:jc w:val="center"/>
              <w:rPr>
                <w:rFonts w:hint="eastAsia" w:ascii="宋体" w:hAnsi="宋体" w:eastAsia="宋体" w:cs="宋体"/>
                <w:color w:val="auto"/>
                <w:szCs w:val="21"/>
                <w:highlight w:val="none"/>
                <w:lang w:val="zh-CN" w:eastAsia="zh-CN"/>
              </w:rPr>
            </w:pPr>
            <w:r>
              <w:rPr>
                <w:rFonts w:hint="eastAsia" w:ascii="宋体" w:hAnsi="宋体"/>
                <w:color w:val="auto"/>
                <w:szCs w:val="21"/>
                <w:highlight w:val="none"/>
                <w:lang w:val="en-US" w:eastAsia="zh-CN"/>
              </w:rPr>
              <w:t>8</w:t>
            </w:r>
          </w:p>
        </w:tc>
        <w:tc>
          <w:tcPr>
            <w:tcW w:w="260" w:type="pct"/>
            <w:tcBorders>
              <w:bottom w:val="single" w:color="auto" w:sz="6" w:space="0"/>
              <w:right w:val="single" w:color="auto" w:sz="6"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2</w:t>
            </w:r>
          </w:p>
        </w:tc>
        <w:tc>
          <w:tcPr>
            <w:tcW w:w="2721" w:type="pct"/>
            <w:tcBorders>
              <w:left w:val="single" w:color="auto" w:sz="6" w:space="0"/>
              <w:bottom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olor w:val="auto"/>
                <w:szCs w:val="21"/>
                <w:highlight w:val="none"/>
              </w:rPr>
            </w:pPr>
            <w:r>
              <w:rPr>
                <w:rFonts w:hint="eastAsia" w:ascii="宋体" w:hAnsi="宋体"/>
                <w:color w:val="auto"/>
                <w:kern w:val="0"/>
                <w:szCs w:val="21"/>
                <w:highlight w:val="none"/>
              </w:rPr>
              <w:t>企业</w:t>
            </w:r>
            <w:r>
              <w:rPr>
                <w:rFonts w:hint="eastAsia" w:ascii="宋体" w:hAnsi="宋体"/>
                <w:color w:val="auto"/>
                <w:kern w:val="0"/>
                <w:szCs w:val="21"/>
                <w:highlight w:val="none"/>
                <w:lang w:val="en-US" w:eastAsia="zh-CN"/>
              </w:rPr>
              <w:t>2018年1月1日起至今</w:t>
            </w:r>
            <w:r>
              <w:rPr>
                <w:rFonts w:hint="eastAsia" w:ascii="宋体" w:hAnsi="宋体"/>
                <w:color w:val="auto"/>
                <w:kern w:val="0"/>
                <w:szCs w:val="21"/>
                <w:highlight w:val="none"/>
              </w:rPr>
              <w:t>曾获省级</w:t>
            </w:r>
            <w:r>
              <w:rPr>
                <w:rFonts w:hint="eastAsia" w:ascii="宋体" w:hAnsi="宋体"/>
                <w:color w:val="auto"/>
                <w:kern w:val="0"/>
                <w:szCs w:val="21"/>
                <w:highlight w:val="none"/>
                <w:lang w:val="en-US" w:eastAsia="zh-CN"/>
              </w:rPr>
              <w:t>及以上</w:t>
            </w:r>
            <w:r>
              <w:rPr>
                <w:rFonts w:hint="eastAsia" w:ascii="宋体" w:hAnsi="宋体"/>
                <w:color w:val="auto"/>
                <w:kern w:val="0"/>
                <w:szCs w:val="21"/>
                <w:highlight w:val="none"/>
              </w:rPr>
              <w:t>建设监理协会颁发的“先进工程监理企业”的每项得</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2</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分，获市级建设监理协会颁发的“先进工程监理企业”的</w:t>
            </w:r>
            <w:r>
              <w:rPr>
                <w:rFonts w:hint="eastAsia" w:ascii="宋体" w:hAnsi="宋体"/>
                <w:color w:val="auto"/>
                <w:szCs w:val="21"/>
                <w:highlight w:val="none"/>
              </w:rPr>
              <w:t>每项</w:t>
            </w:r>
            <w:r>
              <w:rPr>
                <w:rFonts w:hint="eastAsia" w:ascii="宋体" w:hAnsi="宋体"/>
                <w:color w:val="auto"/>
                <w:kern w:val="0"/>
                <w:szCs w:val="21"/>
                <w:highlight w:val="none"/>
              </w:rPr>
              <w:t>得</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1</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分。</w:t>
            </w:r>
            <w:r>
              <w:rPr>
                <w:rFonts w:hint="eastAsia" w:ascii="宋体" w:hAnsi="宋体"/>
                <w:color w:val="auto"/>
                <w:szCs w:val="21"/>
                <w:highlight w:val="none"/>
              </w:rPr>
              <w:t>本项最多不超过</w:t>
            </w:r>
            <w:r>
              <w:rPr>
                <w:rFonts w:hint="eastAsia" w:ascii="宋体" w:hAnsi="宋体"/>
                <w:color w:val="auto"/>
                <w:szCs w:val="21"/>
                <w:highlight w:val="none"/>
                <w:lang w:val="en-US" w:eastAsia="zh-CN"/>
              </w:rPr>
              <w:t>2</w:t>
            </w:r>
            <w:r>
              <w:rPr>
                <w:rFonts w:hint="eastAsia" w:ascii="宋体" w:hAnsi="宋体"/>
                <w:color w:val="auto"/>
                <w:szCs w:val="21"/>
                <w:highlight w:val="none"/>
              </w:rPr>
              <w:t>分。</w:t>
            </w:r>
          </w:p>
        </w:tc>
        <w:tc>
          <w:tcPr>
            <w:tcW w:w="331" w:type="pct"/>
            <w:tcBorders>
              <w:bottom w:val="single" w:color="auto" w:sz="6"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p>
        </w:tc>
        <w:tc>
          <w:tcPr>
            <w:tcW w:w="269" w:type="pct"/>
            <w:tcBorders>
              <w:bottom w:val="single" w:color="auto" w:sz="6"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38" w:hRule="atLeast"/>
        </w:trPr>
        <w:tc>
          <w:tcPr>
            <w:tcW w:w="404" w:type="pct"/>
            <w:vMerge w:val="continue"/>
            <w:tcBorders>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b/>
                <w:color w:val="auto"/>
                <w:szCs w:val="21"/>
                <w:highlight w:val="none"/>
                <w:lang w:val="zh-CN"/>
              </w:rPr>
            </w:pPr>
          </w:p>
        </w:tc>
        <w:tc>
          <w:tcPr>
            <w:tcW w:w="202"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p>
        </w:tc>
        <w:tc>
          <w:tcPr>
            <w:tcW w:w="473" w:type="pct"/>
            <w:vMerge w:val="continue"/>
            <w:tcBorders>
              <w:lef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p>
        </w:tc>
        <w:tc>
          <w:tcPr>
            <w:tcW w:w="336" w:type="pct"/>
            <w:vMerge w:val="continue"/>
            <w:noWrap w:val="0"/>
            <w:vAlign w:val="center"/>
          </w:tcPr>
          <w:p>
            <w:pPr>
              <w:keepNext w:val="0"/>
              <w:keepLines w:val="0"/>
              <w:suppressLineNumbers w:val="0"/>
              <w:autoSpaceDE w:val="0"/>
              <w:autoSpaceDN w:val="0"/>
              <w:adjustRightInd w:val="0"/>
              <w:spacing w:before="0" w:beforeAutospacing="0" w:after="0" w:afterAutospacing="0" w:line="260" w:lineRule="exact"/>
              <w:ind w:left="0" w:right="0"/>
              <w:jc w:val="center"/>
              <w:rPr>
                <w:rFonts w:hint="eastAsia" w:ascii="宋体" w:hAnsi="宋体"/>
                <w:color w:val="auto"/>
                <w:szCs w:val="21"/>
                <w:highlight w:val="none"/>
                <w:lang w:val="en-US" w:eastAsia="zh-CN"/>
              </w:rPr>
            </w:pPr>
          </w:p>
        </w:tc>
        <w:tc>
          <w:tcPr>
            <w:tcW w:w="260" w:type="pct"/>
            <w:tcBorders>
              <w:bottom w:val="single" w:color="auto" w:sz="6" w:space="0"/>
              <w:right w:val="single" w:color="auto" w:sz="6" w:space="0"/>
            </w:tcBorders>
            <w:noWrap w:val="0"/>
            <w:vAlign w:val="center"/>
          </w:tcPr>
          <w:p>
            <w:pPr>
              <w:keepNext w:val="0"/>
              <w:keepLines w:val="0"/>
              <w:suppressLineNumbers w:val="0"/>
              <w:spacing w:before="0" w:beforeAutospacing="0" w:after="0" w:afterAutospacing="0" w:line="240" w:lineRule="exact"/>
              <w:ind w:left="0" w:right="0"/>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4</w:t>
            </w:r>
          </w:p>
        </w:tc>
        <w:tc>
          <w:tcPr>
            <w:tcW w:w="2721" w:type="pct"/>
            <w:tcBorders>
              <w:left w:val="single" w:color="auto" w:sz="6" w:space="0"/>
              <w:bottom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企业具有ISO质量管理体系认证证书、ISO环境管理体系认证证书、OHSAS职业健康安全管理体系认证证书、信息安全管理体系认证证书、服务质量达标评测证书、诚信管理体系认证证书、履约能力认证证书</w:t>
            </w:r>
            <w:r>
              <w:rPr>
                <w:rFonts w:hint="eastAsia" w:ascii="宋体" w:hAnsi="宋体" w:cs="宋体"/>
                <w:color w:val="auto"/>
                <w:szCs w:val="21"/>
                <w:highlight w:val="none"/>
                <w:lang w:val="en-US" w:eastAsia="zh-CN"/>
              </w:rPr>
              <w:t>的得4分，每少1项扣1分，扣完为止。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注：提供有效期内证书扫描件及全国认证认可信息公共服务平台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olor w:val="auto"/>
                <w:szCs w:val="21"/>
                <w:highlight w:val="none"/>
              </w:rPr>
            </w:pPr>
            <w:r>
              <w:rPr>
                <w:rFonts w:hint="eastAsia" w:ascii="宋体" w:hAnsi="宋体" w:cs="宋体"/>
                <w:color w:val="auto"/>
                <w:szCs w:val="21"/>
                <w:highlight w:val="none"/>
              </w:rPr>
              <w:t>（http://cx.cnca.cn/CertECloud/index/index/page）网页查询截图。否则不得分。</w:t>
            </w:r>
          </w:p>
        </w:tc>
        <w:tc>
          <w:tcPr>
            <w:tcW w:w="331" w:type="pct"/>
            <w:tcBorders>
              <w:bottom w:val="single" w:color="auto" w:sz="6"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p>
        </w:tc>
        <w:tc>
          <w:tcPr>
            <w:tcW w:w="269" w:type="pct"/>
            <w:tcBorders>
              <w:bottom w:val="single" w:color="auto" w:sz="6"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72" w:hRule="atLeast"/>
        </w:trPr>
        <w:tc>
          <w:tcPr>
            <w:tcW w:w="404" w:type="pct"/>
            <w:vMerge w:val="continue"/>
            <w:tcBorders>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b/>
                <w:color w:val="auto"/>
                <w:szCs w:val="21"/>
                <w:highlight w:val="none"/>
                <w:lang w:val="zh-CN"/>
              </w:rPr>
            </w:pPr>
          </w:p>
        </w:tc>
        <w:tc>
          <w:tcPr>
            <w:tcW w:w="202"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p>
        </w:tc>
        <w:tc>
          <w:tcPr>
            <w:tcW w:w="473" w:type="pct"/>
            <w:vMerge w:val="continue"/>
            <w:tcBorders>
              <w:left w:val="single" w:color="auto" w:sz="4" w:space="0"/>
            </w:tcBorders>
            <w:noWrap w:val="0"/>
            <w:vAlign w:val="center"/>
          </w:tcPr>
          <w:p>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p>
        </w:tc>
        <w:tc>
          <w:tcPr>
            <w:tcW w:w="336" w:type="pct"/>
            <w:vMerge w:val="continue"/>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p>
        </w:tc>
        <w:tc>
          <w:tcPr>
            <w:tcW w:w="260" w:type="pct"/>
            <w:tcBorders>
              <w:bottom w:val="single" w:color="auto" w:sz="6" w:space="0"/>
              <w:right w:val="single" w:color="auto" w:sz="6"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2</w:t>
            </w:r>
          </w:p>
        </w:tc>
        <w:tc>
          <w:tcPr>
            <w:tcW w:w="2721" w:type="pct"/>
            <w:tcBorders>
              <w:left w:val="single" w:color="auto" w:sz="6" w:space="0"/>
              <w:bottom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color w:val="auto"/>
                <w:highlight w:val="none"/>
              </w:rPr>
            </w:pPr>
            <w:r>
              <w:rPr>
                <w:rFonts w:hint="eastAsia"/>
                <w:color w:val="auto"/>
                <w:highlight w:val="none"/>
              </w:rPr>
              <w:t>合同信誉良好（近</w:t>
            </w:r>
            <w:r>
              <w:rPr>
                <w:rFonts w:hint="default"/>
                <w:color w:val="auto"/>
                <w:highlight w:val="none"/>
              </w:rPr>
              <w:t>两年</w:t>
            </w:r>
            <w:r>
              <w:rPr>
                <w:rFonts w:hint="eastAsia"/>
                <w:color w:val="auto"/>
                <w:highlight w:val="none"/>
              </w:rPr>
              <w:t>或多年连续获得</w:t>
            </w:r>
            <w:r>
              <w:rPr>
                <w:rFonts w:hint="eastAsia"/>
                <w:color w:val="auto"/>
                <w:highlight w:val="none"/>
                <w:lang w:val="en-US" w:eastAsia="zh-CN"/>
              </w:rPr>
              <w:t>省级或以上</w:t>
            </w:r>
            <w:r>
              <w:rPr>
                <w:rFonts w:hint="eastAsia"/>
                <w:color w:val="auto"/>
                <w:highlight w:val="none"/>
              </w:rPr>
              <w:t>工商行政主管部门颁发的“守合同重信用企业”荣誉证书）</w:t>
            </w:r>
            <w:r>
              <w:rPr>
                <w:rFonts w:hint="eastAsia"/>
                <w:color w:val="auto"/>
                <w:highlight w:val="none"/>
                <w:lang w:eastAsia="zh-CN"/>
              </w:rPr>
              <w:t>：</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color w:val="auto"/>
                <w:highlight w:val="none"/>
              </w:rPr>
            </w:pPr>
            <w:r>
              <w:rPr>
                <w:rFonts w:hint="eastAsia"/>
                <w:color w:val="auto"/>
                <w:highlight w:val="none"/>
              </w:rPr>
              <w:t>1、连续21 年或以上的，得</w:t>
            </w:r>
            <w:r>
              <w:rPr>
                <w:rFonts w:hint="eastAsia"/>
                <w:color w:val="auto"/>
                <w:highlight w:val="none"/>
                <w:lang w:val="en-US" w:eastAsia="zh-CN"/>
              </w:rPr>
              <w:t>2</w:t>
            </w:r>
            <w:r>
              <w:rPr>
                <w:rFonts w:hint="eastAsia"/>
                <w:color w:val="auto"/>
                <w:highlight w:val="none"/>
              </w:rPr>
              <w:t xml:space="preserve"> 分；</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color w:val="auto"/>
                <w:highlight w:val="none"/>
              </w:rPr>
            </w:pPr>
            <w:r>
              <w:rPr>
                <w:rFonts w:hint="eastAsia"/>
                <w:color w:val="auto"/>
                <w:highlight w:val="none"/>
              </w:rPr>
              <w:t xml:space="preserve">2、连续 16-20年的，得 </w:t>
            </w:r>
            <w:r>
              <w:rPr>
                <w:rFonts w:hint="eastAsia"/>
                <w:color w:val="auto"/>
                <w:highlight w:val="none"/>
                <w:lang w:val="en-US" w:eastAsia="zh-CN"/>
              </w:rPr>
              <w:t>1.5</w:t>
            </w:r>
            <w:r>
              <w:rPr>
                <w:rFonts w:hint="eastAsia"/>
                <w:color w:val="auto"/>
                <w:highlight w:val="none"/>
              </w:rPr>
              <w:t xml:space="preserve"> 分；</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eastAsia="宋体"/>
                <w:color w:val="auto"/>
                <w:highlight w:val="none"/>
                <w:lang w:eastAsia="zh-CN"/>
              </w:rPr>
            </w:pPr>
            <w:r>
              <w:rPr>
                <w:rFonts w:hint="eastAsia"/>
                <w:color w:val="auto"/>
                <w:highlight w:val="none"/>
              </w:rPr>
              <w:t>3、连续11-15年的，得</w:t>
            </w:r>
            <w:r>
              <w:rPr>
                <w:rFonts w:hint="eastAsia"/>
                <w:color w:val="auto"/>
                <w:highlight w:val="none"/>
                <w:lang w:val="en-US" w:eastAsia="zh-CN"/>
              </w:rPr>
              <w:t>1</w:t>
            </w:r>
            <w:r>
              <w:rPr>
                <w:rFonts w:hint="eastAsia"/>
                <w:color w:val="auto"/>
                <w:highlight w:val="none"/>
              </w:rPr>
              <w:t>分</w:t>
            </w:r>
            <w:r>
              <w:rPr>
                <w:rFonts w:hint="eastAsia"/>
                <w:color w:val="auto"/>
                <w:highlight w:val="none"/>
                <w:lang w:eastAsia="zh-CN"/>
              </w:rPr>
              <w:t>；</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color w:val="auto"/>
                <w:highlight w:val="none"/>
              </w:rPr>
            </w:pPr>
            <w:r>
              <w:rPr>
                <w:rFonts w:hint="eastAsia"/>
                <w:color w:val="auto"/>
                <w:highlight w:val="none"/>
              </w:rPr>
              <w:t>4、连续6-10年的，得</w:t>
            </w:r>
            <w:r>
              <w:rPr>
                <w:rFonts w:hint="eastAsia"/>
                <w:color w:val="auto"/>
                <w:highlight w:val="none"/>
                <w:lang w:val="en-US" w:eastAsia="zh-CN"/>
              </w:rPr>
              <w:t>0.5</w:t>
            </w:r>
            <w:r>
              <w:rPr>
                <w:rFonts w:hint="eastAsia"/>
                <w:color w:val="auto"/>
                <w:highlight w:val="none"/>
              </w:rPr>
              <w:t>分；</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color w:val="auto"/>
                <w:highlight w:val="none"/>
              </w:rPr>
            </w:pPr>
            <w:r>
              <w:rPr>
                <w:rFonts w:hint="eastAsia"/>
                <w:color w:val="auto"/>
                <w:highlight w:val="none"/>
              </w:rPr>
              <w:t>5、连续</w:t>
            </w:r>
            <w:r>
              <w:rPr>
                <w:rFonts w:hint="eastAsia"/>
                <w:color w:val="auto"/>
                <w:highlight w:val="none"/>
                <w:lang w:val="en-US" w:eastAsia="zh-CN"/>
              </w:rPr>
              <w:t>2</w:t>
            </w:r>
            <w:r>
              <w:rPr>
                <w:rFonts w:hint="eastAsia"/>
                <w:color w:val="auto"/>
                <w:highlight w:val="none"/>
              </w:rPr>
              <w:t>-5年的，得</w:t>
            </w:r>
            <w:r>
              <w:rPr>
                <w:rFonts w:hint="eastAsia"/>
                <w:color w:val="auto"/>
                <w:highlight w:val="none"/>
                <w:lang w:val="en-US" w:eastAsia="zh-CN"/>
              </w:rPr>
              <w:t>0.1</w:t>
            </w:r>
            <w:r>
              <w:rPr>
                <w:rFonts w:hint="eastAsia"/>
                <w:color w:val="auto"/>
                <w:highlight w:val="none"/>
              </w:rPr>
              <w:t>分；其他不得分。</w:t>
            </w:r>
          </w:p>
        </w:tc>
        <w:tc>
          <w:tcPr>
            <w:tcW w:w="331" w:type="pct"/>
            <w:tcBorders>
              <w:bottom w:val="single" w:color="auto" w:sz="6"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p>
        </w:tc>
        <w:tc>
          <w:tcPr>
            <w:tcW w:w="269" w:type="pct"/>
            <w:tcBorders>
              <w:bottom w:val="single" w:color="auto" w:sz="6"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 w:hRule="atLeast"/>
        </w:trPr>
        <w:tc>
          <w:tcPr>
            <w:tcW w:w="404" w:type="pct"/>
            <w:vMerge w:val="continue"/>
            <w:tcBorders>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b/>
                <w:color w:val="auto"/>
                <w:szCs w:val="21"/>
                <w:highlight w:val="none"/>
              </w:rPr>
            </w:pPr>
          </w:p>
        </w:tc>
        <w:tc>
          <w:tcPr>
            <w:tcW w:w="202"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p>
        </w:tc>
        <w:tc>
          <w:tcPr>
            <w:tcW w:w="473" w:type="pct"/>
            <w:vMerge w:val="restart"/>
            <w:tcBorders>
              <w:lef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r>
              <w:rPr>
                <w:rFonts w:hint="eastAsia" w:ascii="宋体" w:hAnsi="宋体"/>
                <w:color w:val="auto"/>
                <w:szCs w:val="21"/>
                <w:highlight w:val="none"/>
              </w:rPr>
              <w:t>总监理工程师资历、业绩</w:t>
            </w:r>
          </w:p>
        </w:tc>
        <w:tc>
          <w:tcPr>
            <w:tcW w:w="336" w:type="pct"/>
            <w:vMerge w:val="restart"/>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lang w:val="en-US" w:eastAsia="zh-CN"/>
              </w:rPr>
              <w:t>7</w:t>
            </w:r>
          </w:p>
        </w:tc>
        <w:tc>
          <w:tcPr>
            <w:tcW w:w="260" w:type="pct"/>
            <w:tcBorders>
              <w:right w:val="single" w:color="auto" w:sz="6"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3</w:t>
            </w:r>
          </w:p>
        </w:tc>
        <w:tc>
          <w:tcPr>
            <w:tcW w:w="2721" w:type="pct"/>
            <w:tcBorders>
              <w:lef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olor w:val="auto"/>
                <w:szCs w:val="21"/>
                <w:highlight w:val="none"/>
              </w:rPr>
            </w:pPr>
            <w:r>
              <w:rPr>
                <w:rFonts w:hint="eastAsia" w:ascii="宋体" w:hAnsi="宋体"/>
                <w:color w:val="auto"/>
                <w:kern w:val="0"/>
                <w:szCs w:val="21"/>
                <w:highlight w:val="none"/>
                <w:lang w:eastAsia="zh-CN"/>
              </w:rPr>
              <w:t>2018年1月1日起至今</w:t>
            </w:r>
            <w:r>
              <w:rPr>
                <w:rFonts w:hint="eastAsia" w:ascii="宋体" w:hAnsi="宋体"/>
                <w:color w:val="auto"/>
                <w:szCs w:val="21"/>
                <w:highlight w:val="none"/>
              </w:rPr>
              <w:t>曾担任同类别且规模相当工程总监工作</w:t>
            </w:r>
            <w:r>
              <w:rPr>
                <w:rFonts w:hint="eastAsia" w:ascii="宋体" w:hAnsi="宋体"/>
                <w:color w:val="auto"/>
                <w:szCs w:val="21"/>
                <w:highlight w:val="none"/>
                <w:lang w:val="en-US" w:eastAsia="zh-CN"/>
              </w:rPr>
              <w:t>的</w:t>
            </w:r>
            <w:r>
              <w:rPr>
                <w:rFonts w:hint="eastAsia" w:ascii="宋体" w:hAnsi="宋体"/>
                <w:color w:val="auto"/>
                <w:szCs w:val="21"/>
                <w:highlight w:val="none"/>
              </w:rPr>
              <w:t>得</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rPr>
              <w:t xml:space="preserve"> </w:t>
            </w:r>
            <w:r>
              <w:rPr>
                <w:rFonts w:hint="eastAsia" w:ascii="宋体" w:hAnsi="宋体"/>
                <w:color w:val="auto"/>
                <w:szCs w:val="21"/>
                <w:highlight w:val="none"/>
              </w:rPr>
              <w:t>分，此项最多的得</w:t>
            </w:r>
            <w:r>
              <w:rPr>
                <w:rFonts w:hint="eastAsia" w:ascii="宋体" w:hAnsi="宋体"/>
                <w:color w:val="auto"/>
                <w:szCs w:val="21"/>
                <w:highlight w:val="none"/>
                <w:lang w:val="en-US" w:eastAsia="zh-CN"/>
              </w:rPr>
              <w:t>3</w:t>
            </w:r>
            <w:r>
              <w:rPr>
                <w:rFonts w:hint="eastAsia" w:ascii="宋体" w:hAnsi="宋体"/>
                <w:color w:val="auto"/>
                <w:szCs w:val="21"/>
                <w:highlight w:val="none"/>
              </w:rPr>
              <w:t>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olor w:val="auto"/>
                <w:szCs w:val="21"/>
                <w:highlight w:val="none"/>
              </w:rPr>
            </w:pPr>
            <w:r>
              <w:rPr>
                <w:rFonts w:hint="eastAsia" w:ascii="宋体" w:hAnsi="宋体"/>
                <w:color w:val="auto"/>
                <w:szCs w:val="21"/>
                <w:highlight w:val="none"/>
                <w:lang w:val="en-US" w:eastAsia="zh-CN"/>
              </w:rPr>
              <w:t>备</w:t>
            </w:r>
            <w:r>
              <w:rPr>
                <w:rFonts w:hint="eastAsia" w:ascii="宋体" w:hAnsi="宋体"/>
                <w:color w:val="auto"/>
                <w:szCs w:val="21"/>
                <w:highlight w:val="none"/>
              </w:rPr>
              <w:t>注：总监理工程师业绩须同时提供中标通知书、施工监理合同（关键页）、及竣工验收报告（或竣工验收证明）复印件，业绩时间以竣工验收报告或竣工验收证明出具时间为准。证明材料须体现总监理工程师，如未体现还须提供业主盖章的相关证明。</w:t>
            </w:r>
          </w:p>
        </w:tc>
        <w:tc>
          <w:tcPr>
            <w:tcW w:w="331" w:type="pct"/>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p>
        </w:tc>
        <w:tc>
          <w:tcPr>
            <w:tcW w:w="269" w:type="pct"/>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1" w:hRule="atLeast"/>
        </w:trPr>
        <w:tc>
          <w:tcPr>
            <w:tcW w:w="404" w:type="pct"/>
            <w:vMerge w:val="continue"/>
            <w:tcBorders>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b/>
                <w:color w:val="auto"/>
                <w:szCs w:val="21"/>
                <w:highlight w:val="none"/>
              </w:rPr>
            </w:pPr>
          </w:p>
        </w:tc>
        <w:tc>
          <w:tcPr>
            <w:tcW w:w="202"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p>
        </w:tc>
        <w:tc>
          <w:tcPr>
            <w:tcW w:w="473" w:type="pct"/>
            <w:vMerge w:val="continue"/>
            <w:tcBorders>
              <w:lef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p>
        </w:tc>
        <w:tc>
          <w:tcPr>
            <w:tcW w:w="336" w:type="pct"/>
            <w:vMerge w:val="continue"/>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p>
        </w:tc>
        <w:tc>
          <w:tcPr>
            <w:tcW w:w="260" w:type="pct"/>
            <w:tcBorders>
              <w:right w:val="single" w:color="auto" w:sz="6"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2721" w:type="pct"/>
            <w:tcBorders>
              <w:lef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olor w:val="auto"/>
                <w:kern w:val="0"/>
                <w:szCs w:val="21"/>
                <w:highlight w:val="none"/>
              </w:rPr>
            </w:pPr>
            <w:r>
              <w:rPr>
                <w:rFonts w:hint="eastAsia" w:ascii="宋体" w:hAnsi="宋体"/>
                <w:color w:val="auto"/>
                <w:szCs w:val="21"/>
                <w:highlight w:val="none"/>
              </w:rPr>
              <w:t>总监工程师必须在本单位注册，具有住建部颁发的注册执业证书且注册专业与本招标项目专业类别相符合，取得注册监理工程师资格</w:t>
            </w:r>
            <w:r>
              <w:rPr>
                <w:rFonts w:hint="eastAsia" w:ascii="宋体" w:hAnsi="宋体"/>
                <w:i w:val="0"/>
                <w:iCs w:val="0"/>
                <w:color w:val="auto"/>
                <w:szCs w:val="21"/>
                <w:highlight w:val="none"/>
                <w:lang w:val="en-US" w:eastAsia="zh-CN"/>
              </w:rPr>
              <w:t>20</w:t>
            </w:r>
            <w:r>
              <w:rPr>
                <w:rFonts w:hint="eastAsia" w:ascii="宋体" w:hAnsi="宋体"/>
                <w:i w:val="0"/>
                <w:iCs w:val="0"/>
                <w:color w:val="auto"/>
                <w:szCs w:val="21"/>
                <w:highlight w:val="none"/>
              </w:rPr>
              <w:t>年或以上的得</w:t>
            </w:r>
            <w:r>
              <w:rPr>
                <w:rFonts w:hint="eastAsia" w:ascii="宋体" w:hAnsi="宋体"/>
                <w:i w:val="0"/>
                <w:iCs w:val="0"/>
                <w:color w:val="auto"/>
                <w:szCs w:val="21"/>
                <w:highlight w:val="none"/>
                <w:lang w:eastAsia="zh-CN"/>
              </w:rPr>
              <w:t>4</w:t>
            </w:r>
            <w:r>
              <w:rPr>
                <w:rFonts w:hint="eastAsia" w:ascii="宋体" w:hAnsi="宋体"/>
                <w:i w:val="0"/>
                <w:iCs w:val="0"/>
                <w:color w:val="auto"/>
                <w:szCs w:val="21"/>
                <w:highlight w:val="none"/>
              </w:rPr>
              <w:t>分；</w:t>
            </w:r>
            <w:r>
              <w:rPr>
                <w:rFonts w:hint="eastAsia" w:ascii="宋体" w:hAnsi="宋体"/>
                <w:i w:val="0"/>
                <w:iCs w:val="0"/>
                <w:color w:val="auto"/>
                <w:szCs w:val="21"/>
                <w:highlight w:val="none"/>
                <w:lang w:val="en-US" w:eastAsia="zh-CN"/>
              </w:rPr>
              <w:t>15</w:t>
            </w:r>
            <w:r>
              <w:rPr>
                <w:rFonts w:hint="eastAsia" w:ascii="宋体" w:hAnsi="宋体"/>
                <w:i w:val="0"/>
                <w:iCs w:val="0"/>
                <w:color w:val="auto"/>
                <w:szCs w:val="21"/>
                <w:highlight w:val="none"/>
              </w:rPr>
              <w:t>-</w:t>
            </w:r>
            <w:r>
              <w:rPr>
                <w:rFonts w:hint="eastAsia" w:ascii="宋体" w:hAnsi="宋体"/>
                <w:i w:val="0"/>
                <w:iCs w:val="0"/>
                <w:color w:val="auto"/>
                <w:szCs w:val="21"/>
                <w:highlight w:val="none"/>
                <w:lang w:val="en-US" w:eastAsia="zh-CN"/>
              </w:rPr>
              <w:t>19</w:t>
            </w:r>
            <w:r>
              <w:rPr>
                <w:rFonts w:hint="eastAsia" w:ascii="宋体" w:hAnsi="宋体"/>
                <w:i w:val="0"/>
                <w:iCs w:val="0"/>
                <w:color w:val="auto"/>
                <w:szCs w:val="21"/>
                <w:highlight w:val="none"/>
              </w:rPr>
              <w:t>年的得</w:t>
            </w:r>
            <w:r>
              <w:rPr>
                <w:rFonts w:hint="eastAsia" w:ascii="宋体" w:hAnsi="宋体"/>
                <w:i w:val="0"/>
                <w:iCs w:val="0"/>
                <w:color w:val="auto"/>
                <w:szCs w:val="21"/>
                <w:highlight w:val="none"/>
                <w:lang w:eastAsia="zh-CN"/>
              </w:rPr>
              <w:t>3</w:t>
            </w:r>
            <w:r>
              <w:rPr>
                <w:rFonts w:hint="eastAsia" w:ascii="宋体" w:hAnsi="宋体"/>
                <w:i w:val="0"/>
                <w:iCs w:val="0"/>
                <w:color w:val="auto"/>
                <w:szCs w:val="21"/>
                <w:highlight w:val="none"/>
              </w:rPr>
              <w:t>分；</w:t>
            </w:r>
            <w:r>
              <w:rPr>
                <w:rFonts w:hint="eastAsia" w:ascii="宋体" w:hAnsi="宋体"/>
                <w:i w:val="0"/>
                <w:iCs w:val="0"/>
                <w:color w:val="auto"/>
                <w:szCs w:val="21"/>
                <w:highlight w:val="none"/>
                <w:lang w:val="en-US" w:eastAsia="zh-CN"/>
              </w:rPr>
              <w:t>10</w:t>
            </w:r>
            <w:r>
              <w:rPr>
                <w:rFonts w:hint="eastAsia" w:ascii="宋体" w:hAnsi="宋体"/>
                <w:i w:val="0"/>
                <w:iCs w:val="0"/>
                <w:color w:val="auto"/>
                <w:szCs w:val="21"/>
                <w:highlight w:val="none"/>
              </w:rPr>
              <w:t>-</w:t>
            </w:r>
            <w:r>
              <w:rPr>
                <w:rFonts w:hint="eastAsia" w:ascii="宋体" w:hAnsi="宋体"/>
                <w:i w:val="0"/>
                <w:iCs w:val="0"/>
                <w:color w:val="auto"/>
                <w:szCs w:val="21"/>
                <w:highlight w:val="none"/>
                <w:lang w:val="en-US" w:eastAsia="zh-CN"/>
              </w:rPr>
              <w:t>14</w:t>
            </w:r>
            <w:r>
              <w:rPr>
                <w:rFonts w:hint="eastAsia" w:ascii="宋体" w:hAnsi="宋体"/>
                <w:i w:val="0"/>
                <w:iCs w:val="0"/>
                <w:color w:val="auto"/>
                <w:szCs w:val="21"/>
                <w:highlight w:val="none"/>
              </w:rPr>
              <w:t>年的得</w:t>
            </w:r>
            <w:r>
              <w:rPr>
                <w:rFonts w:hint="eastAsia" w:ascii="宋体" w:hAnsi="宋体"/>
                <w:i w:val="0"/>
                <w:iCs w:val="0"/>
                <w:color w:val="auto"/>
                <w:szCs w:val="21"/>
                <w:highlight w:val="none"/>
                <w:lang w:eastAsia="zh-CN"/>
              </w:rPr>
              <w:t>2</w:t>
            </w:r>
            <w:r>
              <w:rPr>
                <w:rFonts w:hint="eastAsia" w:ascii="宋体" w:hAnsi="宋体"/>
                <w:i w:val="0"/>
                <w:iCs w:val="0"/>
                <w:color w:val="auto"/>
                <w:szCs w:val="21"/>
                <w:highlight w:val="none"/>
              </w:rPr>
              <w:t>分；</w:t>
            </w:r>
            <w:r>
              <w:rPr>
                <w:rFonts w:hint="eastAsia" w:ascii="宋体" w:hAnsi="宋体"/>
                <w:i w:val="0"/>
                <w:iCs w:val="0"/>
                <w:color w:val="auto"/>
                <w:szCs w:val="21"/>
                <w:highlight w:val="none"/>
                <w:lang w:val="en-US" w:eastAsia="zh-CN"/>
              </w:rPr>
              <w:t>5-9</w:t>
            </w:r>
            <w:r>
              <w:rPr>
                <w:rFonts w:hint="eastAsia" w:ascii="宋体" w:hAnsi="宋体"/>
                <w:i w:val="0"/>
                <w:iCs w:val="0"/>
                <w:color w:val="auto"/>
                <w:szCs w:val="21"/>
                <w:highlight w:val="none"/>
              </w:rPr>
              <w:t>年的得</w:t>
            </w:r>
            <w:r>
              <w:rPr>
                <w:rFonts w:hint="eastAsia" w:ascii="宋体" w:hAnsi="宋体"/>
                <w:i w:val="0"/>
                <w:iCs w:val="0"/>
                <w:color w:val="auto"/>
                <w:szCs w:val="21"/>
                <w:highlight w:val="none"/>
                <w:lang w:eastAsia="zh-CN"/>
              </w:rPr>
              <w:t>1</w:t>
            </w:r>
            <w:r>
              <w:rPr>
                <w:rFonts w:hint="eastAsia" w:ascii="宋体" w:hAnsi="宋体"/>
                <w:i w:val="0"/>
                <w:iCs w:val="0"/>
                <w:color w:val="auto"/>
                <w:szCs w:val="21"/>
                <w:highlight w:val="none"/>
              </w:rPr>
              <w:t>分；5年或以下的得0.</w:t>
            </w:r>
            <w:r>
              <w:rPr>
                <w:rFonts w:hint="eastAsia" w:ascii="宋体" w:hAnsi="宋体"/>
                <w:i w:val="0"/>
                <w:iCs w:val="0"/>
                <w:color w:val="auto"/>
                <w:szCs w:val="21"/>
                <w:highlight w:val="none"/>
                <w:lang w:eastAsia="zh-CN"/>
              </w:rPr>
              <w:t>5</w:t>
            </w:r>
            <w:r>
              <w:rPr>
                <w:rFonts w:hint="eastAsia" w:ascii="宋体" w:hAnsi="宋体"/>
                <w:i w:val="0"/>
                <w:iCs w:val="0"/>
                <w:color w:val="auto"/>
                <w:szCs w:val="21"/>
                <w:highlight w:val="none"/>
              </w:rPr>
              <w:t>分</w:t>
            </w:r>
            <w:r>
              <w:rPr>
                <w:rFonts w:hint="eastAsia" w:ascii="宋体" w:hAnsi="宋体"/>
                <w:i w:val="0"/>
                <w:iCs w:val="0"/>
                <w:color w:val="auto"/>
                <w:szCs w:val="21"/>
                <w:highlight w:val="none"/>
                <w:lang w:eastAsia="zh-CN"/>
              </w:rPr>
              <w:t>。</w:t>
            </w:r>
            <w:r>
              <w:rPr>
                <w:rFonts w:hint="eastAsia" w:ascii="宋体" w:hAnsi="宋体"/>
                <w:i w:val="0"/>
                <w:iCs w:val="0"/>
                <w:color w:val="auto"/>
                <w:szCs w:val="21"/>
                <w:highlight w:val="none"/>
                <w:lang w:val="en-US" w:eastAsia="zh-CN"/>
              </w:rPr>
              <w:t>本项最多得4分。</w:t>
            </w:r>
          </w:p>
        </w:tc>
        <w:tc>
          <w:tcPr>
            <w:tcW w:w="331" w:type="pct"/>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p>
        </w:tc>
        <w:tc>
          <w:tcPr>
            <w:tcW w:w="269" w:type="pct"/>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15" w:hRule="atLeast"/>
        </w:trPr>
        <w:tc>
          <w:tcPr>
            <w:tcW w:w="404" w:type="pct"/>
            <w:vMerge w:val="continue"/>
            <w:tcBorders>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b/>
                <w:color w:val="auto"/>
                <w:szCs w:val="21"/>
                <w:highlight w:val="none"/>
              </w:rPr>
            </w:pPr>
          </w:p>
        </w:tc>
        <w:tc>
          <w:tcPr>
            <w:tcW w:w="202"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p>
        </w:tc>
        <w:tc>
          <w:tcPr>
            <w:tcW w:w="473" w:type="pct"/>
            <w:vMerge w:val="restart"/>
            <w:tcBorders>
              <w:lef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r>
              <w:rPr>
                <w:rFonts w:hint="eastAsia" w:ascii="宋体" w:hAnsi="宋体"/>
                <w:color w:val="auto"/>
                <w:szCs w:val="21"/>
                <w:highlight w:val="none"/>
              </w:rPr>
              <w:t>拟投入本项目的总监代表资历、业绩</w:t>
            </w:r>
          </w:p>
        </w:tc>
        <w:tc>
          <w:tcPr>
            <w:tcW w:w="336" w:type="pct"/>
            <w:vMerge w:val="restart"/>
            <w:noWrap w:val="0"/>
            <w:vAlign w:val="center"/>
          </w:tcPr>
          <w:p>
            <w:pPr>
              <w:keepNext w:val="0"/>
              <w:keepLines w:val="0"/>
              <w:suppressLineNumbers w:val="0"/>
              <w:autoSpaceDE w:val="0"/>
              <w:autoSpaceDN w:val="0"/>
              <w:adjustRightInd w:val="0"/>
              <w:spacing w:before="0" w:beforeAutospacing="0" w:after="0" w:afterAutospacing="0" w:line="260" w:lineRule="exact"/>
              <w:ind w:left="0" w:right="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6</w:t>
            </w:r>
          </w:p>
        </w:tc>
        <w:tc>
          <w:tcPr>
            <w:tcW w:w="260" w:type="pct"/>
            <w:tcBorders>
              <w:right w:val="single" w:color="auto" w:sz="6"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1</w:t>
            </w:r>
          </w:p>
        </w:tc>
        <w:tc>
          <w:tcPr>
            <w:tcW w:w="2721" w:type="pct"/>
            <w:tcBorders>
              <w:lef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olor w:val="auto"/>
                <w:szCs w:val="21"/>
                <w:highlight w:val="none"/>
              </w:rPr>
            </w:pPr>
            <w:r>
              <w:rPr>
                <w:rFonts w:hint="eastAsia" w:ascii="宋体" w:hAnsi="宋体"/>
                <w:color w:val="auto"/>
                <w:szCs w:val="21"/>
                <w:highlight w:val="none"/>
              </w:rPr>
              <w:t>有</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20</w:t>
            </w:r>
            <w:r>
              <w:rPr>
                <w:rFonts w:hint="eastAsia" w:ascii="宋体" w:hAnsi="宋体"/>
                <w:color w:val="auto"/>
                <w:szCs w:val="21"/>
                <w:highlight w:val="none"/>
                <w:u w:val="single"/>
              </w:rPr>
              <w:t xml:space="preserve"> </w:t>
            </w:r>
            <w:r>
              <w:rPr>
                <w:rFonts w:hint="eastAsia" w:ascii="宋体" w:hAnsi="宋体"/>
                <w:color w:val="auto"/>
                <w:szCs w:val="21"/>
                <w:highlight w:val="none"/>
              </w:rPr>
              <w:t>年或以上专业工作经验且其技术职称专业与本招标项目专业类别相符合的得</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0.5</w:t>
            </w:r>
            <w:r>
              <w:rPr>
                <w:rFonts w:hint="eastAsia" w:ascii="宋体" w:hAnsi="宋体"/>
                <w:color w:val="auto"/>
                <w:szCs w:val="21"/>
                <w:highlight w:val="none"/>
                <w:u w:val="single"/>
              </w:rPr>
              <w:t xml:space="preserve">  </w:t>
            </w:r>
            <w:r>
              <w:rPr>
                <w:rFonts w:hint="eastAsia" w:ascii="宋体" w:hAnsi="宋体"/>
                <w:color w:val="auto"/>
                <w:szCs w:val="21"/>
                <w:highlight w:val="none"/>
              </w:rPr>
              <w:t>分，具有与本招标项目专业相符的工程</w:t>
            </w:r>
            <w:r>
              <w:rPr>
                <w:rFonts w:hint="default" w:ascii="宋体" w:hAnsi="宋体"/>
                <w:color w:val="auto"/>
                <w:szCs w:val="21"/>
                <w:highlight w:val="none"/>
              </w:rPr>
              <w:t>类</w:t>
            </w:r>
            <w:r>
              <w:rPr>
                <w:rFonts w:hint="eastAsia" w:ascii="宋体" w:hAnsi="宋体"/>
                <w:color w:val="auto"/>
                <w:szCs w:val="21"/>
                <w:highlight w:val="none"/>
              </w:rPr>
              <w:t>注册监理执业资格的加</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0.5</w:t>
            </w:r>
            <w:r>
              <w:rPr>
                <w:rFonts w:hint="eastAsia" w:ascii="宋体" w:hAnsi="宋体"/>
                <w:color w:val="auto"/>
                <w:szCs w:val="21"/>
                <w:highlight w:val="none"/>
                <w:u w:val="single"/>
              </w:rPr>
              <w:t xml:space="preserve">  </w:t>
            </w:r>
            <w:r>
              <w:rPr>
                <w:rFonts w:hint="eastAsia" w:ascii="宋体" w:hAnsi="宋体"/>
                <w:color w:val="auto"/>
                <w:szCs w:val="21"/>
                <w:highlight w:val="none"/>
              </w:rPr>
              <w:t>分，本项目不超过</w:t>
            </w:r>
            <w:r>
              <w:rPr>
                <w:rFonts w:hint="eastAsia" w:ascii="宋体" w:hAnsi="宋体"/>
                <w:color w:val="auto"/>
                <w:szCs w:val="21"/>
                <w:highlight w:val="none"/>
                <w:lang w:val="en-US" w:eastAsia="zh-CN"/>
              </w:rPr>
              <w:t>1</w:t>
            </w:r>
            <w:r>
              <w:rPr>
                <w:rFonts w:hint="eastAsia" w:ascii="宋体" w:hAnsi="宋体"/>
                <w:color w:val="auto"/>
                <w:szCs w:val="21"/>
                <w:highlight w:val="none"/>
              </w:rPr>
              <w:t>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备注：工作经验年限以技术职称证书或注册监理执业资格证书的批准或发证时间起算。</w:t>
            </w:r>
          </w:p>
        </w:tc>
        <w:tc>
          <w:tcPr>
            <w:tcW w:w="331" w:type="pct"/>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p>
        </w:tc>
        <w:tc>
          <w:tcPr>
            <w:tcW w:w="269" w:type="pct"/>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trPr>
        <w:tc>
          <w:tcPr>
            <w:tcW w:w="404" w:type="pct"/>
            <w:vMerge w:val="continue"/>
            <w:tcBorders>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b/>
                <w:color w:val="auto"/>
                <w:szCs w:val="21"/>
                <w:highlight w:val="none"/>
              </w:rPr>
            </w:pPr>
          </w:p>
        </w:tc>
        <w:tc>
          <w:tcPr>
            <w:tcW w:w="202"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p>
        </w:tc>
        <w:tc>
          <w:tcPr>
            <w:tcW w:w="473" w:type="pct"/>
            <w:vMerge w:val="continue"/>
            <w:tcBorders>
              <w:lef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p>
        </w:tc>
        <w:tc>
          <w:tcPr>
            <w:tcW w:w="336" w:type="pct"/>
            <w:vMerge w:val="continue"/>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p>
        </w:tc>
        <w:tc>
          <w:tcPr>
            <w:tcW w:w="260" w:type="pct"/>
            <w:tcBorders>
              <w:right w:val="single" w:color="auto" w:sz="6"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3</w:t>
            </w:r>
          </w:p>
        </w:tc>
        <w:tc>
          <w:tcPr>
            <w:tcW w:w="2721" w:type="pct"/>
            <w:tcBorders>
              <w:lef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color w:val="auto"/>
                <w:highlight w:val="none"/>
              </w:rPr>
            </w:pPr>
            <w:r>
              <w:rPr>
                <w:rFonts w:hint="eastAsia"/>
                <w:color w:val="auto"/>
                <w:highlight w:val="none"/>
                <w:lang w:eastAsia="zh-CN"/>
              </w:rPr>
              <w:t>2018年1月1日起至今</w:t>
            </w:r>
            <w:r>
              <w:rPr>
                <w:rFonts w:hint="eastAsia"/>
                <w:color w:val="auto"/>
                <w:highlight w:val="none"/>
              </w:rPr>
              <w:t>曾参加过</w:t>
            </w:r>
            <w:r>
              <w:rPr>
                <w:rFonts w:hint="eastAsia"/>
                <w:color w:val="auto"/>
                <w:highlight w:val="none"/>
                <w:lang w:val="zh-CN"/>
              </w:rPr>
              <w:t>同类别</w:t>
            </w:r>
            <w:r>
              <w:rPr>
                <w:rFonts w:hint="eastAsia"/>
                <w:color w:val="auto"/>
                <w:highlight w:val="none"/>
              </w:rPr>
              <w:t>工程监理工作的，得</w:t>
            </w:r>
            <w:r>
              <w:rPr>
                <w:rFonts w:hint="eastAsia"/>
                <w:color w:val="auto"/>
                <w:highlight w:val="none"/>
                <w:lang w:val="en-US" w:eastAsia="zh-CN"/>
              </w:rPr>
              <w:t>3</w:t>
            </w:r>
            <w:r>
              <w:rPr>
                <w:rFonts w:hint="eastAsia"/>
                <w:color w:val="auto"/>
                <w:highlight w:val="none"/>
              </w:rPr>
              <w:t>分，本项目不超过</w:t>
            </w:r>
            <w:r>
              <w:rPr>
                <w:rFonts w:hint="eastAsia"/>
                <w:color w:val="auto"/>
                <w:highlight w:val="none"/>
                <w:lang w:val="en-US" w:eastAsia="zh-CN"/>
              </w:rPr>
              <w:t>3</w:t>
            </w:r>
            <w:r>
              <w:rPr>
                <w:rFonts w:hint="eastAsia"/>
                <w:color w:val="auto"/>
                <w:highlight w:val="none"/>
              </w:rPr>
              <w:t>分。</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eastAsia="宋体"/>
                <w:color w:val="auto"/>
                <w:highlight w:val="none"/>
                <w:lang w:val="en-US" w:eastAsia="zh-CN"/>
              </w:rPr>
            </w:pPr>
            <w:r>
              <w:rPr>
                <w:rFonts w:hint="eastAsia" w:hAnsi="宋体"/>
                <w:color w:val="auto"/>
                <w:szCs w:val="21"/>
                <w:highlight w:val="none"/>
                <w:lang w:val="en-US" w:eastAsia="zh-CN"/>
              </w:rPr>
              <w:t>备注：</w:t>
            </w:r>
            <w:r>
              <w:rPr>
                <w:rFonts w:hint="eastAsia" w:ascii="宋体" w:hAnsi="宋体"/>
                <w:color w:val="auto"/>
                <w:szCs w:val="21"/>
                <w:highlight w:val="none"/>
              </w:rPr>
              <w:t>业绩须同时提供中标通知书、施工监理合同（关键页）、及竣工验收报告（或竣工验收证明）复印件，业绩时间以竣工验收报告或竣工验收证明出具时间为准。证明材料须体现总监代表，如未体现还须提供业主盖章的相关证明。</w:t>
            </w:r>
          </w:p>
        </w:tc>
        <w:tc>
          <w:tcPr>
            <w:tcW w:w="331" w:type="pct"/>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p>
        </w:tc>
        <w:tc>
          <w:tcPr>
            <w:tcW w:w="269" w:type="pct"/>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15" w:hRule="atLeast"/>
        </w:trPr>
        <w:tc>
          <w:tcPr>
            <w:tcW w:w="404" w:type="pct"/>
            <w:vMerge w:val="continue"/>
            <w:tcBorders>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b/>
                <w:color w:val="auto"/>
                <w:szCs w:val="21"/>
                <w:highlight w:val="none"/>
              </w:rPr>
            </w:pPr>
          </w:p>
        </w:tc>
        <w:tc>
          <w:tcPr>
            <w:tcW w:w="202"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p>
        </w:tc>
        <w:tc>
          <w:tcPr>
            <w:tcW w:w="473" w:type="pct"/>
            <w:vMerge w:val="continue"/>
            <w:tcBorders>
              <w:lef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p>
        </w:tc>
        <w:tc>
          <w:tcPr>
            <w:tcW w:w="336" w:type="pct"/>
            <w:vMerge w:val="continue"/>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p>
        </w:tc>
        <w:tc>
          <w:tcPr>
            <w:tcW w:w="260" w:type="pct"/>
            <w:tcBorders>
              <w:right w:val="single" w:color="auto" w:sz="6"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2</w:t>
            </w:r>
          </w:p>
        </w:tc>
        <w:tc>
          <w:tcPr>
            <w:tcW w:w="2721" w:type="pct"/>
            <w:tcBorders>
              <w:lef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color w:val="auto"/>
                <w:szCs w:val="21"/>
                <w:highlight w:val="none"/>
              </w:rPr>
            </w:pPr>
            <w:r>
              <w:rPr>
                <w:rFonts w:hint="eastAsia" w:ascii="宋体" w:hAnsi="宋体"/>
                <w:color w:val="auto"/>
                <w:szCs w:val="21"/>
                <w:highlight w:val="none"/>
              </w:rPr>
              <w:t>总监理工程师代表获省级</w:t>
            </w:r>
            <w:r>
              <w:rPr>
                <w:rFonts w:hint="eastAsia" w:ascii="宋体" w:hAnsi="宋体"/>
                <w:color w:val="auto"/>
                <w:szCs w:val="21"/>
                <w:highlight w:val="none"/>
                <w:lang w:val="en-US" w:eastAsia="zh-CN"/>
              </w:rPr>
              <w:t>及以上</w:t>
            </w:r>
            <w:r>
              <w:rPr>
                <w:rFonts w:hint="eastAsia" w:ascii="宋体" w:hAnsi="宋体"/>
                <w:color w:val="auto"/>
                <w:szCs w:val="21"/>
                <w:highlight w:val="none"/>
              </w:rPr>
              <w:t>工程建设监理类荣誉称号的得</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rPr>
              <w:t xml:space="preserve"> </w:t>
            </w:r>
            <w:r>
              <w:rPr>
                <w:rFonts w:hint="eastAsia" w:ascii="宋体" w:hAnsi="宋体"/>
                <w:color w:val="auto"/>
                <w:szCs w:val="21"/>
                <w:highlight w:val="none"/>
              </w:rPr>
              <w:t>分，获地市级工程建设监理类荣誉称号的得</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1.5</w:t>
            </w:r>
            <w:r>
              <w:rPr>
                <w:rFonts w:hint="eastAsia" w:ascii="宋体" w:hAnsi="宋体"/>
                <w:color w:val="auto"/>
                <w:szCs w:val="21"/>
                <w:highlight w:val="none"/>
                <w:u w:val="single"/>
              </w:rPr>
              <w:t xml:space="preserve"> </w:t>
            </w:r>
            <w:r>
              <w:rPr>
                <w:rFonts w:hint="eastAsia" w:ascii="宋体" w:hAnsi="宋体"/>
                <w:color w:val="auto"/>
                <w:szCs w:val="21"/>
                <w:highlight w:val="none"/>
              </w:rPr>
              <w:t>分，否则得</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0</w:t>
            </w:r>
            <w:r>
              <w:rPr>
                <w:rFonts w:hint="eastAsia" w:ascii="宋体" w:hAnsi="宋体"/>
                <w:color w:val="auto"/>
                <w:szCs w:val="21"/>
                <w:highlight w:val="none"/>
                <w:u w:val="single"/>
              </w:rPr>
              <w:t xml:space="preserve"> </w:t>
            </w:r>
            <w:r>
              <w:rPr>
                <w:rFonts w:hint="eastAsia" w:ascii="宋体" w:hAnsi="宋体"/>
                <w:color w:val="auto"/>
                <w:szCs w:val="21"/>
                <w:highlight w:val="none"/>
              </w:rPr>
              <w:t>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olor w:val="auto"/>
                <w:kern w:val="0"/>
                <w:szCs w:val="21"/>
                <w:highlight w:val="none"/>
              </w:rPr>
            </w:pPr>
            <w:r>
              <w:rPr>
                <w:rFonts w:hint="eastAsia" w:ascii="宋体" w:hAnsi="宋体"/>
                <w:color w:val="auto"/>
                <w:szCs w:val="21"/>
                <w:highlight w:val="none"/>
              </w:rPr>
              <w:t>备注：以获奖最高级别为准，荣誉不累计。</w:t>
            </w:r>
          </w:p>
        </w:tc>
        <w:tc>
          <w:tcPr>
            <w:tcW w:w="331" w:type="pct"/>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p>
        </w:tc>
        <w:tc>
          <w:tcPr>
            <w:tcW w:w="269" w:type="pct"/>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3" w:hRule="atLeast"/>
        </w:trPr>
        <w:tc>
          <w:tcPr>
            <w:tcW w:w="404" w:type="pct"/>
            <w:vMerge w:val="continue"/>
            <w:tcBorders>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b/>
                <w:color w:val="auto"/>
                <w:szCs w:val="21"/>
                <w:highlight w:val="none"/>
              </w:rPr>
            </w:pPr>
          </w:p>
        </w:tc>
        <w:tc>
          <w:tcPr>
            <w:tcW w:w="202"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p>
        </w:tc>
        <w:tc>
          <w:tcPr>
            <w:tcW w:w="473" w:type="pct"/>
            <w:vMerge w:val="restart"/>
            <w:tcBorders>
              <w:lef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r>
              <w:rPr>
                <w:rFonts w:hint="eastAsia" w:ascii="宋体" w:hAnsi="宋体"/>
                <w:color w:val="auto"/>
                <w:szCs w:val="21"/>
                <w:highlight w:val="none"/>
              </w:rPr>
              <w:t>除总监理工程师、总监理工程师代表外，拟投入的其他人员</w:t>
            </w:r>
          </w:p>
        </w:tc>
        <w:tc>
          <w:tcPr>
            <w:tcW w:w="336" w:type="pct"/>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5</w:t>
            </w:r>
          </w:p>
        </w:tc>
        <w:tc>
          <w:tcPr>
            <w:tcW w:w="260" w:type="pct"/>
            <w:tcBorders>
              <w:right w:val="single" w:color="auto" w:sz="6"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5</w:t>
            </w:r>
          </w:p>
        </w:tc>
        <w:tc>
          <w:tcPr>
            <w:tcW w:w="2721" w:type="pct"/>
            <w:tcBorders>
              <w:lef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eastAsia="宋体"/>
                <w:lang w:eastAsia="zh-CN"/>
              </w:rPr>
            </w:pPr>
            <w:r>
              <w:rPr>
                <w:rFonts w:hint="eastAsia"/>
              </w:rPr>
              <w:t>除总监理工程师、总监理工程师代表外，监理组织机构的监理人员中</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highlight w:val="none"/>
              </w:rPr>
            </w:pPr>
            <w:r>
              <w:rPr>
                <w:rFonts w:hint="eastAsia"/>
                <w:lang w:eastAsia="zh-CN"/>
              </w:rPr>
              <w:t>（</w:t>
            </w:r>
            <w:r>
              <w:rPr>
                <w:rFonts w:hint="eastAsia"/>
                <w:lang w:val="en-US" w:eastAsia="zh-CN"/>
              </w:rPr>
              <w:t>1</w:t>
            </w:r>
            <w:r>
              <w:rPr>
                <w:rFonts w:hint="eastAsia"/>
                <w:lang w:eastAsia="zh-CN"/>
              </w:rPr>
              <w:t>）</w:t>
            </w:r>
            <w:r>
              <w:rPr>
                <w:rFonts w:hint="eastAsia"/>
              </w:rPr>
              <w:t xml:space="preserve">有获得地级市或以上工程建设监理类荣誉称号的每名得 </w:t>
            </w:r>
            <w:r>
              <w:rPr>
                <w:rFonts w:hint="eastAsia"/>
                <w:highlight w:val="none"/>
                <w:lang w:val="en-US" w:eastAsia="zh-CN"/>
              </w:rPr>
              <w:t>1</w:t>
            </w:r>
            <w:r>
              <w:rPr>
                <w:rFonts w:hint="eastAsia"/>
                <w:highlight w:val="none"/>
              </w:rPr>
              <w:t>分，本</w:t>
            </w:r>
            <w:r>
              <w:rPr>
                <w:rFonts w:hint="eastAsia"/>
                <w:highlight w:val="none"/>
                <w:lang w:val="en-US" w:eastAsia="zh-CN"/>
              </w:rPr>
              <w:t>小</w:t>
            </w:r>
            <w:r>
              <w:rPr>
                <w:rFonts w:hint="eastAsia"/>
                <w:highlight w:val="none"/>
              </w:rPr>
              <w:t>项累计不超过</w:t>
            </w:r>
            <w:r>
              <w:rPr>
                <w:rFonts w:hint="eastAsia"/>
                <w:highlight w:val="none"/>
                <w:lang w:val="en-US" w:eastAsia="zh-CN"/>
              </w:rPr>
              <w:t>2</w:t>
            </w:r>
            <w:r>
              <w:rPr>
                <w:rFonts w:hint="eastAsia"/>
                <w:highlight w:val="none"/>
              </w:rPr>
              <w:t>分。</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eastAsia="宋体"/>
                <w:lang w:eastAsia="zh-CN"/>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lang w:val="en-US" w:eastAsia="zh-CN"/>
              </w:rPr>
              <w:t>有</w:t>
            </w:r>
            <w:r>
              <w:rPr>
                <w:rFonts w:hint="eastAsia"/>
                <w:highlight w:val="none"/>
              </w:rPr>
              <w:t>获得省级</w:t>
            </w:r>
            <w:r>
              <w:rPr>
                <w:rFonts w:hint="eastAsia"/>
                <w:highlight w:val="none"/>
                <w:lang w:val="en-US" w:eastAsia="zh-CN"/>
              </w:rPr>
              <w:t>或</w:t>
            </w:r>
            <w:r>
              <w:rPr>
                <w:rFonts w:hint="eastAsia"/>
                <w:highlight w:val="none"/>
              </w:rPr>
              <w:t>以上QC优秀质量管理小组成果的每</w:t>
            </w:r>
            <w:r>
              <w:rPr>
                <w:rFonts w:hint="eastAsia"/>
                <w:highlight w:val="none"/>
                <w:lang w:val="en-US" w:eastAsia="zh-CN"/>
              </w:rPr>
              <w:t>名</w:t>
            </w:r>
            <w:r>
              <w:rPr>
                <w:rFonts w:hint="eastAsia"/>
                <w:highlight w:val="none"/>
              </w:rPr>
              <w:t>得1分，本</w:t>
            </w:r>
            <w:r>
              <w:rPr>
                <w:rFonts w:hint="eastAsia"/>
                <w:highlight w:val="none"/>
                <w:lang w:val="en-US" w:eastAsia="zh-CN"/>
              </w:rPr>
              <w:t>小</w:t>
            </w:r>
            <w:r>
              <w:rPr>
                <w:rFonts w:hint="eastAsia"/>
                <w:highlight w:val="none"/>
              </w:rPr>
              <w:t>项累计不超过</w:t>
            </w:r>
            <w:r>
              <w:rPr>
                <w:rFonts w:hint="eastAsia"/>
                <w:highlight w:val="none"/>
                <w:lang w:val="en-US" w:eastAsia="zh-CN"/>
              </w:rPr>
              <w:t>3</w:t>
            </w:r>
            <w:r>
              <w:rPr>
                <w:rFonts w:hint="eastAsia"/>
                <w:highlight w:val="none"/>
              </w:rPr>
              <w:t>分。</w:t>
            </w:r>
          </w:p>
        </w:tc>
        <w:tc>
          <w:tcPr>
            <w:tcW w:w="331" w:type="pct"/>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p>
        </w:tc>
        <w:tc>
          <w:tcPr>
            <w:tcW w:w="269" w:type="pct"/>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896" w:hRule="atLeast"/>
        </w:trPr>
        <w:tc>
          <w:tcPr>
            <w:tcW w:w="404" w:type="pct"/>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b/>
                <w:color w:val="auto"/>
                <w:szCs w:val="21"/>
                <w:highlight w:val="none"/>
              </w:rPr>
            </w:pPr>
            <w:r>
              <w:rPr>
                <w:rFonts w:hint="eastAsia" w:ascii="宋体" w:hAnsi="宋体"/>
                <w:b/>
                <w:color w:val="auto"/>
                <w:szCs w:val="21"/>
                <w:highlight w:val="none"/>
              </w:rPr>
              <w:t>三</w:t>
            </w:r>
          </w:p>
          <w:p>
            <w:pPr>
              <w:keepNext w:val="0"/>
              <w:keepLines w:val="0"/>
              <w:suppressLineNumbers w:val="0"/>
              <w:spacing w:before="0" w:beforeAutospacing="0" w:after="0" w:afterAutospacing="0"/>
              <w:ind w:left="0" w:right="0"/>
              <w:jc w:val="center"/>
              <w:rPr>
                <w:rFonts w:hint="eastAsia" w:ascii="宋体" w:hAnsi="宋体"/>
                <w:b/>
                <w:color w:val="auto"/>
                <w:szCs w:val="21"/>
                <w:highlight w:val="none"/>
              </w:rPr>
            </w:pPr>
          </w:p>
          <w:p>
            <w:pPr>
              <w:keepNext w:val="0"/>
              <w:keepLines w:val="0"/>
              <w:suppressLineNumbers w:val="0"/>
              <w:spacing w:before="0" w:beforeAutospacing="0" w:after="0" w:afterAutospacing="0" w:line="360" w:lineRule="exact"/>
              <w:ind w:left="0" w:right="0"/>
              <w:rPr>
                <w:rFonts w:hint="eastAsia" w:ascii="宋体" w:hAnsi="宋体"/>
                <w:b/>
                <w:color w:val="auto"/>
                <w:szCs w:val="21"/>
                <w:highlight w:val="none"/>
                <w:lang w:val="zh-CN"/>
              </w:rPr>
            </w:pPr>
            <w:r>
              <w:rPr>
                <w:rFonts w:hint="eastAsia" w:ascii="宋体" w:hAnsi="宋体"/>
                <w:b/>
                <w:color w:val="auto"/>
                <w:szCs w:val="21"/>
                <w:highlight w:val="none"/>
              </w:rPr>
              <w:t>拟投入人员配置</w:t>
            </w:r>
          </w:p>
        </w:tc>
        <w:tc>
          <w:tcPr>
            <w:tcW w:w="202" w:type="pct"/>
            <w:vMerge w:val="restart"/>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r>
              <w:rPr>
                <w:rFonts w:hint="eastAsia" w:ascii="宋体" w:hAnsi="宋体"/>
                <w:color w:val="auto"/>
                <w:szCs w:val="21"/>
                <w:highlight w:val="none"/>
                <w:lang w:val="en-US" w:eastAsia="zh-CN"/>
              </w:rPr>
              <w:t>13</w:t>
            </w:r>
            <w:r>
              <w:rPr>
                <w:rFonts w:hint="eastAsia" w:ascii="宋体" w:hAnsi="宋体"/>
                <w:color w:val="auto"/>
                <w:szCs w:val="21"/>
                <w:highlight w:val="none"/>
              </w:rPr>
              <w:t>分</w:t>
            </w:r>
          </w:p>
        </w:tc>
        <w:tc>
          <w:tcPr>
            <w:tcW w:w="473" w:type="pct"/>
            <w:vMerge w:val="continue"/>
            <w:tcBorders>
              <w:lef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p>
        </w:tc>
        <w:tc>
          <w:tcPr>
            <w:tcW w:w="336" w:type="pct"/>
            <w:vMerge w:val="restart"/>
            <w:noWrap w:val="0"/>
            <w:vAlign w:val="center"/>
          </w:tcPr>
          <w:p>
            <w:pPr>
              <w:keepNext w:val="0"/>
              <w:keepLines w:val="0"/>
              <w:suppressLineNumbers w:val="0"/>
              <w:autoSpaceDE w:val="0"/>
              <w:autoSpaceDN w:val="0"/>
              <w:adjustRightInd w:val="0"/>
              <w:spacing w:before="0" w:beforeAutospacing="0" w:after="0" w:afterAutospacing="0" w:line="260" w:lineRule="exact"/>
              <w:ind w:left="0" w:right="0"/>
              <w:jc w:val="center"/>
              <w:rPr>
                <w:rFonts w:hint="eastAsia" w:ascii="宋体" w:hAnsi="宋体" w:eastAsia="宋体" w:cs="宋体"/>
                <w:color w:val="auto"/>
                <w:szCs w:val="21"/>
                <w:highlight w:val="none"/>
                <w:lang w:val="zh-CN" w:eastAsia="zh-CN"/>
              </w:rPr>
            </w:pPr>
            <w:r>
              <w:rPr>
                <w:rFonts w:hint="eastAsia" w:ascii="宋体" w:hAnsi="宋体"/>
                <w:color w:val="auto"/>
                <w:szCs w:val="21"/>
                <w:highlight w:val="none"/>
                <w:lang w:val="en-US" w:eastAsia="zh-CN"/>
              </w:rPr>
              <w:t>13</w:t>
            </w:r>
          </w:p>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p>
        </w:tc>
        <w:tc>
          <w:tcPr>
            <w:tcW w:w="260" w:type="pct"/>
            <w:tcBorders>
              <w:right w:val="single" w:color="auto" w:sz="6" w:space="0"/>
            </w:tcBorders>
            <w:noWrap w:val="0"/>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11</w:t>
            </w:r>
          </w:p>
        </w:tc>
        <w:tc>
          <w:tcPr>
            <w:tcW w:w="2721" w:type="pct"/>
            <w:tcBorders>
              <w:lef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除总监、总监代表外，派驻现场监理机构中的专业监理工程师，符合本招标项目要求且配置齐全（即：配有本工程</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土建</w:t>
            </w:r>
            <w:r>
              <w:rPr>
                <w:rFonts w:hint="eastAsia" w:ascii="宋体" w:hAnsi="宋体"/>
                <w:color w:val="auto"/>
                <w:szCs w:val="21"/>
                <w:highlight w:val="none"/>
                <w:u w:val="single"/>
              </w:rPr>
              <w:t xml:space="preserve">  </w:t>
            </w:r>
            <w:r>
              <w:rPr>
                <w:rFonts w:hint="eastAsia" w:ascii="宋体" w:hAnsi="宋体"/>
                <w:color w:val="auto"/>
                <w:szCs w:val="21"/>
                <w:highlight w:val="none"/>
              </w:rPr>
              <w:t>专业工程师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 xml:space="preserve"> </w:t>
            </w:r>
            <w:r>
              <w:rPr>
                <w:rFonts w:hint="eastAsia" w:ascii="宋体" w:hAnsi="宋体"/>
                <w:color w:val="auto"/>
                <w:szCs w:val="21"/>
                <w:highlight w:val="none"/>
              </w:rPr>
              <w:t>名，</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给排水</w:t>
            </w:r>
            <w:r>
              <w:rPr>
                <w:rFonts w:hint="eastAsia" w:ascii="宋体" w:hAnsi="宋体"/>
                <w:color w:val="auto"/>
                <w:szCs w:val="21"/>
                <w:highlight w:val="none"/>
                <w:u w:val="single"/>
              </w:rPr>
              <w:t xml:space="preserve"> </w:t>
            </w:r>
            <w:r>
              <w:rPr>
                <w:rFonts w:hint="eastAsia" w:ascii="宋体" w:hAnsi="宋体"/>
                <w:color w:val="auto"/>
                <w:szCs w:val="21"/>
                <w:highlight w:val="none"/>
              </w:rPr>
              <w:t>专业工程师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 xml:space="preserve"> </w:t>
            </w:r>
            <w:r>
              <w:rPr>
                <w:rFonts w:hint="eastAsia" w:ascii="宋体" w:hAnsi="宋体"/>
                <w:color w:val="auto"/>
                <w:szCs w:val="21"/>
                <w:highlight w:val="none"/>
              </w:rPr>
              <w:t>名，</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电气</w:t>
            </w:r>
            <w:r>
              <w:rPr>
                <w:rFonts w:hint="eastAsia" w:ascii="宋体" w:hAnsi="宋体"/>
                <w:color w:val="auto"/>
                <w:szCs w:val="21"/>
                <w:highlight w:val="none"/>
                <w:u w:val="single"/>
              </w:rPr>
              <w:t xml:space="preserve"> </w:t>
            </w:r>
            <w:r>
              <w:rPr>
                <w:rFonts w:hint="eastAsia" w:ascii="宋体" w:hAnsi="宋体"/>
                <w:color w:val="auto"/>
                <w:szCs w:val="21"/>
                <w:highlight w:val="none"/>
              </w:rPr>
              <w:t>专业工程师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 xml:space="preserve">  </w:t>
            </w:r>
            <w:r>
              <w:rPr>
                <w:rFonts w:hint="eastAsia" w:ascii="宋体" w:hAnsi="宋体"/>
                <w:color w:val="auto"/>
                <w:szCs w:val="21"/>
                <w:highlight w:val="none"/>
              </w:rPr>
              <w:t>名，</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注册安全</w:t>
            </w:r>
            <w:r>
              <w:rPr>
                <w:rFonts w:hint="eastAsia" w:ascii="宋体" w:hAnsi="宋体"/>
                <w:color w:val="auto"/>
                <w:szCs w:val="21"/>
                <w:highlight w:val="none"/>
                <w:u w:val="single"/>
              </w:rPr>
              <w:t xml:space="preserve">  </w:t>
            </w:r>
            <w:r>
              <w:rPr>
                <w:rFonts w:hint="eastAsia" w:ascii="宋体" w:hAnsi="宋体"/>
                <w:color w:val="auto"/>
                <w:szCs w:val="21"/>
                <w:highlight w:val="none"/>
              </w:rPr>
              <w:t>专业工程师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 xml:space="preserve"> </w:t>
            </w:r>
            <w:r>
              <w:rPr>
                <w:rFonts w:hint="eastAsia" w:ascii="宋体" w:hAnsi="宋体"/>
                <w:color w:val="auto"/>
                <w:szCs w:val="21"/>
                <w:highlight w:val="none"/>
              </w:rPr>
              <w:t>名）的得</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4</w:t>
            </w:r>
            <w:r>
              <w:rPr>
                <w:rFonts w:hint="eastAsia" w:ascii="宋体" w:hAnsi="宋体"/>
                <w:color w:val="auto"/>
                <w:szCs w:val="21"/>
                <w:highlight w:val="none"/>
                <w:u w:val="single"/>
              </w:rPr>
              <w:t xml:space="preserve"> </w:t>
            </w:r>
            <w:r>
              <w:rPr>
                <w:rFonts w:hint="eastAsia" w:ascii="宋体" w:hAnsi="宋体"/>
                <w:color w:val="auto"/>
                <w:szCs w:val="21"/>
                <w:highlight w:val="none"/>
              </w:rPr>
              <w:t>分，每少一名扣</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 xml:space="preserve">  </w:t>
            </w:r>
            <w:r>
              <w:rPr>
                <w:rFonts w:hint="eastAsia" w:ascii="宋体" w:hAnsi="宋体"/>
                <w:color w:val="auto"/>
                <w:szCs w:val="21"/>
                <w:highlight w:val="none"/>
              </w:rPr>
              <w:t>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color w:val="auto"/>
                <w:szCs w:val="21"/>
                <w:highlight w:val="none"/>
              </w:rPr>
            </w:pPr>
            <w:r>
              <w:rPr>
                <w:rFonts w:hint="eastAsia" w:ascii="宋体" w:hAnsi="宋体"/>
                <w:color w:val="auto"/>
                <w:szCs w:val="21"/>
                <w:highlight w:val="none"/>
              </w:rPr>
              <w:t>专业监理工程师必须具备相应专业中级专业技术职称，</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5</w:t>
            </w:r>
            <w:r>
              <w:rPr>
                <w:rFonts w:hint="eastAsia" w:ascii="宋体" w:hAnsi="宋体"/>
                <w:color w:val="auto"/>
                <w:szCs w:val="21"/>
                <w:highlight w:val="none"/>
                <w:u w:val="single"/>
              </w:rPr>
              <w:t xml:space="preserve"> </w:t>
            </w:r>
            <w:r>
              <w:rPr>
                <w:rFonts w:hint="eastAsia" w:ascii="宋体" w:hAnsi="宋体"/>
                <w:color w:val="auto"/>
                <w:szCs w:val="21"/>
                <w:highlight w:val="none"/>
              </w:rPr>
              <w:t>年及以上工作实践经验。同时具有工程类注册监理工程师执业资格并在本单位注册的注册监理工程师的</w:t>
            </w:r>
            <w:r>
              <w:rPr>
                <w:rFonts w:hint="eastAsia" w:ascii="宋体" w:hAnsi="宋体"/>
                <w:color w:val="auto"/>
                <w:szCs w:val="21"/>
                <w:highlight w:val="none"/>
                <w:lang w:val="en-US" w:eastAsia="zh-CN"/>
              </w:rPr>
              <w:t>每人</w:t>
            </w:r>
            <w:r>
              <w:rPr>
                <w:rFonts w:hint="eastAsia" w:ascii="宋体" w:hAnsi="宋体"/>
                <w:color w:val="auto"/>
                <w:szCs w:val="21"/>
                <w:highlight w:val="none"/>
              </w:rPr>
              <w:t>加</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0.75</w:t>
            </w:r>
            <w:r>
              <w:rPr>
                <w:rFonts w:hint="eastAsia" w:ascii="宋体" w:hAnsi="宋体"/>
                <w:color w:val="auto"/>
                <w:szCs w:val="21"/>
                <w:highlight w:val="none"/>
                <w:u w:val="single"/>
              </w:rPr>
              <w:t xml:space="preserve">  </w:t>
            </w:r>
            <w:r>
              <w:rPr>
                <w:rFonts w:hint="eastAsia" w:ascii="宋体" w:hAnsi="宋体"/>
                <w:color w:val="auto"/>
                <w:szCs w:val="21"/>
                <w:highlight w:val="none"/>
              </w:rPr>
              <w:t>分，累计加分不超过</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rPr>
              <w:t xml:space="preserve">  </w:t>
            </w:r>
            <w:r>
              <w:rPr>
                <w:rFonts w:hint="eastAsia" w:ascii="宋体" w:hAnsi="宋体"/>
                <w:color w:val="auto"/>
                <w:szCs w:val="21"/>
                <w:highlight w:val="none"/>
              </w:rPr>
              <w:t>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以上人员</w:t>
            </w:r>
            <w:r>
              <w:rPr>
                <w:rFonts w:hint="eastAsia" w:ascii="宋体" w:hAnsi="宋体"/>
                <w:color w:val="auto"/>
                <w:szCs w:val="21"/>
                <w:highlight w:val="none"/>
              </w:rPr>
              <w:t>每具备 1 名高级</w:t>
            </w:r>
            <w:r>
              <w:rPr>
                <w:rFonts w:hint="eastAsia" w:ascii="宋体" w:hAnsi="宋体"/>
                <w:color w:val="auto"/>
                <w:szCs w:val="21"/>
                <w:highlight w:val="none"/>
                <w:lang w:val="en-US" w:eastAsia="zh-CN"/>
              </w:rPr>
              <w:t>专业技术职称</w:t>
            </w:r>
            <w:r>
              <w:rPr>
                <w:rFonts w:hint="eastAsia" w:ascii="宋体" w:hAnsi="宋体"/>
                <w:color w:val="auto"/>
                <w:szCs w:val="21"/>
                <w:highlight w:val="none"/>
              </w:rPr>
              <w:t>（或以上）的，加 1分，最多加 2分</w:t>
            </w:r>
            <w:r>
              <w:rPr>
                <w:rFonts w:hint="eastAsia" w:ascii="宋体" w:hAnsi="宋体"/>
                <w:color w:val="auto"/>
                <w:szCs w:val="21"/>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备注：本小项最高得9分，工作经验年限以技术职称证书或注册监理执业资格证书的批准或发证时间起算。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Cs w:val="21"/>
                <w:highlight w:val="none"/>
                <w:lang w:eastAsia="zh-CN"/>
              </w:rPr>
            </w:pPr>
            <w:r>
              <w:rPr>
                <w:rFonts w:hint="eastAsia" w:ascii="宋体" w:hAnsi="宋体"/>
                <w:color w:val="auto"/>
                <w:szCs w:val="21"/>
                <w:highlight w:val="none"/>
                <w:lang w:val="en-US" w:eastAsia="zh-CN"/>
              </w:rPr>
              <w:t>2、</w:t>
            </w:r>
            <w:r>
              <w:rPr>
                <w:rFonts w:hint="eastAsia" w:ascii="宋体" w:hAnsi="宋体" w:cs="宋体"/>
                <w:color w:val="auto"/>
                <w:szCs w:val="21"/>
                <w:highlight w:val="none"/>
              </w:rPr>
              <w:t>技术负责人</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rPr>
              <w:t>具有注册监理工程师执业资格并在本单位注册的注册监理工程师</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同时</w:t>
            </w:r>
            <w:r>
              <w:rPr>
                <w:rFonts w:hint="eastAsia" w:ascii="宋体" w:hAnsi="宋体" w:cs="宋体"/>
                <w:color w:val="auto"/>
                <w:kern w:val="0"/>
                <w:szCs w:val="21"/>
                <w:highlight w:val="none"/>
              </w:rPr>
              <w:t>具备注册安全工程师</w:t>
            </w:r>
            <w:r>
              <w:rPr>
                <w:rFonts w:hint="eastAsia" w:ascii="宋体" w:hAnsi="宋体" w:cs="宋体"/>
                <w:color w:val="auto"/>
                <w:kern w:val="0"/>
                <w:szCs w:val="21"/>
                <w:highlight w:val="none"/>
                <w:lang w:val="en-US" w:eastAsia="zh-CN"/>
              </w:rPr>
              <w:t>资格</w:t>
            </w:r>
            <w:r>
              <w:rPr>
                <w:rFonts w:hint="eastAsia" w:ascii="宋体" w:hAnsi="宋体" w:cs="宋体"/>
                <w:color w:val="auto"/>
                <w:kern w:val="0"/>
                <w:szCs w:val="21"/>
                <w:highlight w:val="none"/>
              </w:rPr>
              <w:t>的，得2分</w:t>
            </w:r>
            <w:r>
              <w:rPr>
                <w:rFonts w:hint="eastAsia" w:ascii="宋体" w:hAnsi="宋体" w:cs="宋体"/>
                <w:color w:val="auto"/>
                <w:kern w:val="0"/>
                <w:szCs w:val="21"/>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备</w:t>
            </w:r>
            <w:r>
              <w:rPr>
                <w:rFonts w:hint="eastAsia" w:ascii="宋体" w:hAnsi="宋体" w:cs="宋体"/>
                <w:color w:val="auto"/>
                <w:kern w:val="0"/>
                <w:szCs w:val="21"/>
                <w:highlight w:val="none"/>
              </w:rPr>
              <w:t>注：</w:t>
            </w:r>
            <w:r>
              <w:rPr>
                <w:rFonts w:hint="eastAsia" w:ascii="宋体" w:hAnsi="宋体" w:cs="宋体"/>
                <w:color w:val="auto"/>
                <w:kern w:val="0"/>
                <w:szCs w:val="21"/>
                <w:highlight w:val="none"/>
                <w:lang w:val="en-US" w:eastAsia="zh-CN"/>
              </w:rPr>
              <w:t>本小项最高得2分，须</w:t>
            </w:r>
            <w:r>
              <w:rPr>
                <w:rFonts w:hint="eastAsia" w:ascii="宋体" w:hAnsi="宋体" w:cs="宋体"/>
                <w:color w:val="auto"/>
                <w:kern w:val="0"/>
                <w:szCs w:val="21"/>
                <w:highlight w:val="none"/>
              </w:rPr>
              <w:t>提供相关证书复印件。</w:t>
            </w:r>
          </w:p>
        </w:tc>
        <w:tc>
          <w:tcPr>
            <w:tcW w:w="331" w:type="pct"/>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p>
        </w:tc>
        <w:tc>
          <w:tcPr>
            <w:tcW w:w="269" w:type="pct"/>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60" w:hRule="atLeast"/>
        </w:trPr>
        <w:tc>
          <w:tcPr>
            <w:tcW w:w="404" w:type="pct"/>
            <w:vMerge w:val="continue"/>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b/>
                <w:color w:val="auto"/>
                <w:szCs w:val="21"/>
                <w:highlight w:val="none"/>
                <w:lang w:val="zh-CN"/>
              </w:rPr>
            </w:pPr>
          </w:p>
        </w:tc>
        <w:tc>
          <w:tcPr>
            <w:tcW w:w="202" w:type="pct"/>
            <w:vMerge w:val="continue"/>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p>
        </w:tc>
        <w:tc>
          <w:tcPr>
            <w:tcW w:w="473" w:type="pct"/>
            <w:vMerge w:val="continue"/>
            <w:tcBorders>
              <w:lef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p>
        </w:tc>
        <w:tc>
          <w:tcPr>
            <w:tcW w:w="336" w:type="pct"/>
            <w:vMerge w:val="continue"/>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p>
        </w:tc>
        <w:tc>
          <w:tcPr>
            <w:tcW w:w="260" w:type="pct"/>
            <w:tcBorders>
              <w:bottom w:val="single" w:color="auto" w:sz="6" w:space="0"/>
              <w:right w:val="single" w:color="auto" w:sz="6"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2</w:t>
            </w:r>
          </w:p>
        </w:tc>
        <w:tc>
          <w:tcPr>
            <w:tcW w:w="2721" w:type="pct"/>
            <w:tcBorders>
              <w:left w:val="single" w:color="auto" w:sz="6" w:space="0"/>
              <w:bottom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olor w:val="auto"/>
                <w:szCs w:val="21"/>
                <w:highlight w:val="none"/>
              </w:rPr>
            </w:pPr>
            <w:r>
              <w:rPr>
                <w:rFonts w:hint="eastAsia" w:ascii="宋体" w:hAnsi="宋体"/>
                <w:color w:val="auto"/>
                <w:szCs w:val="21"/>
                <w:highlight w:val="none"/>
              </w:rPr>
              <w:t>除总监理工程师、总监理工程师代表和各专业监理工程师外，每增加派驻注册监理工程师并在本单位注册的注册监理工程师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 xml:space="preserve"> </w:t>
            </w:r>
            <w:r>
              <w:rPr>
                <w:rFonts w:hint="eastAsia" w:ascii="宋体" w:hAnsi="宋体"/>
                <w:color w:val="auto"/>
                <w:szCs w:val="21"/>
                <w:highlight w:val="none"/>
              </w:rPr>
              <w:t>名，加</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0.5</w:t>
            </w:r>
            <w:r>
              <w:rPr>
                <w:rFonts w:hint="eastAsia" w:ascii="宋体" w:hAnsi="宋体"/>
                <w:color w:val="auto"/>
                <w:szCs w:val="21"/>
                <w:highlight w:val="none"/>
              </w:rPr>
              <w:t>分，本项累计不超过</w:t>
            </w:r>
            <w:r>
              <w:rPr>
                <w:rFonts w:hint="eastAsia" w:ascii="宋体" w:hAnsi="宋体"/>
                <w:color w:val="auto"/>
                <w:szCs w:val="21"/>
                <w:highlight w:val="none"/>
                <w:lang w:val="en-US" w:eastAsia="zh-CN"/>
              </w:rPr>
              <w:t>2</w:t>
            </w:r>
            <w:r>
              <w:rPr>
                <w:rFonts w:hint="eastAsia" w:ascii="宋体" w:hAnsi="宋体"/>
                <w:color w:val="auto"/>
                <w:szCs w:val="21"/>
                <w:highlight w:val="none"/>
              </w:rPr>
              <w:t>分。</w:t>
            </w:r>
          </w:p>
        </w:tc>
        <w:tc>
          <w:tcPr>
            <w:tcW w:w="331" w:type="pct"/>
            <w:tcBorders>
              <w:bottom w:val="single" w:color="auto" w:sz="6"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p>
        </w:tc>
        <w:tc>
          <w:tcPr>
            <w:tcW w:w="269" w:type="pct"/>
            <w:tcBorders>
              <w:bottom w:val="single" w:color="auto" w:sz="6"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8" w:hRule="atLeast"/>
        </w:trPr>
        <w:tc>
          <w:tcPr>
            <w:tcW w:w="404" w:type="pct"/>
            <w:noWrap w:val="0"/>
            <w:vAlign w:val="center"/>
          </w:tcPr>
          <w:p>
            <w:pPr>
              <w:keepNext w:val="0"/>
              <w:keepLines w:val="0"/>
              <w:suppressLineNumbers w:val="0"/>
              <w:spacing w:before="0" w:beforeAutospacing="0" w:after="0" w:afterAutospacing="0"/>
              <w:ind w:left="0" w:right="0"/>
              <w:jc w:val="center"/>
              <w:rPr>
                <w:rFonts w:hint="eastAsia" w:ascii="宋体" w:hAnsi="宋体"/>
                <w:b/>
                <w:color w:val="auto"/>
                <w:szCs w:val="21"/>
                <w:highlight w:val="none"/>
              </w:rPr>
            </w:pPr>
            <w:r>
              <w:rPr>
                <w:rFonts w:hint="eastAsia" w:ascii="宋体" w:hAnsi="宋体"/>
                <w:b/>
                <w:color w:val="auto"/>
                <w:szCs w:val="21"/>
                <w:highlight w:val="none"/>
              </w:rPr>
              <w:t>四</w:t>
            </w:r>
          </w:p>
          <w:p>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b/>
                <w:color w:val="auto"/>
                <w:szCs w:val="21"/>
                <w:highlight w:val="none"/>
              </w:rPr>
              <w:t>仪器设备</w:t>
            </w:r>
          </w:p>
        </w:tc>
        <w:tc>
          <w:tcPr>
            <w:tcW w:w="202" w:type="pct"/>
            <w:noWrap w:val="0"/>
            <w:vAlign w:val="center"/>
          </w:tcPr>
          <w:p>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3分</w:t>
            </w:r>
          </w:p>
        </w:tc>
        <w:tc>
          <w:tcPr>
            <w:tcW w:w="473" w:type="pct"/>
            <w:noWrap w:val="0"/>
            <w:vAlign w:val="center"/>
          </w:tcPr>
          <w:p>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拟投入监理仪器设备</w:t>
            </w:r>
          </w:p>
        </w:tc>
        <w:tc>
          <w:tcPr>
            <w:tcW w:w="336" w:type="pct"/>
            <w:noWrap w:val="0"/>
            <w:vAlign w:val="center"/>
          </w:tcPr>
          <w:p>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3</w:t>
            </w:r>
          </w:p>
        </w:tc>
        <w:tc>
          <w:tcPr>
            <w:tcW w:w="260" w:type="pct"/>
            <w:noWrap w:val="0"/>
            <w:vAlign w:val="center"/>
          </w:tcPr>
          <w:p>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3</w:t>
            </w:r>
          </w:p>
        </w:tc>
        <w:tc>
          <w:tcPr>
            <w:tcW w:w="2721" w:type="pct"/>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rPr>
            </w:pPr>
            <w:r>
              <w:rPr>
                <w:rFonts w:hint="eastAsia"/>
              </w:rPr>
              <w:t xml:space="preserve">拟投入的监理仪器、设备符合本招标项目监理工作需要且配置齐全的得 </w:t>
            </w:r>
            <w:r>
              <w:rPr>
                <w:rFonts w:hint="eastAsia"/>
                <w:lang w:val="en-US" w:eastAsia="zh-CN"/>
              </w:rPr>
              <w:t>3</w:t>
            </w:r>
            <w:r>
              <w:rPr>
                <w:rFonts w:hint="eastAsia"/>
              </w:rPr>
              <w:t xml:space="preserve"> 分，基本齐全(大于或等于 </w:t>
            </w:r>
            <w:r>
              <w:rPr>
                <w:rFonts w:hint="eastAsia"/>
                <w:lang w:val="en-US" w:eastAsia="zh-CN"/>
              </w:rPr>
              <w:t>80</w:t>
            </w:r>
            <w:r>
              <w:rPr>
                <w:rFonts w:hint="eastAsia"/>
              </w:rPr>
              <w:t xml:space="preserve"> ％)的得 </w:t>
            </w:r>
            <w:r>
              <w:rPr>
                <w:rFonts w:hint="eastAsia"/>
                <w:lang w:val="en-US" w:eastAsia="zh-CN"/>
              </w:rPr>
              <w:t>2</w:t>
            </w:r>
            <w:r>
              <w:rPr>
                <w:rFonts w:hint="eastAsia"/>
              </w:rPr>
              <w:t xml:space="preserve"> 分，配置不齐全(小于 </w:t>
            </w:r>
            <w:r>
              <w:rPr>
                <w:rFonts w:hint="eastAsia"/>
                <w:lang w:val="en-US" w:eastAsia="zh-CN"/>
              </w:rPr>
              <w:t>80</w:t>
            </w:r>
            <w:r>
              <w:rPr>
                <w:rFonts w:hint="eastAsia"/>
              </w:rPr>
              <w:t xml:space="preserve"> ％)的得 </w:t>
            </w:r>
            <w:r>
              <w:rPr>
                <w:rFonts w:hint="eastAsia"/>
                <w:lang w:val="en-US" w:eastAsia="zh-CN"/>
              </w:rPr>
              <w:t>1</w:t>
            </w:r>
            <w:r>
              <w:rPr>
                <w:rFonts w:hint="eastAsia"/>
              </w:rPr>
              <w:t xml:space="preserve"> 分。</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eastAsia="宋体"/>
                <w:lang w:val="en-US" w:eastAsia="zh-CN"/>
              </w:rPr>
            </w:pPr>
            <w:r>
              <w:rPr>
                <w:rFonts w:hint="eastAsia" w:hAnsi="宋体"/>
                <w:color w:val="auto"/>
                <w:szCs w:val="21"/>
                <w:highlight w:val="none"/>
                <w:lang w:val="en-US" w:eastAsia="zh-CN"/>
              </w:rPr>
              <w:t>备注：拟投入仪器设备至少包含全站仪、经纬仪、水准仪、回弹仪、GPS、钢筋位置测定仪等常用仪器设备。</w:t>
            </w:r>
          </w:p>
        </w:tc>
        <w:tc>
          <w:tcPr>
            <w:tcW w:w="331" w:type="pct"/>
            <w:noWrap w:val="0"/>
            <w:vAlign w:val="top"/>
          </w:tcPr>
          <w:p>
            <w:pPr>
              <w:keepNext w:val="0"/>
              <w:keepLines w:val="0"/>
              <w:suppressLineNumbers w:val="0"/>
              <w:spacing w:before="0" w:beforeAutospacing="0" w:after="0" w:afterAutospacing="0"/>
              <w:ind w:left="0" w:right="0"/>
              <w:rPr>
                <w:rFonts w:hint="eastAsia" w:ascii="宋体" w:hAnsi="宋体"/>
                <w:color w:val="auto"/>
                <w:szCs w:val="21"/>
                <w:highlight w:val="none"/>
              </w:rPr>
            </w:pPr>
          </w:p>
        </w:tc>
        <w:tc>
          <w:tcPr>
            <w:tcW w:w="269" w:type="pct"/>
            <w:noWrap w:val="0"/>
            <w:vAlign w:val="top"/>
          </w:tcPr>
          <w:p>
            <w:pPr>
              <w:keepNext w:val="0"/>
              <w:keepLines w:val="0"/>
              <w:suppressLineNumbers w:val="0"/>
              <w:spacing w:before="0" w:beforeAutospacing="0" w:after="0" w:afterAutospacing="0"/>
              <w:ind w:left="0" w:right="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17" w:hRule="atLeast"/>
        </w:trPr>
        <w:tc>
          <w:tcPr>
            <w:tcW w:w="404" w:type="pct"/>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b/>
                <w:color w:val="auto"/>
                <w:szCs w:val="21"/>
                <w:highlight w:val="none"/>
              </w:rPr>
            </w:pPr>
            <w:r>
              <w:rPr>
                <w:rFonts w:hint="eastAsia" w:ascii="宋体" w:hAnsi="宋体"/>
                <w:b/>
                <w:color w:val="auto"/>
                <w:szCs w:val="21"/>
                <w:highlight w:val="none"/>
              </w:rPr>
              <w:t>合计</w:t>
            </w:r>
          </w:p>
        </w:tc>
        <w:tc>
          <w:tcPr>
            <w:tcW w:w="202" w:type="pct"/>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r>
              <w:rPr>
                <w:rFonts w:hint="eastAsia" w:ascii="宋体" w:hAnsi="宋体"/>
                <w:color w:val="auto"/>
                <w:szCs w:val="21"/>
                <w:highlight w:val="none"/>
              </w:rPr>
              <w:t>100分</w:t>
            </w:r>
          </w:p>
        </w:tc>
        <w:tc>
          <w:tcPr>
            <w:tcW w:w="473" w:type="pct"/>
            <w:noWrap w:val="0"/>
            <w:vAlign w:val="center"/>
          </w:tcPr>
          <w:p>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p>
        </w:tc>
        <w:tc>
          <w:tcPr>
            <w:tcW w:w="336" w:type="pct"/>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p>
        </w:tc>
        <w:tc>
          <w:tcPr>
            <w:tcW w:w="260" w:type="pct"/>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p>
        </w:tc>
        <w:tc>
          <w:tcPr>
            <w:tcW w:w="272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olor w:val="auto"/>
                <w:szCs w:val="21"/>
                <w:highlight w:val="none"/>
                <w:lang w:val="zh-CN"/>
              </w:rPr>
            </w:pPr>
          </w:p>
        </w:tc>
        <w:tc>
          <w:tcPr>
            <w:tcW w:w="331" w:type="pct"/>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u w:val="single"/>
              </w:rPr>
            </w:pPr>
          </w:p>
        </w:tc>
        <w:tc>
          <w:tcPr>
            <w:tcW w:w="269" w:type="pct"/>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u w:val="single"/>
              </w:rPr>
            </w:pPr>
          </w:p>
        </w:tc>
      </w:tr>
    </w:tbl>
    <w:p>
      <w:pPr>
        <w:keepNext w:val="0"/>
        <w:keepLines w:val="0"/>
        <w:pageBreakBefore w:val="0"/>
        <w:widowControl w:val="0"/>
        <w:kinsoku/>
        <w:wordWrap/>
        <w:overflowPunct/>
        <w:topLinePunct w:val="0"/>
        <w:bidi w:val="0"/>
        <w:snapToGrid/>
        <w:spacing w:line="360" w:lineRule="auto"/>
        <w:textAlignment w:val="auto"/>
        <w:rPr>
          <w:rFonts w:hint="eastAsia" w:ascii="宋体" w:hAnsi="宋体"/>
          <w:szCs w:val="21"/>
        </w:rPr>
      </w:pPr>
    </w:p>
    <w:p>
      <w:pPr>
        <w:keepNext w:val="0"/>
        <w:keepLines w:val="0"/>
        <w:pageBreakBefore w:val="0"/>
        <w:widowControl w:val="0"/>
        <w:kinsoku/>
        <w:wordWrap/>
        <w:overflowPunct/>
        <w:topLinePunct w:val="0"/>
        <w:bidi w:val="0"/>
        <w:snapToGrid/>
        <w:spacing w:line="360" w:lineRule="auto"/>
        <w:textAlignment w:val="auto"/>
        <w:rPr>
          <w:rFonts w:hint="eastAsia" w:ascii="宋体" w:hAnsi="宋体"/>
          <w:szCs w:val="21"/>
        </w:rPr>
      </w:pPr>
      <w:r>
        <w:rPr>
          <w:rFonts w:hint="eastAsia" w:ascii="宋体" w:hAnsi="宋体"/>
          <w:szCs w:val="21"/>
        </w:rPr>
        <w:t>说明：</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szCs w:val="21"/>
          <w:lang w:val="zh-CN"/>
        </w:rPr>
      </w:pPr>
      <w:r>
        <w:rPr>
          <w:rFonts w:hint="eastAsia" w:ascii="宋体" w:hAnsi="宋体"/>
          <w:szCs w:val="21"/>
          <w:lang w:val="zh-CN"/>
        </w:rPr>
        <w:t>1、</w:t>
      </w:r>
      <w:r>
        <w:rPr>
          <w:rFonts w:hint="eastAsia" w:ascii="宋体" w:hAnsi="宋体"/>
          <w:bCs/>
          <w:szCs w:val="21"/>
        </w:rPr>
        <w:t>总监理工程师代表的专业以其</w:t>
      </w:r>
      <w:r>
        <w:rPr>
          <w:rFonts w:hint="eastAsia" w:ascii="宋体" w:hAnsi="宋体"/>
          <w:szCs w:val="21"/>
          <w:lang w:val="zh-CN"/>
        </w:rPr>
        <w:t>工程类注册执业资格或具有中级及以上专业技术职称为准。派驻现场的各专业监理工程师的专业：造价师必须具备国家注册造价工程师资格，其余各专业以其专业技术资格证书即职称证为准，否则相应项目不得分。</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szCs w:val="21"/>
          <w:lang w:val="zh-CN"/>
        </w:rPr>
      </w:pPr>
      <w:r>
        <w:rPr>
          <w:rFonts w:hint="eastAsia" w:ascii="宋体" w:hAnsi="宋体"/>
          <w:szCs w:val="21"/>
          <w:lang w:val="zh-CN"/>
        </w:rPr>
        <w:t>2、计算时如出现小数点，则保留小数点后四位，第五位四舍五入；</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szCs w:val="21"/>
          <w:lang w:val="zh-CN"/>
        </w:rPr>
      </w:pPr>
      <w:r>
        <w:rPr>
          <w:rFonts w:hint="eastAsia" w:ascii="宋体" w:hAnsi="宋体"/>
          <w:szCs w:val="21"/>
          <w:lang w:val="zh-CN"/>
        </w:rPr>
        <w:t>3、评分以一百分为基础分，总分由各分项分组成；</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szCs w:val="21"/>
          <w:lang w:val="zh-CN"/>
        </w:rPr>
      </w:pPr>
      <w:r>
        <w:rPr>
          <w:rFonts w:hint="eastAsia" w:ascii="宋体" w:hAnsi="宋体"/>
          <w:szCs w:val="21"/>
          <w:lang w:val="zh-CN"/>
        </w:rPr>
        <w:t>4、近五年（2018年1月1日起至</w:t>
      </w:r>
      <w:r>
        <w:rPr>
          <w:rFonts w:hint="eastAsia" w:ascii="宋体" w:hAnsi="宋体"/>
          <w:szCs w:val="21"/>
          <w:lang w:val="en-US" w:eastAsia="zh-CN"/>
        </w:rPr>
        <w:t>今</w:t>
      </w:r>
      <w:r>
        <w:rPr>
          <w:rFonts w:hint="eastAsia" w:ascii="宋体" w:hAnsi="宋体"/>
          <w:szCs w:val="21"/>
          <w:lang w:val="zh-CN"/>
        </w:rPr>
        <w:t>）竣工的项目，以工程竣工验收报告的验收日期为准；</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szCs w:val="21"/>
          <w:lang w:val="zh-CN"/>
        </w:rPr>
      </w:pPr>
      <w:r>
        <w:rPr>
          <w:rFonts w:hint="eastAsia" w:ascii="宋体" w:hAnsi="宋体"/>
          <w:szCs w:val="21"/>
          <w:lang w:val="zh-CN"/>
        </w:rPr>
        <w:t>5、同类别项目（或工程）指已竣工的</w:t>
      </w:r>
      <w:r>
        <w:rPr>
          <w:rFonts w:hint="eastAsia" w:ascii="宋体" w:hAnsi="宋体"/>
          <w:szCs w:val="21"/>
          <w:u w:val="single"/>
          <w:lang w:val="zh-CN"/>
        </w:rPr>
        <w:t xml:space="preserve">   </w:t>
      </w:r>
      <w:r>
        <w:rPr>
          <w:rFonts w:hint="eastAsia" w:ascii="宋体" w:hAnsi="宋体"/>
          <w:szCs w:val="21"/>
          <w:u w:val="single"/>
          <w:lang w:val="en-US" w:eastAsia="zh-CN"/>
        </w:rPr>
        <w:t>房屋建筑工程</w:t>
      </w:r>
      <w:r>
        <w:rPr>
          <w:rFonts w:hint="eastAsia" w:ascii="宋体" w:hAnsi="宋体"/>
          <w:szCs w:val="21"/>
          <w:u w:val="single"/>
          <w:lang w:val="zh-CN"/>
        </w:rPr>
        <w:t xml:space="preserve">    </w:t>
      </w:r>
      <w:r>
        <w:rPr>
          <w:rFonts w:hint="eastAsia" w:ascii="宋体" w:hAnsi="宋体"/>
          <w:szCs w:val="21"/>
          <w:lang w:val="zh-CN"/>
        </w:rPr>
        <w:t>(视招标项目的工程类别定)；</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szCs w:val="21"/>
          <w:lang w:val="zh-CN"/>
        </w:rPr>
      </w:pPr>
      <w:r>
        <w:rPr>
          <w:rFonts w:hint="eastAsia" w:ascii="宋体" w:hAnsi="宋体"/>
          <w:szCs w:val="21"/>
          <w:lang w:val="zh-CN"/>
        </w:rPr>
        <w:t>6、规模相当工程指已竣工的一项规模不低于</w:t>
      </w:r>
      <w:r>
        <w:rPr>
          <w:rFonts w:hint="eastAsia" w:ascii="宋体" w:hAnsi="宋体"/>
          <w:szCs w:val="21"/>
          <w:u w:val="single"/>
          <w:lang w:val="zh-CN"/>
        </w:rPr>
        <w:t xml:space="preserve">  规模不低于 2亿元或监理合同金额不少于</w:t>
      </w:r>
      <w:r>
        <w:rPr>
          <w:rFonts w:hint="eastAsia" w:ascii="宋体" w:hAnsi="宋体"/>
          <w:szCs w:val="21"/>
          <w:u w:val="single"/>
          <w:lang w:val="en-US" w:eastAsia="zh-CN"/>
        </w:rPr>
        <w:t>2</w:t>
      </w:r>
      <w:r>
        <w:rPr>
          <w:rFonts w:hint="eastAsia" w:ascii="宋体" w:hAnsi="宋体"/>
          <w:szCs w:val="21"/>
          <w:u w:val="single"/>
          <w:lang w:val="zh-CN"/>
        </w:rPr>
        <w:t xml:space="preserve">00万元   </w:t>
      </w:r>
      <w:r>
        <w:rPr>
          <w:rFonts w:hint="eastAsia" w:ascii="宋体" w:hAnsi="宋体"/>
          <w:szCs w:val="21"/>
          <w:lang w:val="zh-CN"/>
        </w:rPr>
        <w:t>的工程(不低于招标项目规模的50%)；</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szCs w:val="21"/>
          <w:lang w:val="zh-CN"/>
        </w:rPr>
      </w:pPr>
      <w:r>
        <w:rPr>
          <w:rFonts w:hint="eastAsia" w:ascii="宋体" w:hAnsi="宋体"/>
          <w:szCs w:val="21"/>
          <w:lang w:val="zh-CN"/>
        </w:rPr>
        <w:t>7、获奖证书的时效以获奖证明文件所载明评奖年度为准；</w:t>
      </w:r>
    </w:p>
    <w:p>
      <w:pPr>
        <w:keepNext w:val="0"/>
        <w:keepLines w:val="0"/>
        <w:pageBreakBefore w:val="0"/>
        <w:widowControl w:val="0"/>
        <w:kinsoku/>
        <w:wordWrap/>
        <w:overflowPunct/>
        <w:topLinePunct w:val="0"/>
        <w:autoSpaceDE w:val="0"/>
        <w:autoSpaceDN w:val="0"/>
        <w:bidi w:val="0"/>
        <w:adjustRightInd w:val="0"/>
        <w:snapToGrid/>
        <w:spacing w:line="360" w:lineRule="auto"/>
        <w:ind w:left="315" w:hanging="315" w:hangingChars="150"/>
        <w:textAlignment w:val="auto"/>
        <w:rPr>
          <w:rFonts w:hint="eastAsia" w:ascii="宋体" w:hAnsi="宋体"/>
          <w:szCs w:val="21"/>
          <w:lang w:val="zh-CN"/>
        </w:rPr>
      </w:pPr>
      <w:r>
        <w:rPr>
          <w:rFonts w:hint="eastAsia" w:ascii="宋体" w:hAnsi="宋体"/>
          <w:szCs w:val="21"/>
          <w:lang w:val="zh-CN"/>
        </w:rPr>
        <w:t>8、凡涉及以上评分细则中相关证明材料，均要求在投标文件中提供复印件；</w:t>
      </w:r>
    </w:p>
    <w:p>
      <w:pPr>
        <w:keepNext w:val="0"/>
        <w:keepLines w:val="0"/>
        <w:pageBreakBefore w:val="0"/>
        <w:widowControl w:val="0"/>
        <w:kinsoku/>
        <w:wordWrap/>
        <w:overflowPunct/>
        <w:topLinePunct w:val="0"/>
        <w:autoSpaceDE w:val="0"/>
        <w:autoSpaceDN w:val="0"/>
        <w:bidi w:val="0"/>
        <w:adjustRightInd w:val="0"/>
        <w:snapToGrid/>
        <w:spacing w:line="360" w:lineRule="auto"/>
        <w:ind w:left="315" w:hanging="315" w:hangingChars="150"/>
        <w:textAlignment w:val="auto"/>
        <w:rPr>
          <w:rFonts w:hint="eastAsia" w:ascii="宋体" w:hAnsi="宋体"/>
          <w:b/>
          <w:bCs/>
          <w:szCs w:val="21"/>
        </w:rPr>
      </w:pPr>
      <w:r>
        <w:rPr>
          <w:rFonts w:hint="eastAsia" w:ascii="宋体" w:hAnsi="宋体"/>
          <w:szCs w:val="21"/>
          <w:lang w:val="zh-CN"/>
        </w:rPr>
        <w:t>9、工程竣工验收报告必须由工程建设、监理、施工、设计等单位四方签字盖章方可有效，否则视为无效文件。</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color w:val="800080"/>
          <w:szCs w:val="21"/>
          <w:lang w:val="zh-CN"/>
        </w:rPr>
      </w:pPr>
      <w:r>
        <w:rPr>
          <w:rFonts w:hint="eastAsia" w:ascii="宋体" w:hAnsi="宋体"/>
          <w:szCs w:val="21"/>
          <w:lang w:val="zh-CN"/>
        </w:rPr>
        <w:t>1</w:t>
      </w:r>
      <w:r>
        <w:rPr>
          <w:rFonts w:hint="eastAsia" w:ascii="宋体" w:hAnsi="宋体"/>
          <w:szCs w:val="21"/>
          <w:lang w:val="en-US" w:eastAsia="zh-CN"/>
        </w:rPr>
        <w:t>0</w:t>
      </w:r>
      <w:r>
        <w:rPr>
          <w:rFonts w:hint="eastAsia" w:ascii="宋体" w:hAnsi="宋体"/>
          <w:szCs w:val="21"/>
          <w:lang w:val="zh-CN"/>
        </w:rPr>
        <w:t>、</w:t>
      </w:r>
      <w:r>
        <w:rPr>
          <w:rFonts w:hint="eastAsia" w:ascii="宋体" w:hAnsi="宋体"/>
          <w:szCs w:val="21"/>
        </w:rPr>
        <w:t>监理公司业绩中“企业近五年（</w:t>
      </w:r>
      <w:r>
        <w:rPr>
          <w:rFonts w:hint="eastAsia" w:ascii="宋体" w:hAnsi="宋体" w:cs="宋体"/>
          <w:kern w:val="0"/>
          <w:szCs w:val="21"/>
          <w:lang w:eastAsia="zh-CN"/>
        </w:rPr>
        <w:t>2018年1月1日起至今</w:t>
      </w:r>
      <w:r>
        <w:rPr>
          <w:rFonts w:hint="eastAsia" w:ascii="宋体" w:hAnsi="宋体"/>
          <w:szCs w:val="21"/>
        </w:rPr>
        <w:t>）监理一项已竣工验收</w:t>
      </w:r>
      <w:r>
        <w:rPr>
          <w:rFonts w:hint="eastAsia" w:ascii="宋体" w:hAnsi="宋体"/>
          <w:szCs w:val="21"/>
          <w:lang w:val="zh-CN"/>
        </w:rPr>
        <w:t>同类别</w:t>
      </w:r>
      <w:r>
        <w:rPr>
          <w:rFonts w:hint="eastAsia" w:ascii="宋体" w:hAnsi="宋体"/>
          <w:szCs w:val="21"/>
        </w:rPr>
        <w:t>工程得分”与“企业近五年（</w:t>
      </w:r>
      <w:r>
        <w:rPr>
          <w:rFonts w:hint="eastAsia" w:ascii="宋体" w:hAnsi="宋体" w:cs="宋体"/>
          <w:kern w:val="0"/>
          <w:szCs w:val="21"/>
          <w:lang w:eastAsia="zh-CN"/>
        </w:rPr>
        <w:t>2018年1月1日起至今</w:t>
      </w:r>
      <w:r>
        <w:rPr>
          <w:rFonts w:hint="eastAsia" w:ascii="宋体" w:hAnsi="宋体"/>
          <w:szCs w:val="21"/>
        </w:rPr>
        <w:t>）监理一项已竣工验收</w:t>
      </w:r>
      <w:r>
        <w:rPr>
          <w:rFonts w:hint="eastAsia" w:ascii="宋体" w:hAnsi="宋体"/>
          <w:szCs w:val="21"/>
          <w:lang w:val="zh-CN"/>
        </w:rPr>
        <w:t>同类别且规模相当</w:t>
      </w:r>
      <w:r>
        <w:rPr>
          <w:rFonts w:hint="eastAsia" w:ascii="宋体" w:hAnsi="宋体"/>
          <w:szCs w:val="21"/>
        </w:rPr>
        <w:t>工程工作的得分”，同项业绩不累计，并以得分最高项为准。</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szCs w:val="21"/>
          <w:lang w:val="zh-CN"/>
        </w:rPr>
      </w:pPr>
      <w:r>
        <w:rPr>
          <w:rFonts w:hint="eastAsia" w:ascii="宋体" w:hAnsi="宋体"/>
          <w:szCs w:val="21"/>
          <w:lang w:val="zh-CN"/>
        </w:rPr>
        <w:t>1</w:t>
      </w:r>
      <w:r>
        <w:rPr>
          <w:rFonts w:hint="eastAsia" w:ascii="宋体" w:hAnsi="宋体"/>
          <w:szCs w:val="21"/>
          <w:lang w:val="en-US" w:eastAsia="zh-CN"/>
        </w:rPr>
        <w:t>1</w:t>
      </w:r>
      <w:r>
        <w:rPr>
          <w:rFonts w:hint="eastAsia" w:ascii="宋体" w:hAnsi="宋体"/>
          <w:szCs w:val="21"/>
          <w:lang w:val="zh-CN"/>
        </w:rPr>
        <w:t>、投入人员需提供养老保险证明，养老保险证明须是投标单位（或其分支机构）为该人员在近三</w:t>
      </w:r>
      <w:r>
        <w:rPr>
          <w:rFonts w:hint="eastAsia" w:ascii="宋体" w:hAnsi="宋体"/>
          <w:szCs w:val="21"/>
          <w:highlight w:val="none"/>
          <w:lang w:val="zh-CN"/>
        </w:rPr>
        <w:t>个月（(从本项目招标公告发出之月起计之前)）在本</w:t>
      </w:r>
      <w:r>
        <w:rPr>
          <w:rFonts w:hint="eastAsia" w:ascii="宋体" w:hAnsi="宋体"/>
          <w:szCs w:val="21"/>
          <w:lang w:val="zh-CN"/>
        </w:rPr>
        <w:t>公司购买养老保险的证明，如社保管理机构已开通社保证明打印件查询电子化的地区，可提供社保管理机构有关实行社保证明电子化的相关文件及养老保险网络打印资料，如有完整的网络查询路径养老保险网络打印件，可视为实行社保证明电子化的相关文件。若已达到退休年龄且不超过执业年龄上限的，则可提供养老保险待遇领取情况资料或退休证和单位的返聘证明等证明材料。</w:t>
      </w:r>
    </w:p>
    <w:p>
      <w:pPr>
        <w:keepNext w:val="0"/>
        <w:keepLines w:val="0"/>
        <w:pageBreakBefore w:val="0"/>
        <w:widowControl w:val="0"/>
        <w:kinsoku/>
        <w:wordWrap/>
        <w:overflowPunct/>
        <w:topLinePunct w:val="0"/>
        <w:bidi w:val="0"/>
        <w:snapToGrid/>
        <w:spacing w:line="360" w:lineRule="auto"/>
        <w:textAlignment w:val="auto"/>
        <w:rPr>
          <w:rFonts w:ascii="宋体" w:hAnsi="宋体"/>
          <w:szCs w:val="21"/>
          <w:lang w:val="zh-CN"/>
        </w:rPr>
      </w:pPr>
      <w:r>
        <w:rPr>
          <w:rFonts w:hint="eastAsia" w:ascii="宋体" w:hAnsi="宋体"/>
          <w:szCs w:val="21"/>
          <w:lang w:val="zh-CN"/>
        </w:rPr>
        <w:t>1</w:t>
      </w:r>
      <w:r>
        <w:rPr>
          <w:rFonts w:hint="eastAsia" w:ascii="宋体" w:hAnsi="宋体"/>
          <w:szCs w:val="21"/>
          <w:lang w:val="en-US" w:eastAsia="zh-CN"/>
        </w:rPr>
        <w:t>2</w:t>
      </w:r>
      <w:r>
        <w:rPr>
          <w:rFonts w:hint="eastAsia" w:ascii="宋体" w:hAnsi="宋体"/>
          <w:szCs w:val="21"/>
          <w:lang w:val="zh-CN"/>
        </w:rPr>
        <w:t>、工程建设奖项、公司信誉中的监理类企业奖项、监理人员个人荣誉奖项的颁发单位，须是</w:t>
      </w:r>
      <w:r>
        <w:rPr>
          <w:rFonts w:hint="eastAsia" w:ascii="宋体" w:hAnsi="宋体"/>
          <w:szCs w:val="21"/>
          <w:lang w:val="en-US" w:eastAsia="zh-CN"/>
        </w:rPr>
        <w:t>为行政主管部门或</w:t>
      </w:r>
      <w:r>
        <w:rPr>
          <w:rFonts w:hint="eastAsia" w:ascii="宋体" w:hAnsi="宋体"/>
          <w:szCs w:val="21"/>
          <w:lang w:val="zh-CN"/>
        </w:rPr>
        <w:t>经民政部门登记的社会团体。未经民政部门登记的社会团体，其颁发的奖项无效。</w:t>
      </w:r>
    </w:p>
    <w:p>
      <w:pPr>
        <w:keepNext w:val="0"/>
        <w:keepLines w:val="0"/>
        <w:pageBreakBefore w:val="0"/>
        <w:widowControl w:val="0"/>
        <w:kinsoku/>
        <w:wordWrap/>
        <w:overflowPunct/>
        <w:topLinePunct w:val="0"/>
        <w:bidi w:val="0"/>
        <w:snapToGrid/>
        <w:spacing w:line="360" w:lineRule="auto"/>
        <w:textAlignment w:val="auto"/>
        <w:rPr>
          <w:rFonts w:hint="eastAsia" w:ascii="黑体" w:eastAsia="黑体"/>
          <w:color w:val="auto"/>
        </w:rPr>
      </w:pPr>
      <w:r>
        <w:rPr>
          <w:rFonts w:hint="eastAsia" w:ascii="黑体" w:eastAsia="黑体"/>
          <w:color w:val="auto"/>
        </w:rPr>
        <w:br w:type="page"/>
      </w:r>
    </w:p>
    <w:p>
      <w:pPr>
        <w:spacing w:line="360" w:lineRule="auto"/>
        <w:rPr>
          <w:rFonts w:ascii="黑体" w:eastAsia="黑体"/>
          <w:color w:val="auto"/>
        </w:rPr>
      </w:pPr>
      <w:r>
        <w:rPr>
          <w:rFonts w:hint="eastAsia" w:ascii="黑体" w:eastAsia="黑体"/>
          <w:color w:val="auto"/>
        </w:rPr>
        <w:t>附表一：投标文件注册人员核查表</w:t>
      </w:r>
    </w:p>
    <w:p>
      <w:pPr>
        <w:spacing w:line="360" w:lineRule="auto"/>
        <w:jc w:val="center"/>
        <w:rPr>
          <w:rFonts w:ascii="黑体" w:eastAsia="黑体"/>
          <w:b/>
          <w:color w:val="auto"/>
          <w:sz w:val="28"/>
        </w:rPr>
      </w:pPr>
    </w:p>
    <w:p>
      <w:pPr>
        <w:spacing w:line="360" w:lineRule="auto"/>
        <w:jc w:val="center"/>
        <w:rPr>
          <w:rFonts w:ascii="黑体" w:eastAsia="黑体"/>
          <w:b/>
          <w:color w:val="auto"/>
          <w:sz w:val="28"/>
        </w:rPr>
      </w:pPr>
      <w:r>
        <w:rPr>
          <w:rFonts w:hint="eastAsia" w:ascii="黑体" w:eastAsia="黑体"/>
          <w:b/>
          <w:color w:val="auto"/>
          <w:sz w:val="28"/>
        </w:rPr>
        <w:t>投标文件注册人员核查表</w:t>
      </w:r>
    </w:p>
    <w:p>
      <w:pPr>
        <w:spacing w:line="240" w:lineRule="exact"/>
        <w:rPr>
          <w:rFonts w:ascii="宋体" w:hAnsi="宋体"/>
          <w:color w:val="auto"/>
          <w:szCs w:val="21"/>
          <w:lang w:val="zh-CN"/>
        </w:rPr>
      </w:pPr>
    </w:p>
    <w:p>
      <w:pPr>
        <w:spacing w:line="360" w:lineRule="auto"/>
        <w:rPr>
          <w:rFonts w:ascii="黑体" w:eastAsia="黑体"/>
          <w:color w:val="auto"/>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1191"/>
        <w:gridCol w:w="851"/>
        <w:gridCol w:w="1276"/>
        <w:gridCol w:w="1417"/>
        <w:gridCol w:w="99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Merge w:val="restart"/>
            <w:vAlign w:val="center"/>
          </w:tcPr>
          <w:p>
            <w:pPr>
              <w:keepNext w:val="0"/>
              <w:keepLines w:val="0"/>
              <w:suppressLineNumbers w:val="0"/>
              <w:spacing w:before="0" w:beforeAutospacing="0" w:after="0" w:afterAutospacing="0" w:line="360" w:lineRule="auto"/>
              <w:ind w:left="0" w:right="0"/>
              <w:jc w:val="center"/>
              <w:rPr>
                <w:rFonts w:hint="default" w:ascii="黑体" w:eastAsia="黑体"/>
                <w:color w:val="auto"/>
              </w:rPr>
            </w:pPr>
            <w:r>
              <w:rPr>
                <w:rFonts w:hint="eastAsia" w:ascii="黑体" w:eastAsia="黑体"/>
                <w:color w:val="auto"/>
              </w:rPr>
              <w:t>序号</w:t>
            </w:r>
          </w:p>
        </w:tc>
        <w:tc>
          <w:tcPr>
            <w:tcW w:w="1191" w:type="dxa"/>
            <w:vMerge w:val="restart"/>
            <w:vAlign w:val="center"/>
          </w:tcPr>
          <w:p>
            <w:pPr>
              <w:keepNext w:val="0"/>
              <w:keepLines w:val="0"/>
              <w:suppressLineNumbers w:val="0"/>
              <w:spacing w:before="0" w:beforeAutospacing="0" w:after="0" w:afterAutospacing="0" w:line="360" w:lineRule="auto"/>
              <w:ind w:left="0" w:right="0"/>
              <w:jc w:val="center"/>
              <w:rPr>
                <w:rFonts w:hint="default" w:ascii="黑体" w:eastAsia="黑体"/>
                <w:color w:val="auto"/>
              </w:rPr>
            </w:pPr>
            <w:r>
              <w:rPr>
                <w:rFonts w:hint="eastAsia" w:ascii="黑体" w:eastAsia="黑体"/>
                <w:color w:val="auto"/>
              </w:rPr>
              <w:t>投标单位</w:t>
            </w:r>
          </w:p>
        </w:tc>
        <w:tc>
          <w:tcPr>
            <w:tcW w:w="4536" w:type="dxa"/>
            <w:gridSpan w:val="4"/>
            <w:vAlign w:val="center"/>
          </w:tcPr>
          <w:p>
            <w:pPr>
              <w:keepNext w:val="0"/>
              <w:keepLines w:val="0"/>
              <w:suppressLineNumbers w:val="0"/>
              <w:spacing w:before="0" w:beforeAutospacing="0" w:after="0" w:afterAutospacing="0" w:line="360" w:lineRule="auto"/>
              <w:ind w:left="0" w:right="0"/>
              <w:jc w:val="center"/>
              <w:rPr>
                <w:rFonts w:hint="default" w:ascii="黑体" w:eastAsia="黑体"/>
                <w:color w:val="auto"/>
              </w:rPr>
            </w:pPr>
            <w:r>
              <w:rPr>
                <w:rFonts w:hint="eastAsia" w:ascii="黑体" w:eastAsia="黑体"/>
                <w:color w:val="auto"/>
              </w:rPr>
              <w:t>注册监理工程师</w:t>
            </w:r>
          </w:p>
        </w:tc>
        <w:tc>
          <w:tcPr>
            <w:tcW w:w="2552" w:type="dxa"/>
            <w:vMerge w:val="restart"/>
            <w:vAlign w:val="center"/>
          </w:tcPr>
          <w:p>
            <w:pPr>
              <w:keepNext w:val="0"/>
              <w:keepLines w:val="0"/>
              <w:suppressLineNumbers w:val="0"/>
              <w:spacing w:before="0" w:beforeAutospacing="0" w:after="0" w:afterAutospacing="0" w:line="360" w:lineRule="auto"/>
              <w:ind w:left="0" w:right="0"/>
              <w:jc w:val="center"/>
              <w:rPr>
                <w:rFonts w:hint="default" w:ascii="黑体" w:eastAsia="黑体"/>
                <w:color w:val="auto"/>
              </w:rPr>
            </w:pPr>
            <w:r>
              <w:rPr>
                <w:rFonts w:hint="eastAsia" w:ascii="黑体" w:eastAsia="黑体"/>
                <w:color w:val="auto"/>
              </w:rPr>
              <w:t>核查情况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Merge w:val="continue"/>
          </w:tcPr>
          <w:p>
            <w:pPr>
              <w:keepNext w:val="0"/>
              <w:keepLines w:val="0"/>
              <w:suppressLineNumbers w:val="0"/>
              <w:spacing w:before="0" w:beforeAutospacing="0" w:after="0" w:afterAutospacing="0" w:line="360" w:lineRule="auto"/>
              <w:ind w:left="0" w:right="0"/>
              <w:rPr>
                <w:rFonts w:hint="default" w:ascii="黑体" w:eastAsia="黑体"/>
                <w:color w:val="auto"/>
              </w:rPr>
            </w:pPr>
          </w:p>
        </w:tc>
        <w:tc>
          <w:tcPr>
            <w:tcW w:w="1191" w:type="dxa"/>
            <w:vMerge w:val="continue"/>
          </w:tcPr>
          <w:p>
            <w:pPr>
              <w:keepNext w:val="0"/>
              <w:keepLines w:val="0"/>
              <w:suppressLineNumbers w:val="0"/>
              <w:spacing w:before="0" w:beforeAutospacing="0" w:after="0" w:afterAutospacing="0" w:line="360" w:lineRule="auto"/>
              <w:ind w:left="0" w:right="0"/>
              <w:rPr>
                <w:rFonts w:hint="default" w:ascii="黑体" w:eastAsia="黑体"/>
                <w:color w:val="auto"/>
              </w:rPr>
            </w:pPr>
          </w:p>
        </w:tc>
        <w:tc>
          <w:tcPr>
            <w:tcW w:w="851" w:type="dxa"/>
          </w:tcPr>
          <w:p>
            <w:pPr>
              <w:keepNext w:val="0"/>
              <w:keepLines w:val="0"/>
              <w:suppressLineNumbers w:val="0"/>
              <w:spacing w:before="0" w:beforeAutospacing="0" w:after="0" w:afterAutospacing="0" w:line="360" w:lineRule="auto"/>
              <w:ind w:left="0" w:right="0"/>
              <w:rPr>
                <w:rFonts w:hint="default" w:ascii="黑体" w:eastAsia="黑体"/>
                <w:color w:val="auto"/>
              </w:rPr>
            </w:pPr>
            <w:r>
              <w:rPr>
                <w:rFonts w:hint="eastAsia" w:ascii="黑体" w:eastAsia="黑体"/>
                <w:color w:val="auto"/>
              </w:rPr>
              <w:t>姓名</w:t>
            </w:r>
          </w:p>
        </w:tc>
        <w:tc>
          <w:tcPr>
            <w:tcW w:w="1276" w:type="dxa"/>
          </w:tcPr>
          <w:p>
            <w:pPr>
              <w:keepNext w:val="0"/>
              <w:keepLines w:val="0"/>
              <w:suppressLineNumbers w:val="0"/>
              <w:spacing w:before="0" w:beforeAutospacing="0" w:after="0" w:afterAutospacing="0" w:line="360" w:lineRule="auto"/>
              <w:ind w:left="0" w:right="0"/>
              <w:rPr>
                <w:rFonts w:hint="default" w:ascii="黑体" w:eastAsia="黑体"/>
                <w:color w:val="auto"/>
              </w:rPr>
            </w:pPr>
            <w:r>
              <w:rPr>
                <w:rFonts w:hint="eastAsia" w:ascii="黑体" w:eastAsia="黑体"/>
                <w:color w:val="auto"/>
              </w:rPr>
              <w:t>聘用单位</w:t>
            </w:r>
          </w:p>
        </w:tc>
        <w:tc>
          <w:tcPr>
            <w:tcW w:w="1417" w:type="dxa"/>
          </w:tcPr>
          <w:p>
            <w:pPr>
              <w:keepNext w:val="0"/>
              <w:keepLines w:val="0"/>
              <w:suppressLineNumbers w:val="0"/>
              <w:spacing w:before="0" w:beforeAutospacing="0" w:after="0" w:afterAutospacing="0" w:line="360" w:lineRule="auto"/>
              <w:ind w:left="0" w:right="0"/>
              <w:rPr>
                <w:rFonts w:hint="default" w:ascii="黑体" w:eastAsia="黑体"/>
                <w:color w:val="auto"/>
              </w:rPr>
            </w:pPr>
            <w:r>
              <w:rPr>
                <w:rFonts w:hint="eastAsia" w:ascii="黑体" w:eastAsia="黑体"/>
                <w:color w:val="auto"/>
              </w:rPr>
              <w:t>证书有效期</w:t>
            </w:r>
          </w:p>
        </w:tc>
        <w:tc>
          <w:tcPr>
            <w:tcW w:w="992" w:type="dxa"/>
          </w:tcPr>
          <w:p>
            <w:pPr>
              <w:keepNext w:val="0"/>
              <w:keepLines w:val="0"/>
              <w:suppressLineNumbers w:val="0"/>
              <w:spacing w:before="0" w:beforeAutospacing="0" w:after="0" w:afterAutospacing="0" w:line="360" w:lineRule="auto"/>
              <w:ind w:left="0" w:right="0"/>
              <w:rPr>
                <w:rFonts w:hint="default" w:ascii="黑体" w:eastAsia="黑体"/>
                <w:color w:val="auto"/>
              </w:rPr>
            </w:pPr>
            <w:r>
              <w:rPr>
                <w:rFonts w:hint="eastAsia" w:ascii="黑体" w:eastAsia="黑体"/>
                <w:color w:val="auto"/>
              </w:rPr>
              <w:t>证号</w:t>
            </w:r>
          </w:p>
        </w:tc>
        <w:tc>
          <w:tcPr>
            <w:tcW w:w="2552" w:type="dxa"/>
            <w:vMerge w:val="continue"/>
          </w:tcPr>
          <w:p>
            <w:pPr>
              <w:keepNext w:val="0"/>
              <w:keepLines w:val="0"/>
              <w:suppressLineNumbers w:val="0"/>
              <w:spacing w:before="0" w:beforeAutospacing="0" w:after="0" w:afterAutospacing="0" w:line="360" w:lineRule="auto"/>
              <w:ind w:left="0" w:right="0"/>
              <w:rPr>
                <w:rFonts w:hint="default" w:ascii="黑体" w:eastAsia="黑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tcPr>
          <w:p>
            <w:pPr>
              <w:keepNext w:val="0"/>
              <w:keepLines w:val="0"/>
              <w:suppressLineNumbers w:val="0"/>
              <w:spacing w:before="0" w:beforeAutospacing="0" w:after="0" w:afterAutospacing="0" w:line="360" w:lineRule="auto"/>
              <w:ind w:left="0" w:right="0"/>
              <w:rPr>
                <w:rFonts w:hint="default" w:ascii="黑体" w:eastAsia="黑体"/>
                <w:color w:val="auto"/>
              </w:rPr>
            </w:pPr>
          </w:p>
        </w:tc>
        <w:tc>
          <w:tcPr>
            <w:tcW w:w="1191" w:type="dxa"/>
          </w:tcPr>
          <w:p>
            <w:pPr>
              <w:keepNext w:val="0"/>
              <w:keepLines w:val="0"/>
              <w:suppressLineNumbers w:val="0"/>
              <w:spacing w:before="0" w:beforeAutospacing="0" w:after="0" w:afterAutospacing="0" w:line="360" w:lineRule="auto"/>
              <w:ind w:left="0" w:right="0"/>
              <w:rPr>
                <w:rFonts w:hint="default" w:ascii="黑体" w:eastAsia="黑体"/>
                <w:color w:val="auto"/>
              </w:rPr>
            </w:pPr>
          </w:p>
        </w:tc>
        <w:tc>
          <w:tcPr>
            <w:tcW w:w="851" w:type="dxa"/>
          </w:tcPr>
          <w:p>
            <w:pPr>
              <w:keepNext w:val="0"/>
              <w:keepLines w:val="0"/>
              <w:suppressLineNumbers w:val="0"/>
              <w:spacing w:before="0" w:beforeAutospacing="0" w:after="0" w:afterAutospacing="0" w:line="360" w:lineRule="auto"/>
              <w:ind w:left="0" w:right="0"/>
              <w:rPr>
                <w:rFonts w:hint="default" w:ascii="黑体" w:eastAsia="黑体"/>
                <w:color w:val="auto"/>
              </w:rPr>
            </w:pPr>
          </w:p>
        </w:tc>
        <w:tc>
          <w:tcPr>
            <w:tcW w:w="1276" w:type="dxa"/>
          </w:tcPr>
          <w:p>
            <w:pPr>
              <w:keepNext w:val="0"/>
              <w:keepLines w:val="0"/>
              <w:suppressLineNumbers w:val="0"/>
              <w:spacing w:before="0" w:beforeAutospacing="0" w:after="0" w:afterAutospacing="0" w:line="360" w:lineRule="auto"/>
              <w:ind w:left="0" w:right="0"/>
              <w:rPr>
                <w:rFonts w:hint="default" w:ascii="黑体" w:eastAsia="黑体"/>
                <w:color w:val="auto"/>
              </w:rPr>
            </w:pPr>
          </w:p>
        </w:tc>
        <w:tc>
          <w:tcPr>
            <w:tcW w:w="1417" w:type="dxa"/>
          </w:tcPr>
          <w:p>
            <w:pPr>
              <w:keepNext w:val="0"/>
              <w:keepLines w:val="0"/>
              <w:suppressLineNumbers w:val="0"/>
              <w:spacing w:before="0" w:beforeAutospacing="0" w:after="0" w:afterAutospacing="0" w:line="360" w:lineRule="auto"/>
              <w:ind w:left="0" w:right="0"/>
              <w:rPr>
                <w:rFonts w:hint="default" w:ascii="黑体" w:eastAsia="黑体"/>
                <w:color w:val="auto"/>
              </w:rPr>
            </w:pPr>
          </w:p>
        </w:tc>
        <w:tc>
          <w:tcPr>
            <w:tcW w:w="992" w:type="dxa"/>
          </w:tcPr>
          <w:p>
            <w:pPr>
              <w:keepNext w:val="0"/>
              <w:keepLines w:val="0"/>
              <w:suppressLineNumbers w:val="0"/>
              <w:spacing w:before="0" w:beforeAutospacing="0" w:after="0" w:afterAutospacing="0" w:line="360" w:lineRule="auto"/>
              <w:ind w:left="0" w:right="0"/>
              <w:rPr>
                <w:rFonts w:hint="default" w:ascii="黑体" w:eastAsia="黑体"/>
                <w:color w:val="auto"/>
              </w:rPr>
            </w:pPr>
          </w:p>
        </w:tc>
        <w:tc>
          <w:tcPr>
            <w:tcW w:w="2552" w:type="dxa"/>
          </w:tcPr>
          <w:p>
            <w:pPr>
              <w:keepNext w:val="0"/>
              <w:keepLines w:val="0"/>
              <w:suppressLineNumbers w:val="0"/>
              <w:spacing w:before="0" w:beforeAutospacing="0" w:after="0" w:afterAutospacing="0" w:line="360" w:lineRule="auto"/>
              <w:ind w:left="0" w:right="0"/>
              <w:rPr>
                <w:rFonts w:hint="default" w:ascii="黑体" w:eastAsia="黑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tcPr>
          <w:p>
            <w:pPr>
              <w:keepNext w:val="0"/>
              <w:keepLines w:val="0"/>
              <w:suppressLineNumbers w:val="0"/>
              <w:spacing w:before="0" w:beforeAutospacing="0" w:after="0" w:afterAutospacing="0" w:line="360" w:lineRule="auto"/>
              <w:ind w:left="0" w:right="0"/>
              <w:rPr>
                <w:rFonts w:hint="default" w:ascii="黑体" w:eastAsia="黑体"/>
                <w:color w:val="auto"/>
              </w:rPr>
            </w:pPr>
          </w:p>
        </w:tc>
        <w:tc>
          <w:tcPr>
            <w:tcW w:w="1191" w:type="dxa"/>
          </w:tcPr>
          <w:p>
            <w:pPr>
              <w:keepNext w:val="0"/>
              <w:keepLines w:val="0"/>
              <w:suppressLineNumbers w:val="0"/>
              <w:spacing w:before="0" w:beforeAutospacing="0" w:after="0" w:afterAutospacing="0" w:line="360" w:lineRule="auto"/>
              <w:ind w:left="0" w:right="0"/>
              <w:rPr>
                <w:rFonts w:hint="default" w:ascii="黑体" w:eastAsia="黑体"/>
                <w:color w:val="auto"/>
              </w:rPr>
            </w:pPr>
          </w:p>
        </w:tc>
        <w:tc>
          <w:tcPr>
            <w:tcW w:w="851" w:type="dxa"/>
          </w:tcPr>
          <w:p>
            <w:pPr>
              <w:keepNext w:val="0"/>
              <w:keepLines w:val="0"/>
              <w:suppressLineNumbers w:val="0"/>
              <w:spacing w:before="0" w:beforeAutospacing="0" w:after="0" w:afterAutospacing="0" w:line="360" w:lineRule="auto"/>
              <w:ind w:left="0" w:right="0"/>
              <w:rPr>
                <w:rFonts w:hint="default" w:ascii="黑体" w:eastAsia="黑体"/>
                <w:color w:val="auto"/>
              </w:rPr>
            </w:pPr>
          </w:p>
        </w:tc>
        <w:tc>
          <w:tcPr>
            <w:tcW w:w="1276" w:type="dxa"/>
          </w:tcPr>
          <w:p>
            <w:pPr>
              <w:keepNext w:val="0"/>
              <w:keepLines w:val="0"/>
              <w:suppressLineNumbers w:val="0"/>
              <w:spacing w:before="0" w:beforeAutospacing="0" w:after="0" w:afterAutospacing="0" w:line="360" w:lineRule="auto"/>
              <w:ind w:left="0" w:right="0"/>
              <w:rPr>
                <w:rFonts w:hint="default" w:ascii="黑体" w:eastAsia="黑体"/>
                <w:color w:val="auto"/>
              </w:rPr>
            </w:pPr>
          </w:p>
        </w:tc>
        <w:tc>
          <w:tcPr>
            <w:tcW w:w="1417" w:type="dxa"/>
          </w:tcPr>
          <w:p>
            <w:pPr>
              <w:keepNext w:val="0"/>
              <w:keepLines w:val="0"/>
              <w:suppressLineNumbers w:val="0"/>
              <w:spacing w:before="0" w:beforeAutospacing="0" w:after="0" w:afterAutospacing="0" w:line="360" w:lineRule="auto"/>
              <w:ind w:left="0" w:right="0"/>
              <w:rPr>
                <w:rFonts w:hint="default" w:ascii="黑体" w:eastAsia="黑体"/>
                <w:color w:val="auto"/>
              </w:rPr>
            </w:pPr>
          </w:p>
        </w:tc>
        <w:tc>
          <w:tcPr>
            <w:tcW w:w="992" w:type="dxa"/>
          </w:tcPr>
          <w:p>
            <w:pPr>
              <w:keepNext w:val="0"/>
              <w:keepLines w:val="0"/>
              <w:suppressLineNumbers w:val="0"/>
              <w:spacing w:before="0" w:beforeAutospacing="0" w:after="0" w:afterAutospacing="0" w:line="360" w:lineRule="auto"/>
              <w:ind w:left="0" w:right="0"/>
              <w:rPr>
                <w:rFonts w:hint="default" w:ascii="黑体" w:eastAsia="黑体"/>
                <w:color w:val="auto"/>
              </w:rPr>
            </w:pPr>
          </w:p>
        </w:tc>
        <w:tc>
          <w:tcPr>
            <w:tcW w:w="2552" w:type="dxa"/>
          </w:tcPr>
          <w:p>
            <w:pPr>
              <w:keepNext w:val="0"/>
              <w:keepLines w:val="0"/>
              <w:suppressLineNumbers w:val="0"/>
              <w:spacing w:before="0" w:beforeAutospacing="0" w:after="0" w:afterAutospacing="0" w:line="360" w:lineRule="auto"/>
              <w:ind w:left="0" w:right="0"/>
              <w:rPr>
                <w:rFonts w:hint="default" w:ascii="黑体" w:eastAsia="黑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tcPr>
          <w:p>
            <w:pPr>
              <w:keepNext w:val="0"/>
              <w:keepLines w:val="0"/>
              <w:suppressLineNumbers w:val="0"/>
              <w:spacing w:before="0" w:beforeAutospacing="0" w:after="0" w:afterAutospacing="0" w:line="360" w:lineRule="auto"/>
              <w:ind w:left="0" w:right="0"/>
              <w:rPr>
                <w:rFonts w:hint="default" w:ascii="黑体" w:eastAsia="黑体"/>
                <w:color w:val="auto"/>
              </w:rPr>
            </w:pPr>
          </w:p>
        </w:tc>
        <w:tc>
          <w:tcPr>
            <w:tcW w:w="1191" w:type="dxa"/>
          </w:tcPr>
          <w:p>
            <w:pPr>
              <w:keepNext w:val="0"/>
              <w:keepLines w:val="0"/>
              <w:suppressLineNumbers w:val="0"/>
              <w:spacing w:before="0" w:beforeAutospacing="0" w:after="0" w:afterAutospacing="0" w:line="360" w:lineRule="auto"/>
              <w:ind w:left="0" w:right="0"/>
              <w:rPr>
                <w:rFonts w:hint="default" w:ascii="黑体" w:eastAsia="黑体"/>
                <w:color w:val="auto"/>
              </w:rPr>
            </w:pPr>
          </w:p>
        </w:tc>
        <w:tc>
          <w:tcPr>
            <w:tcW w:w="851" w:type="dxa"/>
          </w:tcPr>
          <w:p>
            <w:pPr>
              <w:keepNext w:val="0"/>
              <w:keepLines w:val="0"/>
              <w:suppressLineNumbers w:val="0"/>
              <w:spacing w:before="0" w:beforeAutospacing="0" w:after="0" w:afterAutospacing="0" w:line="360" w:lineRule="auto"/>
              <w:ind w:left="0" w:right="0"/>
              <w:rPr>
                <w:rFonts w:hint="default" w:ascii="黑体" w:eastAsia="黑体"/>
                <w:color w:val="auto"/>
              </w:rPr>
            </w:pPr>
          </w:p>
        </w:tc>
        <w:tc>
          <w:tcPr>
            <w:tcW w:w="1276" w:type="dxa"/>
          </w:tcPr>
          <w:p>
            <w:pPr>
              <w:keepNext w:val="0"/>
              <w:keepLines w:val="0"/>
              <w:suppressLineNumbers w:val="0"/>
              <w:spacing w:before="0" w:beforeAutospacing="0" w:after="0" w:afterAutospacing="0" w:line="360" w:lineRule="auto"/>
              <w:ind w:left="0" w:right="0"/>
              <w:rPr>
                <w:rFonts w:hint="default" w:ascii="黑体" w:eastAsia="黑体"/>
                <w:color w:val="auto"/>
              </w:rPr>
            </w:pPr>
          </w:p>
        </w:tc>
        <w:tc>
          <w:tcPr>
            <w:tcW w:w="1417" w:type="dxa"/>
          </w:tcPr>
          <w:p>
            <w:pPr>
              <w:keepNext w:val="0"/>
              <w:keepLines w:val="0"/>
              <w:suppressLineNumbers w:val="0"/>
              <w:spacing w:before="0" w:beforeAutospacing="0" w:after="0" w:afterAutospacing="0" w:line="360" w:lineRule="auto"/>
              <w:ind w:left="0" w:right="0"/>
              <w:rPr>
                <w:rFonts w:hint="default" w:ascii="黑体" w:eastAsia="黑体"/>
                <w:color w:val="auto"/>
              </w:rPr>
            </w:pPr>
          </w:p>
        </w:tc>
        <w:tc>
          <w:tcPr>
            <w:tcW w:w="992" w:type="dxa"/>
          </w:tcPr>
          <w:p>
            <w:pPr>
              <w:keepNext w:val="0"/>
              <w:keepLines w:val="0"/>
              <w:suppressLineNumbers w:val="0"/>
              <w:spacing w:before="0" w:beforeAutospacing="0" w:after="0" w:afterAutospacing="0" w:line="360" w:lineRule="auto"/>
              <w:ind w:left="0" w:right="0"/>
              <w:rPr>
                <w:rFonts w:hint="default" w:ascii="黑体" w:eastAsia="黑体"/>
                <w:color w:val="auto"/>
              </w:rPr>
            </w:pPr>
          </w:p>
        </w:tc>
        <w:tc>
          <w:tcPr>
            <w:tcW w:w="2552" w:type="dxa"/>
          </w:tcPr>
          <w:p>
            <w:pPr>
              <w:keepNext w:val="0"/>
              <w:keepLines w:val="0"/>
              <w:suppressLineNumbers w:val="0"/>
              <w:spacing w:before="0" w:beforeAutospacing="0" w:after="0" w:afterAutospacing="0" w:line="360" w:lineRule="auto"/>
              <w:ind w:left="0" w:right="0"/>
              <w:rPr>
                <w:rFonts w:hint="default" w:ascii="黑体" w:eastAsia="黑体"/>
                <w:color w:val="auto"/>
              </w:rPr>
            </w:pPr>
          </w:p>
        </w:tc>
      </w:tr>
    </w:tbl>
    <w:p>
      <w:pPr>
        <w:spacing w:line="360" w:lineRule="auto"/>
        <w:rPr>
          <w:rFonts w:ascii="仿宋_GB2312" w:eastAsia="仿宋_GB2312"/>
          <w:color w:val="auto"/>
        </w:rPr>
      </w:pPr>
    </w:p>
    <w:p>
      <w:pPr>
        <w:spacing w:line="360" w:lineRule="auto"/>
        <w:rPr>
          <w:rFonts w:ascii="宋体" w:hAnsi="宋体" w:cs="宋体"/>
          <w:color w:val="auto"/>
        </w:rPr>
      </w:pPr>
      <w:r>
        <w:rPr>
          <w:rFonts w:hint="eastAsia" w:ascii="宋体" w:hAnsi="宋体" w:cs="宋体"/>
          <w:color w:val="auto"/>
        </w:rPr>
        <w:t>说明：1、招标代理在开标后，根据投标文件将注册人员列出，经评标委员会代表、招投标监督人员、交易中心工作人员和招标代理确认，评委或委托招标代理工作人员负责核查上述所列内容，并将核查结果提交项目评标委员会作为评审的依据。</w:t>
      </w:r>
    </w:p>
    <w:p>
      <w:pPr>
        <w:spacing w:line="360" w:lineRule="auto"/>
        <w:ind w:firstLine="525" w:firstLineChars="250"/>
        <w:rPr>
          <w:rFonts w:ascii="宋体" w:hAnsi="宋体" w:cs="宋体"/>
          <w:color w:val="auto"/>
        </w:rPr>
      </w:pPr>
      <w:r>
        <w:rPr>
          <w:rFonts w:hint="eastAsia" w:ascii="宋体" w:hAnsi="宋体" w:cs="宋体"/>
          <w:color w:val="auto"/>
        </w:rPr>
        <w:t xml:space="preserve">2、评委或委托招标代理工作人员从网上相关注册人员库中核查。 </w:t>
      </w:r>
    </w:p>
    <w:p>
      <w:pPr>
        <w:spacing w:line="360" w:lineRule="auto"/>
        <w:rPr>
          <w:rFonts w:ascii="宋体" w:hAnsi="宋体" w:cs="宋体"/>
          <w:color w:val="auto"/>
        </w:rPr>
      </w:pPr>
    </w:p>
    <w:p>
      <w:pPr>
        <w:spacing w:line="360" w:lineRule="auto"/>
        <w:rPr>
          <w:rFonts w:ascii="宋体" w:hAnsi="宋体" w:cs="宋体"/>
          <w:color w:val="auto"/>
        </w:rPr>
      </w:pPr>
    </w:p>
    <w:p>
      <w:pPr>
        <w:spacing w:line="360" w:lineRule="auto"/>
        <w:rPr>
          <w:rFonts w:ascii="宋体" w:hAnsi="宋体" w:cs="宋体"/>
          <w:color w:val="auto"/>
        </w:rPr>
      </w:pPr>
    </w:p>
    <w:p>
      <w:pPr>
        <w:spacing w:line="360" w:lineRule="auto"/>
        <w:rPr>
          <w:rFonts w:ascii="宋体" w:hAnsi="宋体" w:cs="宋体"/>
          <w:color w:val="auto"/>
        </w:rPr>
      </w:pPr>
      <w:r>
        <w:rPr>
          <w:rFonts w:hint="eastAsia" w:ascii="宋体" w:hAnsi="宋体" w:cs="宋体"/>
          <w:color w:val="auto"/>
        </w:rPr>
        <w:t>评标委员会代表：</w:t>
      </w:r>
    </w:p>
    <w:p>
      <w:pPr>
        <w:spacing w:line="360" w:lineRule="auto"/>
        <w:rPr>
          <w:rFonts w:ascii="宋体" w:hAnsi="宋体" w:cs="宋体"/>
          <w:color w:val="auto"/>
        </w:rPr>
      </w:pPr>
    </w:p>
    <w:p>
      <w:pPr>
        <w:spacing w:line="360" w:lineRule="auto"/>
        <w:rPr>
          <w:rFonts w:ascii="黑体" w:eastAsia="黑体"/>
          <w:color w:val="auto"/>
        </w:rPr>
      </w:pPr>
    </w:p>
    <w:p>
      <w:pPr>
        <w:spacing w:line="240" w:lineRule="exact"/>
        <w:ind w:left="540" w:leftChars="257" w:firstLine="525" w:firstLineChars="250"/>
        <w:rPr>
          <w:rFonts w:ascii="宋体" w:hAnsi="宋体"/>
          <w:color w:val="auto"/>
          <w:szCs w:val="21"/>
        </w:rPr>
      </w:pPr>
    </w:p>
    <w:p>
      <w:pPr>
        <w:spacing w:line="240" w:lineRule="exact"/>
        <w:ind w:left="540" w:leftChars="257" w:firstLine="525" w:firstLineChars="250"/>
        <w:rPr>
          <w:rFonts w:ascii="宋体" w:hAnsi="宋体"/>
          <w:color w:val="auto"/>
          <w:szCs w:val="21"/>
        </w:rPr>
      </w:pPr>
    </w:p>
    <w:p>
      <w:pPr>
        <w:spacing w:line="240" w:lineRule="exact"/>
        <w:ind w:left="540" w:leftChars="257" w:firstLine="525" w:firstLineChars="250"/>
        <w:rPr>
          <w:rFonts w:ascii="宋体" w:hAnsi="宋体"/>
          <w:color w:val="auto"/>
          <w:szCs w:val="21"/>
        </w:rPr>
      </w:pPr>
    </w:p>
    <w:p>
      <w:pPr>
        <w:spacing w:line="240" w:lineRule="exact"/>
        <w:ind w:left="540" w:leftChars="257" w:firstLine="525" w:firstLineChars="250"/>
        <w:rPr>
          <w:rFonts w:ascii="宋体" w:hAnsi="宋体"/>
          <w:color w:val="auto"/>
          <w:szCs w:val="21"/>
        </w:rPr>
      </w:pPr>
      <w:r>
        <w:rPr>
          <w:rFonts w:ascii="宋体" w:hAnsi="宋体"/>
          <w:color w:val="auto"/>
          <w:szCs w:val="21"/>
        </w:rPr>
        <w:br w:type="page"/>
      </w:r>
    </w:p>
    <w:p>
      <w:pPr>
        <w:spacing w:line="240" w:lineRule="exact"/>
        <w:ind w:left="540" w:leftChars="257" w:firstLine="525" w:firstLineChars="250"/>
        <w:rPr>
          <w:rFonts w:ascii="宋体" w:hAnsi="宋体"/>
          <w:color w:val="auto"/>
          <w:szCs w:val="21"/>
        </w:rPr>
        <w:sectPr>
          <w:headerReference r:id="rId11" w:type="default"/>
          <w:footerReference r:id="rId12" w:type="default"/>
          <w:footerReference r:id="rId13" w:type="even"/>
          <w:pgSz w:w="12240" w:h="15840"/>
          <w:pgMar w:top="1247" w:right="1259" w:bottom="992" w:left="1259" w:header="720" w:footer="720" w:gutter="0"/>
          <w:cols w:space="0" w:num="1"/>
          <w:titlePg/>
        </w:sectPr>
      </w:pPr>
    </w:p>
    <w:p>
      <w:pPr>
        <w:spacing w:before="120" w:beforeLines="50" w:after="120" w:afterLines="50" w:line="360" w:lineRule="auto"/>
        <w:jc w:val="left"/>
        <w:rPr>
          <w:rFonts w:ascii="黑体" w:eastAsia="黑体"/>
          <w:color w:val="auto"/>
        </w:rPr>
      </w:pPr>
      <w:r>
        <w:rPr>
          <w:rFonts w:hint="eastAsia" w:ascii="黑体" w:eastAsia="黑体"/>
          <w:color w:val="auto"/>
        </w:rPr>
        <w:t>附表二：投标报价评审记录表</w:t>
      </w:r>
    </w:p>
    <w:p>
      <w:pPr>
        <w:spacing w:line="360" w:lineRule="auto"/>
        <w:rPr>
          <w:rFonts w:ascii="黑体" w:eastAsia="黑体"/>
          <w:color w:val="auto"/>
        </w:rPr>
      </w:pPr>
    </w:p>
    <w:p>
      <w:pPr>
        <w:spacing w:before="120" w:beforeLines="50" w:after="120" w:afterLines="50" w:line="360" w:lineRule="auto"/>
        <w:jc w:val="center"/>
        <w:rPr>
          <w:rFonts w:ascii="黑体" w:eastAsia="黑体"/>
          <w:color w:val="auto"/>
          <w:sz w:val="28"/>
          <w:szCs w:val="28"/>
        </w:rPr>
      </w:pPr>
      <w:r>
        <w:rPr>
          <w:rFonts w:hint="eastAsia" w:ascii="黑体" w:eastAsia="黑体"/>
          <w:color w:val="auto"/>
          <w:sz w:val="28"/>
          <w:szCs w:val="28"/>
        </w:rPr>
        <w:t>投标报价评审记录表</w:t>
      </w:r>
    </w:p>
    <w:p>
      <w:pPr>
        <w:spacing w:after="72" w:afterLines="30" w:line="360" w:lineRule="auto"/>
        <w:rPr>
          <w:rFonts w:ascii="宋体" w:hAnsi="宋体"/>
          <w:color w:val="auto"/>
        </w:rPr>
      </w:pPr>
      <w:r>
        <w:rPr>
          <w:rFonts w:hint="eastAsia" w:ascii="宋体" w:hAnsi="宋体"/>
          <w:color w:val="auto"/>
        </w:rPr>
        <w:t>工程名称：</w:t>
      </w:r>
      <w:r>
        <w:rPr>
          <w:rFonts w:hint="eastAsia" w:ascii="宋体" w:hAnsi="宋体"/>
          <w:color w:val="auto"/>
          <w:u w:val="single"/>
        </w:rPr>
        <w:t xml:space="preserve">             </w:t>
      </w:r>
      <w:r>
        <w:rPr>
          <w:rFonts w:hint="eastAsia" w:ascii="宋体" w:hAnsi="宋体"/>
          <w:color w:val="auto"/>
        </w:rPr>
        <w:t>(项目名称)</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4486"/>
        <w:gridCol w:w="3402"/>
        <w:gridCol w:w="2076"/>
        <w:gridCol w:w="3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298"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r>
              <w:rPr>
                <w:rFonts w:hint="eastAsia" w:ascii="宋体" w:hAnsi="宋体" w:cs="宋体"/>
                <w:color w:val="auto"/>
                <w:kern w:val="0"/>
                <w:sz w:val="20"/>
                <w:szCs w:val="20"/>
              </w:rPr>
              <w:t>序号</w:t>
            </w:r>
          </w:p>
        </w:tc>
        <w:tc>
          <w:tcPr>
            <w:tcW w:w="1623"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r>
              <w:rPr>
                <w:rFonts w:hint="eastAsia" w:ascii="宋体" w:hAnsi="宋体" w:cs="宋体"/>
                <w:color w:val="auto"/>
                <w:kern w:val="0"/>
                <w:sz w:val="20"/>
                <w:szCs w:val="20"/>
              </w:rPr>
              <w:t>投标单位名称</w:t>
            </w:r>
          </w:p>
        </w:tc>
        <w:tc>
          <w:tcPr>
            <w:tcW w:w="1231" w:type="pct"/>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r>
              <w:rPr>
                <w:rFonts w:hint="eastAsia" w:ascii="宋体" w:hAnsi="宋体" w:cs="宋体"/>
                <w:color w:val="auto"/>
                <w:kern w:val="0"/>
                <w:sz w:val="20"/>
                <w:szCs w:val="20"/>
              </w:rPr>
              <w:t>投标报价（元）</w:t>
            </w:r>
          </w:p>
        </w:tc>
        <w:tc>
          <w:tcPr>
            <w:tcW w:w="751"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r>
              <w:rPr>
                <w:rFonts w:hint="eastAsia" w:ascii="宋体" w:hAnsi="宋体" w:cs="宋体"/>
                <w:color w:val="auto"/>
                <w:kern w:val="0"/>
                <w:sz w:val="20"/>
                <w:szCs w:val="20"/>
              </w:rPr>
              <w:t>评标基准价</w:t>
            </w:r>
          </w:p>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r>
              <w:rPr>
                <w:rFonts w:hint="eastAsia" w:ascii="宋体" w:hAnsi="宋体" w:cs="宋体"/>
                <w:b/>
                <w:color w:val="auto"/>
                <w:kern w:val="0"/>
                <w:sz w:val="20"/>
                <w:szCs w:val="20"/>
              </w:rPr>
              <w:t>A</w:t>
            </w:r>
          </w:p>
        </w:tc>
        <w:tc>
          <w:tcPr>
            <w:tcW w:w="1094" w:type="pct"/>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r>
              <w:rPr>
                <w:rFonts w:hint="default"/>
                <w:color w:val="auto"/>
                <w:szCs w:val="21"/>
              </w:rPr>
              <w:t>投标报价</w:t>
            </w:r>
            <w:r>
              <w:rPr>
                <w:rFonts w:hint="eastAsia" w:ascii="宋体" w:hAnsi="宋体" w:cs="宋体"/>
                <w:color w:val="auto"/>
                <w:kern w:val="0"/>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98"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rPr>
            </w:pPr>
            <w:r>
              <w:rPr>
                <w:rFonts w:hint="eastAsia" w:ascii="宋体" w:hAnsi="宋体" w:cs="宋体"/>
                <w:b/>
                <w:bCs/>
                <w:color w:val="auto"/>
                <w:kern w:val="0"/>
                <w:sz w:val="20"/>
                <w:szCs w:val="20"/>
              </w:rPr>
              <w:t>1</w:t>
            </w:r>
          </w:p>
        </w:tc>
        <w:tc>
          <w:tcPr>
            <w:tcW w:w="1623" w:type="pct"/>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1231" w:type="pct"/>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751" w:type="pct"/>
            <w:vMerge w:val="restart"/>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1094" w:type="pct"/>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98"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rPr>
            </w:pPr>
            <w:r>
              <w:rPr>
                <w:rFonts w:hint="eastAsia" w:ascii="宋体" w:hAnsi="宋体" w:cs="宋体"/>
                <w:b/>
                <w:bCs/>
                <w:color w:val="auto"/>
                <w:kern w:val="0"/>
                <w:sz w:val="20"/>
                <w:szCs w:val="20"/>
              </w:rPr>
              <w:t>2</w:t>
            </w:r>
          </w:p>
        </w:tc>
        <w:tc>
          <w:tcPr>
            <w:tcW w:w="1623" w:type="pct"/>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1231" w:type="pct"/>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751" w:type="pct"/>
            <w:vMerge w:val="continue"/>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rPr>
            </w:pPr>
          </w:p>
        </w:tc>
        <w:tc>
          <w:tcPr>
            <w:tcW w:w="1094" w:type="pct"/>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98"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rPr>
            </w:pPr>
            <w:r>
              <w:rPr>
                <w:rFonts w:hint="eastAsia" w:ascii="宋体" w:hAnsi="宋体" w:cs="宋体"/>
                <w:b/>
                <w:bCs/>
                <w:color w:val="auto"/>
                <w:kern w:val="0"/>
                <w:sz w:val="20"/>
                <w:szCs w:val="20"/>
              </w:rPr>
              <w:t>3</w:t>
            </w:r>
          </w:p>
        </w:tc>
        <w:tc>
          <w:tcPr>
            <w:tcW w:w="1623" w:type="pct"/>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1231" w:type="pct"/>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751" w:type="pct"/>
            <w:vMerge w:val="continue"/>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rPr>
            </w:pPr>
          </w:p>
        </w:tc>
        <w:tc>
          <w:tcPr>
            <w:tcW w:w="1094" w:type="pct"/>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98"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rPr>
            </w:pPr>
            <w:r>
              <w:rPr>
                <w:rFonts w:hint="eastAsia" w:ascii="宋体" w:hAnsi="宋体" w:cs="宋体"/>
                <w:b/>
                <w:bCs/>
                <w:color w:val="auto"/>
                <w:kern w:val="0"/>
                <w:sz w:val="20"/>
                <w:szCs w:val="20"/>
              </w:rPr>
              <w:t>4</w:t>
            </w:r>
          </w:p>
        </w:tc>
        <w:tc>
          <w:tcPr>
            <w:tcW w:w="1623" w:type="pct"/>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1231" w:type="pct"/>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751" w:type="pct"/>
            <w:vMerge w:val="continue"/>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rPr>
            </w:pPr>
          </w:p>
        </w:tc>
        <w:tc>
          <w:tcPr>
            <w:tcW w:w="1094" w:type="pct"/>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98"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rPr>
            </w:pPr>
            <w:r>
              <w:rPr>
                <w:rFonts w:hint="default" w:ascii="宋体" w:hAnsi="宋体" w:cs="宋体"/>
                <w:b/>
                <w:bCs/>
                <w:color w:val="auto"/>
                <w:kern w:val="0"/>
                <w:sz w:val="20"/>
                <w:szCs w:val="20"/>
              </w:rPr>
              <w:t>…</w:t>
            </w:r>
          </w:p>
        </w:tc>
        <w:tc>
          <w:tcPr>
            <w:tcW w:w="1623" w:type="pct"/>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1231" w:type="pct"/>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751" w:type="pct"/>
            <w:vMerge w:val="continue"/>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rPr>
            </w:pPr>
          </w:p>
        </w:tc>
        <w:tc>
          <w:tcPr>
            <w:tcW w:w="1094" w:type="pct"/>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r>
    </w:tbl>
    <w:p>
      <w:pPr>
        <w:spacing w:line="360" w:lineRule="auto"/>
        <w:rPr>
          <w:color w:val="auto"/>
        </w:rPr>
      </w:pPr>
    </w:p>
    <w:p>
      <w:pPr>
        <w:spacing w:line="360" w:lineRule="auto"/>
        <w:rPr>
          <w:color w:val="auto"/>
        </w:rPr>
      </w:pPr>
      <w:r>
        <w:rPr>
          <w:rFonts w:hint="eastAsia"/>
          <w:color w:val="auto"/>
        </w:rPr>
        <w:t xml:space="preserve">评标委员会全体成员签名：                                                                   </w:t>
      </w:r>
    </w:p>
    <w:p>
      <w:pPr>
        <w:spacing w:line="360" w:lineRule="auto"/>
        <w:rPr>
          <w:rFonts w:ascii="黑体" w:eastAsia="黑体"/>
          <w:color w:val="auto"/>
        </w:rPr>
      </w:pPr>
      <w:r>
        <w:rPr>
          <w:rFonts w:hint="eastAsia"/>
          <w:color w:val="auto"/>
        </w:rPr>
        <w:t>日期：        年     月     日</w:t>
      </w:r>
    </w:p>
    <w:p>
      <w:pPr>
        <w:spacing w:line="360" w:lineRule="auto"/>
        <w:rPr>
          <w:rFonts w:ascii="宋体" w:hAnsi="宋体"/>
          <w:b/>
          <w:color w:val="auto"/>
          <w:szCs w:val="21"/>
        </w:rPr>
      </w:pPr>
    </w:p>
    <w:p>
      <w:pPr>
        <w:spacing w:line="360" w:lineRule="auto"/>
        <w:rPr>
          <w:rFonts w:ascii="宋体" w:hAnsi="宋体"/>
          <w:b/>
          <w:color w:val="auto"/>
          <w:szCs w:val="21"/>
        </w:rPr>
      </w:pPr>
    </w:p>
    <w:p>
      <w:pPr>
        <w:rPr>
          <w:rFonts w:ascii="宋体" w:hAnsi="宋体"/>
          <w:b/>
          <w:color w:val="auto"/>
          <w:szCs w:val="21"/>
        </w:rPr>
      </w:pPr>
      <w:r>
        <w:rPr>
          <w:rFonts w:hint="eastAsia" w:ascii="宋体" w:hAnsi="宋体"/>
          <w:b/>
          <w:color w:val="auto"/>
          <w:szCs w:val="21"/>
        </w:rPr>
        <w:br w:type="page"/>
      </w:r>
    </w:p>
    <w:p>
      <w:pPr>
        <w:spacing w:line="360" w:lineRule="auto"/>
        <w:rPr>
          <w:rFonts w:ascii="黑体" w:eastAsia="黑体"/>
          <w:color w:val="auto"/>
        </w:rPr>
      </w:pPr>
      <w:r>
        <w:rPr>
          <w:rFonts w:hint="eastAsia" w:ascii="宋体" w:hAnsi="宋体"/>
          <w:b/>
          <w:color w:val="auto"/>
          <w:szCs w:val="21"/>
        </w:rPr>
        <w:t>附表三：</w:t>
      </w:r>
      <w:r>
        <w:rPr>
          <w:rFonts w:hint="eastAsia" w:ascii="黑体" w:eastAsia="黑体"/>
          <w:color w:val="auto"/>
        </w:rPr>
        <w:t xml:space="preserve">监理综合评审记录表 </w:t>
      </w:r>
    </w:p>
    <w:p>
      <w:pPr>
        <w:spacing w:before="120" w:beforeLines="50" w:after="120" w:afterLines="50" w:line="360" w:lineRule="auto"/>
        <w:jc w:val="center"/>
        <w:rPr>
          <w:rFonts w:ascii="黑体" w:eastAsia="黑体"/>
          <w:color w:val="auto"/>
          <w:sz w:val="28"/>
          <w:szCs w:val="28"/>
        </w:rPr>
      </w:pPr>
      <w:r>
        <w:rPr>
          <w:rFonts w:hint="eastAsia" w:ascii="黑体" w:eastAsia="黑体"/>
          <w:color w:val="auto"/>
          <w:sz w:val="28"/>
          <w:szCs w:val="28"/>
        </w:rPr>
        <w:t>监理综合评审记录表</w:t>
      </w:r>
    </w:p>
    <w:p>
      <w:pPr>
        <w:spacing w:after="72" w:afterLines="30" w:line="360" w:lineRule="auto"/>
        <w:rPr>
          <w:rFonts w:ascii="宋体" w:hAnsi="宋体"/>
          <w:color w:val="auto"/>
        </w:rPr>
      </w:pPr>
      <w:r>
        <w:rPr>
          <w:rFonts w:hint="eastAsia" w:ascii="宋体" w:hAnsi="宋体"/>
          <w:color w:val="auto"/>
        </w:rPr>
        <mc:AlternateContent>
          <mc:Choice Requires="wps">
            <w:drawing>
              <wp:anchor distT="0" distB="0" distL="114300" distR="114300" simplePos="0" relativeHeight="251664384" behindDoc="0" locked="0" layoutInCell="1" allowOverlap="1">
                <wp:simplePos x="0" y="0"/>
                <wp:positionH relativeFrom="column">
                  <wp:posOffset>478155</wp:posOffset>
                </wp:positionH>
                <wp:positionV relativeFrom="paragraph">
                  <wp:posOffset>343535</wp:posOffset>
                </wp:positionV>
                <wp:extent cx="1163955" cy="1961515"/>
                <wp:effectExtent l="3810" t="2540" r="13335" b="4445"/>
                <wp:wrapNone/>
                <wp:docPr id="3" name="直接连接符 3"/>
                <wp:cNvGraphicFramePr/>
                <a:graphic xmlns:a="http://schemas.openxmlformats.org/drawingml/2006/main">
                  <a:graphicData uri="http://schemas.microsoft.com/office/word/2010/wordprocessingShape">
                    <wps:wsp>
                      <wps:cNvCnPr/>
                      <wps:spPr>
                        <a:xfrm>
                          <a:off x="0" y="0"/>
                          <a:ext cx="1163955" cy="19615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7.65pt;margin-top:27.05pt;height:154.45pt;width:91.65pt;z-index:251664384;mso-width-relative:page;mso-height-relative:page;" filled="f" stroked="t" coordsize="21600,21600" o:gfxdata="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qJ&#10;AY3ZAAAACQEAAA8AAAAAAAAAAQAgAAAAIgAAAGRycy9kb3ducmV2LnhtbFBLAQIUABQAAAAIAIdO&#10;4kAuSW/96QEAALcDAAAOAAAAAAAAAAEAIAAAACgBAABkcnMvZTJvRG9jLnhtbFBLBQYAAAAABgAG&#10;AFkBAACDBQAAAAA=&#10;">
                <v:fill on="f" focussize="0,0"/>
                <v:stroke weight="0.5pt" color="#000000 [3200]" miterlimit="8" joinstyle="miter"/>
                <v:imagedata o:title=""/>
                <o:lock v:ext="edit" aspectratio="f"/>
              </v:line>
            </w:pict>
          </mc:Fallback>
        </mc:AlternateContent>
      </w:r>
      <w:r>
        <w:rPr>
          <w:rFonts w:hint="eastAsia" w:ascii="宋体" w:hAnsi="宋体"/>
          <w:color w:val="auto"/>
        </w:rPr>
        <w:t>工程名称：</w:t>
      </w:r>
      <w:r>
        <w:rPr>
          <w:rFonts w:hint="eastAsia" w:ascii="宋体" w:hAnsi="宋体"/>
          <w:color w:val="auto"/>
          <w:u w:val="single"/>
        </w:rPr>
        <w:t xml:space="preserve">             </w:t>
      </w:r>
      <w:r>
        <w:rPr>
          <w:rFonts w:hint="eastAsia" w:ascii="宋体" w:hAnsi="宋体"/>
          <w:color w:val="auto"/>
        </w:rPr>
        <w:t>(项目名称)</w:t>
      </w:r>
    </w:p>
    <w:tbl>
      <w:tblPr>
        <w:tblStyle w:val="2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1898"/>
        <w:gridCol w:w="906"/>
        <w:gridCol w:w="909"/>
        <w:gridCol w:w="909"/>
        <w:gridCol w:w="909"/>
        <w:gridCol w:w="909"/>
        <w:gridCol w:w="909"/>
        <w:gridCol w:w="909"/>
        <w:gridCol w:w="909"/>
        <w:gridCol w:w="909"/>
        <w:gridCol w:w="909"/>
        <w:gridCol w:w="1141"/>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9" w:hRule="atLeast"/>
          <w:jc w:val="center"/>
        </w:trPr>
        <w:tc>
          <w:tcPr>
            <w:tcW w:w="968" w:type="pct"/>
            <w:gridSpan w:val="2"/>
            <w:vAlign w:val="center"/>
          </w:tcPr>
          <w:p>
            <w:pPr>
              <w:keepNext w:val="0"/>
              <w:keepLines w:val="0"/>
              <w:suppressLineNumbers w:val="0"/>
              <w:snapToGrid w:val="0"/>
              <w:spacing w:before="0" w:beforeAutospacing="0" w:after="0" w:afterAutospacing="0"/>
              <w:ind w:left="0" w:right="0"/>
              <w:jc w:val="right"/>
              <w:rPr>
                <w:rFonts w:hint="default"/>
                <w:color w:val="auto"/>
              </w:rPr>
            </w:pPr>
            <w:r>
              <w:rPr>
                <w:rFonts w:hint="eastAsia"/>
                <w:color w:val="auto"/>
              </w:rPr>
              <w:t>评审得分</w:t>
            </w:r>
          </w:p>
          <w:p>
            <w:pPr>
              <w:keepNext w:val="0"/>
              <w:keepLines w:val="0"/>
              <w:suppressLineNumbers w:val="0"/>
              <w:snapToGrid w:val="0"/>
              <w:spacing w:before="0" w:beforeAutospacing="0" w:after="0" w:afterAutospacing="0"/>
              <w:ind w:left="0" w:right="0"/>
              <w:jc w:val="right"/>
              <w:rPr>
                <w:rFonts w:hint="default"/>
                <w:color w:val="auto"/>
              </w:rPr>
            </w:pPr>
          </w:p>
          <w:p>
            <w:pPr>
              <w:keepNext w:val="0"/>
              <w:keepLines w:val="0"/>
              <w:suppressLineNumbers w:val="0"/>
              <w:spacing w:before="0" w:beforeAutospacing="0" w:after="0" w:afterAutospacing="0" w:line="360" w:lineRule="auto"/>
              <w:ind w:left="0" w:right="0"/>
              <w:rPr>
                <w:rFonts w:hint="default"/>
                <w:color w:val="auto"/>
              </w:rPr>
            </w:pPr>
            <w:r>
              <w:rPr>
                <w:rFonts w:hint="eastAsia"/>
                <w:color w:val="auto"/>
              </w:rPr>
              <w:t>评审因素</w:t>
            </w:r>
          </w:p>
          <w:p>
            <w:pPr>
              <w:keepNext w:val="0"/>
              <w:keepLines w:val="0"/>
              <w:suppressLineNumbers w:val="0"/>
              <w:spacing w:before="0" w:beforeAutospacing="0" w:after="0" w:afterAutospacing="0" w:line="360" w:lineRule="auto"/>
              <w:ind w:left="0" w:right="0"/>
              <w:rPr>
                <w:rFonts w:hint="default"/>
                <w:color w:val="auto"/>
              </w:rPr>
            </w:pPr>
            <w:r>
              <w:rPr>
                <w:rFonts w:hint="eastAsia" w:ascii="宋体" w:hAnsi="宋体"/>
                <w:color w:val="auto"/>
              </w:rPr>
              <mc:AlternateContent>
                <mc:Choice Requires="wps">
                  <w:drawing>
                    <wp:anchor distT="0" distB="0" distL="114300" distR="114300" simplePos="0" relativeHeight="251663360" behindDoc="0" locked="0" layoutInCell="1" allowOverlap="1">
                      <wp:simplePos x="0" y="0"/>
                      <wp:positionH relativeFrom="column">
                        <wp:posOffset>-36195</wp:posOffset>
                      </wp:positionH>
                      <wp:positionV relativeFrom="paragraph">
                        <wp:posOffset>80645</wp:posOffset>
                      </wp:positionV>
                      <wp:extent cx="1640205" cy="1320800"/>
                      <wp:effectExtent l="3175" t="3810" r="7620" b="8890"/>
                      <wp:wrapNone/>
                      <wp:docPr id="4" name="直接连接符 4"/>
                      <wp:cNvGraphicFramePr/>
                      <a:graphic xmlns:a="http://schemas.openxmlformats.org/drawingml/2006/main">
                        <a:graphicData uri="http://schemas.microsoft.com/office/word/2010/wordprocessingShape">
                          <wps:wsp>
                            <wps:cNvCnPr/>
                            <wps:spPr>
                              <a:xfrm>
                                <a:off x="0" y="0"/>
                                <a:ext cx="1640205" cy="1320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85pt;margin-top:6.35pt;height:104pt;width:129.15pt;z-index:251663360;mso-width-relative:page;mso-height-relative:page;" filled="f" stroked="t" coordsize="21600,21600" o:gfxdata="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dN&#10;5SbXAAAACQEAAA8AAAAAAAAAAQAgAAAAIgAAAGRycy9kb3ducmV2LnhtbFBLAQIUABQAAAAIAIdO&#10;4kBgf4GD6wEAALcDAAAOAAAAAAAAAAEAIAAAACYBAABkcnMvZTJvRG9jLnhtbFBLBQYAAAAABgAG&#10;AFkBAACDBQAAAAA=&#10;">
                      <v:fill on="f" focussize="0,0"/>
                      <v:stroke weight="0.5pt" color="#000000 [3200]" miterlimit="8" joinstyle="miter"/>
                      <v:imagedata o:title=""/>
                      <o:lock v:ext="edit" aspectratio="f"/>
                    </v:line>
                  </w:pict>
                </mc:Fallback>
              </mc:AlternateContent>
            </w:r>
          </w:p>
          <w:p>
            <w:pPr>
              <w:keepNext w:val="0"/>
              <w:keepLines w:val="0"/>
              <w:suppressLineNumbers w:val="0"/>
              <w:snapToGrid w:val="0"/>
              <w:spacing w:before="0" w:beforeAutospacing="0" w:after="0" w:afterAutospacing="0"/>
              <w:ind w:left="0" w:right="0"/>
              <w:rPr>
                <w:rFonts w:hint="default"/>
                <w:color w:val="auto"/>
              </w:rPr>
            </w:pPr>
          </w:p>
          <w:p>
            <w:pPr>
              <w:keepNext w:val="0"/>
              <w:keepLines w:val="0"/>
              <w:suppressLineNumbers w:val="0"/>
              <w:snapToGrid w:val="0"/>
              <w:spacing w:before="0" w:beforeAutospacing="0" w:after="0" w:afterAutospacing="0"/>
              <w:ind w:left="0" w:right="0"/>
              <w:rPr>
                <w:rFonts w:hint="default"/>
                <w:color w:val="auto"/>
              </w:rPr>
            </w:pPr>
          </w:p>
          <w:p>
            <w:pPr>
              <w:keepNext w:val="0"/>
              <w:keepLines w:val="0"/>
              <w:suppressLineNumbers w:val="0"/>
              <w:snapToGrid w:val="0"/>
              <w:spacing w:before="0" w:beforeAutospacing="0" w:after="0" w:afterAutospacing="0"/>
              <w:ind w:left="0" w:right="0"/>
              <w:rPr>
                <w:rFonts w:hint="eastAsia"/>
                <w:color w:val="auto"/>
              </w:rPr>
            </w:pPr>
          </w:p>
          <w:p>
            <w:pPr>
              <w:keepNext w:val="0"/>
              <w:keepLines w:val="0"/>
              <w:suppressLineNumbers w:val="0"/>
              <w:snapToGrid w:val="0"/>
              <w:spacing w:before="0" w:beforeAutospacing="0" w:after="0" w:afterAutospacing="0"/>
              <w:ind w:left="0" w:right="0"/>
              <w:rPr>
                <w:rFonts w:hint="eastAsia"/>
                <w:color w:val="auto"/>
              </w:rPr>
            </w:pPr>
          </w:p>
          <w:p>
            <w:pPr>
              <w:keepNext w:val="0"/>
              <w:keepLines w:val="0"/>
              <w:suppressLineNumbers w:val="0"/>
              <w:snapToGrid w:val="0"/>
              <w:spacing w:before="0" w:beforeAutospacing="0" w:after="0" w:afterAutospacing="0"/>
              <w:ind w:left="0" w:right="0"/>
              <w:rPr>
                <w:rFonts w:hint="eastAsia"/>
                <w:color w:val="auto"/>
              </w:rPr>
            </w:pPr>
          </w:p>
          <w:p>
            <w:pPr>
              <w:keepNext w:val="0"/>
              <w:keepLines w:val="0"/>
              <w:suppressLineNumbers w:val="0"/>
              <w:snapToGrid w:val="0"/>
              <w:spacing w:before="0" w:beforeAutospacing="0" w:after="0" w:afterAutospacing="0"/>
              <w:ind w:left="0" w:right="0"/>
              <w:rPr>
                <w:rFonts w:hint="default"/>
                <w:color w:val="auto"/>
              </w:rPr>
            </w:pPr>
            <w:r>
              <w:rPr>
                <w:rFonts w:hint="eastAsia"/>
                <w:color w:val="auto"/>
              </w:rPr>
              <w:t>投标人名称</w:t>
            </w:r>
          </w:p>
          <w:p>
            <w:pPr>
              <w:keepNext w:val="0"/>
              <w:keepLines w:val="0"/>
              <w:suppressLineNumbers w:val="0"/>
              <w:spacing w:before="0" w:beforeAutospacing="0" w:after="0" w:afterAutospacing="0" w:line="360" w:lineRule="auto"/>
              <w:ind w:left="0" w:right="0"/>
              <w:rPr>
                <w:rFonts w:hint="default"/>
                <w:color w:val="auto"/>
              </w:rPr>
            </w:pPr>
          </w:p>
        </w:tc>
        <w:tc>
          <w:tcPr>
            <w:tcW w:w="328" w:type="pct"/>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olor w:val="auto"/>
                <w:sz w:val="18"/>
                <w:szCs w:val="18"/>
              </w:rPr>
            </w:pPr>
            <w:r>
              <w:rPr>
                <w:rFonts w:hint="eastAsia" w:ascii="宋体" w:hAnsi="宋体" w:eastAsia="宋体" w:cs="宋体"/>
                <w:i w:val="0"/>
                <w:iCs w:val="0"/>
                <w:color w:val="000000"/>
                <w:kern w:val="0"/>
                <w:sz w:val="22"/>
                <w:szCs w:val="22"/>
                <w:u w:val="none"/>
                <w:lang w:val="en-US" w:eastAsia="zh-CN" w:bidi="ar"/>
              </w:rPr>
              <w:t>工程总体策划</w:t>
            </w:r>
          </w:p>
        </w:tc>
        <w:tc>
          <w:tcPr>
            <w:tcW w:w="329" w:type="pct"/>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olor w:val="auto"/>
                <w:sz w:val="18"/>
                <w:szCs w:val="18"/>
              </w:rPr>
            </w:pPr>
            <w:r>
              <w:rPr>
                <w:rFonts w:hint="eastAsia" w:ascii="宋体" w:hAnsi="宋体" w:eastAsia="宋体" w:cs="宋体"/>
                <w:i w:val="0"/>
                <w:iCs w:val="0"/>
                <w:color w:val="000000"/>
                <w:kern w:val="0"/>
                <w:sz w:val="22"/>
                <w:szCs w:val="22"/>
                <w:u w:val="none"/>
                <w:lang w:val="en-US" w:eastAsia="zh-CN" w:bidi="ar"/>
              </w:rPr>
              <w:t>进度控制的方法及措施</w:t>
            </w:r>
          </w:p>
        </w:tc>
        <w:tc>
          <w:tcPr>
            <w:tcW w:w="329" w:type="pct"/>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olor w:val="auto"/>
                <w:sz w:val="18"/>
                <w:szCs w:val="18"/>
              </w:rPr>
            </w:pPr>
            <w:r>
              <w:rPr>
                <w:rFonts w:hint="eastAsia" w:ascii="宋体" w:hAnsi="宋体" w:eastAsia="宋体" w:cs="宋体"/>
                <w:i w:val="0"/>
                <w:iCs w:val="0"/>
                <w:color w:val="000000"/>
                <w:kern w:val="0"/>
                <w:sz w:val="22"/>
                <w:szCs w:val="22"/>
                <w:u w:val="none"/>
                <w:lang w:val="en-US" w:eastAsia="zh-CN" w:bidi="ar"/>
              </w:rPr>
              <w:t>质量控制的方法及措施</w:t>
            </w:r>
          </w:p>
        </w:tc>
        <w:tc>
          <w:tcPr>
            <w:tcW w:w="329" w:type="pct"/>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olor w:val="auto"/>
                <w:sz w:val="18"/>
                <w:szCs w:val="18"/>
              </w:rPr>
            </w:pPr>
            <w:r>
              <w:rPr>
                <w:rFonts w:hint="eastAsia" w:ascii="宋体" w:hAnsi="宋体" w:eastAsia="宋体" w:cs="宋体"/>
                <w:i w:val="0"/>
                <w:iCs w:val="0"/>
                <w:color w:val="000000"/>
                <w:kern w:val="0"/>
                <w:sz w:val="22"/>
                <w:szCs w:val="22"/>
                <w:u w:val="none"/>
                <w:lang w:val="en-US" w:eastAsia="zh-CN" w:bidi="ar"/>
              </w:rPr>
              <w:t>安全文明施工方法措施及环境管理</w:t>
            </w:r>
          </w:p>
        </w:tc>
        <w:tc>
          <w:tcPr>
            <w:tcW w:w="329" w:type="pct"/>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olor w:val="auto"/>
                <w:sz w:val="18"/>
                <w:szCs w:val="18"/>
              </w:rPr>
            </w:pPr>
            <w:r>
              <w:rPr>
                <w:rFonts w:hint="eastAsia" w:ascii="宋体" w:hAnsi="宋体" w:eastAsia="宋体" w:cs="宋体"/>
                <w:i w:val="0"/>
                <w:iCs w:val="0"/>
                <w:color w:val="000000"/>
                <w:kern w:val="0"/>
                <w:sz w:val="22"/>
                <w:szCs w:val="22"/>
                <w:u w:val="none"/>
                <w:lang w:val="en-US" w:eastAsia="zh-CN" w:bidi="ar"/>
              </w:rPr>
              <w:t>投资控制的方法及措施</w:t>
            </w:r>
          </w:p>
        </w:tc>
        <w:tc>
          <w:tcPr>
            <w:tcW w:w="329" w:type="pct"/>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olor w:val="auto"/>
                <w:sz w:val="18"/>
                <w:szCs w:val="18"/>
              </w:rPr>
            </w:pPr>
            <w:r>
              <w:rPr>
                <w:rFonts w:hint="eastAsia" w:ascii="宋体" w:hAnsi="宋体" w:eastAsia="宋体" w:cs="宋体"/>
                <w:i w:val="0"/>
                <w:iCs w:val="0"/>
                <w:color w:val="000000"/>
                <w:kern w:val="0"/>
                <w:sz w:val="22"/>
                <w:szCs w:val="22"/>
                <w:u w:val="none"/>
                <w:lang w:val="en-US" w:eastAsia="zh-CN" w:bidi="ar"/>
              </w:rPr>
              <w:t>合同管理</w:t>
            </w:r>
          </w:p>
        </w:tc>
        <w:tc>
          <w:tcPr>
            <w:tcW w:w="329" w:type="pct"/>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olor w:val="auto"/>
                <w:sz w:val="18"/>
                <w:szCs w:val="18"/>
              </w:rPr>
            </w:pPr>
            <w:r>
              <w:rPr>
                <w:rFonts w:hint="eastAsia" w:ascii="宋体" w:hAnsi="宋体" w:eastAsia="宋体" w:cs="宋体"/>
                <w:i w:val="0"/>
                <w:iCs w:val="0"/>
                <w:color w:val="000000"/>
                <w:kern w:val="0"/>
                <w:sz w:val="22"/>
                <w:szCs w:val="22"/>
                <w:u w:val="none"/>
                <w:lang w:val="en-US" w:eastAsia="zh-CN" w:bidi="ar"/>
              </w:rPr>
              <w:t>监理公司业绩</w:t>
            </w:r>
          </w:p>
        </w:tc>
        <w:tc>
          <w:tcPr>
            <w:tcW w:w="329" w:type="pct"/>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olor w:val="auto"/>
                <w:sz w:val="18"/>
                <w:szCs w:val="18"/>
              </w:rPr>
            </w:pPr>
            <w:r>
              <w:rPr>
                <w:rFonts w:hint="eastAsia" w:ascii="宋体" w:hAnsi="宋体" w:eastAsia="宋体" w:cs="宋体"/>
                <w:i w:val="0"/>
                <w:iCs w:val="0"/>
                <w:color w:val="000000"/>
                <w:kern w:val="0"/>
                <w:sz w:val="22"/>
                <w:szCs w:val="22"/>
                <w:u w:val="none"/>
                <w:lang w:val="en-US" w:eastAsia="zh-CN" w:bidi="ar"/>
              </w:rPr>
              <w:t>监理公司信誉</w:t>
            </w:r>
          </w:p>
        </w:tc>
        <w:tc>
          <w:tcPr>
            <w:tcW w:w="329" w:type="pct"/>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olor w:val="auto"/>
                <w:sz w:val="18"/>
                <w:szCs w:val="18"/>
              </w:rPr>
            </w:pPr>
            <w:r>
              <w:rPr>
                <w:rFonts w:hint="eastAsia" w:ascii="宋体" w:hAnsi="宋体" w:eastAsia="宋体" w:cs="宋体"/>
                <w:i w:val="0"/>
                <w:iCs w:val="0"/>
                <w:color w:val="000000"/>
                <w:kern w:val="0"/>
                <w:sz w:val="22"/>
                <w:szCs w:val="22"/>
                <w:u w:val="none"/>
                <w:lang w:val="en-US" w:eastAsia="zh-CN" w:bidi="ar"/>
              </w:rPr>
              <w:t>总监理工程师资历、业绩</w:t>
            </w:r>
          </w:p>
        </w:tc>
        <w:tc>
          <w:tcPr>
            <w:tcW w:w="329" w:type="pct"/>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auto"/>
                <w:kern w:val="0"/>
                <w:sz w:val="18"/>
                <w:szCs w:val="18"/>
                <w:lang w:bidi="ar"/>
              </w:rPr>
            </w:pPr>
            <w:r>
              <w:rPr>
                <w:rFonts w:hint="eastAsia" w:ascii="宋体" w:hAnsi="宋体" w:eastAsia="宋体" w:cs="宋体"/>
                <w:i w:val="0"/>
                <w:iCs w:val="0"/>
                <w:color w:val="000000"/>
                <w:kern w:val="0"/>
                <w:sz w:val="22"/>
                <w:szCs w:val="22"/>
                <w:u w:val="none"/>
                <w:lang w:val="en-US" w:eastAsia="zh-CN" w:bidi="ar"/>
              </w:rPr>
              <w:t>拟投入本项目的总监代表资历、业绩</w:t>
            </w:r>
          </w:p>
        </w:tc>
        <w:tc>
          <w:tcPr>
            <w:tcW w:w="413" w:type="pct"/>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auto"/>
                <w:kern w:val="0"/>
                <w:sz w:val="18"/>
                <w:szCs w:val="18"/>
                <w:lang w:bidi="ar"/>
              </w:rPr>
            </w:pPr>
            <w:r>
              <w:rPr>
                <w:rFonts w:hint="eastAsia" w:ascii="宋体" w:hAnsi="宋体" w:eastAsia="宋体" w:cs="宋体"/>
                <w:i w:val="0"/>
                <w:iCs w:val="0"/>
                <w:color w:val="000000"/>
                <w:kern w:val="0"/>
                <w:sz w:val="22"/>
                <w:szCs w:val="22"/>
                <w:u w:val="none"/>
                <w:lang w:val="en-US" w:eastAsia="zh-CN" w:bidi="ar"/>
              </w:rPr>
              <w:t>除总监理工程师、总监理工程师代表外，拟投入的其他人员</w:t>
            </w:r>
          </w:p>
        </w:tc>
        <w:tc>
          <w:tcPr>
            <w:tcW w:w="327" w:type="pct"/>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auto"/>
                <w:kern w:val="0"/>
                <w:sz w:val="18"/>
                <w:szCs w:val="18"/>
                <w:lang w:bidi="ar"/>
              </w:rPr>
            </w:pPr>
            <w:r>
              <w:rPr>
                <w:rFonts w:hint="eastAsia" w:ascii="宋体" w:hAnsi="宋体" w:eastAsia="宋体" w:cs="宋体"/>
                <w:i w:val="0"/>
                <w:iCs w:val="0"/>
                <w:color w:val="000000"/>
                <w:kern w:val="0"/>
                <w:sz w:val="22"/>
                <w:szCs w:val="22"/>
                <w:u w:val="none"/>
                <w:lang w:val="en-US" w:eastAsia="zh-CN" w:bidi="ar"/>
              </w:rPr>
              <w:t>拟投入监理仪器设备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1" w:type="pct"/>
            <w:vAlign w:val="center"/>
          </w:tcPr>
          <w:p>
            <w:pPr>
              <w:keepNext w:val="0"/>
              <w:keepLines w:val="0"/>
              <w:suppressLineNumbers w:val="0"/>
              <w:spacing w:before="0" w:beforeAutospacing="0" w:after="0" w:afterAutospacing="0" w:line="360" w:lineRule="auto"/>
              <w:ind w:left="0" w:right="0"/>
              <w:jc w:val="center"/>
              <w:rPr>
                <w:rFonts w:hint="default" w:ascii="黑体" w:hAnsi="宋体" w:eastAsia="黑体"/>
                <w:color w:val="auto"/>
              </w:rPr>
            </w:pPr>
            <w:r>
              <w:rPr>
                <w:rFonts w:hint="eastAsia" w:ascii="黑体" w:hAnsi="宋体" w:eastAsia="黑体"/>
                <w:color w:val="auto"/>
              </w:rPr>
              <w:t>1</w:t>
            </w:r>
          </w:p>
        </w:tc>
        <w:tc>
          <w:tcPr>
            <w:tcW w:w="687" w:type="pct"/>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rPr>
            </w:pPr>
          </w:p>
        </w:tc>
        <w:tc>
          <w:tcPr>
            <w:tcW w:w="328" w:type="pct"/>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rPr>
            </w:pPr>
          </w:p>
        </w:tc>
        <w:tc>
          <w:tcPr>
            <w:tcW w:w="329" w:type="pct"/>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rPr>
            </w:pPr>
          </w:p>
        </w:tc>
        <w:tc>
          <w:tcPr>
            <w:tcW w:w="329" w:type="pct"/>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rPr>
            </w:pPr>
          </w:p>
        </w:tc>
        <w:tc>
          <w:tcPr>
            <w:tcW w:w="329" w:type="pct"/>
          </w:tcPr>
          <w:p>
            <w:pPr>
              <w:keepNext w:val="0"/>
              <w:keepLines w:val="0"/>
              <w:suppressLineNumbers w:val="0"/>
              <w:spacing w:before="0" w:beforeAutospacing="0" w:after="0" w:afterAutospacing="0" w:line="360" w:lineRule="auto"/>
              <w:ind w:left="0" w:right="0"/>
              <w:jc w:val="center"/>
              <w:rPr>
                <w:rFonts w:hint="default" w:ascii="宋体" w:hAnsi="宋体"/>
                <w:color w:val="auto"/>
              </w:rPr>
            </w:pPr>
          </w:p>
        </w:tc>
        <w:tc>
          <w:tcPr>
            <w:tcW w:w="329" w:type="pct"/>
          </w:tcPr>
          <w:p>
            <w:pPr>
              <w:keepNext w:val="0"/>
              <w:keepLines w:val="0"/>
              <w:suppressLineNumbers w:val="0"/>
              <w:spacing w:before="0" w:beforeAutospacing="0" w:after="0" w:afterAutospacing="0" w:line="360" w:lineRule="auto"/>
              <w:ind w:left="0" w:right="0"/>
              <w:jc w:val="center"/>
              <w:rPr>
                <w:rFonts w:hint="default" w:ascii="宋体" w:hAnsi="宋体"/>
                <w:color w:val="auto"/>
              </w:rPr>
            </w:pPr>
          </w:p>
        </w:tc>
        <w:tc>
          <w:tcPr>
            <w:tcW w:w="329" w:type="pct"/>
          </w:tcPr>
          <w:p>
            <w:pPr>
              <w:keepNext w:val="0"/>
              <w:keepLines w:val="0"/>
              <w:suppressLineNumbers w:val="0"/>
              <w:spacing w:before="0" w:beforeAutospacing="0" w:after="0" w:afterAutospacing="0" w:line="360" w:lineRule="auto"/>
              <w:ind w:left="0" w:right="0"/>
              <w:jc w:val="center"/>
              <w:rPr>
                <w:rFonts w:hint="default" w:ascii="宋体" w:hAnsi="宋体"/>
                <w:color w:val="auto"/>
              </w:rPr>
            </w:pPr>
          </w:p>
        </w:tc>
        <w:tc>
          <w:tcPr>
            <w:tcW w:w="329" w:type="pct"/>
          </w:tcPr>
          <w:p>
            <w:pPr>
              <w:keepNext w:val="0"/>
              <w:keepLines w:val="0"/>
              <w:suppressLineNumbers w:val="0"/>
              <w:spacing w:before="0" w:beforeAutospacing="0" w:after="0" w:afterAutospacing="0" w:line="360" w:lineRule="auto"/>
              <w:ind w:left="0" w:right="0"/>
              <w:jc w:val="center"/>
              <w:rPr>
                <w:rFonts w:hint="default" w:ascii="宋体" w:hAnsi="宋体"/>
                <w:color w:val="auto"/>
              </w:rPr>
            </w:pPr>
          </w:p>
        </w:tc>
        <w:tc>
          <w:tcPr>
            <w:tcW w:w="329" w:type="pct"/>
          </w:tcPr>
          <w:p>
            <w:pPr>
              <w:keepNext w:val="0"/>
              <w:keepLines w:val="0"/>
              <w:suppressLineNumbers w:val="0"/>
              <w:spacing w:before="0" w:beforeAutospacing="0" w:after="0" w:afterAutospacing="0" w:line="360" w:lineRule="auto"/>
              <w:ind w:left="0" w:right="0"/>
              <w:jc w:val="center"/>
              <w:rPr>
                <w:rFonts w:hint="default" w:ascii="宋体" w:hAnsi="宋体"/>
                <w:color w:val="auto"/>
              </w:rPr>
            </w:pPr>
          </w:p>
        </w:tc>
        <w:tc>
          <w:tcPr>
            <w:tcW w:w="329" w:type="pct"/>
          </w:tcPr>
          <w:p>
            <w:pPr>
              <w:keepNext w:val="0"/>
              <w:keepLines w:val="0"/>
              <w:suppressLineNumbers w:val="0"/>
              <w:spacing w:before="0" w:beforeAutospacing="0" w:after="0" w:afterAutospacing="0" w:line="360" w:lineRule="auto"/>
              <w:ind w:left="0" w:right="0"/>
              <w:jc w:val="center"/>
              <w:rPr>
                <w:rFonts w:hint="default" w:ascii="宋体" w:hAnsi="宋体"/>
                <w:color w:val="auto"/>
              </w:rPr>
            </w:pPr>
          </w:p>
        </w:tc>
        <w:tc>
          <w:tcPr>
            <w:tcW w:w="329" w:type="pct"/>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rPr>
            </w:pPr>
          </w:p>
        </w:tc>
        <w:tc>
          <w:tcPr>
            <w:tcW w:w="413" w:type="pct"/>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rPr>
            </w:pPr>
          </w:p>
        </w:tc>
        <w:tc>
          <w:tcPr>
            <w:tcW w:w="327" w:type="pct"/>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1" w:type="pct"/>
            <w:vAlign w:val="center"/>
          </w:tcPr>
          <w:p>
            <w:pPr>
              <w:keepNext w:val="0"/>
              <w:keepLines w:val="0"/>
              <w:suppressLineNumbers w:val="0"/>
              <w:spacing w:before="0" w:beforeAutospacing="0" w:after="0" w:afterAutospacing="0" w:line="360" w:lineRule="auto"/>
              <w:ind w:left="0" w:right="0"/>
              <w:jc w:val="center"/>
              <w:rPr>
                <w:rFonts w:hint="default" w:ascii="黑体" w:hAnsi="宋体" w:eastAsia="黑体"/>
                <w:color w:val="auto"/>
              </w:rPr>
            </w:pPr>
            <w:r>
              <w:rPr>
                <w:rFonts w:hint="eastAsia" w:ascii="黑体" w:hAnsi="宋体" w:eastAsia="黑体"/>
                <w:color w:val="auto"/>
              </w:rPr>
              <w:t>2</w:t>
            </w:r>
          </w:p>
        </w:tc>
        <w:tc>
          <w:tcPr>
            <w:tcW w:w="687" w:type="pct"/>
            <w:vAlign w:val="center"/>
          </w:tcPr>
          <w:p>
            <w:pPr>
              <w:keepNext w:val="0"/>
              <w:keepLines w:val="0"/>
              <w:suppressLineNumbers w:val="0"/>
              <w:spacing w:before="0" w:beforeAutospacing="0" w:after="0" w:afterAutospacing="0" w:line="360" w:lineRule="auto"/>
              <w:ind w:left="0" w:right="0"/>
              <w:jc w:val="center"/>
              <w:rPr>
                <w:rFonts w:hint="default"/>
                <w:color w:val="auto"/>
              </w:rPr>
            </w:pPr>
          </w:p>
        </w:tc>
        <w:tc>
          <w:tcPr>
            <w:tcW w:w="328" w:type="pct"/>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rPr>
            </w:pPr>
          </w:p>
        </w:tc>
        <w:tc>
          <w:tcPr>
            <w:tcW w:w="329" w:type="pct"/>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rPr>
            </w:pPr>
          </w:p>
        </w:tc>
        <w:tc>
          <w:tcPr>
            <w:tcW w:w="329" w:type="pct"/>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rPr>
            </w:pPr>
          </w:p>
        </w:tc>
        <w:tc>
          <w:tcPr>
            <w:tcW w:w="329" w:type="pct"/>
          </w:tcPr>
          <w:p>
            <w:pPr>
              <w:keepNext w:val="0"/>
              <w:keepLines w:val="0"/>
              <w:suppressLineNumbers w:val="0"/>
              <w:spacing w:before="0" w:beforeAutospacing="0" w:after="0" w:afterAutospacing="0" w:line="360" w:lineRule="auto"/>
              <w:ind w:left="0" w:right="0"/>
              <w:jc w:val="center"/>
              <w:rPr>
                <w:rFonts w:hint="default" w:ascii="宋体" w:hAnsi="宋体"/>
                <w:color w:val="auto"/>
              </w:rPr>
            </w:pPr>
          </w:p>
        </w:tc>
        <w:tc>
          <w:tcPr>
            <w:tcW w:w="329" w:type="pct"/>
          </w:tcPr>
          <w:p>
            <w:pPr>
              <w:keepNext w:val="0"/>
              <w:keepLines w:val="0"/>
              <w:suppressLineNumbers w:val="0"/>
              <w:spacing w:before="0" w:beforeAutospacing="0" w:after="0" w:afterAutospacing="0" w:line="360" w:lineRule="auto"/>
              <w:ind w:left="0" w:right="0"/>
              <w:jc w:val="center"/>
              <w:rPr>
                <w:rFonts w:hint="default" w:ascii="宋体" w:hAnsi="宋体"/>
                <w:color w:val="auto"/>
              </w:rPr>
            </w:pPr>
          </w:p>
        </w:tc>
        <w:tc>
          <w:tcPr>
            <w:tcW w:w="329" w:type="pct"/>
          </w:tcPr>
          <w:p>
            <w:pPr>
              <w:keepNext w:val="0"/>
              <w:keepLines w:val="0"/>
              <w:suppressLineNumbers w:val="0"/>
              <w:spacing w:before="0" w:beforeAutospacing="0" w:after="0" w:afterAutospacing="0" w:line="360" w:lineRule="auto"/>
              <w:ind w:left="0" w:right="0"/>
              <w:jc w:val="center"/>
              <w:rPr>
                <w:rFonts w:hint="default" w:ascii="宋体" w:hAnsi="宋体"/>
                <w:color w:val="auto"/>
              </w:rPr>
            </w:pPr>
          </w:p>
        </w:tc>
        <w:tc>
          <w:tcPr>
            <w:tcW w:w="329" w:type="pct"/>
          </w:tcPr>
          <w:p>
            <w:pPr>
              <w:keepNext w:val="0"/>
              <w:keepLines w:val="0"/>
              <w:suppressLineNumbers w:val="0"/>
              <w:spacing w:before="0" w:beforeAutospacing="0" w:after="0" w:afterAutospacing="0" w:line="360" w:lineRule="auto"/>
              <w:ind w:left="0" w:right="0"/>
              <w:jc w:val="center"/>
              <w:rPr>
                <w:rFonts w:hint="default" w:ascii="宋体" w:hAnsi="宋体"/>
                <w:color w:val="auto"/>
              </w:rPr>
            </w:pPr>
          </w:p>
        </w:tc>
        <w:tc>
          <w:tcPr>
            <w:tcW w:w="329" w:type="pct"/>
          </w:tcPr>
          <w:p>
            <w:pPr>
              <w:keepNext w:val="0"/>
              <w:keepLines w:val="0"/>
              <w:suppressLineNumbers w:val="0"/>
              <w:spacing w:before="0" w:beforeAutospacing="0" w:after="0" w:afterAutospacing="0" w:line="360" w:lineRule="auto"/>
              <w:ind w:left="0" w:right="0"/>
              <w:jc w:val="center"/>
              <w:rPr>
                <w:rFonts w:hint="default" w:ascii="宋体" w:hAnsi="宋体"/>
                <w:color w:val="auto"/>
              </w:rPr>
            </w:pPr>
          </w:p>
        </w:tc>
        <w:tc>
          <w:tcPr>
            <w:tcW w:w="329" w:type="pct"/>
          </w:tcPr>
          <w:p>
            <w:pPr>
              <w:keepNext w:val="0"/>
              <w:keepLines w:val="0"/>
              <w:suppressLineNumbers w:val="0"/>
              <w:spacing w:before="0" w:beforeAutospacing="0" w:after="0" w:afterAutospacing="0" w:line="360" w:lineRule="auto"/>
              <w:ind w:left="0" w:right="0"/>
              <w:jc w:val="center"/>
              <w:rPr>
                <w:rFonts w:hint="default" w:ascii="宋体" w:hAnsi="宋体"/>
                <w:color w:val="auto"/>
              </w:rPr>
            </w:pPr>
          </w:p>
        </w:tc>
        <w:tc>
          <w:tcPr>
            <w:tcW w:w="329" w:type="pct"/>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rPr>
            </w:pPr>
          </w:p>
        </w:tc>
        <w:tc>
          <w:tcPr>
            <w:tcW w:w="413" w:type="pct"/>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rPr>
            </w:pPr>
          </w:p>
        </w:tc>
        <w:tc>
          <w:tcPr>
            <w:tcW w:w="327" w:type="pct"/>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1" w:type="pct"/>
            <w:vAlign w:val="center"/>
          </w:tcPr>
          <w:p>
            <w:pPr>
              <w:keepNext w:val="0"/>
              <w:keepLines w:val="0"/>
              <w:suppressLineNumbers w:val="0"/>
              <w:spacing w:before="0" w:beforeAutospacing="0" w:after="0" w:afterAutospacing="0" w:line="360" w:lineRule="auto"/>
              <w:ind w:left="0" w:right="0"/>
              <w:jc w:val="center"/>
              <w:rPr>
                <w:rFonts w:hint="default" w:ascii="黑体" w:hAnsi="宋体" w:eastAsia="黑体"/>
                <w:color w:val="auto"/>
              </w:rPr>
            </w:pPr>
            <w:r>
              <w:rPr>
                <w:rFonts w:hint="eastAsia" w:ascii="黑体" w:hAnsi="宋体" w:eastAsia="黑体"/>
                <w:color w:val="auto"/>
              </w:rPr>
              <w:t>3</w:t>
            </w:r>
          </w:p>
        </w:tc>
        <w:tc>
          <w:tcPr>
            <w:tcW w:w="687" w:type="pct"/>
            <w:vAlign w:val="center"/>
          </w:tcPr>
          <w:p>
            <w:pPr>
              <w:keepNext w:val="0"/>
              <w:keepLines w:val="0"/>
              <w:suppressLineNumbers w:val="0"/>
              <w:spacing w:before="0" w:beforeAutospacing="0" w:after="0" w:afterAutospacing="0" w:line="360" w:lineRule="auto"/>
              <w:ind w:left="0" w:right="0"/>
              <w:jc w:val="center"/>
              <w:rPr>
                <w:rFonts w:hint="default"/>
                <w:color w:val="auto"/>
              </w:rPr>
            </w:pPr>
          </w:p>
        </w:tc>
        <w:tc>
          <w:tcPr>
            <w:tcW w:w="328" w:type="pct"/>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rPr>
            </w:pPr>
          </w:p>
        </w:tc>
        <w:tc>
          <w:tcPr>
            <w:tcW w:w="329" w:type="pct"/>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rPr>
            </w:pPr>
          </w:p>
        </w:tc>
        <w:tc>
          <w:tcPr>
            <w:tcW w:w="329" w:type="pct"/>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rPr>
            </w:pPr>
          </w:p>
        </w:tc>
        <w:tc>
          <w:tcPr>
            <w:tcW w:w="329" w:type="pct"/>
          </w:tcPr>
          <w:p>
            <w:pPr>
              <w:keepNext w:val="0"/>
              <w:keepLines w:val="0"/>
              <w:suppressLineNumbers w:val="0"/>
              <w:spacing w:before="0" w:beforeAutospacing="0" w:after="0" w:afterAutospacing="0" w:line="360" w:lineRule="auto"/>
              <w:ind w:left="0" w:right="0"/>
              <w:jc w:val="center"/>
              <w:rPr>
                <w:rFonts w:hint="default" w:ascii="宋体" w:hAnsi="宋体"/>
                <w:color w:val="auto"/>
              </w:rPr>
            </w:pPr>
          </w:p>
        </w:tc>
        <w:tc>
          <w:tcPr>
            <w:tcW w:w="329" w:type="pct"/>
          </w:tcPr>
          <w:p>
            <w:pPr>
              <w:keepNext w:val="0"/>
              <w:keepLines w:val="0"/>
              <w:suppressLineNumbers w:val="0"/>
              <w:spacing w:before="0" w:beforeAutospacing="0" w:after="0" w:afterAutospacing="0" w:line="360" w:lineRule="auto"/>
              <w:ind w:left="0" w:right="0"/>
              <w:jc w:val="center"/>
              <w:rPr>
                <w:rFonts w:hint="default" w:ascii="宋体" w:hAnsi="宋体"/>
                <w:color w:val="auto"/>
              </w:rPr>
            </w:pPr>
          </w:p>
        </w:tc>
        <w:tc>
          <w:tcPr>
            <w:tcW w:w="329" w:type="pct"/>
          </w:tcPr>
          <w:p>
            <w:pPr>
              <w:keepNext w:val="0"/>
              <w:keepLines w:val="0"/>
              <w:suppressLineNumbers w:val="0"/>
              <w:spacing w:before="0" w:beforeAutospacing="0" w:after="0" w:afterAutospacing="0" w:line="360" w:lineRule="auto"/>
              <w:ind w:left="0" w:right="0"/>
              <w:jc w:val="center"/>
              <w:rPr>
                <w:rFonts w:hint="default" w:ascii="宋体" w:hAnsi="宋体"/>
                <w:color w:val="auto"/>
              </w:rPr>
            </w:pPr>
          </w:p>
        </w:tc>
        <w:tc>
          <w:tcPr>
            <w:tcW w:w="329" w:type="pct"/>
          </w:tcPr>
          <w:p>
            <w:pPr>
              <w:keepNext w:val="0"/>
              <w:keepLines w:val="0"/>
              <w:suppressLineNumbers w:val="0"/>
              <w:spacing w:before="0" w:beforeAutospacing="0" w:after="0" w:afterAutospacing="0" w:line="360" w:lineRule="auto"/>
              <w:ind w:left="0" w:right="0"/>
              <w:jc w:val="center"/>
              <w:rPr>
                <w:rFonts w:hint="default" w:ascii="宋体" w:hAnsi="宋体"/>
                <w:color w:val="auto"/>
              </w:rPr>
            </w:pPr>
          </w:p>
        </w:tc>
        <w:tc>
          <w:tcPr>
            <w:tcW w:w="329" w:type="pct"/>
          </w:tcPr>
          <w:p>
            <w:pPr>
              <w:keepNext w:val="0"/>
              <w:keepLines w:val="0"/>
              <w:suppressLineNumbers w:val="0"/>
              <w:spacing w:before="0" w:beforeAutospacing="0" w:after="0" w:afterAutospacing="0" w:line="360" w:lineRule="auto"/>
              <w:ind w:left="0" w:right="0"/>
              <w:jc w:val="center"/>
              <w:rPr>
                <w:rFonts w:hint="default" w:ascii="宋体" w:hAnsi="宋体"/>
                <w:color w:val="auto"/>
              </w:rPr>
            </w:pPr>
          </w:p>
        </w:tc>
        <w:tc>
          <w:tcPr>
            <w:tcW w:w="329" w:type="pct"/>
          </w:tcPr>
          <w:p>
            <w:pPr>
              <w:keepNext w:val="0"/>
              <w:keepLines w:val="0"/>
              <w:suppressLineNumbers w:val="0"/>
              <w:spacing w:before="0" w:beforeAutospacing="0" w:after="0" w:afterAutospacing="0" w:line="360" w:lineRule="auto"/>
              <w:ind w:left="0" w:right="0"/>
              <w:jc w:val="center"/>
              <w:rPr>
                <w:rFonts w:hint="default" w:ascii="宋体" w:hAnsi="宋体"/>
                <w:color w:val="auto"/>
              </w:rPr>
            </w:pPr>
          </w:p>
        </w:tc>
        <w:tc>
          <w:tcPr>
            <w:tcW w:w="329" w:type="pct"/>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rPr>
            </w:pPr>
          </w:p>
        </w:tc>
        <w:tc>
          <w:tcPr>
            <w:tcW w:w="413" w:type="pct"/>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rPr>
            </w:pPr>
          </w:p>
        </w:tc>
        <w:tc>
          <w:tcPr>
            <w:tcW w:w="327" w:type="pct"/>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1" w:type="pct"/>
            <w:vAlign w:val="center"/>
          </w:tcPr>
          <w:p>
            <w:pPr>
              <w:keepNext w:val="0"/>
              <w:keepLines w:val="0"/>
              <w:suppressLineNumbers w:val="0"/>
              <w:spacing w:before="0" w:beforeAutospacing="0" w:after="0" w:afterAutospacing="0" w:line="360" w:lineRule="auto"/>
              <w:ind w:left="0" w:right="0"/>
              <w:jc w:val="center"/>
              <w:rPr>
                <w:rFonts w:hint="default" w:ascii="黑体" w:hAnsi="宋体" w:eastAsia="黑体"/>
                <w:color w:val="auto"/>
              </w:rPr>
            </w:pPr>
            <w:r>
              <w:rPr>
                <w:rFonts w:hint="default" w:ascii="黑体" w:hAnsi="宋体" w:eastAsia="黑体"/>
                <w:color w:val="auto"/>
              </w:rPr>
              <w:t>……</w:t>
            </w:r>
          </w:p>
        </w:tc>
        <w:tc>
          <w:tcPr>
            <w:tcW w:w="687" w:type="pct"/>
            <w:vAlign w:val="center"/>
          </w:tcPr>
          <w:p>
            <w:pPr>
              <w:keepNext w:val="0"/>
              <w:keepLines w:val="0"/>
              <w:suppressLineNumbers w:val="0"/>
              <w:spacing w:before="0" w:beforeAutospacing="0" w:after="0" w:afterAutospacing="0" w:line="360" w:lineRule="auto"/>
              <w:ind w:left="0" w:right="0"/>
              <w:jc w:val="center"/>
              <w:rPr>
                <w:rFonts w:hint="default"/>
                <w:color w:val="auto"/>
              </w:rPr>
            </w:pPr>
            <w:r>
              <w:rPr>
                <w:rFonts w:hint="default"/>
                <w:color w:val="auto"/>
              </w:rPr>
              <w:t>……</w:t>
            </w:r>
          </w:p>
        </w:tc>
        <w:tc>
          <w:tcPr>
            <w:tcW w:w="328" w:type="pct"/>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rPr>
            </w:pPr>
          </w:p>
        </w:tc>
        <w:tc>
          <w:tcPr>
            <w:tcW w:w="329" w:type="pct"/>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rPr>
            </w:pPr>
          </w:p>
        </w:tc>
        <w:tc>
          <w:tcPr>
            <w:tcW w:w="329" w:type="pct"/>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rPr>
            </w:pPr>
          </w:p>
        </w:tc>
        <w:tc>
          <w:tcPr>
            <w:tcW w:w="329" w:type="pct"/>
          </w:tcPr>
          <w:p>
            <w:pPr>
              <w:keepNext w:val="0"/>
              <w:keepLines w:val="0"/>
              <w:suppressLineNumbers w:val="0"/>
              <w:spacing w:before="0" w:beforeAutospacing="0" w:after="0" w:afterAutospacing="0" w:line="360" w:lineRule="auto"/>
              <w:ind w:left="0" w:right="0"/>
              <w:jc w:val="center"/>
              <w:rPr>
                <w:rFonts w:hint="default" w:ascii="宋体" w:hAnsi="宋体"/>
                <w:color w:val="auto"/>
              </w:rPr>
            </w:pPr>
          </w:p>
        </w:tc>
        <w:tc>
          <w:tcPr>
            <w:tcW w:w="329" w:type="pct"/>
          </w:tcPr>
          <w:p>
            <w:pPr>
              <w:keepNext w:val="0"/>
              <w:keepLines w:val="0"/>
              <w:suppressLineNumbers w:val="0"/>
              <w:spacing w:before="0" w:beforeAutospacing="0" w:after="0" w:afterAutospacing="0" w:line="360" w:lineRule="auto"/>
              <w:ind w:left="0" w:right="0"/>
              <w:jc w:val="center"/>
              <w:rPr>
                <w:rFonts w:hint="default" w:ascii="宋体" w:hAnsi="宋体"/>
                <w:color w:val="auto"/>
              </w:rPr>
            </w:pPr>
          </w:p>
        </w:tc>
        <w:tc>
          <w:tcPr>
            <w:tcW w:w="329" w:type="pct"/>
          </w:tcPr>
          <w:p>
            <w:pPr>
              <w:keepNext w:val="0"/>
              <w:keepLines w:val="0"/>
              <w:suppressLineNumbers w:val="0"/>
              <w:spacing w:before="0" w:beforeAutospacing="0" w:after="0" w:afterAutospacing="0" w:line="360" w:lineRule="auto"/>
              <w:ind w:left="0" w:right="0"/>
              <w:jc w:val="center"/>
              <w:rPr>
                <w:rFonts w:hint="default" w:ascii="宋体" w:hAnsi="宋体"/>
                <w:color w:val="auto"/>
              </w:rPr>
            </w:pPr>
          </w:p>
        </w:tc>
        <w:tc>
          <w:tcPr>
            <w:tcW w:w="329" w:type="pct"/>
          </w:tcPr>
          <w:p>
            <w:pPr>
              <w:keepNext w:val="0"/>
              <w:keepLines w:val="0"/>
              <w:suppressLineNumbers w:val="0"/>
              <w:spacing w:before="0" w:beforeAutospacing="0" w:after="0" w:afterAutospacing="0" w:line="360" w:lineRule="auto"/>
              <w:ind w:left="0" w:right="0"/>
              <w:jc w:val="center"/>
              <w:rPr>
                <w:rFonts w:hint="default" w:ascii="宋体" w:hAnsi="宋体"/>
                <w:color w:val="auto"/>
              </w:rPr>
            </w:pPr>
          </w:p>
        </w:tc>
        <w:tc>
          <w:tcPr>
            <w:tcW w:w="329" w:type="pct"/>
          </w:tcPr>
          <w:p>
            <w:pPr>
              <w:keepNext w:val="0"/>
              <w:keepLines w:val="0"/>
              <w:suppressLineNumbers w:val="0"/>
              <w:spacing w:before="0" w:beforeAutospacing="0" w:after="0" w:afterAutospacing="0" w:line="360" w:lineRule="auto"/>
              <w:ind w:left="0" w:right="0"/>
              <w:jc w:val="center"/>
              <w:rPr>
                <w:rFonts w:hint="default" w:ascii="宋体" w:hAnsi="宋体"/>
                <w:color w:val="auto"/>
              </w:rPr>
            </w:pPr>
          </w:p>
        </w:tc>
        <w:tc>
          <w:tcPr>
            <w:tcW w:w="329" w:type="pct"/>
          </w:tcPr>
          <w:p>
            <w:pPr>
              <w:keepNext w:val="0"/>
              <w:keepLines w:val="0"/>
              <w:suppressLineNumbers w:val="0"/>
              <w:spacing w:before="0" w:beforeAutospacing="0" w:after="0" w:afterAutospacing="0" w:line="360" w:lineRule="auto"/>
              <w:ind w:left="0" w:right="0"/>
              <w:jc w:val="center"/>
              <w:rPr>
                <w:rFonts w:hint="default" w:ascii="宋体" w:hAnsi="宋体"/>
                <w:color w:val="auto"/>
              </w:rPr>
            </w:pPr>
          </w:p>
        </w:tc>
        <w:tc>
          <w:tcPr>
            <w:tcW w:w="329" w:type="pct"/>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rPr>
            </w:pPr>
          </w:p>
        </w:tc>
        <w:tc>
          <w:tcPr>
            <w:tcW w:w="413" w:type="pct"/>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rPr>
            </w:pPr>
          </w:p>
        </w:tc>
        <w:tc>
          <w:tcPr>
            <w:tcW w:w="327" w:type="pct"/>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rPr>
            </w:pPr>
          </w:p>
        </w:tc>
      </w:tr>
    </w:tbl>
    <w:p>
      <w:pPr>
        <w:rPr>
          <w:color w:val="auto"/>
        </w:rPr>
      </w:pPr>
    </w:p>
    <w:p>
      <w:pPr>
        <w:ind w:firstLine="420" w:firstLineChars="200"/>
        <w:rPr>
          <w:rFonts w:hint="eastAsia"/>
          <w:color w:val="auto"/>
          <w:lang w:val="en-US" w:eastAsia="zh-CN"/>
        </w:rPr>
      </w:pPr>
      <w:r>
        <w:rPr>
          <w:rFonts w:hint="eastAsia"/>
          <w:color w:val="auto"/>
        </w:rPr>
        <w:t xml:space="preserve">评标委员会成员签名：                                </w:t>
      </w:r>
      <w:r>
        <w:rPr>
          <w:rFonts w:hint="eastAsia"/>
          <w:color w:val="auto"/>
          <w:lang w:val="en-US" w:eastAsia="zh-CN"/>
        </w:rPr>
        <w:t xml:space="preserve">                                      </w:t>
      </w:r>
    </w:p>
    <w:p>
      <w:pPr>
        <w:ind w:firstLine="420" w:firstLineChars="200"/>
        <w:rPr>
          <w:rFonts w:ascii="宋体" w:hAnsi="宋体"/>
          <w:b/>
          <w:color w:val="auto"/>
          <w:szCs w:val="21"/>
        </w:rPr>
      </w:pPr>
      <w:r>
        <w:rPr>
          <w:rFonts w:hint="eastAsia"/>
          <w:color w:val="auto"/>
        </w:rPr>
        <w:t>日期：       年     月     日</w:t>
      </w:r>
    </w:p>
    <w:p>
      <w:pPr>
        <w:spacing w:line="240" w:lineRule="exact"/>
        <w:ind w:left="540" w:leftChars="257" w:firstLine="525" w:firstLineChars="250"/>
        <w:rPr>
          <w:rFonts w:ascii="宋体" w:hAnsi="宋体"/>
          <w:color w:val="auto"/>
          <w:szCs w:val="21"/>
        </w:rPr>
      </w:pPr>
    </w:p>
    <w:p>
      <w:pPr>
        <w:spacing w:line="240" w:lineRule="exact"/>
        <w:rPr>
          <w:rFonts w:ascii="宋体" w:hAnsi="宋体"/>
          <w:color w:val="auto"/>
          <w:szCs w:val="21"/>
        </w:rPr>
        <w:sectPr>
          <w:pgSz w:w="15840" w:h="12240" w:orient="landscape"/>
          <w:pgMar w:top="1259" w:right="992" w:bottom="1259" w:left="1247" w:header="720" w:footer="720" w:gutter="0"/>
          <w:cols w:space="0" w:num="1"/>
          <w:titlePg/>
          <w:docGrid w:linePitch="286" w:charSpace="0"/>
        </w:sectPr>
      </w:pPr>
    </w:p>
    <w:p>
      <w:pPr>
        <w:rPr>
          <w:rFonts w:ascii="宋体" w:hAnsi="宋体"/>
          <w:b/>
          <w:color w:val="auto"/>
          <w:szCs w:val="21"/>
        </w:rPr>
      </w:pPr>
      <w:r>
        <w:rPr>
          <w:rFonts w:hint="eastAsia" w:ascii="黑体" w:eastAsia="黑体"/>
          <w:color w:val="auto"/>
        </w:rPr>
        <w:t>附表四</w:t>
      </w:r>
      <w:r>
        <w:rPr>
          <w:rFonts w:hint="eastAsia" w:ascii="宋体" w:hAnsi="宋体"/>
          <w:b/>
          <w:color w:val="auto"/>
          <w:szCs w:val="21"/>
        </w:rPr>
        <w:t>：监理综合评审得分计算汇总表</w:t>
      </w:r>
    </w:p>
    <w:p>
      <w:pPr>
        <w:adjustRightInd w:val="0"/>
        <w:snapToGrid w:val="0"/>
        <w:spacing w:before="240" w:beforeLines="100" w:after="240" w:afterLines="100"/>
        <w:jc w:val="center"/>
        <w:rPr>
          <w:rFonts w:ascii="黑体" w:hAnsi="宋体" w:eastAsia="黑体"/>
          <w:color w:val="auto"/>
          <w:sz w:val="32"/>
          <w:szCs w:val="32"/>
        </w:rPr>
      </w:pPr>
      <w:bookmarkStart w:id="34" w:name="_Toc17133"/>
      <w:r>
        <w:rPr>
          <w:rFonts w:hint="eastAsia" w:ascii="黑体" w:hAnsi="宋体" w:eastAsia="黑体"/>
          <w:color w:val="auto"/>
          <w:sz w:val="32"/>
          <w:szCs w:val="32"/>
        </w:rPr>
        <w:t>监理综合评审得分计算汇总表</w:t>
      </w:r>
      <w:bookmarkEnd w:id="34"/>
    </w:p>
    <w:p>
      <w:pPr>
        <w:spacing w:after="72" w:afterLines="30" w:line="360" w:lineRule="auto"/>
        <w:rPr>
          <w:rFonts w:ascii="宋体" w:hAnsi="宋体"/>
          <w:color w:val="auto"/>
        </w:rPr>
      </w:pPr>
      <w:r>
        <w:rPr>
          <w:rFonts w:hint="eastAsia" w:ascii="宋体" w:hAnsi="宋体"/>
          <w:color w:val="auto"/>
        </w:rPr>
        <w:t>工程名称：</w:t>
      </w:r>
      <w:r>
        <w:rPr>
          <w:rFonts w:hint="eastAsia" w:ascii="宋体" w:hAnsi="宋体"/>
          <w:color w:val="auto"/>
          <w:u w:val="single"/>
        </w:rPr>
        <w:t xml:space="preserve">             </w:t>
      </w:r>
      <w:r>
        <w:rPr>
          <w:rFonts w:hint="eastAsia" w:ascii="宋体" w:hAnsi="宋体"/>
          <w:color w:val="auto"/>
        </w:rPr>
        <w:t>(项目名称)</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3735"/>
        <w:gridCol w:w="1576"/>
        <w:gridCol w:w="1891"/>
        <w:gridCol w:w="3469"/>
        <w:gridCol w:w="2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20"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r>
              <w:rPr>
                <w:rFonts w:hint="eastAsia" w:ascii="宋体" w:hAnsi="宋体" w:cs="宋体"/>
                <w:color w:val="auto"/>
                <w:kern w:val="0"/>
                <w:sz w:val="20"/>
                <w:szCs w:val="20"/>
              </w:rPr>
              <w:t>序号</w:t>
            </w:r>
          </w:p>
        </w:tc>
        <w:tc>
          <w:tcPr>
            <w:tcW w:w="1351"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r>
              <w:rPr>
                <w:rFonts w:hint="eastAsia" w:ascii="宋体" w:hAnsi="宋体" w:cs="宋体"/>
                <w:color w:val="auto"/>
                <w:kern w:val="0"/>
                <w:sz w:val="20"/>
                <w:szCs w:val="20"/>
              </w:rPr>
              <w:t>投标单位名称</w:t>
            </w:r>
          </w:p>
        </w:tc>
        <w:tc>
          <w:tcPr>
            <w:tcW w:w="570" w:type="pct"/>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r>
              <w:rPr>
                <w:rFonts w:hint="eastAsia" w:ascii="宋体" w:hAnsi="宋体" w:cs="宋体"/>
                <w:color w:val="auto"/>
                <w:kern w:val="0"/>
                <w:sz w:val="20"/>
                <w:szCs w:val="20"/>
              </w:rPr>
              <w:t>最高分</w:t>
            </w:r>
          </w:p>
        </w:tc>
        <w:tc>
          <w:tcPr>
            <w:tcW w:w="684" w:type="pct"/>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r>
              <w:rPr>
                <w:rFonts w:hint="eastAsia" w:ascii="宋体" w:hAnsi="宋体" w:cs="宋体"/>
                <w:color w:val="auto"/>
                <w:kern w:val="0"/>
                <w:sz w:val="20"/>
                <w:szCs w:val="20"/>
              </w:rPr>
              <w:t>最低分</w:t>
            </w:r>
          </w:p>
        </w:tc>
        <w:tc>
          <w:tcPr>
            <w:tcW w:w="1255"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r>
              <w:rPr>
                <w:rFonts w:hint="eastAsia" w:ascii="宋体" w:hAnsi="宋体" w:cs="宋体"/>
                <w:color w:val="auto"/>
                <w:kern w:val="0"/>
                <w:sz w:val="20"/>
                <w:szCs w:val="20"/>
              </w:rPr>
              <w:t>去掉一个最高分和一个最低分后的算术平均数A</w:t>
            </w:r>
          </w:p>
        </w:tc>
        <w:tc>
          <w:tcPr>
            <w:tcW w:w="816"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r>
              <w:rPr>
                <w:rFonts w:hint="eastAsia" w:ascii="宋体" w:hAnsi="宋体" w:cs="宋体"/>
                <w:color w:val="auto"/>
                <w:kern w:val="0"/>
                <w:sz w:val="20"/>
                <w:szCs w:val="20"/>
              </w:rPr>
              <w:t>监理综合评审得分（监理综合评审得分＝算术平均数A）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20"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rPr>
            </w:pPr>
            <w:r>
              <w:rPr>
                <w:rFonts w:hint="eastAsia" w:ascii="宋体" w:hAnsi="宋体" w:cs="宋体"/>
                <w:b/>
                <w:bCs/>
                <w:color w:val="auto"/>
                <w:kern w:val="0"/>
                <w:sz w:val="20"/>
                <w:szCs w:val="20"/>
              </w:rPr>
              <w:t>1</w:t>
            </w:r>
          </w:p>
        </w:tc>
        <w:tc>
          <w:tcPr>
            <w:tcW w:w="1351" w:type="pct"/>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570" w:type="pct"/>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684" w:type="pct"/>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1255" w:type="pct"/>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816"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20"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rPr>
            </w:pPr>
            <w:r>
              <w:rPr>
                <w:rFonts w:hint="eastAsia" w:ascii="宋体" w:hAnsi="宋体" w:cs="宋体"/>
                <w:b/>
                <w:bCs/>
                <w:color w:val="auto"/>
                <w:kern w:val="0"/>
                <w:sz w:val="20"/>
                <w:szCs w:val="20"/>
              </w:rPr>
              <w:t>2</w:t>
            </w:r>
          </w:p>
        </w:tc>
        <w:tc>
          <w:tcPr>
            <w:tcW w:w="1351" w:type="pct"/>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570" w:type="pct"/>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684" w:type="pct"/>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1255" w:type="pct"/>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816"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20"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rPr>
            </w:pPr>
            <w:r>
              <w:rPr>
                <w:rFonts w:hint="eastAsia" w:ascii="宋体" w:hAnsi="宋体" w:cs="宋体"/>
                <w:b/>
                <w:bCs/>
                <w:color w:val="auto"/>
                <w:kern w:val="0"/>
                <w:sz w:val="20"/>
                <w:szCs w:val="20"/>
              </w:rPr>
              <w:t>3</w:t>
            </w:r>
          </w:p>
        </w:tc>
        <w:tc>
          <w:tcPr>
            <w:tcW w:w="1351" w:type="pct"/>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570" w:type="pct"/>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684" w:type="pct"/>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1255" w:type="pct"/>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816"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20"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rPr>
            </w:pPr>
            <w:r>
              <w:rPr>
                <w:rFonts w:hint="eastAsia" w:ascii="宋体" w:hAnsi="宋体" w:cs="宋体"/>
                <w:b/>
                <w:bCs/>
                <w:color w:val="auto"/>
                <w:kern w:val="0"/>
                <w:sz w:val="20"/>
                <w:szCs w:val="20"/>
              </w:rPr>
              <w:t>4</w:t>
            </w:r>
          </w:p>
        </w:tc>
        <w:tc>
          <w:tcPr>
            <w:tcW w:w="1351" w:type="pct"/>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570" w:type="pct"/>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684" w:type="pct"/>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1255" w:type="pct"/>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816"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20"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rPr>
            </w:pPr>
            <w:r>
              <w:rPr>
                <w:rFonts w:hint="default" w:ascii="宋体" w:hAnsi="宋体" w:cs="宋体"/>
                <w:b/>
                <w:bCs/>
                <w:color w:val="auto"/>
                <w:kern w:val="0"/>
                <w:sz w:val="20"/>
                <w:szCs w:val="20"/>
              </w:rPr>
              <w:t>…</w:t>
            </w:r>
          </w:p>
        </w:tc>
        <w:tc>
          <w:tcPr>
            <w:tcW w:w="1351" w:type="pct"/>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570" w:type="pct"/>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684" w:type="pct"/>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1255" w:type="pct"/>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816"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r>
    </w:tbl>
    <w:p>
      <w:pPr>
        <w:spacing w:line="360" w:lineRule="auto"/>
        <w:rPr>
          <w:color w:val="auto"/>
        </w:rPr>
      </w:pPr>
    </w:p>
    <w:p>
      <w:pPr>
        <w:spacing w:line="360" w:lineRule="auto"/>
        <w:rPr>
          <w:color w:val="auto"/>
        </w:rPr>
      </w:pPr>
      <w:r>
        <w:rPr>
          <w:rFonts w:hint="eastAsia"/>
          <w:color w:val="auto"/>
        </w:rPr>
        <w:t xml:space="preserve">评标委员会全体成员签名：                                                                            </w:t>
      </w:r>
    </w:p>
    <w:p>
      <w:pPr>
        <w:spacing w:line="360" w:lineRule="auto"/>
        <w:rPr>
          <w:color w:val="auto"/>
        </w:rPr>
      </w:pPr>
      <w:r>
        <w:rPr>
          <w:rFonts w:hint="eastAsia"/>
          <w:color w:val="auto"/>
        </w:rPr>
        <w:t>日期：        年     月     日</w:t>
      </w:r>
    </w:p>
    <w:p>
      <w:pPr>
        <w:spacing w:line="360" w:lineRule="auto"/>
        <w:rPr>
          <w:color w:val="auto"/>
        </w:rPr>
        <w:sectPr>
          <w:pgSz w:w="15840" w:h="12240" w:orient="landscape"/>
          <w:pgMar w:top="1259" w:right="992" w:bottom="1259" w:left="1247" w:header="720" w:footer="720" w:gutter="0"/>
          <w:cols w:space="0" w:num="1"/>
          <w:titlePg/>
          <w:docGrid w:linePitch="286" w:charSpace="0"/>
        </w:sectPr>
      </w:pPr>
    </w:p>
    <w:p>
      <w:pPr>
        <w:rPr>
          <w:rFonts w:ascii="宋体" w:hAnsi="宋体"/>
          <w:b/>
          <w:color w:val="auto"/>
          <w:szCs w:val="21"/>
        </w:rPr>
      </w:pPr>
      <w:r>
        <w:rPr>
          <w:rFonts w:hint="eastAsia" w:ascii="宋体" w:hAnsi="宋体"/>
          <w:b/>
          <w:color w:val="auto"/>
          <w:szCs w:val="21"/>
        </w:rPr>
        <w:t>附表五：信用因素评审得分汇总表</w:t>
      </w:r>
    </w:p>
    <w:p>
      <w:pPr>
        <w:rPr>
          <w:rFonts w:ascii="黑体" w:eastAsia="黑体"/>
          <w:color w:val="auto"/>
          <w:sz w:val="24"/>
        </w:rPr>
      </w:pPr>
    </w:p>
    <w:p>
      <w:pPr>
        <w:ind w:firstLine="4640" w:firstLineChars="1450"/>
        <w:rPr>
          <w:rFonts w:ascii="黑体" w:hAnsi="宋体" w:eastAsia="黑体"/>
          <w:color w:val="auto"/>
          <w:sz w:val="32"/>
          <w:szCs w:val="32"/>
        </w:rPr>
      </w:pPr>
      <w:r>
        <w:rPr>
          <w:rFonts w:hint="eastAsia" w:ascii="黑体" w:hAnsi="宋体" w:eastAsia="黑体"/>
          <w:color w:val="auto"/>
          <w:sz w:val="32"/>
          <w:szCs w:val="32"/>
        </w:rPr>
        <w:t>信用因素评审得分汇总表</w:t>
      </w:r>
    </w:p>
    <w:p>
      <w:pPr>
        <w:spacing w:after="72" w:afterLines="30" w:line="360" w:lineRule="auto"/>
        <w:rPr>
          <w:rFonts w:ascii="宋体" w:hAnsi="宋体"/>
          <w:color w:val="auto"/>
        </w:rPr>
      </w:pPr>
      <w:r>
        <w:rPr>
          <w:rFonts w:hint="eastAsia" w:ascii="宋体" w:hAnsi="宋体"/>
          <w:color w:val="auto"/>
        </w:rPr>
        <w:t>工程名称：</w:t>
      </w:r>
      <w:r>
        <w:rPr>
          <w:rFonts w:hint="eastAsia" w:ascii="宋体" w:hAnsi="宋体"/>
          <w:color w:val="auto"/>
          <w:u w:val="single"/>
        </w:rPr>
        <w:t xml:space="preserve">             </w:t>
      </w:r>
      <w:r>
        <w:rPr>
          <w:rFonts w:hint="eastAsia" w:ascii="宋体" w:hAnsi="宋体"/>
          <w:color w:val="auto"/>
        </w:rPr>
        <w:t>(项目名称)</w:t>
      </w:r>
    </w:p>
    <w:tbl>
      <w:tblPr>
        <w:tblStyle w:val="22"/>
        <w:tblW w:w="49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969"/>
        <w:gridCol w:w="1065"/>
        <w:gridCol w:w="971"/>
        <w:gridCol w:w="2980"/>
        <w:gridCol w:w="2751"/>
        <w:gridCol w:w="1424"/>
        <w:gridCol w:w="1485"/>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27" w:hRule="atLeast"/>
        </w:trPr>
        <w:tc>
          <w:tcPr>
            <w:tcW w:w="220" w:type="pc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0"/>
                <w:szCs w:val="20"/>
              </w:rPr>
            </w:pPr>
            <w:r>
              <w:rPr>
                <w:rFonts w:hint="eastAsia" w:ascii="宋体" w:hAnsi="宋体" w:cs="宋体"/>
                <w:color w:val="auto"/>
                <w:kern w:val="0"/>
                <w:sz w:val="20"/>
                <w:szCs w:val="20"/>
              </w:rPr>
              <w:t>序号</w:t>
            </w:r>
          </w:p>
        </w:tc>
        <w:tc>
          <w:tcPr>
            <w:tcW w:w="351" w:type="pc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0"/>
                <w:szCs w:val="20"/>
              </w:rPr>
            </w:pPr>
            <w:r>
              <w:rPr>
                <w:rFonts w:hint="eastAsia" w:ascii="宋体" w:hAnsi="宋体" w:cs="宋体"/>
                <w:color w:val="auto"/>
                <w:kern w:val="0"/>
                <w:sz w:val="20"/>
                <w:szCs w:val="20"/>
              </w:rPr>
              <w:t>投标单位名称</w:t>
            </w:r>
          </w:p>
        </w:tc>
        <w:tc>
          <w:tcPr>
            <w:tcW w:w="386" w:type="pc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0"/>
                <w:szCs w:val="20"/>
              </w:rPr>
            </w:pPr>
            <w:r>
              <w:rPr>
                <w:rFonts w:hint="eastAsia" w:ascii="宋体" w:hAnsi="宋体"/>
                <w:color w:val="auto"/>
                <w:sz w:val="20"/>
                <w:szCs w:val="20"/>
              </w:rPr>
              <w:t>联合体牵头人（主办方）</w:t>
            </w:r>
            <w:r>
              <w:rPr>
                <w:rFonts w:hint="eastAsia" w:ascii="宋体" w:hAnsi="宋体" w:cs="宋体"/>
                <w:color w:val="auto"/>
                <w:kern w:val="0"/>
                <w:sz w:val="20"/>
                <w:szCs w:val="20"/>
              </w:rPr>
              <w:t>信用等级</w:t>
            </w:r>
          </w:p>
        </w:tc>
        <w:tc>
          <w:tcPr>
            <w:tcW w:w="352" w:type="pc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olor w:val="auto"/>
                <w:sz w:val="20"/>
                <w:szCs w:val="20"/>
              </w:rPr>
            </w:pPr>
            <w:r>
              <w:rPr>
                <w:rFonts w:hint="eastAsia" w:ascii="宋体" w:hAnsi="宋体"/>
                <w:color w:val="auto"/>
                <w:sz w:val="20"/>
                <w:szCs w:val="20"/>
              </w:rPr>
              <w:t>联合体其他成员</w:t>
            </w:r>
            <w:r>
              <w:rPr>
                <w:rFonts w:hint="eastAsia" w:ascii="宋体" w:hAnsi="宋体" w:cs="宋体"/>
                <w:color w:val="auto"/>
                <w:kern w:val="0"/>
                <w:sz w:val="20"/>
                <w:szCs w:val="20"/>
              </w:rPr>
              <w:t>信用等级</w:t>
            </w:r>
          </w:p>
        </w:tc>
        <w:tc>
          <w:tcPr>
            <w:tcW w:w="1080" w:type="pc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olor w:val="auto"/>
                <w:sz w:val="20"/>
                <w:szCs w:val="20"/>
              </w:rPr>
            </w:pPr>
            <w:r>
              <w:rPr>
                <w:rFonts w:hint="eastAsia" w:ascii="宋体" w:hAnsi="宋体"/>
                <w:color w:val="auto"/>
                <w:sz w:val="20"/>
                <w:szCs w:val="20"/>
              </w:rPr>
              <w:t>联合体牵头人（主办方）信用等级分</w:t>
            </w:r>
          </w:p>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0"/>
                <w:szCs w:val="20"/>
              </w:rPr>
            </w:pPr>
            <w:r>
              <w:rPr>
                <w:rFonts w:hint="eastAsia" w:ascii="宋体" w:hAnsi="宋体"/>
                <w:color w:val="auto"/>
                <w:sz w:val="20"/>
                <w:szCs w:val="20"/>
              </w:rPr>
              <w:t>（</w:t>
            </w:r>
            <w:r>
              <w:rPr>
                <w:rFonts w:hint="eastAsia" w:ascii="宋体" w:hAnsi="宋体"/>
                <w:color w:val="auto"/>
                <w:sz w:val="20"/>
                <w:szCs w:val="20"/>
                <w:u w:val="single"/>
              </w:rPr>
              <w:t>综合信用评价为A级的正式投标人</w:t>
            </w:r>
            <w:r>
              <w:rPr>
                <w:rFonts w:hint="eastAsia"/>
                <w:color w:val="auto"/>
                <w:sz w:val="20"/>
                <w:szCs w:val="20"/>
                <w:u w:val="single"/>
              </w:rPr>
              <w:t>信用等级分</w:t>
            </w:r>
            <w:r>
              <w:rPr>
                <w:rFonts w:hint="eastAsia" w:ascii="宋体" w:hAnsi="宋体"/>
                <w:color w:val="auto"/>
                <w:sz w:val="20"/>
                <w:szCs w:val="20"/>
                <w:u w:val="single"/>
              </w:rPr>
              <w:t>得100分，综合信用评价为B级的正式投标人</w:t>
            </w:r>
            <w:r>
              <w:rPr>
                <w:rFonts w:hint="eastAsia"/>
                <w:color w:val="auto"/>
                <w:sz w:val="20"/>
                <w:szCs w:val="20"/>
                <w:u w:val="single"/>
              </w:rPr>
              <w:t>信用等级分</w:t>
            </w:r>
            <w:r>
              <w:rPr>
                <w:rFonts w:hint="eastAsia" w:ascii="宋体" w:hAnsi="宋体"/>
                <w:color w:val="auto"/>
                <w:sz w:val="20"/>
                <w:szCs w:val="20"/>
                <w:u w:val="single"/>
              </w:rPr>
              <w:t>得80分，综合信用评价为C级的正式投标人</w:t>
            </w:r>
            <w:r>
              <w:rPr>
                <w:rFonts w:hint="eastAsia"/>
                <w:color w:val="auto"/>
                <w:sz w:val="20"/>
                <w:szCs w:val="20"/>
                <w:u w:val="single"/>
              </w:rPr>
              <w:t>信用等级分</w:t>
            </w:r>
            <w:r>
              <w:rPr>
                <w:rFonts w:hint="eastAsia" w:ascii="宋体" w:hAnsi="宋体"/>
                <w:color w:val="auto"/>
                <w:sz w:val="20"/>
                <w:szCs w:val="20"/>
                <w:u w:val="single"/>
              </w:rPr>
              <w:t>得60分。</w:t>
            </w:r>
            <w:r>
              <w:rPr>
                <w:rFonts w:hint="eastAsia" w:ascii="宋体" w:hAnsi="宋体"/>
                <w:color w:val="auto"/>
                <w:sz w:val="20"/>
                <w:szCs w:val="20"/>
              </w:rPr>
              <w:t>）</w:t>
            </w:r>
          </w:p>
        </w:tc>
        <w:tc>
          <w:tcPr>
            <w:tcW w:w="997" w:type="pc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olor w:val="auto"/>
                <w:sz w:val="20"/>
                <w:szCs w:val="20"/>
              </w:rPr>
            </w:pPr>
            <w:r>
              <w:rPr>
                <w:rFonts w:hint="eastAsia" w:ascii="宋体" w:hAnsi="宋体"/>
                <w:color w:val="auto"/>
                <w:sz w:val="20"/>
                <w:szCs w:val="20"/>
              </w:rPr>
              <w:t>联合体其他成员信用等级分</w:t>
            </w:r>
          </w:p>
          <w:p>
            <w:pPr>
              <w:keepNext w:val="0"/>
              <w:keepLines w:val="0"/>
              <w:suppressLineNumbers w:val="0"/>
              <w:snapToGrid w:val="0"/>
              <w:spacing w:before="0" w:beforeAutospacing="0" w:after="0" w:afterAutospacing="0" w:line="360" w:lineRule="auto"/>
              <w:ind w:left="0" w:right="0"/>
              <w:jc w:val="center"/>
              <w:rPr>
                <w:rFonts w:hint="default" w:ascii="宋体" w:hAnsi="宋体"/>
                <w:color w:val="auto"/>
                <w:sz w:val="20"/>
                <w:szCs w:val="20"/>
              </w:rPr>
            </w:pPr>
            <w:r>
              <w:rPr>
                <w:rFonts w:hint="eastAsia" w:ascii="宋体" w:hAnsi="宋体"/>
                <w:color w:val="auto"/>
                <w:sz w:val="20"/>
                <w:szCs w:val="20"/>
              </w:rPr>
              <w:t>（</w:t>
            </w:r>
            <w:r>
              <w:rPr>
                <w:rFonts w:hint="eastAsia" w:ascii="宋体" w:hAnsi="宋体"/>
                <w:color w:val="auto"/>
                <w:sz w:val="20"/>
                <w:szCs w:val="20"/>
                <w:u w:val="single"/>
              </w:rPr>
              <w:t>综合信用评价为A级的正式投标人</w:t>
            </w:r>
            <w:r>
              <w:rPr>
                <w:rFonts w:hint="eastAsia"/>
                <w:color w:val="auto"/>
                <w:sz w:val="20"/>
                <w:szCs w:val="20"/>
                <w:u w:val="single"/>
              </w:rPr>
              <w:t>信用等级分</w:t>
            </w:r>
            <w:r>
              <w:rPr>
                <w:rFonts w:hint="eastAsia" w:ascii="宋体" w:hAnsi="宋体"/>
                <w:color w:val="auto"/>
                <w:sz w:val="20"/>
                <w:szCs w:val="20"/>
                <w:u w:val="single"/>
              </w:rPr>
              <w:t>得100分，综合信用评价为B级的正式投标人</w:t>
            </w:r>
            <w:r>
              <w:rPr>
                <w:rFonts w:hint="eastAsia"/>
                <w:color w:val="auto"/>
                <w:sz w:val="20"/>
                <w:szCs w:val="20"/>
                <w:u w:val="single"/>
              </w:rPr>
              <w:t>信用等级分</w:t>
            </w:r>
            <w:r>
              <w:rPr>
                <w:rFonts w:hint="eastAsia" w:ascii="宋体" w:hAnsi="宋体"/>
                <w:color w:val="auto"/>
                <w:sz w:val="20"/>
                <w:szCs w:val="20"/>
                <w:u w:val="single"/>
              </w:rPr>
              <w:t>得80分，综合信用评价为C级的正式投标人</w:t>
            </w:r>
            <w:r>
              <w:rPr>
                <w:rFonts w:hint="eastAsia"/>
                <w:color w:val="auto"/>
                <w:sz w:val="20"/>
                <w:szCs w:val="20"/>
                <w:u w:val="single"/>
              </w:rPr>
              <w:t>信用等级分</w:t>
            </w:r>
            <w:r>
              <w:rPr>
                <w:rFonts w:hint="eastAsia" w:ascii="宋体" w:hAnsi="宋体"/>
                <w:color w:val="auto"/>
                <w:sz w:val="20"/>
                <w:szCs w:val="20"/>
                <w:u w:val="single"/>
              </w:rPr>
              <w:t>得60分。</w:t>
            </w:r>
            <w:r>
              <w:rPr>
                <w:rFonts w:hint="eastAsia" w:ascii="宋体" w:hAnsi="宋体"/>
                <w:color w:val="auto"/>
                <w:sz w:val="20"/>
                <w:szCs w:val="20"/>
              </w:rPr>
              <w:t>）</w:t>
            </w:r>
          </w:p>
        </w:tc>
        <w:tc>
          <w:tcPr>
            <w:tcW w:w="516" w:type="pc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olor w:val="auto"/>
                <w:sz w:val="20"/>
                <w:szCs w:val="20"/>
              </w:rPr>
            </w:pPr>
            <w:r>
              <w:rPr>
                <w:rFonts w:hint="eastAsia" w:ascii="宋体" w:hAnsi="宋体"/>
                <w:color w:val="auto"/>
                <w:sz w:val="20"/>
                <w:szCs w:val="20"/>
              </w:rPr>
              <w:t>联合体牵头人（主办方）信用得分（信用得分＝信用等级分）</w:t>
            </w:r>
          </w:p>
          <w:p>
            <w:pPr>
              <w:keepNext w:val="0"/>
              <w:keepLines w:val="0"/>
              <w:suppressLineNumbers w:val="0"/>
              <w:snapToGrid w:val="0"/>
              <w:spacing w:before="0" w:beforeAutospacing="0" w:after="0" w:afterAutospacing="0" w:line="360" w:lineRule="auto"/>
              <w:ind w:left="0" w:right="0"/>
              <w:jc w:val="center"/>
              <w:rPr>
                <w:rFonts w:hint="default" w:ascii="宋体" w:hAnsi="宋体" w:cs="宋体"/>
                <w:b/>
                <w:color w:val="auto"/>
                <w:kern w:val="0"/>
                <w:sz w:val="20"/>
                <w:szCs w:val="20"/>
              </w:rPr>
            </w:pPr>
          </w:p>
        </w:tc>
        <w:tc>
          <w:tcPr>
            <w:tcW w:w="538" w:type="pct"/>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b/>
                <w:color w:val="auto"/>
                <w:kern w:val="0"/>
                <w:sz w:val="20"/>
                <w:szCs w:val="20"/>
              </w:rPr>
            </w:pPr>
            <w:r>
              <w:rPr>
                <w:rFonts w:hint="eastAsia" w:ascii="宋体" w:hAnsi="宋体"/>
                <w:color w:val="auto"/>
                <w:sz w:val="20"/>
                <w:szCs w:val="20"/>
              </w:rPr>
              <w:t>联合体其他成员信用得分算术平均值（信用得分＝信用等级分）</w:t>
            </w:r>
          </w:p>
        </w:tc>
        <w:tc>
          <w:tcPr>
            <w:tcW w:w="556" w:type="pct"/>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bCs/>
                <w:color w:val="auto"/>
                <w:kern w:val="0"/>
                <w:sz w:val="20"/>
                <w:szCs w:val="20"/>
              </w:rPr>
            </w:pPr>
            <w:r>
              <w:rPr>
                <w:rFonts w:hint="eastAsia" w:ascii="宋体" w:hAnsi="宋体" w:cs="宋体"/>
                <w:bCs/>
                <w:color w:val="auto"/>
                <w:kern w:val="0"/>
                <w:sz w:val="20"/>
                <w:szCs w:val="20"/>
              </w:rPr>
              <w:t>信用得分</w:t>
            </w:r>
          </w:p>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0"/>
                <w:szCs w:val="20"/>
              </w:rPr>
            </w:pPr>
            <w:r>
              <w:rPr>
                <w:rFonts w:hint="eastAsia" w:ascii="宋体" w:hAnsi="宋体"/>
                <w:color w:val="auto"/>
                <w:sz w:val="20"/>
                <w:szCs w:val="20"/>
              </w:rPr>
              <w:t>（主办方企业信用得分×80%＋联合体其他成员信用得分的算术平均值×20%）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220"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rPr>
            </w:pPr>
            <w:r>
              <w:rPr>
                <w:rFonts w:hint="eastAsia" w:ascii="宋体" w:hAnsi="宋体" w:cs="宋体"/>
                <w:b/>
                <w:bCs/>
                <w:color w:val="auto"/>
                <w:kern w:val="0"/>
                <w:sz w:val="20"/>
                <w:szCs w:val="20"/>
              </w:rPr>
              <w:t>1</w:t>
            </w:r>
          </w:p>
        </w:tc>
        <w:tc>
          <w:tcPr>
            <w:tcW w:w="351" w:type="pct"/>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386" w:type="pct"/>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352" w:type="pct"/>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1080" w:type="pct"/>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997" w:type="pct"/>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516" w:type="pct"/>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538" w:type="pct"/>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556"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220"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rPr>
            </w:pPr>
            <w:r>
              <w:rPr>
                <w:rFonts w:hint="eastAsia" w:ascii="宋体" w:hAnsi="宋体" w:cs="宋体"/>
                <w:b/>
                <w:bCs/>
                <w:color w:val="auto"/>
                <w:kern w:val="0"/>
                <w:sz w:val="20"/>
                <w:szCs w:val="20"/>
              </w:rPr>
              <w:t>2</w:t>
            </w:r>
          </w:p>
        </w:tc>
        <w:tc>
          <w:tcPr>
            <w:tcW w:w="351" w:type="pct"/>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386" w:type="pct"/>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352" w:type="pct"/>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rPr>
            </w:pPr>
          </w:p>
        </w:tc>
        <w:tc>
          <w:tcPr>
            <w:tcW w:w="1080" w:type="pct"/>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rPr>
            </w:pPr>
          </w:p>
        </w:tc>
        <w:tc>
          <w:tcPr>
            <w:tcW w:w="997" w:type="pct"/>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516" w:type="pct"/>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538" w:type="pct"/>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556"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220"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rPr>
            </w:pPr>
            <w:r>
              <w:rPr>
                <w:rFonts w:hint="default" w:ascii="宋体" w:hAnsi="宋体" w:cs="宋体"/>
                <w:b/>
                <w:bCs/>
                <w:color w:val="auto"/>
                <w:kern w:val="0"/>
                <w:sz w:val="20"/>
                <w:szCs w:val="20"/>
              </w:rPr>
              <w:t>…</w:t>
            </w:r>
          </w:p>
        </w:tc>
        <w:tc>
          <w:tcPr>
            <w:tcW w:w="351" w:type="pct"/>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386" w:type="pct"/>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352" w:type="pct"/>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rPr>
            </w:pPr>
          </w:p>
        </w:tc>
        <w:tc>
          <w:tcPr>
            <w:tcW w:w="1080" w:type="pct"/>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rPr>
            </w:pPr>
          </w:p>
        </w:tc>
        <w:tc>
          <w:tcPr>
            <w:tcW w:w="997" w:type="pct"/>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516" w:type="pct"/>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538" w:type="pct"/>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556"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r>
    </w:tbl>
    <w:p>
      <w:pPr>
        <w:spacing w:after="72" w:afterLines="30" w:line="360" w:lineRule="auto"/>
        <w:rPr>
          <w:rFonts w:hint="eastAsia" w:ascii="宋体" w:hAnsi="宋体"/>
          <w:color w:val="auto"/>
          <w:sz w:val="20"/>
          <w:szCs w:val="20"/>
        </w:rPr>
      </w:pPr>
    </w:p>
    <w:p>
      <w:pPr>
        <w:spacing w:after="72" w:afterLines="30" w:line="360" w:lineRule="auto"/>
        <w:rPr>
          <w:rFonts w:ascii="宋体" w:hAnsi="宋体"/>
          <w:color w:val="auto"/>
          <w:sz w:val="20"/>
          <w:szCs w:val="20"/>
        </w:rPr>
      </w:pPr>
      <w:r>
        <w:rPr>
          <w:rFonts w:hint="eastAsia" w:ascii="宋体" w:hAnsi="宋体"/>
          <w:color w:val="auto"/>
          <w:sz w:val="20"/>
          <w:szCs w:val="20"/>
        </w:rPr>
        <w:t>注：如项目不接受联合体投标的，联合体牵头人为投标单位，联合体其他成员栏目不需填写，综合信用得分为投标单位的信用得分。</w:t>
      </w:r>
    </w:p>
    <w:p>
      <w:pPr>
        <w:spacing w:line="360" w:lineRule="auto"/>
        <w:rPr>
          <w:color w:val="auto"/>
          <w:sz w:val="20"/>
          <w:szCs w:val="20"/>
        </w:rPr>
      </w:pPr>
      <w:r>
        <w:rPr>
          <w:rFonts w:hint="eastAsia"/>
          <w:color w:val="auto"/>
          <w:sz w:val="20"/>
          <w:szCs w:val="20"/>
        </w:rPr>
        <w:t xml:space="preserve">评标委员会全体成员签名：                                                         </w:t>
      </w:r>
    </w:p>
    <w:p>
      <w:pPr>
        <w:spacing w:line="360" w:lineRule="auto"/>
        <w:rPr>
          <w:rFonts w:hint="eastAsia"/>
          <w:color w:val="auto"/>
          <w:sz w:val="20"/>
          <w:szCs w:val="20"/>
        </w:rPr>
      </w:pPr>
    </w:p>
    <w:p>
      <w:pPr>
        <w:spacing w:line="360" w:lineRule="auto"/>
        <w:rPr>
          <w:rFonts w:ascii="黑体" w:eastAsia="黑体"/>
          <w:color w:val="auto"/>
          <w:sz w:val="20"/>
          <w:szCs w:val="20"/>
        </w:rPr>
      </w:pPr>
      <w:r>
        <w:rPr>
          <w:rFonts w:hint="eastAsia"/>
          <w:color w:val="auto"/>
          <w:sz w:val="20"/>
          <w:szCs w:val="20"/>
        </w:rPr>
        <w:t>日期：        年     月     日</w:t>
      </w:r>
    </w:p>
    <w:p>
      <w:pPr>
        <w:spacing w:line="360" w:lineRule="auto"/>
        <w:rPr>
          <w:rFonts w:ascii="黑体" w:eastAsia="黑体"/>
          <w:color w:val="auto"/>
        </w:rPr>
      </w:pPr>
    </w:p>
    <w:p>
      <w:pPr>
        <w:rPr>
          <w:rFonts w:ascii="黑体" w:eastAsia="黑体"/>
          <w:color w:val="auto"/>
        </w:rPr>
      </w:pPr>
      <w:r>
        <w:rPr>
          <w:rFonts w:hint="eastAsia" w:ascii="黑体" w:eastAsia="黑体"/>
          <w:color w:val="auto"/>
        </w:rPr>
        <w:br w:type="page"/>
      </w:r>
    </w:p>
    <w:p>
      <w:pPr>
        <w:spacing w:line="360" w:lineRule="auto"/>
        <w:rPr>
          <w:rFonts w:ascii="黑体" w:eastAsia="黑体"/>
          <w:color w:val="auto"/>
        </w:rPr>
      </w:pPr>
      <w:r>
        <w:rPr>
          <w:rFonts w:hint="eastAsia" w:ascii="黑体" w:eastAsia="黑体"/>
          <w:color w:val="auto"/>
        </w:rPr>
        <w:t>附表六：评标结果汇总表</w:t>
      </w:r>
    </w:p>
    <w:p>
      <w:pPr>
        <w:spacing w:before="120" w:beforeLines="50" w:after="120" w:afterLines="50" w:line="360" w:lineRule="auto"/>
        <w:jc w:val="center"/>
        <w:rPr>
          <w:rFonts w:ascii="黑体" w:eastAsia="黑体"/>
          <w:color w:val="auto"/>
          <w:sz w:val="28"/>
          <w:szCs w:val="28"/>
        </w:rPr>
      </w:pPr>
      <w:r>
        <w:rPr>
          <w:rFonts w:hint="eastAsia" w:ascii="黑体" w:eastAsia="黑体"/>
          <w:color w:val="auto"/>
          <w:sz w:val="28"/>
          <w:szCs w:val="28"/>
        </w:rPr>
        <w:t>评标结果汇总表</w:t>
      </w:r>
    </w:p>
    <w:p>
      <w:pPr>
        <w:spacing w:after="72" w:afterLines="30" w:line="360" w:lineRule="auto"/>
        <w:rPr>
          <w:rFonts w:ascii="宋体" w:hAnsi="宋体"/>
          <w:color w:val="auto"/>
        </w:rPr>
      </w:pPr>
      <w:r>
        <w:rPr>
          <w:rFonts w:hint="eastAsia" w:ascii="宋体" w:hAnsi="宋体"/>
          <w:color w:val="auto"/>
        </w:rPr>
        <w:t>工程名称：</w:t>
      </w:r>
      <w:r>
        <w:rPr>
          <w:rFonts w:hint="eastAsia" w:ascii="宋体" w:hAnsi="宋体"/>
          <w:color w:val="auto"/>
          <w:u w:val="single"/>
        </w:rPr>
        <w:t xml:space="preserve">             </w:t>
      </w:r>
      <w:r>
        <w:rPr>
          <w:rFonts w:hint="eastAsia" w:ascii="宋体" w:hAnsi="宋体"/>
          <w:color w:val="auto"/>
        </w:rPr>
        <w:t>(项目名称)</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915"/>
        <w:gridCol w:w="1305"/>
        <w:gridCol w:w="1247"/>
        <w:gridCol w:w="2082"/>
        <w:gridCol w:w="5438"/>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231"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r>
              <w:rPr>
                <w:rFonts w:hint="eastAsia" w:ascii="宋体" w:hAnsi="宋体" w:cs="宋体"/>
                <w:color w:val="auto"/>
                <w:kern w:val="0"/>
                <w:sz w:val="20"/>
                <w:szCs w:val="20"/>
              </w:rPr>
              <w:t>序号</w:t>
            </w:r>
          </w:p>
        </w:tc>
        <w:tc>
          <w:tcPr>
            <w:tcW w:w="693" w:type="pc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0"/>
                <w:szCs w:val="20"/>
              </w:rPr>
            </w:pPr>
            <w:r>
              <w:rPr>
                <w:rFonts w:hint="eastAsia" w:ascii="宋体" w:hAnsi="宋体" w:cs="宋体"/>
                <w:color w:val="auto"/>
                <w:kern w:val="0"/>
                <w:sz w:val="20"/>
                <w:szCs w:val="20"/>
              </w:rPr>
              <w:t>投标单位名称</w:t>
            </w:r>
          </w:p>
        </w:tc>
        <w:tc>
          <w:tcPr>
            <w:tcW w:w="472" w:type="pc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0"/>
                <w:szCs w:val="20"/>
              </w:rPr>
            </w:pPr>
            <w:r>
              <w:rPr>
                <w:rFonts w:hint="eastAsia" w:ascii="宋体" w:hAnsi="宋体" w:cs="宋体"/>
                <w:color w:val="auto"/>
                <w:kern w:val="0"/>
                <w:sz w:val="20"/>
                <w:szCs w:val="20"/>
              </w:rPr>
              <w:t>投标报价得分</w:t>
            </w:r>
          </w:p>
        </w:tc>
        <w:tc>
          <w:tcPr>
            <w:tcW w:w="451" w:type="pc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0"/>
                <w:szCs w:val="20"/>
              </w:rPr>
            </w:pPr>
            <w:r>
              <w:rPr>
                <w:rFonts w:hint="eastAsia" w:ascii="宋体" w:hAnsi="宋体" w:cs="宋体"/>
                <w:color w:val="auto"/>
                <w:kern w:val="0"/>
                <w:sz w:val="20"/>
                <w:szCs w:val="20"/>
              </w:rPr>
              <w:t>监理综合评审得分</w:t>
            </w:r>
          </w:p>
        </w:tc>
        <w:tc>
          <w:tcPr>
            <w:tcW w:w="753" w:type="pc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0"/>
                <w:szCs w:val="20"/>
              </w:rPr>
            </w:pPr>
            <w:r>
              <w:rPr>
                <w:rFonts w:hint="eastAsia" w:ascii="宋体" w:hAnsi="宋体" w:cs="宋体"/>
                <w:color w:val="auto"/>
                <w:sz w:val="20"/>
                <w:szCs w:val="20"/>
              </w:rPr>
              <w:t>信用得</w:t>
            </w:r>
            <w:r>
              <w:rPr>
                <w:rFonts w:hint="eastAsia" w:ascii="宋体" w:hAnsi="宋体" w:cs="宋体"/>
                <w:color w:val="auto"/>
                <w:kern w:val="0"/>
                <w:sz w:val="20"/>
                <w:szCs w:val="20"/>
              </w:rPr>
              <w:t>分</w:t>
            </w:r>
          </w:p>
        </w:tc>
        <w:tc>
          <w:tcPr>
            <w:tcW w:w="1967" w:type="pc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0"/>
                <w:szCs w:val="20"/>
              </w:rPr>
            </w:pPr>
            <w:r>
              <w:rPr>
                <w:rFonts w:hint="eastAsia" w:ascii="宋体" w:hAnsi="宋体" w:cs="宋体"/>
                <w:color w:val="auto"/>
                <w:kern w:val="0"/>
                <w:sz w:val="20"/>
                <w:szCs w:val="20"/>
              </w:rPr>
              <w:t>详细评审总得分合计</w:t>
            </w:r>
          </w:p>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0"/>
                <w:szCs w:val="20"/>
              </w:rPr>
            </w:pPr>
            <w:r>
              <w:rPr>
                <w:rFonts w:hint="eastAsia" w:ascii="宋体" w:hAnsi="宋体" w:cs="宋体"/>
                <w:color w:val="auto"/>
                <w:kern w:val="0"/>
                <w:sz w:val="20"/>
                <w:szCs w:val="20"/>
              </w:rPr>
              <w:t>总得分=报价得分×</w:t>
            </w:r>
            <w:r>
              <w:rPr>
                <w:rFonts w:hint="eastAsia" w:ascii="宋体" w:hAnsi="宋体" w:cs="宋体"/>
                <w:color w:val="auto"/>
                <w:kern w:val="0"/>
                <w:sz w:val="20"/>
                <w:szCs w:val="20"/>
                <w:u w:val="single"/>
              </w:rPr>
              <w:t xml:space="preserve"> </w:t>
            </w:r>
            <w:r>
              <w:rPr>
                <w:rFonts w:hint="default" w:ascii="宋体" w:hAnsi="宋体" w:cs="宋体"/>
                <w:color w:val="auto"/>
                <w:kern w:val="0"/>
                <w:sz w:val="20"/>
                <w:szCs w:val="20"/>
                <w:u w:val="single"/>
              </w:rPr>
              <w:t>22</w:t>
            </w:r>
            <w:r>
              <w:rPr>
                <w:rFonts w:hint="eastAsia" w:ascii="宋体" w:hAnsi="宋体" w:cs="宋体"/>
                <w:color w:val="auto"/>
                <w:kern w:val="0"/>
                <w:sz w:val="20"/>
                <w:szCs w:val="20"/>
                <w:u w:val="single"/>
              </w:rPr>
              <w:t xml:space="preserve"> </w:t>
            </w:r>
            <w:r>
              <w:rPr>
                <w:rFonts w:hint="eastAsia" w:ascii="宋体" w:hAnsi="宋体" w:cs="宋体"/>
                <w:color w:val="auto"/>
                <w:kern w:val="0"/>
                <w:sz w:val="20"/>
                <w:szCs w:val="20"/>
              </w:rPr>
              <w:t>%+监理综合评审得分×</w:t>
            </w:r>
            <w:r>
              <w:rPr>
                <w:rFonts w:hint="eastAsia" w:ascii="宋体" w:hAnsi="宋体" w:cs="宋体"/>
                <w:color w:val="auto"/>
                <w:kern w:val="0"/>
                <w:sz w:val="20"/>
                <w:szCs w:val="20"/>
                <w:u w:val="single"/>
              </w:rPr>
              <w:t xml:space="preserve"> </w:t>
            </w:r>
            <w:r>
              <w:rPr>
                <w:rFonts w:hint="default" w:ascii="宋体" w:hAnsi="宋体" w:cs="宋体"/>
                <w:color w:val="auto"/>
                <w:kern w:val="0"/>
                <w:sz w:val="20"/>
                <w:szCs w:val="20"/>
                <w:u w:val="single"/>
              </w:rPr>
              <w:t>70</w:t>
            </w:r>
            <w:r>
              <w:rPr>
                <w:rFonts w:hint="eastAsia" w:ascii="宋体" w:hAnsi="宋体" w:cs="宋体"/>
                <w:color w:val="auto"/>
                <w:kern w:val="0"/>
                <w:sz w:val="20"/>
                <w:szCs w:val="20"/>
                <w:u w:val="single"/>
              </w:rPr>
              <w:t xml:space="preserve">  </w:t>
            </w:r>
            <w:r>
              <w:rPr>
                <w:rFonts w:hint="eastAsia" w:ascii="宋体" w:hAnsi="宋体" w:cs="宋体"/>
                <w:color w:val="auto"/>
                <w:kern w:val="0"/>
                <w:sz w:val="20"/>
                <w:szCs w:val="20"/>
              </w:rPr>
              <w:t>%+信用得分×信用因素权重（</w:t>
            </w:r>
            <w:r>
              <w:rPr>
                <w:rFonts w:hint="eastAsia" w:ascii="宋体" w:hAnsi="宋体" w:cs="宋体"/>
                <w:color w:val="auto"/>
                <w:kern w:val="0"/>
                <w:sz w:val="20"/>
                <w:szCs w:val="20"/>
                <w:u w:val="single"/>
              </w:rPr>
              <w:t xml:space="preserve"> 8  </w:t>
            </w:r>
            <w:r>
              <w:rPr>
                <w:rFonts w:hint="eastAsia" w:ascii="宋体" w:hAnsi="宋体" w:cs="宋体"/>
                <w:color w:val="auto"/>
                <w:kern w:val="0"/>
                <w:sz w:val="20"/>
                <w:szCs w:val="20"/>
              </w:rPr>
              <w:t>%）</w:t>
            </w:r>
            <w:r>
              <w:rPr>
                <w:rFonts w:hint="eastAsia" w:ascii="宋体" w:hAnsi="宋体" w:cs="宋体"/>
                <w:color w:val="auto"/>
                <w:sz w:val="20"/>
                <w:szCs w:val="20"/>
              </w:rPr>
              <w:t>（注：如信用因素权重现场随机抽取确定的，经随机抽取信用因素权重后由招标人补充未确定的权重，提供给评标委员会。</w:t>
            </w:r>
            <w:r>
              <w:rPr>
                <w:rFonts w:hint="eastAsia" w:ascii="宋体" w:hAnsi="宋体" w:cs="宋体"/>
                <w:color w:val="auto"/>
                <w:kern w:val="0"/>
                <w:sz w:val="20"/>
                <w:szCs w:val="20"/>
              </w:rPr>
              <w:t>报价得分权重</w:t>
            </w:r>
            <w:r>
              <w:rPr>
                <w:rFonts w:hint="eastAsia" w:ascii="宋体" w:hAnsi="宋体" w:cs="宋体"/>
                <w:color w:val="auto"/>
                <w:sz w:val="20"/>
                <w:szCs w:val="20"/>
              </w:rPr>
              <w:t>+</w:t>
            </w:r>
            <w:r>
              <w:rPr>
                <w:rFonts w:hint="eastAsia" w:ascii="宋体" w:hAnsi="宋体" w:cs="宋体"/>
                <w:color w:val="auto"/>
                <w:kern w:val="0"/>
                <w:sz w:val="20"/>
                <w:szCs w:val="20"/>
              </w:rPr>
              <w:t>监理综合评审得分权重+</w:t>
            </w:r>
            <w:r>
              <w:rPr>
                <w:rFonts w:hint="eastAsia" w:ascii="宋体" w:hAnsi="宋体" w:cs="宋体"/>
                <w:color w:val="auto"/>
                <w:sz w:val="20"/>
                <w:szCs w:val="20"/>
              </w:rPr>
              <w:t>信用因素权重＝100%）</w:t>
            </w:r>
          </w:p>
        </w:tc>
        <w:tc>
          <w:tcPr>
            <w:tcW w:w="429" w:type="pc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0"/>
                <w:szCs w:val="20"/>
              </w:rPr>
            </w:pPr>
            <w:r>
              <w:rPr>
                <w:rFonts w:hint="eastAsia" w:ascii="宋体" w:hAnsi="宋体" w:cs="宋体"/>
                <w:color w:val="auto"/>
                <w:kern w:val="0"/>
                <w:sz w:val="20"/>
                <w:szCs w:val="20"/>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31"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rPr>
            </w:pPr>
            <w:r>
              <w:rPr>
                <w:rFonts w:hint="eastAsia" w:ascii="宋体" w:hAnsi="宋体" w:cs="宋体"/>
                <w:b/>
                <w:bCs/>
                <w:color w:val="auto"/>
                <w:kern w:val="0"/>
                <w:sz w:val="20"/>
                <w:szCs w:val="20"/>
              </w:rPr>
              <w:t>1</w:t>
            </w:r>
          </w:p>
        </w:tc>
        <w:tc>
          <w:tcPr>
            <w:tcW w:w="693" w:type="pct"/>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472" w:type="pct"/>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451" w:type="pct"/>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753" w:type="pct"/>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1967" w:type="pct"/>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429" w:type="pct"/>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31"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rPr>
            </w:pPr>
            <w:r>
              <w:rPr>
                <w:rFonts w:hint="eastAsia" w:ascii="宋体" w:hAnsi="宋体" w:cs="宋体"/>
                <w:b/>
                <w:bCs/>
                <w:color w:val="auto"/>
                <w:kern w:val="0"/>
                <w:sz w:val="20"/>
                <w:szCs w:val="20"/>
              </w:rPr>
              <w:t>2</w:t>
            </w:r>
          </w:p>
        </w:tc>
        <w:tc>
          <w:tcPr>
            <w:tcW w:w="693" w:type="pct"/>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472" w:type="pct"/>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451" w:type="pct"/>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753" w:type="pct"/>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1967" w:type="pct"/>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429" w:type="pct"/>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31"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rPr>
            </w:pPr>
            <w:r>
              <w:rPr>
                <w:rFonts w:hint="eastAsia" w:ascii="宋体" w:hAnsi="宋体" w:cs="宋体"/>
                <w:b/>
                <w:bCs/>
                <w:color w:val="auto"/>
                <w:kern w:val="0"/>
                <w:sz w:val="20"/>
                <w:szCs w:val="20"/>
              </w:rPr>
              <w:t>3</w:t>
            </w:r>
          </w:p>
        </w:tc>
        <w:tc>
          <w:tcPr>
            <w:tcW w:w="693" w:type="pct"/>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472" w:type="pct"/>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451" w:type="pct"/>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753" w:type="pct"/>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1967" w:type="pct"/>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429" w:type="pct"/>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31"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rPr>
            </w:pPr>
            <w:r>
              <w:rPr>
                <w:rFonts w:hint="eastAsia" w:ascii="宋体" w:hAnsi="宋体" w:cs="宋体"/>
                <w:b/>
                <w:bCs/>
                <w:color w:val="auto"/>
                <w:kern w:val="0"/>
                <w:sz w:val="20"/>
                <w:szCs w:val="20"/>
              </w:rPr>
              <w:t>4</w:t>
            </w:r>
          </w:p>
        </w:tc>
        <w:tc>
          <w:tcPr>
            <w:tcW w:w="693" w:type="pct"/>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472" w:type="pct"/>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451" w:type="pct"/>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753" w:type="pct"/>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1967" w:type="pct"/>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429" w:type="pct"/>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31"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rPr>
            </w:pPr>
            <w:r>
              <w:rPr>
                <w:rFonts w:hint="default" w:ascii="宋体" w:hAnsi="宋体" w:cs="宋体"/>
                <w:b/>
                <w:bCs/>
                <w:color w:val="auto"/>
                <w:kern w:val="0"/>
                <w:sz w:val="20"/>
                <w:szCs w:val="20"/>
              </w:rPr>
              <w:t>…</w:t>
            </w:r>
          </w:p>
        </w:tc>
        <w:tc>
          <w:tcPr>
            <w:tcW w:w="693" w:type="pct"/>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472" w:type="pct"/>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451" w:type="pct"/>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753" w:type="pct"/>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1967" w:type="pct"/>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c>
          <w:tcPr>
            <w:tcW w:w="429" w:type="pct"/>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rPr>
            </w:pPr>
          </w:p>
        </w:tc>
      </w:tr>
    </w:tbl>
    <w:p>
      <w:pPr>
        <w:spacing w:line="360" w:lineRule="auto"/>
        <w:rPr>
          <w:color w:val="auto"/>
        </w:rPr>
      </w:pPr>
    </w:p>
    <w:p>
      <w:pPr>
        <w:spacing w:line="360" w:lineRule="auto"/>
        <w:rPr>
          <w:rFonts w:ascii="宋体" w:hAnsi="宋体" w:cs="宋体"/>
          <w:color w:val="auto"/>
          <w:sz w:val="20"/>
          <w:szCs w:val="20"/>
        </w:rPr>
      </w:pPr>
      <w:r>
        <w:rPr>
          <w:rFonts w:hint="eastAsia" w:ascii="宋体" w:hAnsi="宋体" w:cs="宋体"/>
          <w:color w:val="auto"/>
          <w:sz w:val="20"/>
          <w:szCs w:val="20"/>
        </w:rPr>
        <w:t xml:space="preserve">评标委员会全体成员签名：                                                                     </w:t>
      </w:r>
    </w:p>
    <w:p>
      <w:pPr>
        <w:spacing w:line="360" w:lineRule="auto"/>
        <w:rPr>
          <w:rFonts w:ascii="宋体" w:hAnsi="宋体" w:cs="宋体"/>
          <w:color w:val="auto"/>
          <w:sz w:val="20"/>
          <w:szCs w:val="20"/>
        </w:rPr>
      </w:pPr>
      <w:r>
        <w:rPr>
          <w:rFonts w:hint="eastAsia" w:ascii="宋体" w:hAnsi="宋体" w:cs="宋体"/>
          <w:color w:val="auto"/>
          <w:sz w:val="20"/>
          <w:szCs w:val="20"/>
        </w:rPr>
        <w:t>日期：        年     月     日</w:t>
      </w:r>
    </w:p>
    <w:sectPr>
      <w:pgSz w:w="15840" w:h="12240" w:orient="landscape"/>
      <w:pgMar w:top="1259" w:right="992" w:bottom="1259" w:left="1247" w:header="720" w:footer="720" w:gutter="0"/>
      <w:cols w:space="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Droid Sans Fallback">
    <w:altName w:val="@宋体"/>
    <w:panose1 w:val="00000000000000000000"/>
    <w:charset w:val="86"/>
    <w:family w:val="swiss"/>
    <w:pitch w:val="default"/>
    <w:sig w:usb0="00000000" w:usb1="00000000" w:usb2="00000016" w:usb3="00000000" w:csb0="003E0000" w:csb1="00000000"/>
  </w:font>
  <w:font w:name="MingLiU_HKSCS">
    <w:altName w:val="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宋体">
    <w:panose1 w:val="02010600030101010101"/>
    <w:charset w:val="86"/>
    <w:family w:val="auto"/>
    <w:pitch w:val="default"/>
    <w:sig w:usb0="00000003" w:usb1="288F0000" w:usb2="00000006" w:usb3="00000000" w:csb0="00040001"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569"/>
      <w:rPr>
        <w:rFonts w:eastAsia="Times New Roman"/>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569"/>
      <w:rPr>
        <w:rFonts w:eastAsia="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5"/>
      </w:rPr>
    </w:pPr>
    <w:r>
      <w:rPr>
        <w:rStyle w:val="25"/>
      </w:rPr>
      <w:fldChar w:fldCharType="begin"/>
    </w:r>
    <w:r>
      <w:rPr>
        <w:rStyle w:val="25"/>
      </w:rPr>
      <w:instrText xml:space="preserve">PAGE  </w:instrText>
    </w:r>
    <w:r>
      <w:rPr>
        <w:rStyle w:val="25"/>
      </w:rPr>
      <w:fldChar w:fldCharType="separate"/>
    </w:r>
    <w:r>
      <w:rPr>
        <w:rStyle w:val="25"/>
      </w:rPr>
      <w:t>42</w:t>
    </w:r>
    <w:r>
      <w:rPr>
        <w:rStyle w:val="25"/>
      </w:rPr>
      <w:fldChar w:fldCharType="end"/>
    </w:r>
  </w:p>
  <w:p>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5"/>
      </w:rPr>
    </w:pPr>
    <w:r>
      <w:rPr>
        <w:rStyle w:val="25"/>
      </w:rPr>
      <w:fldChar w:fldCharType="begin"/>
    </w:r>
    <w:r>
      <w:rPr>
        <w:rStyle w:val="25"/>
      </w:rPr>
      <w:instrText xml:space="preserve">PAGE  </w:instrText>
    </w:r>
    <w:r>
      <w:rPr>
        <w:rStyle w:val="25"/>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12" w:firstLineChars="196"/>
    </w:pPr>
    <w:r>
      <w:rPr>
        <w:rFonts w:hint="eastAsia" w:eastAsia="Times New Roman"/>
        <w:b/>
        <w:bCs/>
        <w:u w:val="single"/>
      </w:rPr>
      <w:t>滨江新区天沙河路（江沙路-新南路）工程                          监理招标资格审查文件</w:t>
    </w:r>
    <w:r>
      <w:rPr>
        <w:rFonts w:hint="eastAsia"/>
      </w:rPr>
      <w:t xml:space="preserve">                                    　         </w:t>
    </w: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5212E7"/>
    <w:multiLevelType w:val="multilevel"/>
    <w:tmpl w:val="195212E7"/>
    <w:lvl w:ilvl="0" w:tentative="0">
      <w:start w:val="2"/>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23594000"/>
    <w:multiLevelType w:val="multilevel"/>
    <w:tmpl w:val="23594000"/>
    <w:lvl w:ilvl="0" w:tentative="0">
      <w:start w:val="1"/>
      <w:numFmt w:val="decimal"/>
      <w:lvlText w:val="%1）"/>
      <w:lvlJc w:val="left"/>
      <w:pPr>
        <w:ind w:left="785"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3C2B7D68"/>
    <w:multiLevelType w:val="multilevel"/>
    <w:tmpl w:val="3C2B7D68"/>
    <w:lvl w:ilvl="0" w:tentative="0">
      <w:start w:val="1"/>
      <w:numFmt w:val="decimalEnclosedCircle"/>
      <w:lvlText w:val="%1"/>
      <w:lvlJc w:val="left"/>
      <w:pPr>
        <w:ind w:left="360" w:hanging="360"/>
      </w:pPr>
      <w:rPr>
        <w:rFonts w:hint="default"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zMjM4MzY3Y2ZjM2ViNmMzNmNmMmJhMDQwNjlhN2EifQ=="/>
  </w:docVars>
  <w:rsids>
    <w:rsidRoot w:val="003E18D6"/>
    <w:rsid w:val="0000097F"/>
    <w:rsid w:val="00000DF0"/>
    <w:rsid w:val="000032F9"/>
    <w:rsid w:val="0000374F"/>
    <w:rsid w:val="000041AC"/>
    <w:rsid w:val="000055F9"/>
    <w:rsid w:val="00005F83"/>
    <w:rsid w:val="00006065"/>
    <w:rsid w:val="0000611F"/>
    <w:rsid w:val="000064C6"/>
    <w:rsid w:val="0001001C"/>
    <w:rsid w:val="000136E4"/>
    <w:rsid w:val="00013DD1"/>
    <w:rsid w:val="0001519B"/>
    <w:rsid w:val="00017D9C"/>
    <w:rsid w:val="000215A3"/>
    <w:rsid w:val="00022356"/>
    <w:rsid w:val="00022456"/>
    <w:rsid w:val="000224E4"/>
    <w:rsid w:val="0002499D"/>
    <w:rsid w:val="00024AD1"/>
    <w:rsid w:val="000255CB"/>
    <w:rsid w:val="00026641"/>
    <w:rsid w:val="00030098"/>
    <w:rsid w:val="00030208"/>
    <w:rsid w:val="000303D6"/>
    <w:rsid w:val="00030540"/>
    <w:rsid w:val="00031CC2"/>
    <w:rsid w:val="000329F1"/>
    <w:rsid w:val="00033B19"/>
    <w:rsid w:val="00033E1C"/>
    <w:rsid w:val="000363D2"/>
    <w:rsid w:val="0003667E"/>
    <w:rsid w:val="00036B4D"/>
    <w:rsid w:val="00036D9C"/>
    <w:rsid w:val="00037D22"/>
    <w:rsid w:val="00040CBF"/>
    <w:rsid w:val="00040D62"/>
    <w:rsid w:val="000450CB"/>
    <w:rsid w:val="000453E2"/>
    <w:rsid w:val="00045463"/>
    <w:rsid w:val="00045FC5"/>
    <w:rsid w:val="00050E0F"/>
    <w:rsid w:val="000514F1"/>
    <w:rsid w:val="00051C5F"/>
    <w:rsid w:val="000531F3"/>
    <w:rsid w:val="00053B23"/>
    <w:rsid w:val="000565EA"/>
    <w:rsid w:val="00056698"/>
    <w:rsid w:val="000566A7"/>
    <w:rsid w:val="0005784C"/>
    <w:rsid w:val="00060401"/>
    <w:rsid w:val="0006214D"/>
    <w:rsid w:val="0006237B"/>
    <w:rsid w:val="000624FA"/>
    <w:rsid w:val="00062B2E"/>
    <w:rsid w:val="0006358D"/>
    <w:rsid w:val="00064050"/>
    <w:rsid w:val="000649D4"/>
    <w:rsid w:val="0006787A"/>
    <w:rsid w:val="00067E12"/>
    <w:rsid w:val="000821E9"/>
    <w:rsid w:val="000830D5"/>
    <w:rsid w:val="0008412D"/>
    <w:rsid w:val="000867C1"/>
    <w:rsid w:val="00086DF6"/>
    <w:rsid w:val="0008771E"/>
    <w:rsid w:val="0009041E"/>
    <w:rsid w:val="00094215"/>
    <w:rsid w:val="00094676"/>
    <w:rsid w:val="00095095"/>
    <w:rsid w:val="000A08DA"/>
    <w:rsid w:val="000A192F"/>
    <w:rsid w:val="000A2E6A"/>
    <w:rsid w:val="000A356D"/>
    <w:rsid w:val="000A6213"/>
    <w:rsid w:val="000A6939"/>
    <w:rsid w:val="000A6B51"/>
    <w:rsid w:val="000A73AE"/>
    <w:rsid w:val="000A7741"/>
    <w:rsid w:val="000A7923"/>
    <w:rsid w:val="000B0387"/>
    <w:rsid w:val="000B07E2"/>
    <w:rsid w:val="000B1FF6"/>
    <w:rsid w:val="000B2916"/>
    <w:rsid w:val="000B4861"/>
    <w:rsid w:val="000B569F"/>
    <w:rsid w:val="000B62B1"/>
    <w:rsid w:val="000B70CF"/>
    <w:rsid w:val="000B71CC"/>
    <w:rsid w:val="000C04C0"/>
    <w:rsid w:val="000C0DB8"/>
    <w:rsid w:val="000C2223"/>
    <w:rsid w:val="000C4A3D"/>
    <w:rsid w:val="000C596C"/>
    <w:rsid w:val="000C5B4D"/>
    <w:rsid w:val="000C5FAF"/>
    <w:rsid w:val="000C7BD3"/>
    <w:rsid w:val="000D01A0"/>
    <w:rsid w:val="000D5F99"/>
    <w:rsid w:val="000D7439"/>
    <w:rsid w:val="000E0F9A"/>
    <w:rsid w:val="000E3285"/>
    <w:rsid w:val="000E73DC"/>
    <w:rsid w:val="000E7D54"/>
    <w:rsid w:val="000F01FF"/>
    <w:rsid w:val="000F1A83"/>
    <w:rsid w:val="000F2809"/>
    <w:rsid w:val="000F389B"/>
    <w:rsid w:val="000F5242"/>
    <w:rsid w:val="000F5F40"/>
    <w:rsid w:val="000F63EB"/>
    <w:rsid w:val="00100ECD"/>
    <w:rsid w:val="001049D8"/>
    <w:rsid w:val="0011056C"/>
    <w:rsid w:val="00110640"/>
    <w:rsid w:val="00110B2E"/>
    <w:rsid w:val="001111EC"/>
    <w:rsid w:val="0011416E"/>
    <w:rsid w:val="00115D2F"/>
    <w:rsid w:val="00121059"/>
    <w:rsid w:val="001229AD"/>
    <w:rsid w:val="00123D6F"/>
    <w:rsid w:val="001252C9"/>
    <w:rsid w:val="001301B6"/>
    <w:rsid w:val="00131B08"/>
    <w:rsid w:val="001331D2"/>
    <w:rsid w:val="00133C54"/>
    <w:rsid w:val="00133DF4"/>
    <w:rsid w:val="00134C09"/>
    <w:rsid w:val="00135254"/>
    <w:rsid w:val="001355D9"/>
    <w:rsid w:val="00135D24"/>
    <w:rsid w:val="00137155"/>
    <w:rsid w:val="001372D5"/>
    <w:rsid w:val="00137B9D"/>
    <w:rsid w:val="00137D20"/>
    <w:rsid w:val="001403F8"/>
    <w:rsid w:val="00140AF0"/>
    <w:rsid w:val="001415AC"/>
    <w:rsid w:val="0014180D"/>
    <w:rsid w:val="001419B5"/>
    <w:rsid w:val="00141ACD"/>
    <w:rsid w:val="00142FA9"/>
    <w:rsid w:val="001447B3"/>
    <w:rsid w:val="00146959"/>
    <w:rsid w:val="001523B0"/>
    <w:rsid w:val="00152CCC"/>
    <w:rsid w:val="00152D74"/>
    <w:rsid w:val="00155818"/>
    <w:rsid w:val="00156653"/>
    <w:rsid w:val="001566A2"/>
    <w:rsid w:val="00157803"/>
    <w:rsid w:val="0016080D"/>
    <w:rsid w:val="00161D1A"/>
    <w:rsid w:val="001649F4"/>
    <w:rsid w:val="00165586"/>
    <w:rsid w:val="001656B9"/>
    <w:rsid w:val="00167F07"/>
    <w:rsid w:val="00170739"/>
    <w:rsid w:val="00173D4C"/>
    <w:rsid w:val="00176025"/>
    <w:rsid w:val="00176C9D"/>
    <w:rsid w:val="00177889"/>
    <w:rsid w:val="001853C0"/>
    <w:rsid w:val="00185B55"/>
    <w:rsid w:val="00185FD1"/>
    <w:rsid w:val="001872E1"/>
    <w:rsid w:val="00187D6F"/>
    <w:rsid w:val="00194621"/>
    <w:rsid w:val="0019610B"/>
    <w:rsid w:val="00197B3D"/>
    <w:rsid w:val="001A1572"/>
    <w:rsid w:val="001A384D"/>
    <w:rsid w:val="001A3CFA"/>
    <w:rsid w:val="001A4751"/>
    <w:rsid w:val="001A5BD6"/>
    <w:rsid w:val="001A663C"/>
    <w:rsid w:val="001A6675"/>
    <w:rsid w:val="001B1FF8"/>
    <w:rsid w:val="001B2BF3"/>
    <w:rsid w:val="001B3BD4"/>
    <w:rsid w:val="001B6B60"/>
    <w:rsid w:val="001B73F0"/>
    <w:rsid w:val="001C1775"/>
    <w:rsid w:val="001C262B"/>
    <w:rsid w:val="001C367B"/>
    <w:rsid w:val="001C468E"/>
    <w:rsid w:val="001C5278"/>
    <w:rsid w:val="001C5B5C"/>
    <w:rsid w:val="001C79C8"/>
    <w:rsid w:val="001C79D1"/>
    <w:rsid w:val="001C7D15"/>
    <w:rsid w:val="001D0275"/>
    <w:rsid w:val="001D1323"/>
    <w:rsid w:val="001D2008"/>
    <w:rsid w:val="001D3C7F"/>
    <w:rsid w:val="001D66B2"/>
    <w:rsid w:val="001D68E6"/>
    <w:rsid w:val="001D7DFC"/>
    <w:rsid w:val="001E046A"/>
    <w:rsid w:val="001E2F8D"/>
    <w:rsid w:val="001E319B"/>
    <w:rsid w:val="001E3B27"/>
    <w:rsid w:val="001E3C1B"/>
    <w:rsid w:val="001E4201"/>
    <w:rsid w:val="001E4A6C"/>
    <w:rsid w:val="001E684D"/>
    <w:rsid w:val="001E6CFA"/>
    <w:rsid w:val="001E7205"/>
    <w:rsid w:val="001E79B4"/>
    <w:rsid w:val="001F34D1"/>
    <w:rsid w:val="0020028E"/>
    <w:rsid w:val="002003DD"/>
    <w:rsid w:val="00201A85"/>
    <w:rsid w:val="00203084"/>
    <w:rsid w:val="00203439"/>
    <w:rsid w:val="00204E2F"/>
    <w:rsid w:val="0020523F"/>
    <w:rsid w:val="002075F8"/>
    <w:rsid w:val="00210E7A"/>
    <w:rsid w:val="00212619"/>
    <w:rsid w:val="00214229"/>
    <w:rsid w:val="00215D0E"/>
    <w:rsid w:val="0021655E"/>
    <w:rsid w:val="00217492"/>
    <w:rsid w:val="00217D3F"/>
    <w:rsid w:val="00217DA3"/>
    <w:rsid w:val="00223E06"/>
    <w:rsid w:val="002250C3"/>
    <w:rsid w:val="00226846"/>
    <w:rsid w:val="00226CA8"/>
    <w:rsid w:val="00231130"/>
    <w:rsid w:val="0023151B"/>
    <w:rsid w:val="00232879"/>
    <w:rsid w:val="0023411B"/>
    <w:rsid w:val="0023495A"/>
    <w:rsid w:val="00234E1B"/>
    <w:rsid w:val="002364A6"/>
    <w:rsid w:val="00236977"/>
    <w:rsid w:val="00240CB8"/>
    <w:rsid w:val="0024133D"/>
    <w:rsid w:val="00241DEB"/>
    <w:rsid w:val="002420BE"/>
    <w:rsid w:val="00244C0D"/>
    <w:rsid w:val="002477B4"/>
    <w:rsid w:val="00252A0C"/>
    <w:rsid w:val="00254840"/>
    <w:rsid w:val="00254D43"/>
    <w:rsid w:val="00255592"/>
    <w:rsid w:val="002616A3"/>
    <w:rsid w:val="00262078"/>
    <w:rsid w:val="002635C1"/>
    <w:rsid w:val="002640CD"/>
    <w:rsid w:val="002647F2"/>
    <w:rsid w:val="002654D6"/>
    <w:rsid w:val="00267968"/>
    <w:rsid w:val="00267E1B"/>
    <w:rsid w:val="00270362"/>
    <w:rsid w:val="00271B8C"/>
    <w:rsid w:val="002732F3"/>
    <w:rsid w:val="0027377A"/>
    <w:rsid w:val="00274608"/>
    <w:rsid w:val="00274A2A"/>
    <w:rsid w:val="00274F53"/>
    <w:rsid w:val="002755BA"/>
    <w:rsid w:val="00280241"/>
    <w:rsid w:val="0028047F"/>
    <w:rsid w:val="00283FE7"/>
    <w:rsid w:val="00285563"/>
    <w:rsid w:val="00285C52"/>
    <w:rsid w:val="00290B09"/>
    <w:rsid w:val="00290D05"/>
    <w:rsid w:val="00290D16"/>
    <w:rsid w:val="00291974"/>
    <w:rsid w:val="0029255B"/>
    <w:rsid w:val="00292835"/>
    <w:rsid w:val="00296E2E"/>
    <w:rsid w:val="002979CF"/>
    <w:rsid w:val="002A003B"/>
    <w:rsid w:val="002A0170"/>
    <w:rsid w:val="002A062B"/>
    <w:rsid w:val="002A08C3"/>
    <w:rsid w:val="002A0D2B"/>
    <w:rsid w:val="002A2845"/>
    <w:rsid w:val="002A32D0"/>
    <w:rsid w:val="002A546B"/>
    <w:rsid w:val="002A6E57"/>
    <w:rsid w:val="002A7017"/>
    <w:rsid w:val="002A7DF5"/>
    <w:rsid w:val="002B0BBD"/>
    <w:rsid w:val="002B17F7"/>
    <w:rsid w:val="002B218A"/>
    <w:rsid w:val="002B2256"/>
    <w:rsid w:val="002B3A99"/>
    <w:rsid w:val="002B3ED1"/>
    <w:rsid w:val="002B412A"/>
    <w:rsid w:val="002B46B4"/>
    <w:rsid w:val="002B7316"/>
    <w:rsid w:val="002B79E3"/>
    <w:rsid w:val="002C0ACA"/>
    <w:rsid w:val="002C15A9"/>
    <w:rsid w:val="002C232E"/>
    <w:rsid w:val="002C2B43"/>
    <w:rsid w:val="002C5CC4"/>
    <w:rsid w:val="002C66CF"/>
    <w:rsid w:val="002C6A8A"/>
    <w:rsid w:val="002D03AD"/>
    <w:rsid w:val="002D1B0D"/>
    <w:rsid w:val="002D29D9"/>
    <w:rsid w:val="002D548B"/>
    <w:rsid w:val="002D701C"/>
    <w:rsid w:val="002E2DC3"/>
    <w:rsid w:val="002E3403"/>
    <w:rsid w:val="002E5434"/>
    <w:rsid w:val="002E5A8F"/>
    <w:rsid w:val="002F29A8"/>
    <w:rsid w:val="002F7C25"/>
    <w:rsid w:val="00304F3F"/>
    <w:rsid w:val="003063D5"/>
    <w:rsid w:val="00310431"/>
    <w:rsid w:val="00310642"/>
    <w:rsid w:val="003114B6"/>
    <w:rsid w:val="0031246B"/>
    <w:rsid w:val="00312842"/>
    <w:rsid w:val="003131BB"/>
    <w:rsid w:val="00313D4A"/>
    <w:rsid w:val="00314116"/>
    <w:rsid w:val="00315E08"/>
    <w:rsid w:val="0031630D"/>
    <w:rsid w:val="0031735A"/>
    <w:rsid w:val="00317D53"/>
    <w:rsid w:val="00320BED"/>
    <w:rsid w:val="00322696"/>
    <w:rsid w:val="00323421"/>
    <w:rsid w:val="00323D48"/>
    <w:rsid w:val="003244C9"/>
    <w:rsid w:val="003250AC"/>
    <w:rsid w:val="00327019"/>
    <w:rsid w:val="003275D0"/>
    <w:rsid w:val="00330005"/>
    <w:rsid w:val="0033049F"/>
    <w:rsid w:val="00330C47"/>
    <w:rsid w:val="00341665"/>
    <w:rsid w:val="0034194E"/>
    <w:rsid w:val="003421BB"/>
    <w:rsid w:val="00344637"/>
    <w:rsid w:val="00345773"/>
    <w:rsid w:val="00346D00"/>
    <w:rsid w:val="003500D8"/>
    <w:rsid w:val="00350470"/>
    <w:rsid w:val="003552A0"/>
    <w:rsid w:val="00356A85"/>
    <w:rsid w:val="00356B2A"/>
    <w:rsid w:val="00357038"/>
    <w:rsid w:val="00360121"/>
    <w:rsid w:val="003615FD"/>
    <w:rsid w:val="0036485B"/>
    <w:rsid w:val="00364E92"/>
    <w:rsid w:val="003650B9"/>
    <w:rsid w:val="00366526"/>
    <w:rsid w:val="00366682"/>
    <w:rsid w:val="0036700D"/>
    <w:rsid w:val="00370F10"/>
    <w:rsid w:val="00372786"/>
    <w:rsid w:val="0037292B"/>
    <w:rsid w:val="00375C35"/>
    <w:rsid w:val="003762CB"/>
    <w:rsid w:val="00377638"/>
    <w:rsid w:val="00377986"/>
    <w:rsid w:val="003818BA"/>
    <w:rsid w:val="003823EB"/>
    <w:rsid w:val="00383059"/>
    <w:rsid w:val="00384172"/>
    <w:rsid w:val="00384AC7"/>
    <w:rsid w:val="00384E8A"/>
    <w:rsid w:val="00385545"/>
    <w:rsid w:val="00385B3B"/>
    <w:rsid w:val="003870A7"/>
    <w:rsid w:val="0038714D"/>
    <w:rsid w:val="003915F4"/>
    <w:rsid w:val="003931D6"/>
    <w:rsid w:val="003960A8"/>
    <w:rsid w:val="00396B27"/>
    <w:rsid w:val="00396DFE"/>
    <w:rsid w:val="00397FBF"/>
    <w:rsid w:val="003A339F"/>
    <w:rsid w:val="003A47D2"/>
    <w:rsid w:val="003A61C4"/>
    <w:rsid w:val="003A6A74"/>
    <w:rsid w:val="003A706B"/>
    <w:rsid w:val="003A77EB"/>
    <w:rsid w:val="003A7915"/>
    <w:rsid w:val="003B09E8"/>
    <w:rsid w:val="003B3621"/>
    <w:rsid w:val="003B47FF"/>
    <w:rsid w:val="003B51DA"/>
    <w:rsid w:val="003B5C0D"/>
    <w:rsid w:val="003B6417"/>
    <w:rsid w:val="003C0273"/>
    <w:rsid w:val="003C0EC3"/>
    <w:rsid w:val="003C22D2"/>
    <w:rsid w:val="003C287A"/>
    <w:rsid w:val="003C3949"/>
    <w:rsid w:val="003C401A"/>
    <w:rsid w:val="003C68B7"/>
    <w:rsid w:val="003C6B3A"/>
    <w:rsid w:val="003C77FB"/>
    <w:rsid w:val="003C7A83"/>
    <w:rsid w:val="003D2205"/>
    <w:rsid w:val="003D34E9"/>
    <w:rsid w:val="003D4385"/>
    <w:rsid w:val="003D72B7"/>
    <w:rsid w:val="003D782E"/>
    <w:rsid w:val="003E063E"/>
    <w:rsid w:val="003E16E7"/>
    <w:rsid w:val="003E18D6"/>
    <w:rsid w:val="003E19D5"/>
    <w:rsid w:val="003E1C52"/>
    <w:rsid w:val="003E2D39"/>
    <w:rsid w:val="003E35CF"/>
    <w:rsid w:val="003E4A37"/>
    <w:rsid w:val="003E5527"/>
    <w:rsid w:val="003E6B56"/>
    <w:rsid w:val="003E6E5D"/>
    <w:rsid w:val="003F1E8A"/>
    <w:rsid w:val="003F211B"/>
    <w:rsid w:val="003F24EF"/>
    <w:rsid w:val="003F28E0"/>
    <w:rsid w:val="003F4A04"/>
    <w:rsid w:val="003F61A3"/>
    <w:rsid w:val="003F6B8C"/>
    <w:rsid w:val="003F7087"/>
    <w:rsid w:val="003F7346"/>
    <w:rsid w:val="003F76BD"/>
    <w:rsid w:val="004002C1"/>
    <w:rsid w:val="00405327"/>
    <w:rsid w:val="00406EC5"/>
    <w:rsid w:val="004072E2"/>
    <w:rsid w:val="00410DA9"/>
    <w:rsid w:val="004130AB"/>
    <w:rsid w:val="00413BA7"/>
    <w:rsid w:val="00414F9A"/>
    <w:rsid w:val="00414FE5"/>
    <w:rsid w:val="00415C1C"/>
    <w:rsid w:val="00420C23"/>
    <w:rsid w:val="00421270"/>
    <w:rsid w:val="0042133C"/>
    <w:rsid w:val="00422524"/>
    <w:rsid w:val="00423F43"/>
    <w:rsid w:val="0042440E"/>
    <w:rsid w:val="0042511B"/>
    <w:rsid w:val="00425B24"/>
    <w:rsid w:val="00430535"/>
    <w:rsid w:val="00430FD6"/>
    <w:rsid w:val="004312CB"/>
    <w:rsid w:val="004316AF"/>
    <w:rsid w:val="00431B9F"/>
    <w:rsid w:val="004342D2"/>
    <w:rsid w:val="004352DF"/>
    <w:rsid w:val="00437FB1"/>
    <w:rsid w:val="00440725"/>
    <w:rsid w:val="00442926"/>
    <w:rsid w:val="00447A47"/>
    <w:rsid w:val="00447A58"/>
    <w:rsid w:val="00450591"/>
    <w:rsid w:val="00452FB2"/>
    <w:rsid w:val="00454799"/>
    <w:rsid w:val="00455E6A"/>
    <w:rsid w:val="00456BF9"/>
    <w:rsid w:val="00457676"/>
    <w:rsid w:val="004627B0"/>
    <w:rsid w:val="004643DE"/>
    <w:rsid w:val="00464529"/>
    <w:rsid w:val="00464DA6"/>
    <w:rsid w:val="004664A6"/>
    <w:rsid w:val="00467992"/>
    <w:rsid w:val="00470C97"/>
    <w:rsid w:val="004717C9"/>
    <w:rsid w:val="0047199F"/>
    <w:rsid w:val="00472735"/>
    <w:rsid w:val="004734DE"/>
    <w:rsid w:val="004738EB"/>
    <w:rsid w:val="00475402"/>
    <w:rsid w:val="004808AA"/>
    <w:rsid w:val="0048175A"/>
    <w:rsid w:val="004838BA"/>
    <w:rsid w:val="00484CC0"/>
    <w:rsid w:val="004854D5"/>
    <w:rsid w:val="00485CA8"/>
    <w:rsid w:val="0048798A"/>
    <w:rsid w:val="00487D1D"/>
    <w:rsid w:val="004912D8"/>
    <w:rsid w:val="00491E0D"/>
    <w:rsid w:val="004924CA"/>
    <w:rsid w:val="004939C5"/>
    <w:rsid w:val="0049416A"/>
    <w:rsid w:val="004942DD"/>
    <w:rsid w:val="00494C76"/>
    <w:rsid w:val="00494EE3"/>
    <w:rsid w:val="00497774"/>
    <w:rsid w:val="0049785D"/>
    <w:rsid w:val="00497FA0"/>
    <w:rsid w:val="004A049A"/>
    <w:rsid w:val="004A049E"/>
    <w:rsid w:val="004A081A"/>
    <w:rsid w:val="004A0BFD"/>
    <w:rsid w:val="004A1C4E"/>
    <w:rsid w:val="004A241B"/>
    <w:rsid w:val="004A5B31"/>
    <w:rsid w:val="004A705D"/>
    <w:rsid w:val="004A7A82"/>
    <w:rsid w:val="004B1243"/>
    <w:rsid w:val="004B2D7D"/>
    <w:rsid w:val="004B2FD0"/>
    <w:rsid w:val="004B4E00"/>
    <w:rsid w:val="004C0007"/>
    <w:rsid w:val="004C036E"/>
    <w:rsid w:val="004C0396"/>
    <w:rsid w:val="004C0497"/>
    <w:rsid w:val="004C5B0B"/>
    <w:rsid w:val="004C5BEE"/>
    <w:rsid w:val="004C614B"/>
    <w:rsid w:val="004C7D96"/>
    <w:rsid w:val="004D054C"/>
    <w:rsid w:val="004D1A6A"/>
    <w:rsid w:val="004D26BC"/>
    <w:rsid w:val="004D2797"/>
    <w:rsid w:val="004D2A28"/>
    <w:rsid w:val="004D362D"/>
    <w:rsid w:val="004D4783"/>
    <w:rsid w:val="004D497E"/>
    <w:rsid w:val="004D5DBD"/>
    <w:rsid w:val="004E0314"/>
    <w:rsid w:val="004E05F0"/>
    <w:rsid w:val="004E0E0F"/>
    <w:rsid w:val="004E1CF9"/>
    <w:rsid w:val="004E25D2"/>
    <w:rsid w:val="004E3DC7"/>
    <w:rsid w:val="004E5AF5"/>
    <w:rsid w:val="004F0163"/>
    <w:rsid w:val="004F031F"/>
    <w:rsid w:val="004F061B"/>
    <w:rsid w:val="004F0A12"/>
    <w:rsid w:val="004F2278"/>
    <w:rsid w:val="004F6EC2"/>
    <w:rsid w:val="004F7CCE"/>
    <w:rsid w:val="005020B0"/>
    <w:rsid w:val="00503493"/>
    <w:rsid w:val="005065C2"/>
    <w:rsid w:val="00507CBB"/>
    <w:rsid w:val="00511E45"/>
    <w:rsid w:val="00514F31"/>
    <w:rsid w:val="005158AB"/>
    <w:rsid w:val="005162EA"/>
    <w:rsid w:val="00516AEE"/>
    <w:rsid w:val="00516ED1"/>
    <w:rsid w:val="005173DD"/>
    <w:rsid w:val="00524AC5"/>
    <w:rsid w:val="00524F32"/>
    <w:rsid w:val="00525046"/>
    <w:rsid w:val="00525F87"/>
    <w:rsid w:val="00526613"/>
    <w:rsid w:val="00530868"/>
    <w:rsid w:val="00531C08"/>
    <w:rsid w:val="00531D40"/>
    <w:rsid w:val="00534A9B"/>
    <w:rsid w:val="005401E4"/>
    <w:rsid w:val="00541369"/>
    <w:rsid w:val="0054144C"/>
    <w:rsid w:val="005429BA"/>
    <w:rsid w:val="00542C70"/>
    <w:rsid w:val="00542D4D"/>
    <w:rsid w:val="00543A20"/>
    <w:rsid w:val="00544AA1"/>
    <w:rsid w:val="00550799"/>
    <w:rsid w:val="0055101D"/>
    <w:rsid w:val="0055173F"/>
    <w:rsid w:val="005520A0"/>
    <w:rsid w:val="00553D95"/>
    <w:rsid w:val="00553EE5"/>
    <w:rsid w:val="005542B4"/>
    <w:rsid w:val="00554404"/>
    <w:rsid w:val="00556072"/>
    <w:rsid w:val="005562A2"/>
    <w:rsid w:val="00556368"/>
    <w:rsid w:val="00556FF4"/>
    <w:rsid w:val="00560314"/>
    <w:rsid w:val="00560B8B"/>
    <w:rsid w:val="00561563"/>
    <w:rsid w:val="00561DE7"/>
    <w:rsid w:val="0056237A"/>
    <w:rsid w:val="0056455E"/>
    <w:rsid w:val="00566692"/>
    <w:rsid w:val="00566A1B"/>
    <w:rsid w:val="00567E97"/>
    <w:rsid w:val="00570336"/>
    <w:rsid w:val="005704F8"/>
    <w:rsid w:val="00571099"/>
    <w:rsid w:val="00571285"/>
    <w:rsid w:val="00571F42"/>
    <w:rsid w:val="00573399"/>
    <w:rsid w:val="005768D7"/>
    <w:rsid w:val="00580E67"/>
    <w:rsid w:val="005830B4"/>
    <w:rsid w:val="00584BCF"/>
    <w:rsid w:val="005863F7"/>
    <w:rsid w:val="005870E3"/>
    <w:rsid w:val="00587970"/>
    <w:rsid w:val="005900B1"/>
    <w:rsid w:val="00590E1B"/>
    <w:rsid w:val="00590E43"/>
    <w:rsid w:val="00590F45"/>
    <w:rsid w:val="00591397"/>
    <w:rsid w:val="0059159E"/>
    <w:rsid w:val="00592FC6"/>
    <w:rsid w:val="00593863"/>
    <w:rsid w:val="00594E04"/>
    <w:rsid w:val="00596AB9"/>
    <w:rsid w:val="00596CC0"/>
    <w:rsid w:val="00597CFD"/>
    <w:rsid w:val="005A0BB2"/>
    <w:rsid w:val="005A0D9B"/>
    <w:rsid w:val="005A3334"/>
    <w:rsid w:val="005A4599"/>
    <w:rsid w:val="005A6848"/>
    <w:rsid w:val="005A71EA"/>
    <w:rsid w:val="005B1A05"/>
    <w:rsid w:val="005B23FF"/>
    <w:rsid w:val="005B2B98"/>
    <w:rsid w:val="005B3B56"/>
    <w:rsid w:val="005B4741"/>
    <w:rsid w:val="005B4A65"/>
    <w:rsid w:val="005B4EF6"/>
    <w:rsid w:val="005B7524"/>
    <w:rsid w:val="005C22A1"/>
    <w:rsid w:val="005C37D0"/>
    <w:rsid w:val="005C4B1A"/>
    <w:rsid w:val="005C5195"/>
    <w:rsid w:val="005C58D7"/>
    <w:rsid w:val="005C5E37"/>
    <w:rsid w:val="005C62C3"/>
    <w:rsid w:val="005C6676"/>
    <w:rsid w:val="005C7B41"/>
    <w:rsid w:val="005D00C8"/>
    <w:rsid w:val="005D0EC9"/>
    <w:rsid w:val="005D1722"/>
    <w:rsid w:val="005D213C"/>
    <w:rsid w:val="005D2901"/>
    <w:rsid w:val="005D5479"/>
    <w:rsid w:val="005D6529"/>
    <w:rsid w:val="005D69B4"/>
    <w:rsid w:val="005E0F3C"/>
    <w:rsid w:val="005E147C"/>
    <w:rsid w:val="005E1C55"/>
    <w:rsid w:val="005E3481"/>
    <w:rsid w:val="005E378B"/>
    <w:rsid w:val="005E4ABE"/>
    <w:rsid w:val="005E5504"/>
    <w:rsid w:val="005E72B0"/>
    <w:rsid w:val="005F0236"/>
    <w:rsid w:val="005F0E2E"/>
    <w:rsid w:val="005F110F"/>
    <w:rsid w:val="005F1F15"/>
    <w:rsid w:val="005F3758"/>
    <w:rsid w:val="005F5E74"/>
    <w:rsid w:val="005F68B1"/>
    <w:rsid w:val="005F7FFC"/>
    <w:rsid w:val="00600D78"/>
    <w:rsid w:val="00601043"/>
    <w:rsid w:val="00602786"/>
    <w:rsid w:val="0060410B"/>
    <w:rsid w:val="00606EB0"/>
    <w:rsid w:val="00607277"/>
    <w:rsid w:val="0061049F"/>
    <w:rsid w:val="00610E9A"/>
    <w:rsid w:val="00610F67"/>
    <w:rsid w:val="00611549"/>
    <w:rsid w:val="006127D5"/>
    <w:rsid w:val="00613A7B"/>
    <w:rsid w:val="00613BE4"/>
    <w:rsid w:val="00613BEB"/>
    <w:rsid w:val="006148BE"/>
    <w:rsid w:val="00615606"/>
    <w:rsid w:val="0062393F"/>
    <w:rsid w:val="00624399"/>
    <w:rsid w:val="00626D03"/>
    <w:rsid w:val="006300AF"/>
    <w:rsid w:val="00630846"/>
    <w:rsid w:val="00631038"/>
    <w:rsid w:val="00633161"/>
    <w:rsid w:val="006347C6"/>
    <w:rsid w:val="00634CF2"/>
    <w:rsid w:val="00634D02"/>
    <w:rsid w:val="00634D1A"/>
    <w:rsid w:val="00634DBC"/>
    <w:rsid w:val="00635C3A"/>
    <w:rsid w:val="006438EC"/>
    <w:rsid w:val="0064603E"/>
    <w:rsid w:val="00650398"/>
    <w:rsid w:val="0065133B"/>
    <w:rsid w:val="00651B8F"/>
    <w:rsid w:val="00651E6C"/>
    <w:rsid w:val="0065413A"/>
    <w:rsid w:val="006562DE"/>
    <w:rsid w:val="0065783F"/>
    <w:rsid w:val="006623F5"/>
    <w:rsid w:val="00663FEE"/>
    <w:rsid w:val="006648A9"/>
    <w:rsid w:val="006650F3"/>
    <w:rsid w:val="00665566"/>
    <w:rsid w:val="006667E5"/>
    <w:rsid w:val="006672A1"/>
    <w:rsid w:val="006711C0"/>
    <w:rsid w:val="00672C5B"/>
    <w:rsid w:val="00672FAD"/>
    <w:rsid w:val="00673920"/>
    <w:rsid w:val="00675940"/>
    <w:rsid w:val="006766E7"/>
    <w:rsid w:val="006779E8"/>
    <w:rsid w:val="00677A6E"/>
    <w:rsid w:val="0068069C"/>
    <w:rsid w:val="00680F45"/>
    <w:rsid w:val="00682050"/>
    <w:rsid w:val="00683214"/>
    <w:rsid w:val="00683F4D"/>
    <w:rsid w:val="00684F16"/>
    <w:rsid w:val="00690BCB"/>
    <w:rsid w:val="00691972"/>
    <w:rsid w:val="006941E1"/>
    <w:rsid w:val="00695867"/>
    <w:rsid w:val="00695EDC"/>
    <w:rsid w:val="00696846"/>
    <w:rsid w:val="006A00DF"/>
    <w:rsid w:val="006A0726"/>
    <w:rsid w:val="006A0963"/>
    <w:rsid w:val="006A1BAF"/>
    <w:rsid w:val="006A2F67"/>
    <w:rsid w:val="006A3148"/>
    <w:rsid w:val="006A4512"/>
    <w:rsid w:val="006A4EAC"/>
    <w:rsid w:val="006A6653"/>
    <w:rsid w:val="006B1915"/>
    <w:rsid w:val="006B2AE2"/>
    <w:rsid w:val="006B3805"/>
    <w:rsid w:val="006B4230"/>
    <w:rsid w:val="006B449D"/>
    <w:rsid w:val="006B6361"/>
    <w:rsid w:val="006B65CA"/>
    <w:rsid w:val="006B7627"/>
    <w:rsid w:val="006C4684"/>
    <w:rsid w:val="006C57BA"/>
    <w:rsid w:val="006C63D6"/>
    <w:rsid w:val="006D0BCA"/>
    <w:rsid w:val="006D1072"/>
    <w:rsid w:val="006D396A"/>
    <w:rsid w:val="006D3E27"/>
    <w:rsid w:val="006D4855"/>
    <w:rsid w:val="006D4ADA"/>
    <w:rsid w:val="006D78C4"/>
    <w:rsid w:val="006E016C"/>
    <w:rsid w:val="006E1706"/>
    <w:rsid w:val="006E2481"/>
    <w:rsid w:val="006E257E"/>
    <w:rsid w:val="006E2666"/>
    <w:rsid w:val="006E290D"/>
    <w:rsid w:val="006E41BE"/>
    <w:rsid w:val="006E6460"/>
    <w:rsid w:val="006E77E4"/>
    <w:rsid w:val="006E7E83"/>
    <w:rsid w:val="006F176D"/>
    <w:rsid w:val="006F2681"/>
    <w:rsid w:val="006F2F04"/>
    <w:rsid w:val="006F367A"/>
    <w:rsid w:val="006F4C4D"/>
    <w:rsid w:val="006F52FD"/>
    <w:rsid w:val="006F544C"/>
    <w:rsid w:val="006F5C05"/>
    <w:rsid w:val="006F7D97"/>
    <w:rsid w:val="00701767"/>
    <w:rsid w:val="00702572"/>
    <w:rsid w:val="00705940"/>
    <w:rsid w:val="00706A4D"/>
    <w:rsid w:val="00706C6C"/>
    <w:rsid w:val="00707203"/>
    <w:rsid w:val="007074A3"/>
    <w:rsid w:val="00707CB1"/>
    <w:rsid w:val="00707CBA"/>
    <w:rsid w:val="007123A3"/>
    <w:rsid w:val="00713C74"/>
    <w:rsid w:val="00715929"/>
    <w:rsid w:val="0071752F"/>
    <w:rsid w:val="0072059F"/>
    <w:rsid w:val="00722993"/>
    <w:rsid w:val="00722C75"/>
    <w:rsid w:val="00724801"/>
    <w:rsid w:val="00724B9B"/>
    <w:rsid w:val="007250DF"/>
    <w:rsid w:val="007253E3"/>
    <w:rsid w:val="0072563A"/>
    <w:rsid w:val="00726A9D"/>
    <w:rsid w:val="00726AAB"/>
    <w:rsid w:val="0072714A"/>
    <w:rsid w:val="0072777B"/>
    <w:rsid w:val="00730C63"/>
    <w:rsid w:val="00732138"/>
    <w:rsid w:val="00733586"/>
    <w:rsid w:val="0073381F"/>
    <w:rsid w:val="00733A80"/>
    <w:rsid w:val="007360D1"/>
    <w:rsid w:val="007368DA"/>
    <w:rsid w:val="007371F7"/>
    <w:rsid w:val="00740B20"/>
    <w:rsid w:val="00741959"/>
    <w:rsid w:val="0074369D"/>
    <w:rsid w:val="00746ACA"/>
    <w:rsid w:val="00747E9E"/>
    <w:rsid w:val="0075074F"/>
    <w:rsid w:val="00750B41"/>
    <w:rsid w:val="00750EF9"/>
    <w:rsid w:val="007512CB"/>
    <w:rsid w:val="00751EEC"/>
    <w:rsid w:val="0075468F"/>
    <w:rsid w:val="00757C5D"/>
    <w:rsid w:val="00757E6B"/>
    <w:rsid w:val="00760340"/>
    <w:rsid w:val="00761102"/>
    <w:rsid w:val="00763F8A"/>
    <w:rsid w:val="00764A2B"/>
    <w:rsid w:val="007663B1"/>
    <w:rsid w:val="007671CE"/>
    <w:rsid w:val="00772255"/>
    <w:rsid w:val="00772BE7"/>
    <w:rsid w:val="00773AC0"/>
    <w:rsid w:val="00773D1F"/>
    <w:rsid w:val="0077436C"/>
    <w:rsid w:val="00775A38"/>
    <w:rsid w:val="007768A2"/>
    <w:rsid w:val="00780244"/>
    <w:rsid w:val="0078084F"/>
    <w:rsid w:val="007829CB"/>
    <w:rsid w:val="00782C7A"/>
    <w:rsid w:val="007837D6"/>
    <w:rsid w:val="00786B49"/>
    <w:rsid w:val="00787B1D"/>
    <w:rsid w:val="007921AE"/>
    <w:rsid w:val="007945B6"/>
    <w:rsid w:val="007950E2"/>
    <w:rsid w:val="007959FD"/>
    <w:rsid w:val="00796765"/>
    <w:rsid w:val="007974A7"/>
    <w:rsid w:val="007A14DA"/>
    <w:rsid w:val="007A2DA6"/>
    <w:rsid w:val="007A378F"/>
    <w:rsid w:val="007A3A05"/>
    <w:rsid w:val="007A41B1"/>
    <w:rsid w:val="007A457A"/>
    <w:rsid w:val="007B26AF"/>
    <w:rsid w:val="007B304F"/>
    <w:rsid w:val="007B3782"/>
    <w:rsid w:val="007B3F14"/>
    <w:rsid w:val="007C03B1"/>
    <w:rsid w:val="007C0CB2"/>
    <w:rsid w:val="007C0CE8"/>
    <w:rsid w:val="007C126E"/>
    <w:rsid w:val="007C2716"/>
    <w:rsid w:val="007C28F7"/>
    <w:rsid w:val="007C2A3C"/>
    <w:rsid w:val="007C714E"/>
    <w:rsid w:val="007D011C"/>
    <w:rsid w:val="007D094C"/>
    <w:rsid w:val="007D1993"/>
    <w:rsid w:val="007D2107"/>
    <w:rsid w:val="007D3F59"/>
    <w:rsid w:val="007D533B"/>
    <w:rsid w:val="007D589F"/>
    <w:rsid w:val="007D6C72"/>
    <w:rsid w:val="007D71E5"/>
    <w:rsid w:val="007E19F1"/>
    <w:rsid w:val="007E27CC"/>
    <w:rsid w:val="007E5F56"/>
    <w:rsid w:val="007E7437"/>
    <w:rsid w:val="007E7B29"/>
    <w:rsid w:val="007F1334"/>
    <w:rsid w:val="007F3547"/>
    <w:rsid w:val="007F3562"/>
    <w:rsid w:val="007F35F7"/>
    <w:rsid w:val="007F380F"/>
    <w:rsid w:val="007F3CFF"/>
    <w:rsid w:val="007F3FEC"/>
    <w:rsid w:val="007F4252"/>
    <w:rsid w:val="007F5EBB"/>
    <w:rsid w:val="007F609F"/>
    <w:rsid w:val="007F6372"/>
    <w:rsid w:val="007F6B1B"/>
    <w:rsid w:val="00800A86"/>
    <w:rsid w:val="00800DFB"/>
    <w:rsid w:val="008031A9"/>
    <w:rsid w:val="00807613"/>
    <w:rsid w:val="00807734"/>
    <w:rsid w:val="0081095A"/>
    <w:rsid w:val="00811B3A"/>
    <w:rsid w:val="00811C41"/>
    <w:rsid w:val="0081305F"/>
    <w:rsid w:val="008143D3"/>
    <w:rsid w:val="008145FE"/>
    <w:rsid w:val="00814C85"/>
    <w:rsid w:val="0081528F"/>
    <w:rsid w:val="0081601B"/>
    <w:rsid w:val="008173BA"/>
    <w:rsid w:val="00817F66"/>
    <w:rsid w:val="0082066C"/>
    <w:rsid w:val="00820F0E"/>
    <w:rsid w:val="0082103B"/>
    <w:rsid w:val="0082110B"/>
    <w:rsid w:val="00821B9F"/>
    <w:rsid w:val="008248B2"/>
    <w:rsid w:val="008270D7"/>
    <w:rsid w:val="00831C28"/>
    <w:rsid w:val="00831C80"/>
    <w:rsid w:val="00834DE4"/>
    <w:rsid w:val="00834EFF"/>
    <w:rsid w:val="00835E63"/>
    <w:rsid w:val="008362CF"/>
    <w:rsid w:val="0083643F"/>
    <w:rsid w:val="008366B7"/>
    <w:rsid w:val="0083761C"/>
    <w:rsid w:val="0083781F"/>
    <w:rsid w:val="008415B1"/>
    <w:rsid w:val="00841E96"/>
    <w:rsid w:val="008436E1"/>
    <w:rsid w:val="008437B9"/>
    <w:rsid w:val="008438E5"/>
    <w:rsid w:val="0084469E"/>
    <w:rsid w:val="0084492F"/>
    <w:rsid w:val="00847084"/>
    <w:rsid w:val="0084747F"/>
    <w:rsid w:val="00847F2B"/>
    <w:rsid w:val="00850523"/>
    <w:rsid w:val="00850A90"/>
    <w:rsid w:val="00850B3F"/>
    <w:rsid w:val="00851F8F"/>
    <w:rsid w:val="0085243F"/>
    <w:rsid w:val="00855335"/>
    <w:rsid w:val="008603AF"/>
    <w:rsid w:val="00861D46"/>
    <w:rsid w:val="00862555"/>
    <w:rsid w:val="00863DF8"/>
    <w:rsid w:val="00870FAE"/>
    <w:rsid w:val="00872FEA"/>
    <w:rsid w:val="00873D27"/>
    <w:rsid w:val="008743D6"/>
    <w:rsid w:val="00874694"/>
    <w:rsid w:val="008749B7"/>
    <w:rsid w:val="00875CCF"/>
    <w:rsid w:val="00876862"/>
    <w:rsid w:val="00876C9D"/>
    <w:rsid w:val="00880BD1"/>
    <w:rsid w:val="00880EB8"/>
    <w:rsid w:val="00881C32"/>
    <w:rsid w:val="0088263B"/>
    <w:rsid w:val="00884820"/>
    <w:rsid w:val="00885A12"/>
    <w:rsid w:val="00885F49"/>
    <w:rsid w:val="00886050"/>
    <w:rsid w:val="008864A1"/>
    <w:rsid w:val="00890D3D"/>
    <w:rsid w:val="00890EB2"/>
    <w:rsid w:val="00891898"/>
    <w:rsid w:val="00892E3C"/>
    <w:rsid w:val="00893F7F"/>
    <w:rsid w:val="00894725"/>
    <w:rsid w:val="00895296"/>
    <w:rsid w:val="0089640A"/>
    <w:rsid w:val="00896E4A"/>
    <w:rsid w:val="00897BA4"/>
    <w:rsid w:val="00897C3A"/>
    <w:rsid w:val="008A3542"/>
    <w:rsid w:val="008A40CC"/>
    <w:rsid w:val="008A4CF7"/>
    <w:rsid w:val="008A7813"/>
    <w:rsid w:val="008B2948"/>
    <w:rsid w:val="008B33B7"/>
    <w:rsid w:val="008B3D16"/>
    <w:rsid w:val="008B58A7"/>
    <w:rsid w:val="008B5F47"/>
    <w:rsid w:val="008B6A9F"/>
    <w:rsid w:val="008C0BE7"/>
    <w:rsid w:val="008C1E9F"/>
    <w:rsid w:val="008C6824"/>
    <w:rsid w:val="008C6E2B"/>
    <w:rsid w:val="008D130B"/>
    <w:rsid w:val="008D2558"/>
    <w:rsid w:val="008D5D5E"/>
    <w:rsid w:val="008D6D36"/>
    <w:rsid w:val="008D6E5E"/>
    <w:rsid w:val="008D7B18"/>
    <w:rsid w:val="008E09B5"/>
    <w:rsid w:val="008E18B5"/>
    <w:rsid w:val="008E382D"/>
    <w:rsid w:val="008E41EC"/>
    <w:rsid w:val="008E4255"/>
    <w:rsid w:val="008E465C"/>
    <w:rsid w:val="008E4805"/>
    <w:rsid w:val="008E51D7"/>
    <w:rsid w:val="008E68ED"/>
    <w:rsid w:val="008F05DA"/>
    <w:rsid w:val="008F2BE6"/>
    <w:rsid w:val="008F30A4"/>
    <w:rsid w:val="008F31F8"/>
    <w:rsid w:val="008F4911"/>
    <w:rsid w:val="008F6D47"/>
    <w:rsid w:val="00900688"/>
    <w:rsid w:val="009069C8"/>
    <w:rsid w:val="009073A5"/>
    <w:rsid w:val="00910B4F"/>
    <w:rsid w:val="00912862"/>
    <w:rsid w:val="00914CA7"/>
    <w:rsid w:val="00914F9A"/>
    <w:rsid w:val="00915F0C"/>
    <w:rsid w:val="0091734A"/>
    <w:rsid w:val="009228CE"/>
    <w:rsid w:val="00922ACD"/>
    <w:rsid w:val="00924AC7"/>
    <w:rsid w:val="00925BFC"/>
    <w:rsid w:val="009262DD"/>
    <w:rsid w:val="00930B62"/>
    <w:rsid w:val="00931B96"/>
    <w:rsid w:val="00931C83"/>
    <w:rsid w:val="00932097"/>
    <w:rsid w:val="00932ADF"/>
    <w:rsid w:val="00933D20"/>
    <w:rsid w:val="00933D63"/>
    <w:rsid w:val="00934EFE"/>
    <w:rsid w:val="009352DA"/>
    <w:rsid w:val="00936410"/>
    <w:rsid w:val="00936AFE"/>
    <w:rsid w:val="00941041"/>
    <w:rsid w:val="009419AE"/>
    <w:rsid w:val="0094272D"/>
    <w:rsid w:val="00942FD5"/>
    <w:rsid w:val="009435E0"/>
    <w:rsid w:val="00945075"/>
    <w:rsid w:val="00946A1C"/>
    <w:rsid w:val="00952798"/>
    <w:rsid w:val="00954A99"/>
    <w:rsid w:val="00955029"/>
    <w:rsid w:val="00955BB9"/>
    <w:rsid w:val="00955F35"/>
    <w:rsid w:val="00961709"/>
    <w:rsid w:val="00961BF6"/>
    <w:rsid w:val="00961D93"/>
    <w:rsid w:val="00962531"/>
    <w:rsid w:val="009641ED"/>
    <w:rsid w:val="0096482C"/>
    <w:rsid w:val="0096567C"/>
    <w:rsid w:val="00970076"/>
    <w:rsid w:val="009719DD"/>
    <w:rsid w:val="00972AC9"/>
    <w:rsid w:val="0097672A"/>
    <w:rsid w:val="00976FAE"/>
    <w:rsid w:val="0097754A"/>
    <w:rsid w:val="00977E04"/>
    <w:rsid w:val="009836D5"/>
    <w:rsid w:val="0098556B"/>
    <w:rsid w:val="009855D4"/>
    <w:rsid w:val="00986E91"/>
    <w:rsid w:val="00987432"/>
    <w:rsid w:val="00990374"/>
    <w:rsid w:val="009925B5"/>
    <w:rsid w:val="00992917"/>
    <w:rsid w:val="009968D6"/>
    <w:rsid w:val="0099761D"/>
    <w:rsid w:val="00997BE4"/>
    <w:rsid w:val="009A02D9"/>
    <w:rsid w:val="009A3F7F"/>
    <w:rsid w:val="009A4069"/>
    <w:rsid w:val="009A68CA"/>
    <w:rsid w:val="009A7928"/>
    <w:rsid w:val="009A7A10"/>
    <w:rsid w:val="009B01E3"/>
    <w:rsid w:val="009B29F0"/>
    <w:rsid w:val="009B6026"/>
    <w:rsid w:val="009B6428"/>
    <w:rsid w:val="009C307C"/>
    <w:rsid w:val="009C392A"/>
    <w:rsid w:val="009C4629"/>
    <w:rsid w:val="009C4E54"/>
    <w:rsid w:val="009C59C2"/>
    <w:rsid w:val="009C6693"/>
    <w:rsid w:val="009C725E"/>
    <w:rsid w:val="009C7490"/>
    <w:rsid w:val="009D27B1"/>
    <w:rsid w:val="009D30D4"/>
    <w:rsid w:val="009D5C52"/>
    <w:rsid w:val="009E1209"/>
    <w:rsid w:val="009E1ED4"/>
    <w:rsid w:val="009E26C5"/>
    <w:rsid w:val="009E34B3"/>
    <w:rsid w:val="009E50A8"/>
    <w:rsid w:val="009E59C9"/>
    <w:rsid w:val="009E5CBA"/>
    <w:rsid w:val="009E6D61"/>
    <w:rsid w:val="009F3C1F"/>
    <w:rsid w:val="009F61E4"/>
    <w:rsid w:val="009F6B3B"/>
    <w:rsid w:val="009F7393"/>
    <w:rsid w:val="009F7E68"/>
    <w:rsid w:val="00A00A61"/>
    <w:rsid w:val="00A00B6F"/>
    <w:rsid w:val="00A01042"/>
    <w:rsid w:val="00A02A9D"/>
    <w:rsid w:val="00A06082"/>
    <w:rsid w:val="00A06192"/>
    <w:rsid w:val="00A07DFC"/>
    <w:rsid w:val="00A14387"/>
    <w:rsid w:val="00A14C7A"/>
    <w:rsid w:val="00A15303"/>
    <w:rsid w:val="00A15CB3"/>
    <w:rsid w:val="00A17A8F"/>
    <w:rsid w:val="00A21B58"/>
    <w:rsid w:val="00A21C2D"/>
    <w:rsid w:val="00A22751"/>
    <w:rsid w:val="00A2334F"/>
    <w:rsid w:val="00A236B1"/>
    <w:rsid w:val="00A23A9F"/>
    <w:rsid w:val="00A23EF7"/>
    <w:rsid w:val="00A24247"/>
    <w:rsid w:val="00A24B76"/>
    <w:rsid w:val="00A253A8"/>
    <w:rsid w:val="00A2649B"/>
    <w:rsid w:val="00A26A91"/>
    <w:rsid w:val="00A26AFA"/>
    <w:rsid w:val="00A27DA8"/>
    <w:rsid w:val="00A30D57"/>
    <w:rsid w:val="00A32F48"/>
    <w:rsid w:val="00A347DB"/>
    <w:rsid w:val="00A37EC3"/>
    <w:rsid w:val="00A40095"/>
    <w:rsid w:val="00A40F09"/>
    <w:rsid w:val="00A448DE"/>
    <w:rsid w:val="00A45C45"/>
    <w:rsid w:val="00A47554"/>
    <w:rsid w:val="00A53515"/>
    <w:rsid w:val="00A5451C"/>
    <w:rsid w:val="00A54CD6"/>
    <w:rsid w:val="00A617B0"/>
    <w:rsid w:val="00A61C14"/>
    <w:rsid w:val="00A62093"/>
    <w:rsid w:val="00A633ED"/>
    <w:rsid w:val="00A63A74"/>
    <w:rsid w:val="00A65DCE"/>
    <w:rsid w:val="00A66057"/>
    <w:rsid w:val="00A6651F"/>
    <w:rsid w:val="00A66D3F"/>
    <w:rsid w:val="00A71883"/>
    <w:rsid w:val="00A7209B"/>
    <w:rsid w:val="00A720F2"/>
    <w:rsid w:val="00A72760"/>
    <w:rsid w:val="00A72E33"/>
    <w:rsid w:val="00A76699"/>
    <w:rsid w:val="00A8092F"/>
    <w:rsid w:val="00A82721"/>
    <w:rsid w:val="00A8277D"/>
    <w:rsid w:val="00A8284A"/>
    <w:rsid w:val="00A82E27"/>
    <w:rsid w:val="00A842CC"/>
    <w:rsid w:val="00A84614"/>
    <w:rsid w:val="00A8505C"/>
    <w:rsid w:val="00A8530C"/>
    <w:rsid w:val="00A87357"/>
    <w:rsid w:val="00A934CC"/>
    <w:rsid w:val="00AA37F8"/>
    <w:rsid w:val="00AA56B6"/>
    <w:rsid w:val="00AA5B08"/>
    <w:rsid w:val="00AA6FA9"/>
    <w:rsid w:val="00AA75A4"/>
    <w:rsid w:val="00AB2A41"/>
    <w:rsid w:val="00AC1043"/>
    <w:rsid w:val="00AC2FA4"/>
    <w:rsid w:val="00AC42B0"/>
    <w:rsid w:val="00AC440A"/>
    <w:rsid w:val="00AC508E"/>
    <w:rsid w:val="00AC5552"/>
    <w:rsid w:val="00AC6537"/>
    <w:rsid w:val="00AC7FAA"/>
    <w:rsid w:val="00AD04AB"/>
    <w:rsid w:val="00AD0E85"/>
    <w:rsid w:val="00AD1C3C"/>
    <w:rsid w:val="00AD219C"/>
    <w:rsid w:val="00AD2EB7"/>
    <w:rsid w:val="00AE048B"/>
    <w:rsid w:val="00AE056C"/>
    <w:rsid w:val="00AE05B0"/>
    <w:rsid w:val="00AE0FF7"/>
    <w:rsid w:val="00AE1ABE"/>
    <w:rsid w:val="00AE2525"/>
    <w:rsid w:val="00AE2892"/>
    <w:rsid w:val="00AE2955"/>
    <w:rsid w:val="00AE3814"/>
    <w:rsid w:val="00AE4034"/>
    <w:rsid w:val="00AE6CD5"/>
    <w:rsid w:val="00AE739E"/>
    <w:rsid w:val="00AF2498"/>
    <w:rsid w:val="00AF3636"/>
    <w:rsid w:val="00AF60F0"/>
    <w:rsid w:val="00AF634A"/>
    <w:rsid w:val="00B009A3"/>
    <w:rsid w:val="00B021A7"/>
    <w:rsid w:val="00B049DA"/>
    <w:rsid w:val="00B04AD0"/>
    <w:rsid w:val="00B0579C"/>
    <w:rsid w:val="00B05E17"/>
    <w:rsid w:val="00B05EBB"/>
    <w:rsid w:val="00B06853"/>
    <w:rsid w:val="00B0733D"/>
    <w:rsid w:val="00B0795B"/>
    <w:rsid w:val="00B07E5D"/>
    <w:rsid w:val="00B10466"/>
    <w:rsid w:val="00B11FFE"/>
    <w:rsid w:val="00B12089"/>
    <w:rsid w:val="00B140E3"/>
    <w:rsid w:val="00B15822"/>
    <w:rsid w:val="00B1776A"/>
    <w:rsid w:val="00B17C64"/>
    <w:rsid w:val="00B20222"/>
    <w:rsid w:val="00B2026A"/>
    <w:rsid w:val="00B20C16"/>
    <w:rsid w:val="00B20D04"/>
    <w:rsid w:val="00B212DE"/>
    <w:rsid w:val="00B2389F"/>
    <w:rsid w:val="00B23DA1"/>
    <w:rsid w:val="00B24270"/>
    <w:rsid w:val="00B2431A"/>
    <w:rsid w:val="00B265E6"/>
    <w:rsid w:val="00B26739"/>
    <w:rsid w:val="00B26D8D"/>
    <w:rsid w:val="00B27615"/>
    <w:rsid w:val="00B30C53"/>
    <w:rsid w:val="00B33BC2"/>
    <w:rsid w:val="00B364EF"/>
    <w:rsid w:val="00B36615"/>
    <w:rsid w:val="00B373C2"/>
    <w:rsid w:val="00B4044E"/>
    <w:rsid w:val="00B41302"/>
    <w:rsid w:val="00B4474B"/>
    <w:rsid w:val="00B448E8"/>
    <w:rsid w:val="00B45944"/>
    <w:rsid w:val="00B50C0A"/>
    <w:rsid w:val="00B51074"/>
    <w:rsid w:val="00B536D1"/>
    <w:rsid w:val="00B541A4"/>
    <w:rsid w:val="00B54986"/>
    <w:rsid w:val="00B55D4A"/>
    <w:rsid w:val="00B571F6"/>
    <w:rsid w:val="00B57DD1"/>
    <w:rsid w:val="00B60FB4"/>
    <w:rsid w:val="00B62F8B"/>
    <w:rsid w:val="00B630FF"/>
    <w:rsid w:val="00B63450"/>
    <w:rsid w:val="00B63A0D"/>
    <w:rsid w:val="00B649F4"/>
    <w:rsid w:val="00B651CC"/>
    <w:rsid w:val="00B67183"/>
    <w:rsid w:val="00B67630"/>
    <w:rsid w:val="00B70A82"/>
    <w:rsid w:val="00B70E7B"/>
    <w:rsid w:val="00B76FB1"/>
    <w:rsid w:val="00B810F1"/>
    <w:rsid w:val="00B84DD7"/>
    <w:rsid w:val="00B85A5C"/>
    <w:rsid w:val="00B87567"/>
    <w:rsid w:val="00B91242"/>
    <w:rsid w:val="00B919D1"/>
    <w:rsid w:val="00B928F7"/>
    <w:rsid w:val="00B92E20"/>
    <w:rsid w:val="00B9360C"/>
    <w:rsid w:val="00B938ED"/>
    <w:rsid w:val="00B944F8"/>
    <w:rsid w:val="00B94D4D"/>
    <w:rsid w:val="00B971D6"/>
    <w:rsid w:val="00B97259"/>
    <w:rsid w:val="00B97633"/>
    <w:rsid w:val="00BA11AD"/>
    <w:rsid w:val="00BA47DF"/>
    <w:rsid w:val="00BA5C2C"/>
    <w:rsid w:val="00BA61D7"/>
    <w:rsid w:val="00BA7E9C"/>
    <w:rsid w:val="00BB29D2"/>
    <w:rsid w:val="00BB32A7"/>
    <w:rsid w:val="00BB43DC"/>
    <w:rsid w:val="00BB4C6D"/>
    <w:rsid w:val="00BB4C86"/>
    <w:rsid w:val="00BB5716"/>
    <w:rsid w:val="00BC0420"/>
    <w:rsid w:val="00BC22B7"/>
    <w:rsid w:val="00BC43A7"/>
    <w:rsid w:val="00BC77EE"/>
    <w:rsid w:val="00BD16E5"/>
    <w:rsid w:val="00BD2FB0"/>
    <w:rsid w:val="00BD5494"/>
    <w:rsid w:val="00BE20CC"/>
    <w:rsid w:val="00BE398E"/>
    <w:rsid w:val="00BE420C"/>
    <w:rsid w:val="00BE5068"/>
    <w:rsid w:val="00BE53A2"/>
    <w:rsid w:val="00BE56DC"/>
    <w:rsid w:val="00BF2470"/>
    <w:rsid w:val="00BF25C3"/>
    <w:rsid w:val="00BF3D01"/>
    <w:rsid w:val="00BF3DEE"/>
    <w:rsid w:val="00BF430F"/>
    <w:rsid w:val="00BF4476"/>
    <w:rsid w:val="00BF463E"/>
    <w:rsid w:val="00BF596E"/>
    <w:rsid w:val="00BF6E67"/>
    <w:rsid w:val="00C00D13"/>
    <w:rsid w:val="00C02C75"/>
    <w:rsid w:val="00C0385B"/>
    <w:rsid w:val="00C0388C"/>
    <w:rsid w:val="00C06AA3"/>
    <w:rsid w:val="00C06D40"/>
    <w:rsid w:val="00C074DB"/>
    <w:rsid w:val="00C10B17"/>
    <w:rsid w:val="00C12CF4"/>
    <w:rsid w:val="00C15C98"/>
    <w:rsid w:val="00C172E3"/>
    <w:rsid w:val="00C175FB"/>
    <w:rsid w:val="00C17FAF"/>
    <w:rsid w:val="00C20FDA"/>
    <w:rsid w:val="00C21DAD"/>
    <w:rsid w:val="00C226EA"/>
    <w:rsid w:val="00C22B91"/>
    <w:rsid w:val="00C23575"/>
    <w:rsid w:val="00C2475C"/>
    <w:rsid w:val="00C25ED5"/>
    <w:rsid w:val="00C26056"/>
    <w:rsid w:val="00C272C8"/>
    <w:rsid w:val="00C27F80"/>
    <w:rsid w:val="00C308C1"/>
    <w:rsid w:val="00C31323"/>
    <w:rsid w:val="00C31BBE"/>
    <w:rsid w:val="00C347B5"/>
    <w:rsid w:val="00C348E2"/>
    <w:rsid w:val="00C35D97"/>
    <w:rsid w:val="00C35DC6"/>
    <w:rsid w:val="00C35E80"/>
    <w:rsid w:val="00C413F7"/>
    <w:rsid w:val="00C41BBD"/>
    <w:rsid w:val="00C42E5A"/>
    <w:rsid w:val="00C446DF"/>
    <w:rsid w:val="00C463A5"/>
    <w:rsid w:val="00C473C3"/>
    <w:rsid w:val="00C47851"/>
    <w:rsid w:val="00C50AA5"/>
    <w:rsid w:val="00C50B1D"/>
    <w:rsid w:val="00C51A5C"/>
    <w:rsid w:val="00C51B7E"/>
    <w:rsid w:val="00C51DB9"/>
    <w:rsid w:val="00C5259E"/>
    <w:rsid w:val="00C55039"/>
    <w:rsid w:val="00C559FB"/>
    <w:rsid w:val="00C600FD"/>
    <w:rsid w:val="00C61AC4"/>
    <w:rsid w:val="00C625DA"/>
    <w:rsid w:val="00C628FD"/>
    <w:rsid w:val="00C66453"/>
    <w:rsid w:val="00C67CC3"/>
    <w:rsid w:val="00C70144"/>
    <w:rsid w:val="00C702F4"/>
    <w:rsid w:val="00C738B2"/>
    <w:rsid w:val="00C74B56"/>
    <w:rsid w:val="00C77AAA"/>
    <w:rsid w:val="00C833BB"/>
    <w:rsid w:val="00C83B75"/>
    <w:rsid w:val="00C84550"/>
    <w:rsid w:val="00C84632"/>
    <w:rsid w:val="00C84766"/>
    <w:rsid w:val="00C84D84"/>
    <w:rsid w:val="00C8577F"/>
    <w:rsid w:val="00C86BF1"/>
    <w:rsid w:val="00C90B59"/>
    <w:rsid w:val="00C91F1B"/>
    <w:rsid w:val="00C96748"/>
    <w:rsid w:val="00CA05E7"/>
    <w:rsid w:val="00CA227D"/>
    <w:rsid w:val="00CA29FE"/>
    <w:rsid w:val="00CA339C"/>
    <w:rsid w:val="00CA4B0C"/>
    <w:rsid w:val="00CA59C3"/>
    <w:rsid w:val="00CA6462"/>
    <w:rsid w:val="00CA74E0"/>
    <w:rsid w:val="00CB40DF"/>
    <w:rsid w:val="00CB7033"/>
    <w:rsid w:val="00CB7546"/>
    <w:rsid w:val="00CC5EC0"/>
    <w:rsid w:val="00CC6394"/>
    <w:rsid w:val="00CC6876"/>
    <w:rsid w:val="00CD0706"/>
    <w:rsid w:val="00CD2969"/>
    <w:rsid w:val="00CD3822"/>
    <w:rsid w:val="00CD41B2"/>
    <w:rsid w:val="00CD4528"/>
    <w:rsid w:val="00CD5DF8"/>
    <w:rsid w:val="00CD5F11"/>
    <w:rsid w:val="00CD6387"/>
    <w:rsid w:val="00CD7604"/>
    <w:rsid w:val="00CE165A"/>
    <w:rsid w:val="00CE28FE"/>
    <w:rsid w:val="00CE3C57"/>
    <w:rsid w:val="00CE66D7"/>
    <w:rsid w:val="00CE7C6F"/>
    <w:rsid w:val="00CF04D5"/>
    <w:rsid w:val="00CF2F7C"/>
    <w:rsid w:val="00CF41DB"/>
    <w:rsid w:val="00CF6D4D"/>
    <w:rsid w:val="00CF70F8"/>
    <w:rsid w:val="00D0080E"/>
    <w:rsid w:val="00D00CA8"/>
    <w:rsid w:val="00D03C4E"/>
    <w:rsid w:val="00D042D5"/>
    <w:rsid w:val="00D04355"/>
    <w:rsid w:val="00D06242"/>
    <w:rsid w:val="00D0712F"/>
    <w:rsid w:val="00D077EB"/>
    <w:rsid w:val="00D07A56"/>
    <w:rsid w:val="00D11212"/>
    <w:rsid w:val="00D118B8"/>
    <w:rsid w:val="00D12795"/>
    <w:rsid w:val="00D13214"/>
    <w:rsid w:val="00D14C82"/>
    <w:rsid w:val="00D167D1"/>
    <w:rsid w:val="00D16F6D"/>
    <w:rsid w:val="00D176DD"/>
    <w:rsid w:val="00D20ACA"/>
    <w:rsid w:val="00D24970"/>
    <w:rsid w:val="00D27CB3"/>
    <w:rsid w:val="00D312DE"/>
    <w:rsid w:val="00D31696"/>
    <w:rsid w:val="00D318A7"/>
    <w:rsid w:val="00D35879"/>
    <w:rsid w:val="00D369A3"/>
    <w:rsid w:val="00D37B8A"/>
    <w:rsid w:val="00D404A0"/>
    <w:rsid w:val="00D40F04"/>
    <w:rsid w:val="00D420A2"/>
    <w:rsid w:val="00D4254D"/>
    <w:rsid w:val="00D42B17"/>
    <w:rsid w:val="00D4358E"/>
    <w:rsid w:val="00D4448C"/>
    <w:rsid w:val="00D44CBA"/>
    <w:rsid w:val="00D450F3"/>
    <w:rsid w:val="00D4592B"/>
    <w:rsid w:val="00D47BAE"/>
    <w:rsid w:val="00D47CDE"/>
    <w:rsid w:val="00D5152E"/>
    <w:rsid w:val="00D522D4"/>
    <w:rsid w:val="00D52B9D"/>
    <w:rsid w:val="00D5338F"/>
    <w:rsid w:val="00D53BE2"/>
    <w:rsid w:val="00D54137"/>
    <w:rsid w:val="00D56815"/>
    <w:rsid w:val="00D56987"/>
    <w:rsid w:val="00D574B5"/>
    <w:rsid w:val="00D575C4"/>
    <w:rsid w:val="00D57F43"/>
    <w:rsid w:val="00D602F5"/>
    <w:rsid w:val="00D613FD"/>
    <w:rsid w:val="00D61F97"/>
    <w:rsid w:val="00D621AF"/>
    <w:rsid w:val="00D6231B"/>
    <w:rsid w:val="00D62A10"/>
    <w:rsid w:val="00D62B73"/>
    <w:rsid w:val="00D6388B"/>
    <w:rsid w:val="00D63FA7"/>
    <w:rsid w:val="00D642C6"/>
    <w:rsid w:val="00D65516"/>
    <w:rsid w:val="00D66C67"/>
    <w:rsid w:val="00D66E5A"/>
    <w:rsid w:val="00D67B4D"/>
    <w:rsid w:val="00D710CD"/>
    <w:rsid w:val="00D733B9"/>
    <w:rsid w:val="00D75185"/>
    <w:rsid w:val="00D75742"/>
    <w:rsid w:val="00D806B8"/>
    <w:rsid w:val="00D81674"/>
    <w:rsid w:val="00D81FC9"/>
    <w:rsid w:val="00D82B23"/>
    <w:rsid w:val="00D82C53"/>
    <w:rsid w:val="00D83835"/>
    <w:rsid w:val="00D84F46"/>
    <w:rsid w:val="00D860BF"/>
    <w:rsid w:val="00D8613D"/>
    <w:rsid w:val="00D8637E"/>
    <w:rsid w:val="00D8672F"/>
    <w:rsid w:val="00D8717D"/>
    <w:rsid w:val="00D90045"/>
    <w:rsid w:val="00D92AAD"/>
    <w:rsid w:val="00D92DC0"/>
    <w:rsid w:val="00D941A6"/>
    <w:rsid w:val="00D960A3"/>
    <w:rsid w:val="00D97258"/>
    <w:rsid w:val="00D97862"/>
    <w:rsid w:val="00DA0B65"/>
    <w:rsid w:val="00DA1A1A"/>
    <w:rsid w:val="00DA34F6"/>
    <w:rsid w:val="00DA56D0"/>
    <w:rsid w:val="00DA6180"/>
    <w:rsid w:val="00DA77EA"/>
    <w:rsid w:val="00DB02BE"/>
    <w:rsid w:val="00DB075F"/>
    <w:rsid w:val="00DB25F4"/>
    <w:rsid w:val="00DB367E"/>
    <w:rsid w:val="00DB39E1"/>
    <w:rsid w:val="00DB53DE"/>
    <w:rsid w:val="00DB6099"/>
    <w:rsid w:val="00DB614C"/>
    <w:rsid w:val="00DB6F4D"/>
    <w:rsid w:val="00DB78B3"/>
    <w:rsid w:val="00DC32C5"/>
    <w:rsid w:val="00DC3F36"/>
    <w:rsid w:val="00DC5A4B"/>
    <w:rsid w:val="00DC6919"/>
    <w:rsid w:val="00DD0B90"/>
    <w:rsid w:val="00DD24EB"/>
    <w:rsid w:val="00DD2906"/>
    <w:rsid w:val="00DD2946"/>
    <w:rsid w:val="00DD4DE9"/>
    <w:rsid w:val="00DD4EB0"/>
    <w:rsid w:val="00DD7FDF"/>
    <w:rsid w:val="00DD7FE5"/>
    <w:rsid w:val="00DE0743"/>
    <w:rsid w:val="00DE3E11"/>
    <w:rsid w:val="00DE5032"/>
    <w:rsid w:val="00DE55CC"/>
    <w:rsid w:val="00DE5A75"/>
    <w:rsid w:val="00DE7350"/>
    <w:rsid w:val="00DF1416"/>
    <w:rsid w:val="00DF3D89"/>
    <w:rsid w:val="00DF3EB3"/>
    <w:rsid w:val="00DF414C"/>
    <w:rsid w:val="00DF5FF3"/>
    <w:rsid w:val="00DF6671"/>
    <w:rsid w:val="00E01FD1"/>
    <w:rsid w:val="00E02238"/>
    <w:rsid w:val="00E02BF4"/>
    <w:rsid w:val="00E03B64"/>
    <w:rsid w:val="00E05746"/>
    <w:rsid w:val="00E1075A"/>
    <w:rsid w:val="00E1219F"/>
    <w:rsid w:val="00E146CC"/>
    <w:rsid w:val="00E14D05"/>
    <w:rsid w:val="00E1700F"/>
    <w:rsid w:val="00E207E7"/>
    <w:rsid w:val="00E2421D"/>
    <w:rsid w:val="00E26D20"/>
    <w:rsid w:val="00E276EC"/>
    <w:rsid w:val="00E30C1E"/>
    <w:rsid w:val="00E31754"/>
    <w:rsid w:val="00E31F0A"/>
    <w:rsid w:val="00E326BC"/>
    <w:rsid w:val="00E338ED"/>
    <w:rsid w:val="00E33DA8"/>
    <w:rsid w:val="00E3492E"/>
    <w:rsid w:val="00E35325"/>
    <w:rsid w:val="00E42CF1"/>
    <w:rsid w:val="00E45EB9"/>
    <w:rsid w:val="00E475A0"/>
    <w:rsid w:val="00E50AB4"/>
    <w:rsid w:val="00E51E8E"/>
    <w:rsid w:val="00E52C07"/>
    <w:rsid w:val="00E52EFA"/>
    <w:rsid w:val="00E56FE0"/>
    <w:rsid w:val="00E578B9"/>
    <w:rsid w:val="00E60244"/>
    <w:rsid w:val="00E6050E"/>
    <w:rsid w:val="00E60842"/>
    <w:rsid w:val="00E622FA"/>
    <w:rsid w:val="00E62854"/>
    <w:rsid w:val="00E643A9"/>
    <w:rsid w:val="00E6502C"/>
    <w:rsid w:val="00E65357"/>
    <w:rsid w:val="00E657B7"/>
    <w:rsid w:val="00E65C46"/>
    <w:rsid w:val="00E67188"/>
    <w:rsid w:val="00E710BF"/>
    <w:rsid w:val="00E7303D"/>
    <w:rsid w:val="00E73425"/>
    <w:rsid w:val="00E7352A"/>
    <w:rsid w:val="00E75F5D"/>
    <w:rsid w:val="00E82080"/>
    <w:rsid w:val="00E83520"/>
    <w:rsid w:val="00E84EF5"/>
    <w:rsid w:val="00E8538E"/>
    <w:rsid w:val="00E86DEC"/>
    <w:rsid w:val="00E878A6"/>
    <w:rsid w:val="00E87B18"/>
    <w:rsid w:val="00E87CB8"/>
    <w:rsid w:val="00E910B3"/>
    <w:rsid w:val="00E91CBB"/>
    <w:rsid w:val="00E94887"/>
    <w:rsid w:val="00E94F32"/>
    <w:rsid w:val="00E9505A"/>
    <w:rsid w:val="00E97682"/>
    <w:rsid w:val="00EA2BE8"/>
    <w:rsid w:val="00EA34A8"/>
    <w:rsid w:val="00EA3647"/>
    <w:rsid w:val="00EA3A88"/>
    <w:rsid w:val="00EA450F"/>
    <w:rsid w:val="00EA5928"/>
    <w:rsid w:val="00EA7027"/>
    <w:rsid w:val="00EA70E9"/>
    <w:rsid w:val="00EB40C4"/>
    <w:rsid w:val="00EB4F9E"/>
    <w:rsid w:val="00EB7CD4"/>
    <w:rsid w:val="00EC1D68"/>
    <w:rsid w:val="00EC40D7"/>
    <w:rsid w:val="00EC4C0B"/>
    <w:rsid w:val="00EC6557"/>
    <w:rsid w:val="00ED0061"/>
    <w:rsid w:val="00ED1959"/>
    <w:rsid w:val="00ED344D"/>
    <w:rsid w:val="00ED34D6"/>
    <w:rsid w:val="00ED3873"/>
    <w:rsid w:val="00ED4BA2"/>
    <w:rsid w:val="00ED4D99"/>
    <w:rsid w:val="00ED658C"/>
    <w:rsid w:val="00ED6699"/>
    <w:rsid w:val="00ED7E16"/>
    <w:rsid w:val="00EE0C38"/>
    <w:rsid w:val="00EE1D5E"/>
    <w:rsid w:val="00EE40F1"/>
    <w:rsid w:val="00EE423D"/>
    <w:rsid w:val="00EE4A55"/>
    <w:rsid w:val="00EE4D7C"/>
    <w:rsid w:val="00EE4F0D"/>
    <w:rsid w:val="00EE64F3"/>
    <w:rsid w:val="00EE7408"/>
    <w:rsid w:val="00EF04B8"/>
    <w:rsid w:val="00EF0ED6"/>
    <w:rsid w:val="00EF1A53"/>
    <w:rsid w:val="00EF1AAE"/>
    <w:rsid w:val="00EF1EFD"/>
    <w:rsid w:val="00EF276D"/>
    <w:rsid w:val="00EF3449"/>
    <w:rsid w:val="00EF3471"/>
    <w:rsid w:val="00EF43E3"/>
    <w:rsid w:val="00EF447B"/>
    <w:rsid w:val="00EF492D"/>
    <w:rsid w:val="00EF53E9"/>
    <w:rsid w:val="00EF640C"/>
    <w:rsid w:val="00F00B1F"/>
    <w:rsid w:val="00F0187F"/>
    <w:rsid w:val="00F02D15"/>
    <w:rsid w:val="00F03355"/>
    <w:rsid w:val="00F045F0"/>
    <w:rsid w:val="00F06B8A"/>
    <w:rsid w:val="00F108E3"/>
    <w:rsid w:val="00F10D0B"/>
    <w:rsid w:val="00F12123"/>
    <w:rsid w:val="00F12E94"/>
    <w:rsid w:val="00F15AAC"/>
    <w:rsid w:val="00F15DD4"/>
    <w:rsid w:val="00F17F2B"/>
    <w:rsid w:val="00F20DD9"/>
    <w:rsid w:val="00F222DB"/>
    <w:rsid w:val="00F25217"/>
    <w:rsid w:val="00F255D0"/>
    <w:rsid w:val="00F257B3"/>
    <w:rsid w:val="00F27265"/>
    <w:rsid w:val="00F27A88"/>
    <w:rsid w:val="00F27C85"/>
    <w:rsid w:val="00F3127A"/>
    <w:rsid w:val="00F34B7D"/>
    <w:rsid w:val="00F34C04"/>
    <w:rsid w:val="00F35C3B"/>
    <w:rsid w:val="00F35E94"/>
    <w:rsid w:val="00F36852"/>
    <w:rsid w:val="00F37222"/>
    <w:rsid w:val="00F43992"/>
    <w:rsid w:val="00F43BAB"/>
    <w:rsid w:val="00F444E9"/>
    <w:rsid w:val="00F46996"/>
    <w:rsid w:val="00F4793D"/>
    <w:rsid w:val="00F5001C"/>
    <w:rsid w:val="00F507FE"/>
    <w:rsid w:val="00F5110F"/>
    <w:rsid w:val="00F51910"/>
    <w:rsid w:val="00F52AA3"/>
    <w:rsid w:val="00F5359D"/>
    <w:rsid w:val="00F53F88"/>
    <w:rsid w:val="00F5526C"/>
    <w:rsid w:val="00F557E9"/>
    <w:rsid w:val="00F56894"/>
    <w:rsid w:val="00F57239"/>
    <w:rsid w:val="00F57CEB"/>
    <w:rsid w:val="00F60216"/>
    <w:rsid w:val="00F60ABD"/>
    <w:rsid w:val="00F65568"/>
    <w:rsid w:val="00F67BE1"/>
    <w:rsid w:val="00F7155B"/>
    <w:rsid w:val="00F71587"/>
    <w:rsid w:val="00F739D0"/>
    <w:rsid w:val="00F7693E"/>
    <w:rsid w:val="00F77889"/>
    <w:rsid w:val="00F824CF"/>
    <w:rsid w:val="00F83BEA"/>
    <w:rsid w:val="00F950B1"/>
    <w:rsid w:val="00F96511"/>
    <w:rsid w:val="00F969B7"/>
    <w:rsid w:val="00F96B1F"/>
    <w:rsid w:val="00F97A67"/>
    <w:rsid w:val="00F97C4F"/>
    <w:rsid w:val="00F97ECC"/>
    <w:rsid w:val="00F97F41"/>
    <w:rsid w:val="00FA0C40"/>
    <w:rsid w:val="00FA2372"/>
    <w:rsid w:val="00FA6A12"/>
    <w:rsid w:val="00FA6B01"/>
    <w:rsid w:val="00FB34BB"/>
    <w:rsid w:val="00FB4C49"/>
    <w:rsid w:val="00FB730E"/>
    <w:rsid w:val="00FC000E"/>
    <w:rsid w:val="00FC1499"/>
    <w:rsid w:val="00FC14FE"/>
    <w:rsid w:val="00FC2660"/>
    <w:rsid w:val="00FC2F3A"/>
    <w:rsid w:val="00FC4053"/>
    <w:rsid w:val="00FC4E92"/>
    <w:rsid w:val="00FC6773"/>
    <w:rsid w:val="00FC69D7"/>
    <w:rsid w:val="00FC6FFA"/>
    <w:rsid w:val="00FC72F9"/>
    <w:rsid w:val="00FD249B"/>
    <w:rsid w:val="00FD2649"/>
    <w:rsid w:val="00FD2EA3"/>
    <w:rsid w:val="00FD6CB0"/>
    <w:rsid w:val="00FD6DE5"/>
    <w:rsid w:val="00FE27C8"/>
    <w:rsid w:val="00FE3B2F"/>
    <w:rsid w:val="00FE4B0F"/>
    <w:rsid w:val="00FE508A"/>
    <w:rsid w:val="00FE60E7"/>
    <w:rsid w:val="00FE6642"/>
    <w:rsid w:val="00FF04DE"/>
    <w:rsid w:val="00FF41F4"/>
    <w:rsid w:val="00FF4733"/>
    <w:rsid w:val="00FF6B1F"/>
    <w:rsid w:val="00FF7978"/>
    <w:rsid w:val="012F5E4D"/>
    <w:rsid w:val="01622D9B"/>
    <w:rsid w:val="030371F3"/>
    <w:rsid w:val="03BA661D"/>
    <w:rsid w:val="06F22711"/>
    <w:rsid w:val="07802D3D"/>
    <w:rsid w:val="07EF3D40"/>
    <w:rsid w:val="09150B18"/>
    <w:rsid w:val="0A5C5913"/>
    <w:rsid w:val="0B732F2C"/>
    <w:rsid w:val="0B8F198D"/>
    <w:rsid w:val="0D6963E0"/>
    <w:rsid w:val="109B4AE6"/>
    <w:rsid w:val="143B7739"/>
    <w:rsid w:val="15E96513"/>
    <w:rsid w:val="177F230A"/>
    <w:rsid w:val="18184CDB"/>
    <w:rsid w:val="18221CFF"/>
    <w:rsid w:val="1A6F2E84"/>
    <w:rsid w:val="1B2935D3"/>
    <w:rsid w:val="1C40139D"/>
    <w:rsid w:val="1CE65C54"/>
    <w:rsid w:val="1CE66577"/>
    <w:rsid w:val="1CF518C6"/>
    <w:rsid w:val="1D4264C5"/>
    <w:rsid w:val="1DF93765"/>
    <w:rsid w:val="230A2800"/>
    <w:rsid w:val="24D807F5"/>
    <w:rsid w:val="254479BB"/>
    <w:rsid w:val="25C11E21"/>
    <w:rsid w:val="28E133A0"/>
    <w:rsid w:val="293113F0"/>
    <w:rsid w:val="29B55BD2"/>
    <w:rsid w:val="30D15F9F"/>
    <w:rsid w:val="314A45AB"/>
    <w:rsid w:val="38381023"/>
    <w:rsid w:val="3A615EAD"/>
    <w:rsid w:val="3ABB3E24"/>
    <w:rsid w:val="3AFB3161"/>
    <w:rsid w:val="3C252F19"/>
    <w:rsid w:val="3CD92C87"/>
    <w:rsid w:val="3D754EB2"/>
    <w:rsid w:val="3DFD68E7"/>
    <w:rsid w:val="3FF974C4"/>
    <w:rsid w:val="40616BED"/>
    <w:rsid w:val="41436FBD"/>
    <w:rsid w:val="414F6174"/>
    <w:rsid w:val="417A4ED4"/>
    <w:rsid w:val="437133CD"/>
    <w:rsid w:val="47323CE2"/>
    <w:rsid w:val="47A81BD4"/>
    <w:rsid w:val="49901E04"/>
    <w:rsid w:val="4B265104"/>
    <w:rsid w:val="4B3814C1"/>
    <w:rsid w:val="4D56180B"/>
    <w:rsid w:val="4EFB4603"/>
    <w:rsid w:val="508B27AA"/>
    <w:rsid w:val="51004D18"/>
    <w:rsid w:val="51ED4BA7"/>
    <w:rsid w:val="53831C3F"/>
    <w:rsid w:val="53845B05"/>
    <w:rsid w:val="5466533F"/>
    <w:rsid w:val="54DF7913"/>
    <w:rsid w:val="558A3703"/>
    <w:rsid w:val="55B8175C"/>
    <w:rsid w:val="578965A2"/>
    <w:rsid w:val="581F1992"/>
    <w:rsid w:val="595D6DC9"/>
    <w:rsid w:val="5AC44CFF"/>
    <w:rsid w:val="5B062314"/>
    <w:rsid w:val="5BF345AF"/>
    <w:rsid w:val="5C343502"/>
    <w:rsid w:val="5DFE3EA4"/>
    <w:rsid w:val="5EB322BE"/>
    <w:rsid w:val="60563B24"/>
    <w:rsid w:val="60665B6B"/>
    <w:rsid w:val="614314FE"/>
    <w:rsid w:val="621B3ECB"/>
    <w:rsid w:val="63A81A92"/>
    <w:rsid w:val="63CD4D86"/>
    <w:rsid w:val="649E1988"/>
    <w:rsid w:val="65427495"/>
    <w:rsid w:val="661604FF"/>
    <w:rsid w:val="661A2731"/>
    <w:rsid w:val="679F512D"/>
    <w:rsid w:val="67DA14DE"/>
    <w:rsid w:val="67E32EA3"/>
    <w:rsid w:val="69953152"/>
    <w:rsid w:val="69EE45A4"/>
    <w:rsid w:val="6B122D3D"/>
    <w:rsid w:val="6BC84CB5"/>
    <w:rsid w:val="6C57749F"/>
    <w:rsid w:val="6C601699"/>
    <w:rsid w:val="6C690555"/>
    <w:rsid w:val="6D9E2FAE"/>
    <w:rsid w:val="6EEA16BC"/>
    <w:rsid w:val="6FA300E9"/>
    <w:rsid w:val="71602316"/>
    <w:rsid w:val="71730EF9"/>
    <w:rsid w:val="7214383E"/>
    <w:rsid w:val="725F0F6E"/>
    <w:rsid w:val="7268280E"/>
    <w:rsid w:val="7467612D"/>
    <w:rsid w:val="773968DD"/>
    <w:rsid w:val="77813947"/>
    <w:rsid w:val="77E022C8"/>
    <w:rsid w:val="785D1817"/>
    <w:rsid w:val="786456B2"/>
    <w:rsid w:val="7917160E"/>
    <w:rsid w:val="79986C32"/>
    <w:rsid w:val="7AFA7799"/>
    <w:rsid w:val="7B5F0D26"/>
    <w:rsid w:val="7DAF2918"/>
    <w:rsid w:val="7EFA2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4"/>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Plain Text"/>
    <w:basedOn w:val="1"/>
    <w:next w:val="1"/>
    <w:link w:val="38"/>
    <w:qFormat/>
    <w:uiPriority w:val="0"/>
    <w:rPr>
      <w:rFonts w:ascii="宋体" w:hAnsi="Courier New" w:cs="Courier New"/>
      <w:szCs w:val="21"/>
    </w:rPr>
  </w:style>
  <w:style w:type="paragraph" w:styleId="6">
    <w:name w:val="Normal Indent"/>
    <w:basedOn w:val="1"/>
    <w:link w:val="42"/>
    <w:qFormat/>
    <w:uiPriority w:val="0"/>
    <w:pPr>
      <w:ind w:firstLine="420"/>
    </w:pPr>
    <w:rPr>
      <w:szCs w:val="20"/>
      <w:lang w:val="zh-CN"/>
    </w:rPr>
  </w:style>
  <w:style w:type="paragraph" w:styleId="7">
    <w:name w:val="Document Map"/>
    <w:basedOn w:val="1"/>
    <w:semiHidden/>
    <w:qFormat/>
    <w:uiPriority w:val="0"/>
    <w:pPr>
      <w:shd w:val="clear" w:color="auto" w:fill="000080"/>
    </w:pPr>
  </w:style>
  <w:style w:type="paragraph" w:styleId="8">
    <w:name w:val="annotation text"/>
    <w:basedOn w:val="1"/>
    <w:semiHidden/>
    <w:qFormat/>
    <w:uiPriority w:val="0"/>
    <w:pPr>
      <w:jc w:val="left"/>
    </w:pPr>
  </w:style>
  <w:style w:type="paragraph" w:styleId="9">
    <w:name w:val="Body Text"/>
    <w:basedOn w:val="1"/>
    <w:next w:val="1"/>
    <w:qFormat/>
    <w:uiPriority w:val="0"/>
    <w:pPr>
      <w:spacing w:after="120"/>
    </w:pPr>
  </w:style>
  <w:style w:type="paragraph" w:styleId="10">
    <w:name w:val="Body Text Indent"/>
    <w:basedOn w:val="1"/>
    <w:link w:val="46"/>
    <w:qFormat/>
    <w:uiPriority w:val="0"/>
    <w:pPr>
      <w:spacing w:after="120"/>
      <w:ind w:left="420" w:leftChars="200"/>
    </w:pPr>
  </w:style>
  <w:style w:type="paragraph" w:styleId="11">
    <w:name w:val="Date"/>
    <w:basedOn w:val="1"/>
    <w:next w:val="1"/>
    <w:link w:val="35"/>
    <w:qFormat/>
    <w:uiPriority w:val="0"/>
    <w:rPr>
      <w:szCs w:val="20"/>
      <w:lang w:val="zh-CN"/>
    </w:rPr>
  </w:style>
  <w:style w:type="paragraph" w:styleId="12">
    <w:name w:val="Body Text Indent 2"/>
    <w:basedOn w:val="1"/>
    <w:qFormat/>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39"/>
    <w:qFormat/>
    <w:uiPriority w:val="99"/>
    <w:pPr>
      <w:tabs>
        <w:tab w:val="center" w:pos="4153"/>
        <w:tab w:val="right" w:pos="8306"/>
      </w:tabs>
      <w:snapToGrid w:val="0"/>
      <w:jc w:val="left"/>
    </w:pPr>
    <w:rPr>
      <w:sz w:val="18"/>
      <w:szCs w:val="18"/>
    </w:rPr>
  </w:style>
  <w:style w:type="paragraph" w:styleId="15">
    <w:name w:val="header"/>
    <w:basedOn w:val="1"/>
    <w:link w:val="33"/>
    <w:qFormat/>
    <w:uiPriority w:val="0"/>
    <w:pPr>
      <w:pBdr>
        <w:bottom w:val="single" w:color="auto" w:sz="6" w:space="1"/>
      </w:pBdr>
      <w:tabs>
        <w:tab w:val="center" w:pos="4153"/>
        <w:tab w:val="right" w:pos="8306"/>
      </w:tabs>
      <w:snapToGrid w:val="0"/>
      <w:jc w:val="center"/>
    </w:pPr>
    <w:rPr>
      <w:sz w:val="18"/>
      <w:szCs w:val="18"/>
      <w:lang w:val="zh-CN"/>
    </w:rPr>
  </w:style>
  <w:style w:type="paragraph" w:styleId="16">
    <w:name w:val="toc 1"/>
    <w:basedOn w:val="1"/>
    <w:next w:val="1"/>
    <w:semiHidden/>
    <w:qFormat/>
    <w:uiPriority w:val="0"/>
    <w:pPr>
      <w:tabs>
        <w:tab w:val="right" w:leader="middleDot" w:pos="9180"/>
      </w:tabs>
      <w:spacing w:before="120" w:after="120" w:line="360" w:lineRule="exact"/>
      <w:jc w:val="left"/>
    </w:pPr>
    <w:rPr>
      <w:rFonts w:ascii="Arial" w:hAnsi="Arial" w:cs="Arial"/>
      <w:b/>
      <w:bCs/>
      <w:caps/>
    </w:rPr>
  </w:style>
  <w:style w:type="paragraph" w:styleId="17">
    <w:name w:val="footnote text"/>
    <w:basedOn w:val="1"/>
    <w:link w:val="45"/>
    <w:qFormat/>
    <w:uiPriority w:val="0"/>
    <w:pPr>
      <w:snapToGrid w:val="0"/>
      <w:jc w:val="left"/>
    </w:pPr>
    <w:rPr>
      <w:sz w:val="18"/>
      <w:szCs w:val="18"/>
    </w:rPr>
  </w:style>
  <w:style w:type="paragraph" w:styleId="18">
    <w:name w:val="Normal (Web)"/>
    <w:basedOn w:val="1"/>
    <w:qFormat/>
    <w:uiPriority w:val="0"/>
    <w:pPr>
      <w:widowControl/>
      <w:spacing w:before="100" w:beforeAutospacing="1" w:after="100" w:afterAutospacing="1"/>
      <w:jc w:val="left"/>
    </w:pPr>
    <w:rPr>
      <w:rFonts w:hint="eastAsia" w:ascii="宋体" w:hAnsi="宋体"/>
      <w:kern w:val="0"/>
      <w:sz w:val="24"/>
    </w:rPr>
  </w:style>
  <w:style w:type="paragraph" w:styleId="19">
    <w:name w:val="annotation subject"/>
    <w:basedOn w:val="8"/>
    <w:next w:val="8"/>
    <w:semiHidden/>
    <w:qFormat/>
    <w:uiPriority w:val="0"/>
    <w:rPr>
      <w:b/>
      <w:bCs/>
    </w:rPr>
  </w:style>
  <w:style w:type="paragraph" w:styleId="20">
    <w:name w:val="Body Text First Indent"/>
    <w:basedOn w:val="9"/>
    <w:link w:val="37"/>
    <w:qFormat/>
    <w:uiPriority w:val="0"/>
    <w:pPr>
      <w:ind w:firstLine="420"/>
    </w:pPr>
    <w:rPr>
      <w:szCs w:val="20"/>
    </w:rPr>
  </w:style>
  <w:style w:type="paragraph" w:styleId="21">
    <w:name w:val="Body Text First Indent 2"/>
    <w:basedOn w:val="10"/>
    <w:link w:val="47"/>
    <w:qFormat/>
    <w:uiPriority w:val="0"/>
    <w:pPr>
      <w:ind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Hyperlink"/>
    <w:qFormat/>
    <w:uiPriority w:val="0"/>
    <w:rPr>
      <w:rFonts w:cs="Times New Roman"/>
      <w:color w:val="0000FF"/>
      <w:u w:val="single"/>
    </w:rPr>
  </w:style>
  <w:style w:type="character" w:styleId="27">
    <w:name w:val="annotation reference"/>
    <w:qFormat/>
    <w:uiPriority w:val="0"/>
    <w:rPr>
      <w:sz w:val="21"/>
      <w:szCs w:val="21"/>
    </w:rPr>
  </w:style>
  <w:style w:type="character" w:styleId="28">
    <w:name w:val="footnote reference"/>
    <w:qFormat/>
    <w:uiPriority w:val="0"/>
    <w:rPr>
      <w:vertAlign w:val="superscript"/>
    </w:rPr>
  </w:style>
  <w:style w:type="paragraph" w:customStyle="1" w:styleId="29">
    <w:name w:val="Char Char Char Char"/>
    <w:basedOn w:val="7"/>
    <w:qFormat/>
    <w:uiPriority w:val="0"/>
    <w:rPr>
      <w:rFonts w:ascii="Tahoma" w:hAnsi="Tahoma"/>
      <w:sz w:val="24"/>
    </w:rPr>
  </w:style>
  <w:style w:type="paragraph" w:customStyle="1" w:styleId="30">
    <w:name w:val="Char Char Char Char Char Char2 Char"/>
    <w:basedOn w:val="1"/>
    <w:qFormat/>
    <w:uiPriority w:val="0"/>
    <w:pPr>
      <w:spacing w:line="360" w:lineRule="auto"/>
      <w:ind w:firstLine="200" w:firstLineChars="200"/>
    </w:pPr>
    <w:rPr>
      <w:rFonts w:ascii="宋体" w:hAnsi="宋体" w:cs="宋体"/>
      <w:sz w:val="24"/>
    </w:rPr>
  </w:style>
  <w:style w:type="paragraph" w:customStyle="1" w:styleId="31">
    <w:name w:val="Char Char Char1 Char"/>
    <w:basedOn w:val="7"/>
    <w:qFormat/>
    <w:uiPriority w:val="0"/>
    <w:rPr>
      <w:rFonts w:ascii="Tahoma" w:hAnsi="Tahoma"/>
      <w:sz w:val="24"/>
    </w:rPr>
  </w:style>
  <w:style w:type="paragraph" w:customStyle="1" w:styleId="32">
    <w:name w:val="Char"/>
    <w:basedOn w:val="1"/>
    <w:qFormat/>
    <w:uiPriority w:val="0"/>
    <w:pPr>
      <w:adjustRightInd w:val="0"/>
      <w:snapToGrid w:val="0"/>
      <w:spacing w:line="360" w:lineRule="auto"/>
      <w:jc w:val="left"/>
    </w:pPr>
    <w:rPr>
      <w:sz w:val="24"/>
    </w:rPr>
  </w:style>
  <w:style w:type="character" w:customStyle="1" w:styleId="33">
    <w:name w:val="页眉 字符"/>
    <w:link w:val="15"/>
    <w:qFormat/>
    <w:uiPriority w:val="0"/>
    <w:rPr>
      <w:kern w:val="2"/>
      <w:sz w:val="18"/>
      <w:szCs w:val="18"/>
    </w:rPr>
  </w:style>
  <w:style w:type="character" w:customStyle="1" w:styleId="34">
    <w:name w:val="标题 2 字符"/>
    <w:link w:val="4"/>
    <w:qFormat/>
    <w:uiPriority w:val="0"/>
    <w:rPr>
      <w:rFonts w:ascii="Arial" w:hAnsi="Arial" w:eastAsia="黑体"/>
      <w:b/>
      <w:bCs/>
      <w:kern w:val="2"/>
      <w:sz w:val="32"/>
      <w:szCs w:val="32"/>
      <w:lang w:val="en-US" w:eastAsia="zh-CN" w:bidi="ar-SA"/>
    </w:rPr>
  </w:style>
  <w:style w:type="character" w:customStyle="1" w:styleId="35">
    <w:name w:val="日期 字符"/>
    <w:link w:val="11"/>
    <w:qFormat/>
    <w:uiPriority w:val="0"/>
    <w:rPr>
      <w:kern w:val="2"/>
      <w:sz w:val="21"/>
    </w:rPr>
  </w:style>
  <w:style w:type="paragraph" w:customStyle="1" w:styleId="36">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37">
    <w:name w:val="正文文本首行缩进 字符"/>
    <w:link w:val="20"/>
    <w:qFormat/>
    <w:uiPriority w:val="0"/>
    <w:rPr>
      <w:rFonts w:eastAsia="宋体"/>
      <w:kern w:val="2"/>
      <w:sz w:val="21"/>
      <w:lang w:val="en-US" w:eastAsia="zh-CN" w:bidi="ar-SA"/>
    </w:rPr>
  </w:style>
  <w:style w:type="character" w:customStyle="1" w:styleId="38">
    <w:name w:val="纯文本 字符"/>
    <w:link w:val="2"/>
    <w:qFormat/>
    <w:uiPriority w:val="0"/>
    <w:rPr>
      <w:rFonts w:ascii="宋体" w:hAnsi="Courier New" w:eastAsia="宋体" w:cs="Courier New"/>
      <w:kern w:val="2"/>
      <w:sz w:val="21"/>
      <w:szCs w:val="21"/>
      <w:lang w:val="en-US" w:eastAsia="zh-CN" w:bidi="ar-SA"/>
    </w:rPr>
  </w:style>
  <w:style w:type="character" w:customStyle="1" w:styleId="39">
    <w:name w:val="页脚 字符"/>
    <w:link w:val="14"/>
    <w:qFormat/>
    <w:uiPriority w:val="99"/>
    <w:rPr>
      <w:rFonts w:eastAsia="宋体"/>
      <w:kern w:val="2"/>
      <w:sz w:val="18"/>
      <w:szCs w:val="18"/>
      <w:lang w:val="en-US" w:eastAsia="zh-CN" w:bidi="ar-SA"/>
    </w:rPr>
  </w:style>
  <w:style w:type="paragraph" w:customStyle="1" w:styleId="40">
    <w:name w:val="Char1"/>
    <w:basedOn w:val="1"/>
    <w:qFormat/>
    <w:uiPriority w:val="0"/>
    <w:rPr>
      <w:rFonts w:ascii="Tahoma" w:hAnsi="Tahoma"/>
      <w:sz w:val="24"/>
      <w:szCs w:val="20"/>
    </w:rPr>
  </w:style>
  <w:style w:type="paragraph" w:customStyle="1" w:styleId="41">
    <w:name w:val="Char Char Char"/>
    <w:basedOn w:val="1"/>
    <w:qFormat/>
    <w:uiPriority w:val="0"/>
    <w:rPr>
      <w:rFonts w:ascii="@Droid Sans Fallback" w:hAnsi="@Droid Sans Fallback" w:cs="Arial"/>
      <w:sz w:val="24"/>
      <w:szCs w:val="20"/>
    </w:rPr>
  </w:style>
  <w:style w:type="character" w:customStyle="1" w:styleId="42">
    <w:name w:val="正文缩进 字符"/>
    <w:link w:val="6"/>
    <w:qFormat/>
    <w:uiPriority w:val="0"/>
    <w:rPr>
      <w:kern w:val="2"/>
      <w:sz w:val="21"/>
    </w:rPr>
  </w:style>
  <w:style w:type="character" w:customStyle="1" w:styleId="43">
    <w:name w:val="普通 (Web) Char"/>
    <w:link w:val="44"/>
    <w:qFormat/>
    <w:locked/>
    <w:uiPriority w:val="0"/>
    <w:rPr>
      <w:rFonts w:ascii="宋体" w:hAnsi="宋体" w:eastAsia="宋体"/>
      <w:sz w:val="24"/>
      <w:szCs w:val="24"/>
      <w:lang w:val="en-US" w:eastAsia="zh-CN" w:bidi="ar-SA"/>
    </w:rPr>
  </w:style>
  <w:style w:type="paragraph" w:customStyle="1" w:styleId="44">
    <w:name w:val="普通 (Web)"/>
    <w:basedOn w:val="1"/>
    <w:link w:val="43"/>
    <w:qFormat/>
    <w:uiPriority w:val="0"/>
    <w:pPr>
      <w:widowControl/>
      <w:spacing w:before="100" w:beforeAutospacing="1" w:after="100" w:afterAutospacing="1"/>
      <w:jc w:val="left"/>
    </w:pPr>
    <w:rPr>
      <w:rFonts w:ascii="宋体" w:hAnsi="宋体"/>
      <w:kern w:val="0"/>
      <w:sz w:val="24"/>
    </w:rPr>
  </w:style>
  <w:style w:type="character" w:customStyle="1" w:styleId="45">
    <w:name w:val="脚注文本 字符"/>
    <w:link w:val="17"/>
    <w:qFormat/>
    <w:uiPriority w:val="0"/>
    <w:rPr>
      <w:kern w:val="2"/>
      <w:sz w:val="18"/>
      <w:szCs w:val="18"/>
    </w:rPr>
  </w:style>
  <w:style w:type="character" w:customStyle="1" w:styleId="46">
    <w:name w:val="正文文本缩进 字符"/>
    <w:link w:val="10"/>
    <w:qFormat/>
    <w:uiPriority w:val="0"/>
    <w:rPr>
      <w:kern w:val="2"/>
      <w:sz w:val="21"/>
      <w:szCs w:val="24"/>
    </w:rPr>
  </w:style>
  <w:style w:type="character" w:customStyle="1" w:styleId="47">
    <w:name w:val="正文文本首行缩进 2 字符"/>
    <w:basedOn w:val="46"/>
    <w:link w:val="21"/>
    <w:qFormat/>
    <w:uiPriority w:val="0"/>
    <w:rPr>
      <w:kern w:val="2"/>
      <w:sz w:val="21"/>
      <w:szCs w:val="24"/>
    </w:rPr>
  </w:style>
  <w:style w:type="character" w:customStyle="1" w:styleId="48">
    <w:name w:val="未处理的提及1"/>
    <w:semiHidden/>
    <w:unhideWhenUsed/>
    <w:qFormat/>
    <w:uiPriority w:val="99"/>
    <w:rPr>
      <w:color w:val="605E5C"/>
      <w:shd w:val="clear" w:color="auto" w:fill="E1DFDD"/>
    </w:rPr>
  </w:style>
  <w:style w:type="paragraph" w:styleId="49">
    <w:name w:val="List Paragraph"/>
    <w:basedOn w:val="1"/>
    <w:qFormat/>
    <w:uiPriority w:val="99"/>
    <w:pPr>
      <w:ind w:firstLine="420" w:firstLineChars="200"/>
    </w:pPr>
  </w:style>
  <w:style w:type="paragraph" w:customStyle="1" w:styleId="50">
    <w:name w:val="WPSOffice手动目录 1"/>
    <w:qFormat/>
    <w:uiPriority w:val="0"/>
    <w:rPr>
      <w:rFonts w:ascii="Times New Roman" w:hAnsi="Times New Roman" w:eastAsia="宋体" w:cs="Times New Roman"/>
      <w:lang w:val="en-US" w:eastAsia="zh-CN" w:bidi="ar-SA"/>
    </w:rPr>
  </w:style>
  <w:style w:type="paragraph" w:customStyle="1" w:styleId="51">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52">
    <w:name w:val="_Style 3"/>
    <w:next w:val="53"/>
    <w:qFormat/>
    <w:uiPriority w:val="1"/>
    <w:pPr>
      <w:widowControl w:val="0"/>
      <w:jc w:val="both"/>
    </w:pPr>
    <w:rPr>
      <w:rFonts w:ascii="MingLiU_HKSCS" w:hAnsi="MingLiU_HKSCS" w:eastAsia="MingLiU_HKSCS" w:cs="Times New Roman"/>
      <w:color w:val="000000"/>
      <w:kern w:val="2"/>
      <w:sz w:val="21"/>
      <w:szCs w:val="22"/>
      <w:lang w:val="en-US" w:eastAsia="zh-CN" w:bidi="ar-SA"/>
    </w:rPr>
  </w:style>
  <w:style w:type="paragraph" w:customStyle="1" w:styleId="53">
    <w:name w:val="列表段落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3.wmf"/><Relationship Id="rId18" Type="http://schemas.openxmlformats.org/officeDocument/2006/relationships/oleObject" Target="embeddings/oleObject2.bin"/><Relationship Id="rId17" Type="http://schemas.openxmlformats.org/officeDocument/2006/relationships/image" Target="media/image2.wmf"/><Relationship Id="rId16" Type="http://schemas.openxmlformats.org/officeDocument/2006/relationships/oleObject" Target="embeddings/oleObject1.bin"/><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招标师、高级工程师</Manager>
  <Pages>140</Pages>
  <Words>73408</Words>
  <Characters>76848</Characters>
  <Lines>1</Lines>
  <Paragraphs>1</Paragraphs>
  <TotalTime>57</TotalTime>
  <ScaleCrop>false</ScaleCrop>
  <LinksUpToDate>false</LinksUpToDate>
  <CharactersWithSpaces>82992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2023-03-29T09:23:00Z</dcterms:created>
  <dc:creator>ZZZB</dc:creator>
  <cp:lastModifiedBy>admin</cp:lastModifiedBy>
  <cp:lastPrinted>2023-05-20T10:11:00Z</cp:lastPrinted>
  <dcterms:modified xsi:type="dcterms:W3CDTF">2023-05-26T09:38:48Z</dcterms:modified>
  <dc:title>监理招标文件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88CA25BAA2F44C0F91307D7F2BB198AA_13</vt:lpwstr>
  </property>
</Properties>
</file>