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4"/>
        <w:rPr>
          <w:rFonts w:hint="eastAsia" w:ascii="宋体" w:hAnsi="宋体" w:eastAsia="宋体"/>
          <w:color w:val="auto"/>
          <w:highlight w:val="none"/>
          <w:lang w:val="en-US" w:eastAsia="zh-CN"/>
        </w:rPr>
      </w:pPr>
      <w:r>
        <w:rPr>
          <w:rFonts w:hint="eastAsia" w:ascii="宋体" w:hAnsi="宋体"/>
          <w:color w:val="auto"/>
          <w:highlight w:val="none"/>
          <w:lang w:val="en-US" w:eastAsia="zh-CN"/>
        </w:rPr>
        <w:t xml:space="preserve"> </w:t>
      </w:r>
    </w:p>
    <w:p>
      <w:pPr>
        <w:pStyle w:val="28"/>
        <w:spacing w:line="360" w:lineRule="auto"/>
        <w:jc w:val="center"/>
        <w:rPr>
          <w:rFonts w:eastAsia="宋体" w:cs="宋体"/>
          <w:b/>
          <w:color w:val="auto"/>
          <w:sz w:val="44"/>
          <w:szCs w:val="44"/>
          <w:highlight w:val="none"/>
          <w:u w:val="none"/>
        </w:rPr>
      </w:pPr>
    </w:p>
    <w:p>
      <w:pPr>
        <w:pStyle w:val="28"/>
        <w:spacing w:line="360" w:lineRule="auto"/>
        <w:jc w:val="center"/>
        <w:rPr>
          <w:rFonts w:eastAsia="宋体" w:cs="宋体"/>
          <w:b/>
          <w:color w:val="auto"/>
          <w:sz w:val="44"/>
          <w:szCs w:val="44"/>
          <w:highlight w:val="none"/>
          <w:u w:val="none"/>
        </w:rPr>
      </w:pPr>
      <w:r>
        <w:rPr>
          <w:rFonts w:hint="eastAsia" w:eastAsia="宋体" w:cs="宋体"/>
          <w:b/>
          <w:color w:val="auto"/>
          <w:sz w:val="44"/>
          <w:szCs w:val="44"/>
          <w:highlight w:val="none"/>
          <w:u w:val="none"/>
        </w:rPr>
        <w:t>花都区农村供水“三同五化”改造提升项目-乌石村、联星村供水改造工程市政部分施工总承包</w:t>
      </w:r>
    </w:p>
    <w:p>
      <w:pPr>
        <w:pStyle w:val="28"/>
        <w:spacing w:line="360" w:lineRule="auto"/>
        <w:jc w:val="center"/>
        <w:rPr>
          <w:rFonts w:eastAsia="宋体" w:cs="宋体"/>
          <w:b/>
          <w:color w:val="auto"/>
          <w:sz w:val="44"/>
          <w:szCs w:val="44"/>
          <w:highlight w:val="none"/>
        </w:rPr>
      </w:pPr>
    </w:p>
    <w:p>
      <w:pPr>
        <w:pStyle w:val="28"/>
        <w:spacing w:line="360" w:lineRule="auto"/>
        <w:jc w:val="center"/>
        <w:rPr>
          <w:rFonts w:eastAsia="宋体" w:cs="宋体"/>
          <w:b/>
          <w:color w:val="auto"/>
          <w:sz w:val="44"/>
          <w:szCs w:val="44"/>
          <w:highlight w:val="non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pStyle w:val="28"/>
        <w:spacing w:line="360" w:lineRule="auto"/>
        <w:jc w:val="center"/>
        <w:rPr>
          <w:rFonts w:eastAsia="宋体" w:cs="宋体"/>
          <w:b/>
          <w:color w:val="auto"/>
          <w:sz w:val="44"/>
          <w:szCs w:val="44"/>
          <w:highlight w:val="none"/>
        </w:rPr>
      </w:pPr>
    </w:p>
    <w:p>
      <w:pPr>
        <w:pStyle w:val="28"/>
        <w:spacing w:line="360" w:lineRule="auto"/>
        <w:jc w:val="center"/>
        <w:rPr>
          <w:rFonts w:eastAsia="宋体" w:cs="宋体"/>
          <w:b/>
          <w:color w:val="auto"/>
          <w:sz w:val="44"/>
          <w:szCs w:val="44"/>
          <w:highlight w:val="none"/>
        </w:rPr>
      </w:pPr>
    </w:p>
    <w:p>
      <w:pPr>
        <w:pStyle w:val="28"/>
        <w:spacing w:line="360" w:lineRule="auto"/>
        <w:jc w:val="center"/>
        <w:rPr>
          <w:rFonts w:eastAsia="宋体" w:cs="宋体"/>
          <w:b/>
          <w:color w:val="auto"/>
          <w:sz w:val="44"/>
          <w:szCs w:val="44"/>
          <w:highlight w:val="none"/>
        </w:rPr>
      </w:pPr>
    </w:p>
    <w:p>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招  标 单 位：</w:t>
      </w:r>
      <w:r>
        <w:rPr>
          <w:rFonts w:hint="eastAsia" w:ascii="宋体" w:hAnsi="宋体"/>
          <w:color w:val="auto"/>
          <w:sz w:val="32"/>
          <w:szCs w:val="32"/>
          <w:highlight w:val="none"/>
          <w:u w:val="single"/>
        </w:rPr>
        <w:t>广州市花都区水务建设管理中心</w:t>
      </w:r>
    </w:p>
    <w:p>
      <w:pPr>
        <w:spacing w:line="360" w:lineRule="auto"/>
        <w:ind w:firstLine="640" w:firstLineChars="200"/>
        <w:rPr>
          <w:rFonts w:ascii="宋体" w:hAnsi="宋体"/>
          <w:color w:val="auto"/>
          <w:sz w:val="32"/>
          <w:szCs w:val="32"/>
          <w:highlight w:val="none"/>
          <w:u w:val="single"/>
        </w:rPr>
      </w:pPr>
      <w:r>
        <w:rPr>
          <w:rFonts w:hint="eastAsia" w:ascii="宋体" w:hAnsi="宋体"/>
          <w:color w:val="auto"/>
          <w:sz w:val="32"/>
          <w:szCs w:val="32"/>
          <w:highlight w:val="none"/>
        </w:rPr>
        <w:t>招标代理单位：</w:t>
      </w:r>
      <w:r>
        <w:rPr>
          <w:rFonts w:hint="eastAsia" w:ascii="宋体" w:hAnsi="宋体"/>
          <w:color w:val="auto"/>
          <w:sz w:val="32"/>
          <w:szCs w:val="32"/>
          <w:highlight w:val="none"/>
          <w:u w:val="single"/>
        </w:rPr>
        <w:t>广州集雅招标咨询有限公司</w:t>
      </w:r>
    </w:p>
    <w:p>
      <w:pPr>
        <w:widowControl/>
        <w:ind w:firstLine="640" w:firstLineChars="200"/>
        <w:rPr>
          <w:rFonts w:ascii="宋体" w:hAnsi="宋体"/>
          <w:color w:val="auto"/>
          <w:sz w:val="30"/>
          <w:szCs w:val="30"/>
          <w:highlight w:val="none"/>
        </w:rPr>
      </w:pPr>
      <w:r>
        <w:rPr>
          <w:rFonts w:hint="eastAsia" w:ascii="宋体" w:hAnsi="宋体"/>
          <w:color w:val="auto"/>
          <w:sz w:val="32"/>
          <w:szCs w:val="32"/>
          <w:highlight w:val="none"/>
        </w:rPr>
        <w:t>日        期：202</w:t>
      </w:r>
      <w:r>
        <w:rPr>
          <w:rFonts w:ascii="宋体" w:hAnsi="宋体"/>
          <w:color w:val="auto"/>
          <w:sz w:val="32"/>
          <w:szCs w:val="32"/>
          <w:highlight w:val="none"/>
        </w:rPr>
        <w:t>3</w:t>
      </w:r>
      <w:r>
        <w:rPr>
          <w:rFonts w:hint="eastAsia" w:ascii="宋体" w:hAnsi="宋体"/>
          <w:color w:val="auto"/>
          <w:sz w:val="32"/>
          <w:szCs w:val="32"/>
          <w:highlight w:val="none"/>
        </w:rPr>
        <w:t>年</w:t>
      </w:r>
      <w:r>
        <w:rPr>
          <w:rFonts w:ascii="宋体" w:hAnsi="宋体"/>
          <w:color w:val="auto"/>
          <w:sz w:val="32"/>
          <w:szCs w:val="32"/>
          <w:highlight w:val="none"/>
        </w:rPr>
        <w:t>0</w:t>
      </w:r>
      <w:r>
        <w:rPr>
          <w:rFonts w:hint="eastAsia" w:ascii="宋体" w:hAnsi="宋体"/>
          <w:color w:val="auto"/>
          <w:sz w:val="32"/>
          <w:szCs w:val="32"/>
          <w:highlight w:val="none"/>
        </w:rPr>
        <w:t>5月</w:t>
      </w:r>
    </w:p>
    <w:p>
      <w:pPr>
        <w:widowControl/>
        <w:tabs>
          <w:tab w:val="left" w:pos="851"/>
        </w:tabs>
        <w:spacing w:line="360" w:lineRule="auto"/>
        <w:ind w:left="480"/>
        <w:jc w:val="left"/>
        <w:rPr>
          <w:rFonts w:ascii="宋体" w:hAnsi="宋体" w:cs="宋体"/>
          <w:color w:val="auto"/>
          <w:sz w:val="24"/>
          <w:highlight w:val="none"/>
        </w:rPr>
      </w:pPr>
    </w:p>
    <w:p>
      <w:pPr>
        <w:widowControl/>
        <w:tabs>
          <w:tab w:val="left" w:pos="851"/>
        </w:tabs>
        <w:spacing w:line="360" w:lineRule="auto"/>
        <w:ind w:left="480"/>
        <w:jc w:val="left"/>
        <w:rPr>
          <w:rFonts w:ascii="宋体" w:hAnsi="宋体" w:cs="宋体"/>
          <w:color w:val="auto"/>
          <w:sz w:val="24"/>
          <w:szCs w:val="24"/>
          <w:highlight w:val="none"/>
        </w:rPr>
      </w:pPr>
    </w:p>
    <w:p>
      <w:pPr>
        <w:widowControl/>
        <w:tabs>
          <w:tab w:val="left" w:pos="851"/>
        </w:tabs>
        <w:spacing w:line="360" w:lineRule="auto"/>
        <w:ind w:left="482"/>
        <w:jc w:val="left"/>
        <w:rPr>
          <w:rFonts w:ascii="宋体" w:hAnsi="宋体" w:cs="宋体"/>
          <w:color w:val="auto"/>
          <w:sz w:val="24"/>
          <w:szCs w:val="24"/>
          <w:highlight w:val="none"/>
        </w:rPr>
      </w:pPr>
    </w:p>
    <w:p>
      <w:pPr>
        <w:pStyle w:val="95"/>
        <w:pageBreakBefore/>
        <w:spacing w:line="240" w:lineRule="auto"/>
        <w:jc w:val="center"/>
        <w:rPr>
          <w:rFonts w:ascii="宋体" w:hAnsi="宋体" w:cs="宋体"/>
          <w:color w:val="auto"/>
          <w:highlight w:val="none"/>
        </w:rPr>
      </w:pPr>
      <w:r>
        <w:rPr>
          <w:rFonts w:hint="eastAsia" w:ascii="宋体" w:hAnsi="宋体" w:cs="宋体"/>
          <w:color w:val="auto"/>
          <w:highlight w:val="none"/>
          <w:lang w:val="zh-CN"/>
        </w:rPr>
        <w:t>目录</w:t>
      </w:r>
    </w:p>
    <w:p>
      <w:pPr>
        <w:pStyle w:val="2"/>
        <w:rPr>
          <w:rFonts w:ascii="宋体" w:hAnsi="宋体" w:cstheme="minorBidi"/>
          <w:smallCaps w:val="0"/>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"_Toc132193440" </w:instrText>
      </w:r>
      <w:r>
        <w:rPr>
          <w:color w:val="auto"/>
          <w:highlight w:val="none"/>
        </w:rPr>
        <w:fldChar w:fldCharType="separate"/>
      </w:r>
      <w:r>
        <w:rPr>
          <w:rStyle w:val="44"/>
          <w:rFonts w:ascii="宋体" w:hAnsi="宋体" w:eastAsia="宋体" w:cs="宋体"/>
          <w:color w:val="auto"/>
          <w:sz w:val="24"/>
          <w:szCs w:val="24"/>
          <w:highlight w:val="none"/>
        </w:rPr>
        <w:t>第一章 招标公告</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_Toc132193440 \h </w:instrText>
      </w:r>
      <w:r>
        <w:rPr>
          <w:rFonts w:ascii="宋体" w:hAnsi="宋体"/>
          <w:color w:val="auto"/>
          <w:sz w:val="24"/>
          <w:szCs w:val="24"/>
          <w:highlight w:val="none"/>
        </w:rPr>
        <w:fldChar w:fldCharType="separate"/>
      </w:r>
      <w:r>
        <w:rPr>
          <w:rFonts w:ascii="宋体" w:hAnsi="宋体"/>
          <w:color w:val="auto"/>
          <w:sz w:val="24"/>
          <w:szCs w:val="24"/>
          <w:highlight w:val="none"/>
        </w:rPr>
        <w:t>3</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2"/>
        <w:rPr>
          <w:rFonts w:ascii="宋体" w:hAnsi="宋体" w:cstheme="minorBidi"/>
          <w:smallCaps w:val="0"/>
          <w:color w:val="auto"/>
          <w:sz w:val="24"/>
          <w:szCs w:val="24"/>
          <w:highlight w:val="none"/>
        </w:rPr>
      </w:pPr>
      <w:r>
        <w:rPr>
          <w:color w:val="auto"/>
          <w:highlight w:val="none"/>
        </w:rPr>
        <w:fldChar w:fldCharType="begin"/>
      </w:r>
      <w:r>
        <w:rPr>
          <w:color w:val="auto"/>
          <w:highlight w:val="none"/>
        </w:rPr>
        <w:instrText xml:space="preserve"> HYPERLINK \l "_Toc132193441" </w:instrText>
      </w:r>
      <w:r>
        <w:rPr>
          <w:color w:val="auto"/>
          <w:highlight w:val="none"/>
        </w:rPr>
        <w:fldChar w:fldCharType="separate"/>
      </w:r>
      <w:r>
        <w:rPr>
          <w:rStyle w:val="44"/>
          <w:rFonts w:ascii="宋体" w:hAnsi="宋体" w:eastAsia="宋体" w:cs="宋体"/>
          <w:color w:val="auto"/>
          <w:sz w:val="24"/>
          <w:szCs w:val="24"/>
          <w:highlight w:val="none"/>
        </w:rPr>
        <w:t>第二章 投标须知</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_Toc132193441 \h </w:instrText>
      </w:r>
      <w:r>
        <w:rPr>
          <w:rFonts w:ascii="宋体" w:hAnsi="宋体"/>
          <w:color w:val="auto"/>
          <w:sz w:val="24"/>
          <w:szCs w:val="24"/>
          <w:highlight w:val="none"/>
        </w:rPr>
        <w:fldChar w:fldCharType="separate"/>
      </w:r>
      <w:r>
        <w:rPr>
          <w:rFonts w:ascii="宋体" w:hAnsi="宋体"/>
          <w:color w:val="auto"/>
          <w:sz w:val="24"/>
          <w:szCs w:val="24"/>
          <w:highlight w:val="none"/>
        </w:rPr>
        <w:t>4</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"_Toc132193442" </w:instrText>
      </w:r>
      <w:r>
        <w:rPr>
          <w:color w:val="auto"/>
          <w:highlight w:val="none"/>
        </w:rPr>
        <w:fldChar w:fldCharType="separate"/>
      </w:r>
      <w:r>
        <w:rPr>
          <w:rStyle w:val="44"/>
          <w:rFonts w:ascii="宋体" w:hAnsi="宋体" w:eastAsia="宋体" w:cs="宋体"/>
          <w:color w:val="auto"/>
          <w:sz w:val="24"/>
          <w:szCs w:val="24"/>
          <w:highlight w:val="none"/>
        </w:rPr>
        <w:t>一、投标人须知前附表</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_Toc132193442 \h </w:instrText>
      </w:r>
      <w:r>
        <w:rPr>
          <w:rFonts w:ascii="宋体" w:hAnsi="宋体"/>
          <w:color w:val="auto"/>
          <w:sz w:val="24"/>
          <w:szCs w:val="24"/>
          <w:highlight w:val="none"/>
        </w:rPr>
        <w:fldChar w:fldCharType="separate"/>
      </w:r>
      <w:r>
        <w:rPr>
          <w:rFonts w:ascii="宋体" w:hAnsi="宋体"/>
          <w:color w:val="auto"/>
          <w:sz w:val="24"/>
          <w:szCs w:val="24"/>
          <w:highlight w:val="none"/>
        </w:rPr>
        <w:t>4</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"_Toc132193443" </w:instrText>
      </w:r>
      <w:r>
        <w:rPr>
          <w:color w:val="auto"/>
          <w:highlight w:val="none"/>
        </w:rPr>
        <w:fldChar w:fldCharType="separate"/>
      </w:r>
      <w:r>
        <w:rPr>
          <w:rStyle w:val="44"/>
          <w:rFonts w:ascii="宋体" w:hAnsi="宋体" w:eastAsia="宋体" w:cs="宋体"/>
          <w:color w:val="auto"/>
          <w:sz w:val="24"/>
          <w:szCs w:val="24"/>
          <w:highlight w:val="none"/>
        </w:rPr>
        <w:t>二、投标须知修改表</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_Toc132193443 \h </w:instrText>
      </w:r>
      <w:r>
        <w:rPr>
          <w:rFonts w:ascii="宋体" w:hAnsi="宋体"/>
          <w:color w:val="auto"/>
          <w:sz w:val="24"/>
          <w:szCs w:val="24"/>
          <w:highlight w:val="none"/>
        </w:rPr>
        <w:fldChar w:fldCharType="separate"/>
      </w:r>
      <w:r>
        <w:rPr>
          <w:rFonts w:ascii="宋体" w:hAnsi="宋体"/>
          <w:color w:val="auto"/>
          <w:sz w:val="24"/>
          <w:szCs w:val="24"/>
          <w:highlight w:val="none"/>
        </w:rPr>
        <w:t>7</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"_Toc132193444" </w:instrText>
      </w:r>
      <w:r>
        <w:rPr>
          <w:color w:val="auto"/>
          <w:highlight w:val="none"/>
        </w:rPr>
        <w:fldChar w:fldCharType="separate"/>
      </w:r>
      <w:r>
        <w:rPr>
          <w:rStyle w:val="44"/>
          <w:rFonts w:ascii="宋体" w:hAnsi="宋体" w:eastAsia="宋体" w:cs="宋体"/>
          <w:color w:val="auto"/>
          <w:sz w:val="24"/>
          <w:szCs w:val="24"/>
          <w:highlight w:val="none"/>
        </w:rPr>
        <w:t>三、投标须知通用条款</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_Toc132193444 \h </w:instrText>
      </w:r>
      <w:r>
        <w:rPr>
          <w:rFonts w:ascii="宋体" w:hAnsi="宋体"/>
          <w:color w:val="auto"/>
          <w:sz w:val="24"/>
          <w:szCs w:val="24"/>
          <w:highlight w:val="none"/>
        </w:rPr>
        <w:fldChar w:fldCharType="separate"/>
      </w:r>
      <w:r>
        <w:rPr>
          <w:rFonts w:ascii="宋体" w:hAnsi="宋体"/>
          <w:color w:val="auto"/>
          <w:sz w:val="24"/>
          <w:szCs w:val="24"/>
          <w:highlight w:val="none"/>
        </w:rPr>
        <w:t>9</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"_Toc132193445" </w:instrText>
      </w:r>
      <w:r>
        <w:rPr>
          <w:color w:val="auto"/>
          <w:highlight w:val="none"/>
        </w:rPr>
        <w:fldChar w:fldCharType="separate"/>
      </w:r>
      <w:r>
        <w:rPr>
          <w:rStyle w:val="44"/>
          <w:rFonts w:ascii="宋体" w:hAnsi="宋体" w:eastAsia="宋体" w:cs="宋体"/>
          <w:color w:val="auto"/>
          <w:sz w:val="24"/>
          <w:szCs w:val="24"/>
          <w:highlight w:val="none"/>
        </w:rPr>
        <w:t>附件一：开标记录表</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_Toc132193445 \h </w:instrText>
      </w:r>
      <w:r>
        <w:rPr>
          <w:rFonts w:ascii="宋体" w:hAnsi="宋体"/>
          <w:color w:val="auto"/>
          <w:sz w:val="24"/>
          <w:szCs w:val="24"/>
          <w:highlight w:val="none"/>
        </w:rPr>
        <w:fldChar w:fldCharType="separate"/>
      </w:r>
      <w:r>
        <w:rPr>
          <w:rFonts w:ascii="宋体" w:hAnsi="宋体"/>
          <w:color w:val="auto"/>
          <w:sz w:val="24"/>
          <w:szCs w:val="24"/>
          <w:highlight w:val="none"/>
        </w:rPr>
        <w:t>23</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"_Toc132193446" </w:instrText>
      </w:r>
      <w:r>
        <w:rPr>
          <w:color w:val="auto"/>
          <w:highlight w:val="none"/>
        </w:rPr>
        <w:fldChar w:fldCharType="separate"/>
      </w:r>
      <w:r>
        <w:rPr>
          <w:rStyle w:val="44"/>
          <w:rFonts w:ascii="宋体" w:hAnsi="宋体" w:eastAsia="宋体" w:cs="宋体"/>
          <w:color w:val="auto"/>
          <w:sz w:val="24"/>
          <w:szCs w:val="24"/>
          <w:highlight w:val="none"/>
        </w:rPr>
        <w:t>附件二：问题澄清通知</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_Toc132193446 \h </w:instrText>
      </w:r>
      <w:r>
        <w:rPr>
          <w:rFonts w:ascii="宋体" w:hAnsi="宋体"/>
          <w:color w:val="auto"/>
          <w:sz w:val="24"/>
          <w:szCs w:val="24"/>
          <w:highlight w:val="none"/>
        </w:rPr>
        <w:fldChar w:fldCharType="separate"/>
      </w:r>
      <w:r>
        <w:rPr>
          <w:rFonts w:ascii="宋体" w:hAnsi="宋体"/>
          <w:color w:val="auto"/>
          <w:sz w:val="24"/>
          <w:szCs w:val="24"/>
          <w:highlight w:val="none"/>
        </w:rPr>
        <w:t>25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"_Toc132193447" </w:instrText>
      </w:r>
      <w:r>
        <w:rPr>
          <w:color w:val="auto"/>
          <w:highlight w:val="none"/>
        </w:rPr>
        <w:fldChar w:fldCharType="separate"/>
      </w:r>
      <w:r>
        <w:rPr>
          <w:rStyle w:val="44"/>
          <w:rFonts w:ascii="宋体" w:hAnsi="宋体" w:eastAsia="宋体" w:cs="宋体"/>
          <w:color w:val="auto"/>
          <w:sz w:val="24"/>
          <w:szCs w:val="24"/>
          <w:highlight w:val="none"/>
        </w:rPr>
        <w:t>附件三：问题的澄清</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_Toc132193447 \h </w:instrText>
      </w:r>
      <w:r>
        <w:rPr>
          <w:rFonts w:ascii="宋体" w:hAnsi="宋体"/>
          <w:color w:val="auto"/>
          <w:sz w:val="24"/>
          <w:szCs w:val="24"/>
          <w:highlight w:val="none"/>
        </w:rPr>
        <w:fldChar w:fldCharType="separate"/>
      </w:r>
      <w:r>
        <w:rPr>
          <w:rFonts w:ascii="宋体" w:hAnsi="宋体"/>
          <w:color w:val="auto"/>
          <w:sz w:val="24"/>
          <w:szCs w:val="24"/>
          <w:highlight w:val="none"/>
        </w:rPr>
        <w:t>26</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"_Toc132193448" </w:instrText>
      </w:r>
      <w:r>
        <w:rPr>
          <w:color w:val="auto"/>
          <w:highlight w:val="none"/>
        </w:rPr>
        <w:fldChar w:fldCharType="separate"/>
      </w:r>
      <w:r>
        <w:rPr>
          <w:rStyle w:val="44"/>
          <w:rFonts w:ascii="宋体" w:hAnsi="宋体" w:eastAsia="宋体" w:cs="宋体"/>
          <w:color w:val="auto"/>
          <w:sz w:val="24"/>
          <w:szCs w:val="24"/>
          <w:highlight w:val="none"/>
        </w:rPr>
        <w:t>附件四：中标通知书</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_Toc132193448 \h </w:instrText>
      </w:r>
      <w:r>
        <w:rPr>
          <w:rFonts w:ascii="宋体" w:hAnsi="宋体"/>
          <w:color w:val="auto"/>
          <w:sz w:val="24"/>
          <w:szCs w:val="24"/>
          <w:highlight w:val="none"/>
        </w:rPr>
        <w:fldChar w:fldCharType="separate"/>
      </w:r>
      <w:r>
        <w:rPr>
          <w:rFonts w:ascii="宋体" w:hAnsi="宋体"/>
          <w:color w:val="auto"/>
          <w:sz w:val="24"/>
          <w:szCs w:val="24"/>
          <w:highlight w:val="none"/>
        </w:rPr>
        <w:t>27</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2"/>
        <w:rPr>
          <w:rFonts w:ascii="宋体" w:hAnsi="宋体" w:cstheme="minorBidi"/>
          <w:smallCaps w:val="0"/>
          <w:color w:val="auto"/>
          <w:sz w:val="24"/>
          <w:szCs w:val="24"/>
          <w:highlight w:val="none"/>
        </w:rPr>
      </w:pPr>
      <w:r>
        <w:rPr>
          <w:color w:val="auto"/>
          <w:highlight w:val="none"/>
        </w:rPr>
        <w:fldChar w:fldCharType="begin"/>
      </w:r>
      <w:r>
        <w:rPr>
          <w:color w:val="auto"/>
          <w:highlight w:val="none"/>
        </w:rPr>
        <w:instrText xml:space="preserve"> HYPERLINK \l "_Toc132193449" </w:instrText>
      </w:r>
      <w:r>
        <w:rPr>
          <w:color w:val="auto"/>
          <w:highlight w:val="none"/>
        </w:rPr>
        <w:fldChar w:fldCharType="separate"/>
      </w:r>
      <w:r>
        <w:rPr>
          <w:rStyle w:val="44"/>
          <w:rFonts w:ascii="宋体" w:hAnsi="宋体" w:eastAsia="宋体" w:cs="宋体"/>
          <w:color w:val="auto"/>
          <w:sz w:val="24"/>
          <w:szCs w:val="24"/>
          <w:highlight w:val="none"/>
        </w:rPr>
        <w:t>第三章 评标及定标办法</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_Toc132193449 \h </w:instrText>
      </w:r>
      <w:r>
        <w:rPr>
          <w:rFonts w:ascii="宋体" w:hAnsi="宋体"/>
          <w:color w:val="auto"/>
          <w:sz w:val="24"/>
          <w:szCs w:val="24"/>
          <w:highlight w:val="none"/>
        </w:rPr>
        <w:fldChar w:fldCharType="separate"/>
      </w:r>
      <w:r>
        <w:rPr>
          <w:rFonts w:ascii="宋体" w:hAnsi="宋体"/>
          <w:color w:val="auto"/>
          <w:sz w:val="24"/>
          <w:szCs w:val="24"/>
          <w:highlight w:val="none"/>
        </w:rPr>
        <w:t>28</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"_Toc132193450" </w:instrText>
      </w:r>
      <w:r>
        <w:rPr>
          <w:color w:val="auto"/>
          <w:highlight w:val="none"/>
        </w:rPr>
        <w:fldChar w:fldCharType="separate"/>
      </w:r>
      <w:r>
        <w:rPr>
          <w:rStyle w:val="44"/>
          <w:rFonts w:ascii="宋体" w:hAnsi="宋体" w:eastAsia="宋体" w:cs="宋体"/>
          <w:color w:val="auto"/>
          <w:sz w:val="24"/>
          <w:szCs w:val="24"/>
          <w:highlight w:val="none"/>
        </w:rPr>
        <w:t>一、评标及定标办法修改表</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_Toc132193450 \h </w:instrText>
      </w:r>
      <w:r>
        <w:rPr>
          <w:rFonts w:ascii="宋体" w:hAnsi="宋体"/>
          <w:color w:val="auto"/>
          <w:sz w:val="24"/>
          <w:szCs w:val="24"/>
          <w:highlight w:val="none"/>
        </w:rPr>
        <w:fldChar w:fldCharType="separate"/>
      </w:r>
      <w:r>
        <w:rPr>
          <w:rFonts w:ascii="宋体" w:hAnsi="宋体"/>
          <w:color w:val="auto"/>
          <w:sz w:val="24"/>
          <w:szCs w:val="24"/>
          <w:highlight w:val="none"/>
        </w:rPr>
        <w:t>28</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"_Toc132193451" </w:instrText>
      </w:r>
      <w:r>
        <w:rPr>
          <w:color w:val="auto"/>
          <w:highlight w:val="none"/>
        </w:rPr>
        <w:fldChar w:fldCharType="separate"/>
      </w:r>
      <w:r>
        <w:rPr>
          <w:rStyle w:val="44"/>
          <w:rFonts w:ascii="宋体" w:hAnsi="宋体" w:eastAsia="宋体" w:cs="宋体"/>
          <w:color w:val="auto"/>
          <w:sz w:val="24"/>
          <w:szCs w:val="24"/>
          <w:highlight w:val="none"/>
        </w:rPr>
        <w:t>二、评标及定标办法通用条款</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_Toc132193451 \h </w:instrText>
      </w:r>
      <w:r>
        <w:rPr>
          <w:rFonts w:ascii="宋体" w:hAnsi="宋体"/>
          <w:color w:val="auto"/>
          <w:sz w:val="24"/>
          <w:szCs w:val="24"/>
          <w:highlight w:val="none"/>
        </w:rPr>
        <w:fldChar w:fldCharType="separate"/>
      </w:r>
      <w:r>
        <w:rPr>
          <w:rFonts w:ascii="宋体" w:hAnsi="宋体"/>
          <w:color w:val="auto"/>
          <w:sz w:val="24"/>
          <w:szCs w:val="24"/>
          <w:highlight w:val="none"/>
        </w:rPr>
        <w:t>30</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"_Toc132193452" </w:instrText>
      </w:r>
      <w:r>
        <w:rPr>
          <w:color w:val="auto"/>
          <w:highlight w:val="none"/>
        </w:rPr>
        <w:fldChar w:fldCharType="separate"/>
      </w:r>
      <w:r>
        <w:rPr>
          <w:rStyle w:val="44"/>
          <w:rFonts w:ascii="宋体" w:hAnsi="宋体" w:eastAsia="宋体" w:cs="宋体"/>
          <w:color w:val="auto"/>
          <w:sz w:val="24"/>
          <w:szCs w:val="24"/>
          <w:highlight w:val="none"/>
        </w:rPr>
        <w:t>方法一：综合评估法一</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_Toc132193452 \h </w:instrText>
      </w:r>
      <w:r>
        <w:rPr>
          <w:rFonts w:ascii="宋体" w:hAnsi="宋体"/>
          <w:color w:val="auto"/>
          <w:sz w:val="24"/>
          <w:szCs w:val="24"/>
          <w:highlight w:val="none"/>
        </w:rPr>
        <w:fldChar w:fldCharType="separate"/>
      </w:r>
      <w:r>
        <w:rPr>
          <w:rFonts w:ascii="宋体" w:hAnsi="宋体"/>
          <w:color w:val="auto"/>
          <w:sz w:val="24"/>
          <w:szCs w:val="24"/>
          <w:highlight w:val="none"/>
        </w:rPr>
        <w:t>30</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2"/>
        <w:rPr>
          <w:rFonts w:ascii="宋体" w:hAnsi="宋体" w:cstheme="minorBidi"/>
          <w:smallCaps w:val="0"/>
          <w:color w:val="auto"/>
          <w:sz w:val="24"/>
          <w:szCs w:val="24"/>
          <w:highlight w:val="none"/>
        </w:rPr>
      </w:pPr>
      <w:r>
        <w:rPr>
          <w:color w:val="auto"/>
          <w:highlight w:val="none"/>
        </w:rPr>
        <w:fldChar w:fldCharType="begin"/>
      </w:r>
      <w:r>
        <w:rPr>
          <w:color w:val="auto"/>
          <w:highlight w:val="none"/>
        </w:rPr>
        <w:instrText xml:space="preserve"> HYPERLINK \l "_Toc132193453" </w:instrText>
      </w:r>
      <w:r>
        <w:rPr>
          <w:color w:val="auto"/>
          <w:highlight w:val="none"/>
        </w:rPr>
        <w:fldChar w:fldCharType="separate"/>
      </w:r>
      <w:r>
        <w:rPr>
          <w:rStyle w:val="44"/>
          <w:rFonts w:ascii="宋体" w:hAnsi="宋体" w:eastAsia="宋体" w:cs="宋体"/>
          <w:color w:val="auto"/>
          <w:sz w:val="24"/>
          <w:szCs w:val="24"/>
          <w:highlight w:val="none"/>
        </w:rPr>
        <w:t>第四章 合同条款</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_Toc132193453 \h </w:instrText>
      </w:r>
      <w:r>
        <w:rPr>
          <w:rFonts w:ascii="宋体" w:hAnsi="宋体"/>
          <w:color w:val="auto"/>
          <w:sz w:val="24"/>
          <w:szCs w:val="24"/>
          <w:highlight w:val="none"/>
        </w:rPr>
        <w:fldChar w:fldCharType="separate"/>
      </w:r>
      <w:r>
        <w:rPr>
          <w:rFonts w:ascii="宋体" w:hAnsi="宋体"/>
          <w:color w:val="auto"/>
          <w:sz w:val="24"/>
          <w:szCs w:val="24"/>
          <w:highlight w:val="none"/>
        </w:rPr>
        <w:t>41</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2"/>
        <w:rPr>
          <w:rFonts w:ascii="宋体" w:hAnsi="宋体" w:cstheme="minorBidi"/>
          <w:smallCaps w:val="0"/>
          <w:color w:val="auto"/>
          <w:sz w:val="24"/>
          <w:szCs w:val="24"/>
          <w:highlight w:val="none"/>
        </w:rPr>
      </w:pPr>
      <w:r>
        <w:rPr>
          <w:color w:val="auto"/>
          <w:highlight w:val="none"/>
        </w:rPr>
        <w:fldChar w:fldCharType="begin"/>
      </w:r>
      <w:r>
        <w:rPr>
          <w:color w:val="auto"/>
          <w:highlight w:val="none"/>
        </w:rPr>
        <w:instrText xml:space="preserve"> HYPERLINK \l "_Toc132193454" </w:instrText>
      </w:r>
      <w:r>
        <w:rPr>
          <w:color w:val="auto"/>
          <w:highlight w:val="none"/>
        </w:rPr>
        <w:fldChar w:fldCharType="separate"/>
      </w:r>
      <w:r>
        <w:rPr>
          <w:rStyle w:val="44"/>
          <w:rFonts w:ascii="宋体" w:hAnsi="宋体" w:eastAsia="宋体" w:cs="宋体"/>
          <w:color w:val="auto"/>
          <w:sz w:val="24"/>
          <w:szCs w:val="24"/>
          <w:highlight w:val="none"/>
        </w:rPr>
        <w:t>第五章 工程量清单（固定单价承包）</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_Toc132193454 \h </w:instrText>
      </w:r>
      <w:r>
        <w:rPr>
          <w:rFonts w:ascii="宋体" w:hAnsi="宋体"/>
          <w:color w:val="auto"/>
          <w:sz w:val="24"/>
          <w:szCs w:val="24"/>
          <w:highlight w:val="none"/>
        </w:rPr>
        <w:fldChar w:fldCharType="separate"/>
      </w:r>
      <w:r>
        <w:rPr>
          <w:rFonts w:ascii="宋体" w:hAnsi="宋体"/>
          <w:color w:val="auto"/>
          <w:sz w:val="24"/>
          <w:szCs w:val="24"/>
          <w:highlight w:val="none"/>
        </w:rPr>
        <w:t>42</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"_Toc132193455" </w:instrText>
      </w:r>
      <w:r>
        <w:rPr>
          <w:color w:val="auto"/>
          <w:highlight w:val="none"/>
        </w:rPr>
        <w:fldChar w:fldCharType="separate"/>
      </w:r>
      <w:r>
        <w:rPr>
          <w:rStyle w:val="44"/>
          <w:rFonts w:ascii="宋体" w:hAnsi="宋体" w:eastAsia="宋体"/>
          <w:color w:val="auto"/>
          <w:sz w:val="24"/>
          <w:szCs w:val="24"/>
          <w:highlight w:val="none"/>
        </w:rPr>
        <w:t>一、工程量清单说明</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_Toc132193455 \h </w:instrText>
      </w:r>
      <w:r>
        <w:rPr>
          <w:rFonts w:ascii="宋体" w:hAnsi="宋体"/>
          <w:color w:val="auto"/>
          <w:sz w:val="24"/>
          <w:szCs w:val="24"/>
          <w:highlight w:val="none"/>
        </w:rPr>
        <w:fldChar w:fldCharType="separate"/>
      </w:r>
      <w:r>
        <w:rPr>
          <w:rFonts w:ascii="宋体" w:hAnsi="宋体"/>
          <w:color w:val="auto"/>
          <w:sz w:val="24"/>
          <w:szCs w:val="24"/>
          <w:highlight w:val="none"/>
        </w:rPr>
        <w:t>42</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"_Toc132193456" </w:instrText>
      </w:r>
      <w:r>
        <w:rPr>
          <w:color w:val="auto"/>
          <w:highlight w:val="none"/>
        </w:rPr>
        <w:fldChar w:fldCharType="separate"/>
      </w:r>
      <w:r>
        <w:rPr>
          <w:rStyle w:val="44"/>
          <w:rFonts w:ascii="宋体" w:hAnsi="宋体" w:eastAsia="宋体"/>
          <w:color w:val="auto"/>
          <w:sz w:val="24"/>
          <w:szCs w:val="24"/>
          <w:highlight w:val="none"/>
        </w:rPr>
        <w:t>二、投标报价说明</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_Toc132193456 \h </w:instrText>
      </w:r>
      <w:r>
        <w:rPr>
          <w:rFonts w:ascii="宋体" w:hAnsi="宋体"/>
          <w:color w:val="auto"/>
          <w:sz w:val="24"/>
          <w:szCs w:val="24"/>
          <w:highlight w:val="none"/>
        </w:rPr>
        <w:fldChar w:fldCharType="separate"/>
      </w:r>
      <w:r>
        <w:rPr>
          <w:rFonts w:ascii="宋体" w:hAnsi="宋体"/>
          <w:color w:val="auto"/>
          <w:sz w:val="24"/>
          <w:szCs w:val="24"/>
          <w:highlight w:val="none"/>
        </w:rPr>
        <w:t>42</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"_Toc132193457" </w:instrText>
      </w:r>
      <w:r>
        <w:rPr>
          <w:color w:val="auto"/>
          <w:highlight w:val="none"/>
        </w:rPr>
        <w:fldChar w:fldCharType="separate"/>
      </w:r>
      <w:r>
        <w:rPr>
          <w:rStyle w:val="44"/>
          <w:rFonts w:ascii="宋体" w:hAnsi="宋体" w:eastAsia="宋体" w:cs="宋体"/>
          <w:color w:val="auto"/>
          <w:sz w:val="24"/>
          <w:szCs w:val="24"/>
          <w:highlight w:val="none"/>
        </w:rPr>
        <w:t>三、其他说明</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_Toc132193457 \h </w:instrText>
      </w:r>
      <w:r>
        <w:rPr>
          <w:rFonts w:ascii="宋体" w:hAnsi="宋体"/>
          <w:color w:val="auto"/>
          <w:sz w:val="24"/>
          <w:szCs w:val="24"/>
          <w:highlight w:val="none"/>
        </w:rPr>
        <w:fldChar w:fldCharType="separate"/>
      </w:r>
      <w:r>
        <w:rPr>
          <w:rFonts w:ascii="宋体" w:hAnsi="宋体"/>
          <w:color w:val="auto"/>
          <w:sz w:val="24"/>
          <w:szCs w:val="24"/>
          <w:highlight w:val="none"/>
        </w:rPr>
        <w:t>42</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"_Toc132193458" </w:instrText>
      </w:r>
      <w:r>
        <w:rPr>
          <w:color w:val="auto"/>
          <w:highlight w:val="none"/>
        </w:rPr>
        <w:fldChar w:fldCharType="separate"/>
      </w:r>
      <w:r>
        <w:rPr>
          <w:rStyle w:val="44"/>
          <w:rFonts w:ascii="宋体" w:hAnsi="宋体" w:eastAsia="宋体" w:cs="宋体"/>
          <w:color w:val="auto"/>
          <w:sz w:val="24"/>
          <w:szCs w:val="24"/>
          <w:highlight w:val="none"/>
        </w:rPr>
        <w:t>四、工程量清单</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_Toc132193458 \h </w:instrText>
      </w:r>
      <w:r>
        <w:rPr>
          <w:rFonts w:ascii="宋体" w:hAnsi="宋体"/>
          <w:color w:val="auto"/>
          <w:sz w:val="24"/>
          <w:szCs w:val="24"/>
          <w:highlight w:val="none"/>
        </w:rPr>
        <w:fldChar w:fldCharType="separate"/>
      </w:r>
      <w:r>
        <w:rPr>
          <w:rFonts w:ascii="宋体" w:hAnsi="宋体"/>
          <w:color w:val="auto"/>
          <w:sz w:val="24"/>
          <w:szCs w:val="24"/>
          <w:highlight w:val="none"/>
        </w:rPr>
        <w:t>42</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2"/>
        <w:rPr>
          <w:rFonts w:ascii="宋体" w:hAnsi="宋体" w:cstheme="minorBidi"/>
          <w:smallCaps w:val="0"/>
          <w:color w:val="auto"/>
          <w:sz w:val="24"/>
          <w:szCs w:val="24"/>
          <w:highlight w:val="none"/>
        </w:rPr>
      </w:pPr>
      <w:r>
        <w:rPr>
          <w:color w:val="auto"/>
          <w:highlight w:val="none"/>
        </w:rPr>
        <w:fldChar w:fldCharType="begin"/>
      </w:r>
      <w:r>
        <w:rPr>
          <w:color w:val="auto"/>
          <w:highlight w:val="none"/>
        </w:rPr>
        <w:instrText xml:space="preserve"> HYPERLINK \l "_Toc132193459" </w:instrText>
      </w:r>
      <w:r>
        <w:rPr>
          <w:color w:val="auto"/>
          <w:highlight w:val="none"/>
        </w:rPr>
        <w:fldChar w:fldCharType="separate"/>
      </w:r>
      <w:r>
        <w:rPr>
          <w:rStyle w:val="44"/>
          <w:rFonts w:ascii="宋体" w:hAnsi="宋体" w:eastAsia="宋体" w:cs="宋体"/>
          <w:color w:val="auto"/>
          <w:sz w:val="24"/>
          <w:szCs w:val="24"/>
          <w:highlight w:val="none"/>
        </w:rPr>
        <w:t>第六章 图纸</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_Toc132193459 \h </w:instrText>
      </w:r>
      <w:r>
        <w:rPr>
          <w:rFonts w:ascii="宋体" w:hAnsi="宋体"/>
          <w:color w:val="auto"/>
          <w:sz w:val="24"/>
          <w:szCs w:val="24"/>
          <w:highlight w:val="none"/>
        </w:rPr>
        <w:fldChar w:fldCharType="separate"/>
      </w:r>
      <w:r>
        <w:rPr>
          <w:rFonts w:ascii="宋体" w:hAnsi="宋体"/>
          <w:color w:val="auto"/>
          <w:sz w:val="24"/>
          <w:szCs w:val="24"/>
          <w:highlight w:val="none"/>
        </w:rPr>
        <w:t>43</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2"/>
        <w:rPr>
          <w:rFonts w:ascii="宋体" w:hAnsi="宋体" w:cstheme="minorBidi"/>
          <w:smallCaps w:val="0"/>
          <w:color w:val="auto"/>
          <w:sz w:val="24"/>
          <w:szCs w:val="24"/>
          <w:highlight w:val="none"/>
        </w:rPr>
      </w:pPr>
      <w:r>
        <w:rPr>
          <w:color w:val="auto"/>
          <w:highlight w:val="none"/>
        </w:rPr>
        <w:fldChar w:fldCharType="begin"/>
      </w:r>
      <w:r>
        <w:rPr>
          <w:color w:val="auto"/>
          <w:highlight w:val="none"/>
        </w:rPr>
        <w:instrText xml:space="preserve"> HYPERLINK \l "_Toc132193460" </w:instrText>
      </w:r>
      <w:r>
        <w:rPr>
          <w:color w:val="auto"/>
          <w:highlight w:val="none"/>
        </w:rPr>
        <w:fldChar w:fldCharType="separate"/>
      </w:r>
      <w:r>
        <w:rPr>
          <w:rStyle w:val="44"/>
          <w:rFonts w:ascii="宋体" w:hAnsi="宋体" w:eastAsia="宋体" w:cs="宋体"/>
          <w:color w:val="auto"/>
          <w:sz w:val="24"/>
          <w:szCs w:val="24"/>
          <w:highlight w:val="none"/>
        </w:rPr>
        <w:t>第七章 技术标准和要求（合同技术条款）</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_Toc132193460 \h </w:instrText>
      </w:r>
      <w:r>
        <w:rPr>
          <w:rFonts w:ascii="宋体" w:hAnsi="宋体"/>
          <w:color w:val="auto"/>
          <w:sz w:val="24"/>
          <w:szCs w:val="24"/>
          <w:highlight w:val="none"/>
        </w:rPr>
        <w:fldChar w:fldCharType="separate"/>
      </w:r>
      <w:r>
        <w:rPr>
          <w:rFonts w:ascii="宋体" w:hAnsi="宋体"/>
          <w:color w:val="auto"/>
          <w:sz w:val="24"/>
          <w:szCs w:val="24"/>
          <w:highlight w:val="none"/>
        </w:rPr>
        <w:t>44</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2"/>
        <w:rPr>
          <w:rFonts w:ascii="宋体" w:hAnsi="宋体" w:cstheme="minorBidi"/>
          <w:smallCaps w:val="0"/>
          <w:color w:val="auto"/>
          <w:sz w:val="24"/>
          <w:szCs w:val="24"/>
          <w:highlight w:val="none"/>
        </w:rPr>
      </w:pPr>
      <w:r>
        <w:rPr>
          <w:color w:val="auto"/>
          <w:highlight w:val="none"/>
        </w:rPr>
        <w:fldChar w:fldCharType="begin"/>
      </w:r>
      <w:r>
        <w:rPr>
          <w:color w:val="auto"/>
          <w:highlight w:val="none"/>
        </w:rPr>
        <w:instrText xml:space="preserve"> HYPERLINK \l "_Toc132193461" </w:instrText>
      </w:r>
      <w:r>
        <w:rPr>
          <w:color w:val="auto"/>
          <w:highlight w:val="none"/>
        </w:rPr>
        <w:fldChar w:fldCharType="separate"/>
      </w:r>
      <w:r>
        <w:rPr>
          <w:rStyle w:val="44"/>
          <w:rFonts w:ascii="宋体" w:hAnsi="宋体" w:eastAsia="宋体" w:cs="宋体"/>
          <w:color w:val="auto"/>
          <w:sz w:val="24"/>
          <w:szCs w:val="24"/>
          <w:highlight w:val="none"/>
        </w:rPr>
        <w:t>第八章 投标文件格式</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_Toc132193461 \h </w:instrText>
      </w:r>
      <w:r>
        <w:rPr>
          <w:rFonts w:ascii="宋体" w:hAnsi="宋体"/>
          <w:color w:val="auto"/>
          <w:sz w:val="24"/>
          <w:szCs w:val="24"/>
          <w:highlight w:val="none"/>
        </w:rPr>
        <w:fldChar w:fldCharType="separate"/>
      </w:r>
      <w:r>
        <w:rPr>
          <w:rFonts w:ascii="宋体" w:hAnsi="宋体"/>
          <w:color w:val="auto"/>
          <w:sz w:val="24"/>
          <w:szCs w:val="24"/>
          <w:highlight w:val="none"/>
        </w:rPr>
        <w:t>45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"_Toc132193462" </w:instrText>
      </w:r>
      <w:r>
        <w:rPr>
          <w:color w:val="auto"/>
          <w:highlight w:val="none"/>
        </w:rPr>
        <w:fldChar w:fldCharType="separate"/>
      </w:r>
      <w:r>
        <w:rPr>
          <w:rStyle w:val="44"/>
          <w:rFonts w:ascii="宋体" w:hAnsi="宋体" w:eastAsia="宋体" w:cs="宋体"/>
          <w:color w:val="auto"/>
          <w:sz w:val="24"/>
          <w:szCs w:val="24"/>
          <w:highlight w:val="none"/>
        </w:rPr>
        <w:t>一、投标函及投标函附录</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_Toc132193462 \h </w:instrText>
      </w:r>
      <w:r>
        <w:rPr>
          <w:rFonts w:ascii="宋体" w:hAnsi="宋体"/>
          <w:color w:val="auto"/>
          <w:sz w:val="24"/>
          <w:szCs w:val="24"/>
          <w:highlight w:val="none"/>
        </w:rPr>
        <w:fldChar w:fldCharType="separate"/>
      </w:r>
      <w:r>
        <w:rPr>
          <w:rFonts w:ascii="宋体" w:hAnsi="宋体"/>
          <w:color w:val="auto"/>
          <w:sz w:val="24"/>
          <w:szCs w:val="24"/>
          <w:highlight w:val="none"/>
        </w:rPr>
        <w:t>48</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"_Toc132193463" </w:instrText>
      </w:r>
      <w:r>
        <w:rPr>
          <w:color w:val="auto"/>
          <w:highlight w:val="none"/>
        </w:rPr>
        <w:fldChar w:fldCharType="separate"/>
      </w:r>
      <w:r>
        <w:rPr>
          <w:rStyle w:val="44"/>
          <w:rFonts w:ascii="宋体" w:hAnsi="宋体" w:eastAsia="宋体" w:cs="宋体"/>
          <w:color w:val="auto"/>
          <w:sz w:val="24"/>
          <w:szCs w:val="24"/>
          <w:highlight w:val="none"/>
        </w:rPr>
        <w:t>二、法定代表人身份证明</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_Toc132193463 \h </w:instrText>
      </w:r>
      <w:r>
        <w:rPr>
          <w:rFonts w:ascii="宋体" w:hAnsi="宋体"/>
          <w:color w:val="auto"/>
          <w:sz w:val="24"/>
          <w:szCs w:val="24"/>
          <w:highlight w:val="none"/>
        </w:rPr>
        <w:fldChar w:fldCharType="separate"/>
      </w:r>
      <w:r>
        <w:rPr>
          <w:rFonts w:ascii="宋体" w:hAnsi="宋体"/>
          <w:color w:val="auto"/>
          <w:sz w:val="24"/>
          <w:szCs w:val="24"/>
          <w:highlight w:val="none"/>
        </w:rPr>
        <w:t>50</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"_Toc132193464" </w:instrText>
      </w:r>
      <w:r>
        <w:rPr>
          <w:color w:val="auto"/>
          <w:highlight w:val="none"/>
        </w:rPr>
        <w:fldChar w:fldCharType="separate"/>
      </w:r>
      <w:r>
        <w:rPr>
          <w:rStyle w:val="44"/>
          <w:rFonts w:ascii="宋体" w:hAnsi="宋体" w:eastAsia="宋体" w:cs="宋体"/>
          <w:color w:val="auto"/>
          <w:sz w:val="24"/>
          <w:szCs w:val="24"/>
          <w:highlight w:val="none"/>
        </w:rPr>
        <w:t>三、授权委托书</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_Toc132193464 \h </w:instrText>
      </w:r>
      <w:r>
        <w:rPr>
          <w:rFonts w:ascii="宋体" w:hAnsi="宋体"/>
          <w:color w:val="auto"/>
          <w:sz w:val="24"/>
          <w:szCs w:val="24"/>
          <w:highlight w:val="none"/>
        </w:rPr>
        <w:fldChar w:fldCharType="separate"/>
      </w:r>
      <w:r>
        <w:rPr>
          <w:rFonts w:ascii="宋体" w:hAnsi="宋体"/>
          <w:color w:val="auto"/>
          <w:sz w:val="24"/>
          <w:szCs w:val="24"/>
          <w:highlight w:val="none"/>
        </w:rPr>
        <w:t>51</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"_Toc132193465" </w:instrText>
      </w:r>
      <w:r>
        <w:rPr>
          <w:color w:val="auto"/>
          <w:highlight w:val="none"/>
        </w:rPr>
        <w:fldChar w:fldCharType="separate"/>
      </w:r>
      <w:r>
        <w:rPr>
          <w:rStyle w:val="44"/>
          <w:rFonts w:ascii="宋体" w:hAnsi="宋体" w:eastAsia="宋体" w:cs="宋体"/>
          <w:color w:val="auto"/>
          <w:sz w:val="24"/>
          <w:szCs w:val="24"/>
          <w:highlight w:val="none"/>
        </w:rPr>
        <w:t>四、联合体协议书</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_Toc132193465 \h </w:instrText>
      </w:r>
      <w:r>
        <w:rPr>
          <w:rFonts w:ascii="宋体" w:hAnsi="宋体"/>
          <w:color w:val="auto"/>
          <w:sz w:val="24"/>
          <w:szCs w:val="24"/>
          <w:highlight w:val="none"/>
        </w:rPr>
        <w:fldChar w:fldCharType="separate"/>
      </w:r>
      <w:r>
        <w:rPr>
          <w:rFonts w:ascii="宋体" w:hAnsi="宋体"/>
          <w:color w:val="auto"/>
          <w:sz w:val="24"/>
          <w:szCs w:val="24"/>
          <w:highlight w:val="none"/>
        </w:rPr>
        <w:t>52</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"_Toc132193467" </w:instrText>
      </w:r>
      <w:r>
        <w:rPr>
          <w:color w:val="auto"/>
          <w:highlight w:val="none"/>
        </w:rPr>
        <w:fldChar w:fldCharType="separate"/>
      </w:r>
      <w:r>
        <w:rPr>
          <w:rFonts w:hint="eastAsia"/>
          <w:color w:val="auto"/>
          <w:highlight w:val="none"/>
          <w:lang w:val="en-US" w:eastAsia="zh-CN"/>
        </w:rPr>
        <w:t>五</w:t>
      </w:r>
      <w:r>
        <w:rPr>
          <w:rStyle w:val="44"/>
          <w:rFonts w:ascii="宋体" w:hAnsi="宋体" w:eastAsia="宋体" w:cs="宋体"/>
          <w:color w:val="auto"/>
          <w:sz w:val="24"/>
          <w:szCs w:val="24"/>
          <w:highlight w:val="none"/>
        </w:rPr>
        <w:t>、已标价工程量清单</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_Toc132193467 \h </w:instrText>
      </w:r>
      <w:r>
        <w:rPr>
          <w:rFonts w:ascii="宋体" w:hAnsi="宋体"/>
          <w:color w:val="auto"/>
          <w:sz w:val="24"/>
          <w:szCs w:val="24"/>
          <w:highlight w:val="none"/>
        </w:rPr>
        <w:fldChar w:fldCharType="separate"/>
      </w:r>
      <w:r>
        <w:rPr>
          <w:rFonts w:ascii="宋体" w:hAnsi="宋体"/>
          <w:color w:val="auto"/>
          <w:sz w:val="24"/>
          <w:szCs w:val="24"/>
          <w:highlight w:val="none"/>
        </w:rPr>
        <w:t>53</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"_Toc132193468" </w:instrText>
      </w:r>
      <w:r>
        <w:rPr>
          <w:color w:val="auto"/>
          <w:highlight w:val="none"/>
        </w:rPr>
        <w:fldChar w:fldCharType="separate"/>
      </w:r>
      <w:r>
        <w:rPr>
          <w:rFonts w:hint="eastAsia"/>
          <w:color w:val="auto"/>
          <w:highlight w:val="none"/>
          <w:lang w:val="en-US" w:eastAsia="zh-CN"/>
        </w:rPr>
        <w:t>六</w:t>
      </w:r>
      <w:r>
        <w:rPr>
          <w:rStyle w:val="44"/>
          <w:rFonts w:ascii="宋体" w:hAnsi="宋体" w:eastAsia="宋体" w:cs="宋体"/>
          <w:color w:val="auto"/>
          <w:sz w:val="24"/>
          <w:szCs w:val="24"/>
          <w:highlight w:val="none"/>
        </w:rPr>
        <w:t>、施工组织设计</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_Toc132193468 \h </w:instrText>
      </w:r>
      <w:r>
        <w:rPr>
          <w:rFonts w:ascii="宋体" w:hAnsi="宋体"/>
          <w:color w:val="auto"/>
          <w:sz w:val="24"/>
          <w:szCs w:val="24"/>
          <w:highlight w:val="none"/>
        </w:rPr>
        <w:fldChar w:fldCharType="separate"/>
      </w:r>
      <w:r>
        <w:rPr>
          <w:rFonts w:ascii="宋体" w:hAnsi="宋体"/>
          <w:color w:val="auto"/>
          <w:sz w:val="24"/>
          <w:szCs w:val="24"/>
          <w:highlight w:val="none"/>
        </w:rPr>
        <w:t>54</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"_Toc132193469" </w:instrText>
      </w:r>
      <w:r>
        <w:rPr>
          <w:color w:val="auto"/>
          <w:highlight w:val="none"/>
        </w:rPr>
        <w:fldChar w:fldCharType="separate"/>
      </w:r>
      <w:r>
        <w:rPr>
          <w:rFonts w:hint="eastAsia"/>
          <w:color w:val="auto"/>
          <w:highlight w:val="none"/>
          <w:lang w:val="en-US" w:eastAsia="zh-CN"/>
        </w:rPr>
        <w:t>七</w:t>
      </w:r>
      <w:r>
        <w:rPr>
          <w:rStyle w:val="44"/>
          <w:rFonts w:ascii="宋体" w:hAnsi="宋体" w:eastAsia="宋体" w:cs="宋体"/>
          <w:color w:val="auto"/>
          <w:sz w:val="24"/>
          <w:szCs w:val="24"/>
          <w:highlight w:val="none"/>
        </w:rPr>
        <w:t>、项目管理机构</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_Toc132193469 \h </w:instrText>
      </w:r>
      <w:r>
        <w:rPr>
          <w:rFonts w:ascii="宋体" w:hAnsi="宋体"/>
          <w:color w:val="auto"/>
          <w:sz w:val="24"/>
          <w:szCs w:val="24"/>
          <w:highlight w:val="none"/>
        </w:rPr>
        <w:fldChar w:fldCharType="separate"/>
      </w:r>
      <w:r>
        <w:rPr>
          <w:rFonts w:ascii="宋体" w:hAnsi="宋体"/>
          <w:color w:val="auto"/>
          <w:sz w:val="24"/>
          <w:szCs w:val="24"/>
          <w:highlight w:val="none"/>
        </w:rPr>
        <w:t>55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"_Toc132193470" </w:instrText>
      </w:r>
      <w:r>
        <w:rPr>
          <w:color w:val="auto"/>
          <w:highlight w:val="none"/>
        </w:rPr>
        <w:fldChar w:fldCharType="separate"/>
      </w:r>
      <w:r>
        <w:rPr>
          <w:rFonts w:hint="eastAsia"/>
          <w:color w:val="auto"/>
          <w:highlight w:val="none"/>
          <w:lang w:val="en-US" w:eastAsia="zh-CN"/>
        </w:rPr>
        <w:t>八</w:t>
      </w:r>
      <w:r>
        <w:rPr>
          <w:rStyle w:val="44"/>
          <w:rFonts w:ascii="宋体" w:hAnsi="宋体" w:eastAsia="宋体" w:cs="宋体"/>
          <w:color w:val="auto"/>
          <w:sz w:val="24"/>
          <w:szCs w:val="24"/>
          <w:highlight w:val="none"/>
        </w:rPr>
        <w:t>、资格审查资料</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_Toc132193470 \h </w:instrText>
      </w:r>
      <w:r>
        <w:rPr>
          <w:rFonts w:ascii="宋体" w:hAnsi="宋体"/>
          <w:color w:val="auto"/>
          <w:sz w:val="24"/>
          <w:szCs w:val="24"/>
          <w:highlight w:val="none"/>
        </w:rPr>
        <w:fldChar w:fldCharType="separate"/>
      </w:r>
      <w:r>
        <w:rPr>
          <w:rFonts w:ascii="宋体" w:hAnsi="宋体"/>
          <w:color w:val="auto"/>
          <w:sz w:val="24"/>
          <w:szCs w:val="24"/>
          <w:highlight w:val="none"/>
        </w:rPr>
        <w:t>56</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8"/>
        <w:tabs>
          <w:tab w:val="right" w:leader="dot" w:pos="8302"/>
        </w:tabs>
        <w:rPr>
          <w:rFonts w:ascii="宋体" w:hAnsi="宋体" w:cstheme="minorBidi"/>
          <w:color w:val="auto"/>
          <w:sz w:val="24"/>
          <w:szCs w:val="24"/>
          <w:highlight w:val="none"/>
        </w:rPr>
      </w:pPr>
      <w:r>
        <w:rPr>
          <w:color w:val="auto"/>
          <w:highlight w:val="none"/>
        </w:rPr>
        <w:fldChar w:fldCharType="begin"/>
      </w:r>
      <w:r>
        <w:rPr>
          <w:color w:val="auto"/>
          <w:highlight w:val="none"/>
        </w:rPr>
        <w:instrText xml:space="preserve"> HYPERLINK \l "_Toc132193471" </w:instrText>
      </w:r>
      <w:r>
        <w:rPr>
          <w:color w:val="auto"/>
          <w:highlight w:val="none"/>
        </w:rPr>
        <w:fldChar w:fldCharType="separate"/>
      </w:r>
      <w:r>
        <w:rPr>
          <w:rFonts w:hint="eastAsia"/>
          <w:color w:val="auto"/>
          <w:highlight w:val="none"/>
          <w:lang w:val="en-US" w:eastAsia="zh-CN"/>
        </w:rPr>
        <w:t>九</w:t>
      </w:r>
      <w:r>
        <w:rPr>
          <w:rStyle w:val="44"/>
          <w:rFonts w:ascii="宋体" w:hAnsi="宋体" w:eastAsia="宋体" w:cs="宋体"/>
          <w:color w:val="auto"/>
          <w:sz w:val="24"/>
          <w:szCs w:val="24"/>
          <w:highlight w:val="none"/>
        </w:rPr>
        <w:t>、投标人须知前附表规定的其他材料</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_Toc132193471 \h </w:instrText>
      </w:r>
      <w:r>
        <w:rPr>
          <w:rFonts w:ascii="宋体" w:hAnsi="宋体"/>
          <w:color w:val="auto"/>
          <w:sz w:val="24"/>
          <w:szCs w:val="24"/>
          <w:highlight w:val="none"/>
        </w:rPr>
        <w:fldChar w:fldCharType="separate"/>
      </w:r>
      <w:r>
        <w:rPr>
          <w:rFonts w:ascii="宋体" w:hAnsi="宋体"/>
          <w:color w:val="auto"/>
          <w:sz w:val="24"/>
          <w:szCs w:val="24"/>
          <w:highlight w:val="none"/>
        </w:rPr>
        <w:t>64</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2"/>
        <w:rPr>
          <w:rFonts w:ascii="宋体" w:hAnsi="宋体" w:cstheme="minorBidi"/>
          <w:smallCaps w:val="0"/>
          <w:color w:val="auto"/>
          <w:sz w:val="24"/>
          <w:szCs w:val="24"/>
          <w:highlight w:val="none"/>
        </w:rPr>
      </w:pPr>
      <w:r>
        <w:rPr>
          <w:color w:val="auto"/>
          <w:highlight w:val="none"/>
        </w:rPr>
        <w:fldChar w:fldCharType="begin"/>
      </w:r>
      <w:r>
        <w:rPr>
          <w:color w:val="auto"/>
          <w:highlight w:val="none"/>
        </w:rPr>
        <w:instrText xml:space="preserve"> HYPERLINK \l "_Toc132193472" </w:instrText>
      </w:r>
      <w:r>
        <w:rPr>
          <w:color w:val="auto"/>
          <w:highlight w:val="none"/>
        </w:rPr>
        <w:fldChar w:fldCharType="separate"/>
      </w:r>
      <w:r>
        <w:rPr>
          <w:rStyle w:val="44"/>
          <w:rFonts w:ascii="宋体" w:hAnsi="宋体" w:eastAsia="宋体" w:cs="宋体"/>
          <w:color w:val="auto"/>
          <w:sz w:val="24"/>
          <w:szCs w:val="24"/>
          <w:highlight w:val="none"/>
        </w:rPr>
        <w:t>第九章 否决性条款汇总</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_Toc132193472 \h </w:instrText>
      </w:r>
      <w:r>
        <w:rPr>
          <w:rFonts w:ascii="宋体" w:hAnsi="宋体"/>
          <w:color w:val="auto"/>
          <w:sz w:val="24"/>
          <w:szCs w:val="24"/>
          <w:highlight w:val="none"/>
        </w:rPr>
        <w:fldChar w:fldCharType="separate"/>
      </w:r>
      <w:r>
        <w:rPr>
          <w:rFonts w:ascii="宋体" w:hAnsi="宋体"/>
          <w:color w:val="auto"/>
          <w:sz w:val="24"/>
          <w:szCs w:val="24"/>
          <w:highlight w:val="none"/>
        </w:rPr>
        <w:t>67</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2"/>
        <w:rPr>
          <w:rFonts w:ascii="宋体" w:hAnsi="宋体" w:cstheme="minorBidi"/>
          <w:smallCaps w:val="0"/>
          <w:color w:val="auto"/>
          <w:sz w:val="24"/>
          <w:szCs w:val="24"/>
          <w:highlight w:val="none"/>
        </w:rPr>
      </w:pPr>
      <w:r>
        <w:rPr>
          <w:color w:val="auto"/>
          <w:highlight w:val="none"/>
        </w:rPr>
        <w:fldChar w:fldCharType="begin"/>
      </w:r>
      <w:r>
        <w:rPr>
          <w:color w:val="auto"/>
          <w:highlight w:val="none"/>
        </w:rPr>
        <w:instrText xml:space="preserve"> HYPERLINK \l "_Toc132193473" </w:instrText>
      </w:r>
      <w:r>
        <w:rPr>
          <w:color w:val="auto"/>
          <w:highlight w:val="none"/>
        </w:rPr>
        <w:fldChar w:fldCharType="separate"/>
      </w:r>
      <w:r>
        <w:rPr>
          <w:rStyle w:val="44"/>
          <w:rFonts w:ascii="宋体" w:hAnsi="宋体" w:eastAsia="宋体" w:cs="宋体"/>
          <w:color w:val="auto"/>
          <w:sz w:val="24"/>
          <w:szCs w:val="24"/>
          <w:highlight w:val="none"/>
        </w:rPr>
        <w:t>第十章 最高投标限价（招标控制价）</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_Toc132193473 \h </w:instrText>
      </w:r>
      <w:r>
        <w:rPr>
          <w:rFonts w:ascii="宋体" w:hAnsi="宋体"/>
          <w:color w:val="auto"/>
          <w:sz w:val="24"/>
          <w:szCs w:val="24"/>
          <w:highlight w:val="none"/>
        </w:rPr>
        <w:fldChar w:fldCharType="separate"/>
      </w:r>
      <w:r>
        <w:rPr>
          <w:rFonts w:ascii="宋体" w:hAnsi="宋体"/>
          <w:color w:val="auto"/>
          <w:sz w:val="24"/>
          <w:szCs w:val="24"/>
          <w:highlight w:val="none"/>
        </w:rPr>
        <w:t>69</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rPr>
          <w:rFonts w:ascii="宋体" w:hAnsi="宋体" w:cs="宋体"/>
          <w:color w:val="auto"/>
          <w:szCs w:val="21"/>
          <w:highlight w:val="none"/>
        </w:rPr>
      </w:pPr>
      <w:r>
        <w:rPr>
          <w:rFonts w:hint="eastAsia" w:ascii="宋体" w:hAnsi="宋体" w:cs="宋体"/>
          <w:color w:val="auto"/>
          <w:sz w:val="24"/>
          <w:szCs w:val="24"/>
          <w:highlight w:val="none"/>
        </w:rPr>
        <w:fldChar w:fldCharType="end"/>
      </w:r>
    </w:p>
    <w:p>
      <w:pPr>
        <w:rPr>
          <w:rFonts w:ascii="宋体" w:hAnsi="宋体" w:cs="宋体"/>
          <w:color w:val="auto"/>
          <w:highlight w:val="none"/>
        </w:rPr>
      </w:pPr>
    </w:p>
    <w:p>
      <w:pPr>
        <w:pStyle w:val="4"/>
        <w:spacing w:before="0" w:after="0" w:line="360" w:lineRule="auto"/>
        <w:rPr>
          <w:rFonts w:ascii="宋体" w:hAnsi="宋体" w:eastAsia="宋体" w:cs="宋体"/>
          <w:color w:val="auto"/>
          <w:sz w:val="32"/>
          <w:szCs w:val="27"/>
          <w:highlight w:val="none"/>
        </w:rPr>
      </w:pPr>
      <w:bookmarkStart w:id="0" w:name="_Toc17451195"/>
      <w:bookmarkEnd w:id="0"/>
      <w:bookmarkStart w:id="1" w:name="_Toc17451194"/>
      <w:bookmarkEnd w:id="1"/>
      <w:bookmarkStart w:id="2" w:name="_Toc17451196"/>
      <w:bookmarkEnd w:id="2"/>
      <w:bookmarkStart w:id="3" w:name="_Toc17451091"/>
      <w:bookmarkEnd w:id="3"/>
      <w:bookmarkStart w:id="4" w:name="_Toc17450790"/>
      <w:bookmarkEnd w:id="4"/>
      <w:bookmarkStart w:id="5" w:name="_Toc17556866"/>
      <w:bookmarkEnd w:id="5"/>
      <w:bookmarkStart w:id="6" w:name="_Toc17556867"/>
      <w:bookmarkEnd w:id="6"/>
      <w:bookmarkStart w:id="7" w:name="_Toc17450710"/>
      <w:bookmarkEnd w:id="7"/>
      <w:bookmarkStart w:id="8" w:name="_Toc17451090"/>
      <w:bookmarkEnd w:id="8"/>
      <w:bookmarkStart w:id="9" w:name="_Toc17556865"/>
      <w:bookmarkEnd w:id="9"/>
      <w:bookmarkStart w:id="10" w:name="_Toc17451092"/>
      <w:bookmarkEnd w:id="10"/>
      <w:bookmarkStart w:id="11" w:name="_Toc17450711"/>
      <w:bookmarkEnd w:id="11"/>
      <w:bookmarkStart w:id="12" w:name="_Toc17556774"/>
      <w:bookmarkEnd w:id="12"/>
      <w:bookmarkStart w:id="13" w:name="_Toc17450791"/>
      <w:bookmarkEnd w:id="13"/>
      <w:bookmarkStart w:id="14" w:name="_Toc17450712"/>
      <w:bookmarkEnd w:id="14"/>
      <w:bookmarkStart w:id="15" w:name="_Toc17450792"/>
      <w:bookmarkEnd w:id="15"/>
      <w:r>
        <w:rPr>
          <w:rFonts w:hint="eastAsia" w:ascii="宋体" w:hAnsi="宋体" w:eastAsia="宋体" w:cs="宋体"/>
          <w:color w:val="auto"/>
          <w:highlight w:val="none"/>
        </w:rPr>
        <w:br w:type="page"/>
      </w:r>
      <w:bookmarkStart w:id="16" w:name="_Toc17451197"/>
      <w:bookmarkEnd w:id="16"/>
      <w:bookmarkStart w:id="17" w:name="_Toc17450717"/>
      <w:bookmarkEnd w:id="17"/>
      <w:bookmarkStart w:id="18" w:name="_Toc17450794"/>
      <w:bookmarkEnd w:id="18"/>
      <w:bookmarkStart w:id="19" w:name="_Toc17451198"/>
      <w:bookmarkEnd w:id="19"/>
      <w:bookmarkStart w:id="20" w:name="_Toc17451097"/>
      <w:bookmarkEnd w:id="20"/>
      <w:bookmarkStart w:id="21" w:name="_Toc17450795"/>
      <w:bookmarkEnd w:id="21"/>
      <w:bookmarkStart w:id="22" w:name="_Toc17450716"/>
      <w:bookmarkEnd w:id="22"/>
      <w:bookmarkStart w:id="23" w:name="_Toc17451200"/>
      <w:bookmarkEnd w:id="23"/>
      <w:bookmarkStart w:id="24" w:name="_Toc17451093"/>
      <w:bookmarkEnd w:id="24"/>
      <w:bookmarkStart w:id="25" w:name="_Toc17451199"/>
      <w:bookmarkEnd w:id="25"/>
      <w:bookmarkStart w:id="26" w:name="_Toc17451094"/>
      <w:bookmarkEnd w:id="26"/>
      <w:bookmarkStart w:id="27" w:name="_Toc17556871"/>
      <w:bookmarkEnd w:id="27"/>
      <w:bookmarkStart w:id="28" w:name="_Toc17451096"/>
      <w:bookmarkEnd w:id="28"/>
      <w:bookmarkStart w:id="29" w:name="_Toc17556872"/>
      <w:bookmarkEnd w:id="29"/>
      <w:bookmarkStart w:id="30" w:name="_Toc17556870"/>
      <w:bookmarkEnd w:id="30"/>
      <w:bookmarkStart w:id="31" w:name="_Toc17451095"/>
      <w:bookmarkEnd w:id="31"/>
      <w:bookmarkStart w:id="32" w:name="_Toc17450796"/>
      <w:bookmarkEnd w:id="32"/>
      <w:bookmarkStart w:id="33" w:name="_Toc17450715"/>
      <w:bookmarkEnd w:id="33"/>
      <w:bookmarkStart w:id="34" w:name="_Toc17450797"/>
      <w:bookmarkEnd w:id="34"/>
      <w:bookmarkStart w:id="35" w:name="_Toc17450713"/>
      <w:bookmarkEnd w:id="35"/>
      <w:bookmarkStart w:id="36" w:name="_Toc17556869"/>
      <w:bookmarkEnd w:id="36"/>
      <w:bookmarkStart w:id="37" w:name="_Toc17450714"/>
      <w:bookmarkEnd w:id="37"/>
      <w:bookmarkStart w:id="38" w:name="_Toc17451201"/>
      <w:bookmarkEnd w:id="38"/>
      <w:bookmarkStart w:id="39" w:name="_Toc17556868"/>
      <w:bookmarkEnd w:id="39"/>
      <w:bookmarkStart w:id="40" w:name="_Toc17450793"/>
      <w:bookmarkEnd w:id="40"/>
      <w:bookmarkStart w:id="41" w:name="_Toc17454868"/>
      <w:bookmarkStart w:id="42" w:name="_Toc132193440"/>
      <w:bookmarkStart w:id="43" w:name="_Toc17452661"/>
      <w:bookmarkStart w:id="44" w:name="_Toc17556873"/>
      <w:bookmarkStart w:id="45" w:name="_Toc17451575"/>
      <w:bookmarkStart w:id="46" w:name="_Toc17454919"/>
      <w:bookmarkStart w:id="47" w:name="_Toc17451098"/>
      <w:bookmarkStart w:id="48" w:name="_Toc17451620"/>
      <w:r>
        <w:rPr>
          <w:rFonts w:hint="eastAsia" w:ascii="宋体" w:hAnsi="宋体" w:eastAsia="宋体" w:cs="宋体"/>
          <w:color w:val="auto"/>
          <w:sz w:val="32"/>
          <w:szCs w:val="27"/>
          <w:highlight w:val="none"/>
        </w:rPr>
        <w:t>第一章 招标公告</w:t>
      </w:r>
      <w:bookmarkEnd w:id="41"/>
      <w:bookmarkEnd w:id="42"/>
      <w:bookmarkEnd w:id="43"/>
      <w:bookmarkEnd w:id="44"/>
      <w:bookmarkEnd w:id="45"/>
      <w:bookmarkEnd w:id="46"/>
      <w:bookmarkEnd w:id="47"/>
      <w:bookmarkEnd w:id="48"/>
    </w:p>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（另附）</w:t>
      </w:r>
    </w:p>
    <w:p>
      <w:pPr>
        <w:spacing w:line="360" w:lineRule="auto"/>
        <w:jc w:val="center"/>
        <w:outlineLvl w:val="1"/>
        <w:rPr>
          <w:rFonts w:ascii="宋体" w:hAnsi="宋体" w:cs="宋体"/>
          <w:color w:val="auto"/>
          <w:sz w:val="32"/>
          <w:szCs w:val="27"/>
          <w:highlight w:val="none"/>
        </w:rPr>
      </w:pPr>
      <w:bookmarkStart w:id="49" w:name="_Toc17454869"/>
      <w:bookmarkStart w:id="50" w:name="_Toc17451621"/>
      <w:bookmarkStart w:id="51" w:name="_Toc17451576"/>
      <w:bookmarkStart w:id="52" w:name="_Toc17451099"/>
      <w:bookmarkStart w:id="53" w:name="_Toc17454920"/>
      <w:bookmarkStart w:id="54" w:name="_Toc17452662"/>
      <w:bookmarkStart w:id="55" w:name="_Toc17556874"/>
      <w:bookmarkStart w:id="56" w:name="_Toc221950008"/>
      <w:r>
        <w:rPr>
          <w:rFonts w:hint="eastAsia" w:ascii="宋体" w:hAnsi="宋体" w:cs="宋体"/>
          <w:color w:val="auto"/>
          <w:sz w:val="32"/>
          <w:szCs w:val="27"/>
          <w:highlight w:val="none"/>
        </w:rPr>
        <w:br w:type="page"/>
      </w:r>
      <w:bookmarkStart w:id="57" w:name="_Toc132193441"/>
      <w:r>
        <w:rPr>
          <w:rFonts w:hint="eastAsia" w:ascii="宋体" w:hAnsi="宋体" w:cs="宋体"/>
          <w:color w:val="auto"/>
          <w:sz w:val="32"/>
          <w:szCs w:val="27"/>
          <w:highlight w:val="none"/>
        </w:rPr>
        <w:t>第二章 投标须知</w:t>
      </w:r>
      <w:bookmarkEnd w:id="49"/>
      <w:bookmarkEnd w:id="50"/>
      <w:bookmarkEnd w:id="51"/>
      <w:bookmarkEnd w:id="52"/>
      <w:bookmarkEnd w:id="53"/>
      <w:bookmarkEnd w:id="54"/>
      <w:bookmarkEnd w:id="55"/>
      <w:bookmarkEnd w:id="57"/>
    </w:p>
    <w:p>
      <w:pPr>
        <w:spacing w:line="360" w:lineRule="auto"/>
        <w:jc w:val="center"/>
        <w:outlineLvl w:val="2"/>
        <w:rPr>
          <w:rFonts w:ascii="宋体" w:hAnsi="宋体" w:cs="宋体"/>
          <w:color w:val="auto"/>
          <w:sz w:val="28"/>
          <w:szCs w:val="27"/>
          <w:highlight w:val="none"/>
        </w:rPr>
      </w:pPr>
      <w:bookmarkStart w:id="58" w:name="_Toc17451100"/>
      <w:bookmarkStart w:id="59" w:name="_Toc132193442"/>
      <w:bookmarkStart w:id="60" w:name="_Toc17451577"/>
      <w:bookmarkStart w:id="61" w:name="_Toc17451622"/>
      <w:bookmarkStart w:id="62" w:name="_Toc17454870"/>
      <w:bookmarkStart w:id="63" w:name="_Toc17556875"/>
      <w:bookmarkStart w:id="64" w:name="_Toc17454921"/>
      <w:bookmarkStart w:id="65" w:name="_Toc17452663"/>
      <w:r>
        <w:rPr>
          <w:rFonts w:hint="eastAsia" w:ascii="宋体" w:hAnsi="宋体" w:cs="宋体"/>
          <w:color w:val="auto"/>
          <w:sz w:val="28"/>
          <w:szCs w:val="27"/>
          <w:highlight w:val="none"/>
        </w:rPr>
        <w:t>一、投标人须知前附表</w:t>
      </w:r>
      <w:bookmarkEnd w:id="56"/>
      <w:bookmarkEnd w:id="58"/>
      <w:bookmarkEnd w:id="59"/>
      <w:bookmarkEnd w:id="60"/>
      <w:bookmarkEnd w:id="61"/>
      <w:bookmarkEnd w:id="62"/>
      <w:bookmarkEnd w:id="63"/>
      <w:bookmarkEnd w:id="64"/>
      <w:bookmarkEnd w:id="65"/>
    </w:p>
    <w:tbl>
      <w:tblPr>
        <w:tblStyle w:val="34"/>
        <w:tblW w:w="0" w:type="auto"/>
        <w:tblInd w:w="0" w:type="dxa"/>
        <w:tblLayout w:type="fixed"/>
        <w:tblCellMar>
          <w:top w:w="0" w:type="dxa"/>
          <w:left w:w="108" w:type="dxa"/>
          <w:bottom w:w="0" w:type="dxa"/>
          <w:right w:w="108" w:type="dxa"/>
        </w:tblCellMar>
      </w:tblPr>
      <w:tblGrid>
        <w:gridCol w:w="1299"/>
        <w:gridCol w:w="2192"/>
        <w:gridCol w:w="5037"/>
      </w:tblGrid>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b/>
                <w:color w:val="auto"/>
                <w:szCs w:val="21"/>
                <w:highlight w:val="none"/>
              </w:rPr>
            </w:pPr>
            <w:bookmarkStart w:id="66" w:name="_Toc221950009"/>
            <w:r>
              <w:rPr>
                <w:rFonts w:hint="eastAsia" w:ascii="宋体" w:hAnsi="宋体" w:cs="宋体"/>
                <w:b/>
                <w:color w:val="auto"/>
                <w:szCs w:val="21"/>
                <w:highlight w:val="none"/>
              </w:rPr>
              <w:t>条款号</w:t>
            </w:r>
            <w:bookmarkEnd w:id="66"/>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b/>
                <w:color w:val="auto"/>
                <w:szCs w:val="21"/>
                <w:highlight w:val="none"/>
              </w:rPr>
            </w:pPr>
            <w:bookmarkStart w:id="67" w:name="_Toc221950010"/>
            <w:r>
              <w:rPr>
                <w:rFonts w:hint="eastAsia" w:ascii="宋体" w:hAnsi="宋体" w:cs="宋体"/>
                <w:b/>
                <w:color w:val="auto"/>
                <w:szCs w:val="21"/>
                <w:highlight w:val="none"/>
              </w:rPr>
              <w:t>条款名称</w:t>
            </w:r>
            <w:bookmarkEnd w:id="67"/>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b/>
                <w:color w:val="auto"/>
                <w:szCs w:val="21"/>
                <w:highlight w:val="none"/>
              </w:rPr>
            </w:pPr>
            <w:bookmarkStart w:id="68" w:name="_Toc221950011"/>
            <w:r>
              <w:rPr>
                <w:rFonts w:hint="eastAsia" w:ascii="宋体" w:hAnsi="宋体" w:cs="宋体"/>
                <w:b/>
                <w:color w:val="auto"/>
                <w:szCs w:val="21"/>
                <w:highlight w:val="none"/>
              </w:rPr>
              <w:t>编列内容</w:t>
            </w:r>
            <w:bookmarkEnd w:id="68"/>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69" w:name="_Toc221950012"/>
            <w:r>
              <w:rPr>
                <w:rFonts w:hint="eastAsia" w:ascii="宋体" w:hAnsi="宋体" w:cs="宋体"/>
                <w:color w:val="auto"/>
                <w:szCs w:val="21"/>
                <w:highlight w:val="none"/>
              </w:rPr>
              <w:t>1.1.2</w:t>
            </w:r>
            <w:bookmarkEnd w:id="69"/>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70" w:name="_Toc221950013"/>
            <w:r>
              <w:rPr>
                <w:rFonts w:hint="eastAsia" w:ascii="宋体" w:hAnsi="宋体" w:cs="宋体"/>
                <w:color w:val="auto"/>
                <w:szCs w:val="21"/>
                <w:highlight w:val="none"/>
              </w:rPr>
              <w:t>招标人</w:t>
            </w:r>
            <w:bookmarkEnd w:id="70"/>
          </w:p>
        </w:tc>
        <w:tc>
          <w:tcPr>
            <w:tcW w:w="5037" w:type="dxa"/>
            <w:tcBorders>
              <w:top w:val="single" w:color="auto" w:sz="4" w:space="0"/>
              <w:left w:val="single" w:color="auto" w:sz="4" w:space="0"/>
              <w:bottom w:val="single" w:color="auto" w:sz="4" w:space="0"/>
              <w:right w:val="single" w:color="auto" w:sz="4" w:space="0"/>
            </w:tcBorders>
            <w:vAlign w:val="center"/>
          </w:tcPr>
          <w:p>
            <w:pPr>
              <w:contextualSpacing/>
              <w:rPr>
                <w:rFonts w:ascii="宋体" w:hAnsi="宋体"/>
                <w:color w:val="auto"/>
                <w:szCs w:val="21"/>
                <w:highlight w:val="none"/>
                <w:u w:val="single"/>
              </w:rPr>
            </w:pPr>
            <w:r>
              <w:rPr>
                <w:rFonts w:hint="eastAsia" w:ascii="宋体" w:hAnsi="宋体"/>
                <w:color w:val="auto"/>
                <w:szCs w:val="21"/>
                <w:highlight w:val="none"/>
              </w:rPr>
              <w:t>名称：</w:t>
            </w:r>
            <w:r>
              <w:rPr>
                <w:rFonts w:hint="eastAsia" w:ascii="宋体" w:hAnsi="宋体"/>
                <w:color w:val="auto"/>
                <w:szCs w:val="21"/>
                <w:highlight w:val="none"/>
                <w:u w:val="single"/>
              </w:rPr>
              <w:t>广州市花都区水务建设管理中心</w:t>
            </w:r>
          </w:p>
          <w:p>
            <w:pPr>
              <w:contextualSpacing/>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广州市花都区宝华路34号</w:t>
            </w:r>
          </w:p>
          <w:p>
            <w:pPr>
              <w:contextualSpacing/>
              <w:rPr>
                <w:rFonts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single"/>
              </w:rPr>
              <w:t>张工</w:t>
            </w:r>
          </w:p>
          <w:p>
            <w:pPr>
              <w:contextualSpacing/>
              <w:rPr>
                <w:rFonts w:ascii="宋体" w:hAnsi="宋体" w:cs="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020-36810121</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71" w:name="_Toc221950014"/>
            <w:r>
              <w:rPr>
                <w:rFonts w:hint="eastAsia" w:ascii="宋体" w:hAnsi="宋体" w:cs="宋体"/>
                <w:color w:val="auto"/>
                <w:szCs w:val="21"/>
                <w:highlight w:val="none"/>
              </w:rPr>
              <w:t>1.1.3</w:t>
            </w:r>
            <w:bookmarkEnd w:id="71"/>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72" w:name="_Toc221950015"/>
            <w:r>
              <w:rPr>
                <w:rFonts w:hint="eastAsia" w:ascii="宋体" w:hAnsi="宋体" w:cs="宋体"/>
                <w:color w:val="auto"/>
                <w:szCs w:val="21"/>
                <w:highlight w:val="none"/>
              </w:rPr>
              <w:t>招标代理机构</w:t>
            </w:r>
            <w:bookmarkEnd w:id="72"/>
          </w:p>
        </w:tc>
        <w:tc>
          <w:tcPr>
            <w:tcW w:w="5037" w:type="dxa"/>
            <w:tcBorders>
              <w:top w:val="single" w:color="auto" w:sz="4" w:space="0"/>
              <w:left w:val="single" w:color="auto" w:sz="4" w:space="0"/>
              <w:bottom w:val="single" w:color="auto" w:sz="4" w:space="0"/>
              <w:right w:val="single" w:color="auto" w:sz="4" w:space="0"/>
            </w:tcBorders>
            <w:vAlign w:val="center"/>
          </w:tcPr>
          <w:p>
            <w:pPr>
              <w:contextualSpacing/>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广州集雅招标咨询有限公司</w:t>
            </w:r>
          </w:p>
          <w:p>
            <w:pPr>
              <w:contextualSpacing/>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广州市白云区下塘西路686号402室</w:t>
            </w:r>
          </w:p>
          <w:p>
            <w:pPr>
              <w:contextualSpacing/>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徐工</w:t>
            </w:r>
          </w:p>
          <w:p>
            <w:pPr>
              <w:contextualSpacing/>
              <w:rPr>
                <w:rFonts w:ascii="宋体" w:hAnsi="宋体" w:cs="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15914278644</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73" w:name="_Toc221950016"/>
            <w:r>
              <w:rPr>
                <w:rFonts w:hint="eastAsia" w:ascii="宋体" w:hAnsi="宋体" w:cs="宋体"/>
                <w:color w:val="auto"/>
                <w:szCs w:val="21"/>
                <w:highlight w:val="none"/>
              </w:rPr>
              <w:t>1.1.4</w:t>
            </w:r>
            <w:bookmarkEnd w:id="73"/>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74" w:name="_Toc221950017"/>
            <w:r>
              <w:rPr>
                <w:rFonts w:hint="eastAsia" w:ascii="宋体" w:hAnsi="宋体" w:cs="宋体"/>
                <w:color w:val="auto"/>
                <w:szCs w:val="21"/>
                <w:highlight w:val="none"/>
              </w:rPr>
              <w:t>项目名称</w:t>
            </w:r>
            <w:bookmarkEnd w:id="74"/>
          </w:p>
        </w:tc>
        <w:tc>
          <w:tcPr>
            <w:tcW w:w="5037" w:type="dxa"/>
            <w:tcBorders>
              <w:top w:val="single" w:color="auto" w:sz="4" w:space="0"/>
              <w:left w:val="single" w:color="auto" w:sz="4" w:space="0"/>
              <w:bottom w:val="single" w:color="auto" w:sz="4" w:space="0"/>
              <w:right w:val="single" w:color="auto" w:sz="4" w:space="0"/>
            </w:tcBorders>
            <w:vAlign w:val="center"/>
          </w:tcPr>
          <w:p>
            <w:pPr>
              <w:contextualSpacing/>
              <w:rPr>
                <w:rFonts w:ascii="宋体" w:hAnsi="宋体" w:cs="宋体"/>
                <w:color w:val="auto"/>
                <w:szCs w:val="21"/>
                <w:highlight w:val="none"/>
                <w:u w:val="single"/>
              </w:rPr>
            </w:pPr>
            <w:r>
              <w:rPr>
                <w:rFonts w:hint="eastAsia" w:ascii="宋体" w:hAnsi="宋体"/>
                <w:color w:val="auto"/>
                <w:szCs w:val="21"/>
                <w:highlight w:val="none"/>
                <w:u w:val="single"/>
              </w:rPr>
              <w:t>花都区农村供水“三同五化”改造提升项目-乌石村、联星村供水改造工程市政部分施工总承包</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75" w:name="_Toc221950018"/>
            <w:r>
              <w:rPr>
                <w:rFonts w:hint="eastAsia" w:ascii="宋体" w:hAnsi="宋体" w:cs="宋体"/>
                <w:color w:val="auto"/>
                <w:szCs w:val="21"/>
                <w:highlight w:val="none"/>
              </w:rPr>
              <w:t>1.1.5</w:t>
            </w:r>
            <w:bookmarkEnd w:id="75"/>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76" w:name="_Toc221950019"/>
            <w:r>
              <w:rPr>
                <w:rFonts w:hint="eastAsia" w:ascii="宋体" w:hAnsi="宋体" w:cs="宋体"/>
                <w:color w:val="auto"/>
                <w:szCs w:val="21"/>
                <w:highlight w:val="none"/>
              </w:rPr>
              <w:t>建设地点</w:t>
            </w:r>
            <w:bookmarkEnd w:id="76"/>
          </w:p>
        </w:tc>
        <w:tc>
          <w:tcPr>
            <w:tcW w:w="5037" w:type="dxa"/>
            <w:tcBorders>
              <w:top w:val="single" w:color="auto" w:sz="4" w:space="0"/>
              <w:left w:val="single" w:color="auto" w:sz="4" w:space="0"/>
              <w:bottom w:val="single" w:color="auto" w:sz="4" w:space="0"/>
              <w:right w:val="single" w:color="auto" w:sz="4" w:space="0"/>
            </w:tcBorders>
            <w:vAlign w:val="center"/>
          </w:tcPr>
          <w:p>
            <w:pPr>
              <w:contextualSpacing/>
              <w:rPr>
                <w:rFonts w:ascii="宋体" w:hAnsi="宋体" w:cs="宋体"/>
                <w:color w:val="auto"/>
                <w:szCs w:val="21"/>
                <w:highlight w:val="none"/>
                <w:u w:val="single"/>
              </w:rPr>
            </w:pPr>
            <w:r>
              <w:rPr>
                <w:rFonts w:hint="eastAsia" w:ascii="宋体" w:hAnsi="宋体"/>
                <w:color w:val="auto"/>
                <w:szCs w:val="21"/>
                <w:highlight w:val="none"/>
                <w:u w:val="single"/>
              </w:rPr>
              <w:t>详见本工程招标公告</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77" w:name="_Toc221950030"/>
            <w:r>
              <w:rPr>
                <w:rFonts w:hint="eastAsia" w:ascii="宋体" w:hAnsi="宋体" w:cs="宋体"/>
                <w:color w:val="auto"/>
                <w:szCs w:val="21"/>
                <w:highlight w:val="none"/>
              </w:rPr>
              <w:t>1.2.1</w:t>
            </w:r>
            <w:bookmarkEnd w:id="77"/>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78" w:name="_Toc221950031"/>
            <w:r>
              <w:rPr>
                <w:rFonts w:hint="eastAsia" w:ascii="宋体" w:hAnsi="宋体" w:cs="宋体"/>
                <w:color w:val="auto"/>
                <w:szCs w:val="21"/>
                <w:highlight w:val="none"/>
              </w:rPr>
              <w:t>资金来源</w:t>
            </w:r>
            <w:bookmarkEnd w:id="78"/>
            <w:r>
              <w:rPr>
                <w:rFonts w:hint="eastAsia" w:ascii="宋体" w:hAnsi="宋体" w:cs="宋体"/>
                <w:color w:val="auto"/>
                <w:szCs w:val="21"/>
                <w:highlight w:val="none"/>
              </w:rPr>
              <w:t>及比例</w:t>
            </w:r>
          </w:p>
        </w:tc>
        <w:tc>
          <w:tcPr>
            <w:tcW w:w="5037" w:type="dxa"/>
            <w:tcBorders>
              <w:top w:val="single" w:color="auto" w:sz="4" w:space="0"/>
              <w:left w:val="single" w:color="auto" w:sz="4" w:space="0"/>
              <w:bottom w:val="single" w:color="auto" w:sz="4" w:space="0"/>
              <w:right w:val="single" w:color="auto" w:sz="4" w:space="0"/>
            </w:tcBorders>
            <w:vAlign w:val="center"/>
          </w:tcPr>
          <w:p>
            <w:pPr>
              <w:contextualSpacing/>
              <w:rPr>
                <w:rFonts w:ascii="宋体" w:hAnsi="宋体" w:cs="宋体"/>
                <w:color w:val="auto"/>
                <w:szCs w:val="21"/>
                <w:highlight w:val="none"/>
              </w:rPr>
            </w:pPr>
            <w:r>
              <w:rPr>
                <w:rFonts w:hint="eastAsia" w:ascii="宋体" w:hAnsi="宋体"/>
                <w:color w:val="auto"/>
                <w:szCs w:val="21"/>
                <w:highlight w:val="none"/>
                <w:u w:val="single"/>
              </w:rPr>
              <w:t>详见本工程招标公告</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79" w:name="_Toc221950036"/>
            <w:r>
              <w:rPr>
                <w:rFonts w:hint="eastAsia" w:ascii="宋体" w:hAnsi="宋体" w:cs="宋体"/>
                <w:color w:val="auto"/>
                <w:szCs w:val="21"/>
                <w:highlight w:val="none"/>
              </w:rPr>
              <w:t>1.3.1</w:t>
            </w:r>
            <w:bookmarkEnd w:id="79"/>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80" w:name="_Toc221950037"/>
            <w:r>
              <w:rPr>
                <w:rFonts w:hint="eastAsia" w:ascii="宋体" w:hAnsi="宋体" w:cs="宋体"/>
                <w:color w:val="auto"/>
                <w:szCs w:val="21"/>
                <w:highlight w:val="none"/>
              </w:rPr>
              <w:t>招标范围</w:t>
            </w:r>
            <w:bookmarkEnd w:id="80"/>
          </w:p>
        </w:tc>
        <w:tc>
          <w:tcPr>
            <w:tcW w:w="5037" w:type="dxa"/>
            <w:tcBorders>
              <w:top w:val="single" w:color="auto" w:sz="4" w:space="0"/>
              <w:left w:val="single" w:color="auto" w:sz="4" w:space="0"/>
              <w:bottom w:val="single" w:color="auto" w:sz="4" w:space="0"/>
              <w:right w:val="single" w:color="auto" w:sz="4" w:space="0"/>
            </w:tcBorders>
            <w:vAlign w:val="center"/>
          </w:tcPr>
          <w:p>
            <w:pPr>
              <w:contextualSpacing/>
              <w:rPr>
                <w:rFonts w:ascii="宋体" w:hAnsi="宋体" w:cs="宋体"/>
                <w:color w:val="auto"/>
                <w:szCs w:val="21"/>
                <w:highlight w:val="none"/>
              </w:rPr>
            </w:pPr>
            <w:r>
              <w:rPr>
                <w:rFonts w:hint="eastAsia" w:ascii="宋体" w:hAnsi="宋体"/>
                <w:color w:val="auto"/>
                <w:szCs w:val="21"/>
                <w:highlight w:val="none"/>
                <w:u w:val="single"/>
              </w:rPr>
              <w:t>详见本工程招标公告</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81" w:name="_Toc221950038"/>
            <w:r>
              <w:rPr>
                <w:rFonts w:hint="eastAsia" w:ascii="宋体" w:hAnsi="宋体" w:cs="宋体"/>
                <w:color w:val="auto"/>
                <w:szCs w:val="21"/>
                <w:highlight w:val="none"/>
              </w:rPr>
              <w:t>1.3.2</w:t>
            </w:r>
            <w:bookmarkEnd w:id="81"/>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82" w:name="_Toc221950039"/>
            <w:r>
              <w:rPr>
                <w:rFonts w:hint="eastAsia" w:ascii="宋体" w:hAnsi="宋体" w:cs="宋体"/>
                <w:color w:val="auto"/>
                <w:szCs w:val="21"/>
                <w:highlight w:val="none"/>
              </w:rPr>
              <w:t>计划工期</w:t>
            </w:r>
            <w:bookmarkEnd w:id="82"/>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bookmarkStart w:id="83" w:name="_Toc221950040"/>
            <w:r>
              <w:rPr>
                <w:rFonts w:hint="eastAsia" w:ascii="宋体" w:hAnsi="宋体" w:cs="宋体"/>
                <w:color w:val="auto"/>
                <w:szCs w:val="21"/>
                <w:highlight w:val="none"/>
              </w:rPr>
              <w:t>计划工期：</w:t>
            </w:r>
            <w:bookmarkEnd w:id="83"/>
            <w:r>
              <w:rPr>
                <w:rFonts w:hint="eastAsia" w:ascii="宋体" w:hAnsi="宋体" w:cs="宋体"/>
                <w:color w:val="auto"/>
                <w:szCs w:val="21"/>
                <w:highlight w:val="none"/>
              </w:rPr>
              <w:t>日历天</w:t>
            </w:r>
          </w:p>
          <w:p>
            <w:pPr>
              <w:spacing w:beforeLines="50"/>
              <w:contextualSpacing/>
              <w:rPr>
                <w:rFonts w:ascii="宋体" w:hAnsi="宋体" w:cs="宋体"/>
                <w:color w:val="auto"/>
                <w:szCs w:val="21"/>
                <w:highlight w:val="none"/>
              </w:rPr>
            </w:pPr>
            <w:bookmarkStart w:id="84" w:name="_Toc221950041"/>
            <w:r>
              <w:rPr>
                <w:rFonts w:hint="eastAsia" w:ascii="宋体" w:hAnsi="宋体" w:cs="宋体"/>
                <w:color w:val="auto"/>
                <w:szCs w:val="21"/>
                <w:highlight w:val="none"/>
              </w:rPr>
              <w:t>计划开工日期：年 月日</w:t>
            </w:r>
            <w:bookmarkEnd w:id="84"/>
          </w:p>
          <w:p>
            <w:pPr>
              <w:spacing w:beforeLines="50"/>
              <w:contextualSpacing/>
              <w:rPr>
                <w:rFonts w:ascii="宋体" w:hAnsi="宋体" w:cs="宋体"/>
                <w:color w:val="auto"/>
                <w:szCs w:val="21"/>
                <w:highlight w:val="none"/>
              </w:rPr>
            </w:pPr>
            <w:bookmarkStart w:id="85" w:name="_Toc221950042"/>
            <w:r>
              <w:rPr>
                <w:rFonts w:hint="eastAsia" w:ascii="宋体" w:hAnsi="宋体" w:cs="宋体"/>
                <w:color w:val="auto"/>
                <w:szCs w:val="21"/>
                <w:highlight w:val="none"/>
              </w:rPr>
              <w:t>计划竣工日期：年 月日</w:t>
            </w:r>
            <w:bookmarkEnd w:id="85"/>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86" w:name="_Toc221950043"/>
            <w:r>
              <w:rPr>
                <w:rFonts w:hint="eastAsia" w:ascii="宋体" w:hAnsi="宋体" w:cs="宋体"/>
                <w:color w:val="auto"/>
                <w:szCs w:val="21"/>
                <w:highlight w:val="none"/>
              </w:rPr>
              <w:t>1.3.3</w:t>
            </w:r>
            <w:bookmarkEnd w:id="86"/>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87" w:name="_Toc221950044"/>
            <w:r>
              <w:rPr>
                <w:rFonts w:hint="eastAsia" w:ascii="宋体" w:hAnsi="宋体" w:cs="宋体"/>
                <w:color w:val="auto"/>
                <w:szCs w:val="21"/>
                <w:highlight w:val="none"/>
              </w:rPr>
              <w:t>质量要求</w:t>
            </w:r>
            <w:bookmarkEnd w:id="87"/>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合格□优良</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1.3.4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承包方式</w:t>
            </w:r>
          </w:p>
        </w:tc>
        <w:tc>
          <w:tcPr>
            <w:tcW w:w="5037" w:type="dxa"/>
            <w:tcBorders>
              <w:top w:val="single" w:color="auto" w:sz="4" w:space="0"/>
              <w:left w:val="single" w:color="auto" w:sz="4" w:space="0"/>
              <w:bottom w:val="single" w:color="auto" w:sz="4" w:space="0"/>
              <w:right w:val="single" w:color="auto" w:sz="4" w:space="0"/>
            </w:tcBorders>
            <w:vAlign w:val="center"/>
          </w:tcPr>
          <w:p>
            <w:pPr>
              <w:pStyle w:val="15"/>
              <w:topLinePunct/>
              <w:rPr>
                <w:rFonts w:ascii="宋体" w:hAnsi="宋体" w:cs="宋体"/>
                <w:color w:val="auto"/>
                <w:kern w:val="2"/>
                <w:sz w:val="21"/>
                <w:szCs w:val="21"/>
                <w:highlight w:val="none"/>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固定总价</w:t>
            </w:r>
          </w:p>
          <w:p>
            <w:pPr>
              <w:pStyle w:val="15"/>
              <w:topLinePunct/>
              <w:rPr>
                <w:rFonts w:ascii="宋体" w:hAnsi="宋体" w:cs="宋体"/>
                <w:color w:val="auto"/>
                <w:kern w:val="2"/>
                <w:sz w:val="21"/>
                <w:szCs w:val="21"/>
                <w:highlight w:val="none"/>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综合单价</w:t>
            </w:r>
          </w:p>
          <w:p>
            <w:pPr>
              <w:spacing w:beforeLines="50"/>
              <w:contextualSpacing/>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其他：包工、包料（甲供材料除外）、包安装、包工期、包质量、包安全、包绿色施工安全防护、包总承包服务、包保修、包验收。分部分项工程和单价措施项目清单与计价表中的相应内容综合单价包干，总价措施项目清单与计价表中除按系数计算的绿色施工安全防护外其他相应内容合价包干。预算包干费合价包干。</w:t>
            </w:r>
          </w:p>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结算价最终以经招标人委托的第三方造价咨询机构或财政部门的审核结果为准。</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88" w:name="_Toc221950045"/>
            <w:r>
              <w:rPr>
                <w:rFonts w:hint="eastAsia" w:ascii="宋体" w:hAnsi="宋体" w:cs="宋体"/>
                <w:color w:val="auto"/>
                <w:szCs w:val="21"/>
                <w:highlight w:val="none"/>
              </w:rPr>
              <w:t>1.4.1</w:t>
            </w:r>
            <w:bookmarkEnd w:id="88"/>
          </w:p>
        </w:tc>
        <w:tc>
          <w:tcPr>
            <w:tcW w:w="2192" w:type="dxa"/>
            <w:tcBorders>
              <w:top w:val="single" w:color="auto" w:sz="4" w:space="0"/>
              <w:left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89" w:name="_Toc221950046"/>
            <w:r>
              <w:rPr>
                <w:rFonts w:hint="eastAsia" w:ascii="宋体" w:hAnsi="宋体" w:cs="宋体"/>
                <w:color w:val="auto"/>
                <w:szCs w:val="21"/>
                <w:highlight w:val="none"/>
              </w:rPr>
              <w:t>投标人资质条件、能力、信誉</w:t>
            </w:r>
            <w:bookmarkEnd w:id="89"/>
            <w:r>
              <w:rPr>
                <w:rFonts w:hint="eastAsia" w:ascii="宋体" w:hAnsi="宋体" w:cs="宋体"/>
                <w:color w:val="auto"/>
                <w:szCs w:val="21"/>
                <w:highlight w:val="none"/>
              </w:rPr>
              <w:t>（须同招标公告一致）</w:t>
            </w:r>
          </w:p>
        </w:tc>
        <w:tc>
          <w:tcPr>
            <w:tcW w:w="5037" w:type="dxa"/>
            <w:tcBorders>
              <w:top w:val="single" w:color="auto" w:sz="4" w:space="0"/>
              <w:left w:val="single" w:color="auto" w:sz="4" w:space="0"/>
              <w:right w:val="single" w:color="auto" w:sz="4" w:space="0"/>
            </w:tcBorders>
            <w:vAlign w:val="center"/>
          </w:tcPr>
          <w:p>
            <w:pPr>
              <w:pStyle w:val="10"/>
              <w:numPr>
                <w:ilvl w:val="0"/>
                <w:numId w:val="0"/>
              </w:numPr>
              <w:spacing w:line="240" w:lineRule="auto"/>
              <w:rPr>
                <w:rFonts w:ascii="宋体" w:hAnsi="宋体" w:cs="宋体"/>
                <w:b w:val="0"/>
                <w:bCs/>
                <w:color w:val="auto"/>
                <w:sz w:val="21"/>
                <w:szCs w:val="21"/>
                <w:highlight w:val="none"/>
                <w:u w:val="single"/>
              </w:rPr>
            </w:pPr>
            <w:r>
              <w:rPr>
                <w:rFonts w:hint="eastAsia" w:ascii="宋体" w:hAnsi="宋体" w:cs="宋体"/>
                <w:b w:val="0"/>
                <w:color w:val="auto"/>
                <w:sz w:val="21"/>
                <w:szCs w:val="21"/>
                <w:highlight w:val="none"/>
                <w:u w:val="single"/>
              </w:rPr>
              <w:t>详见本工程招标公告</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503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□不接受</w:t>
            </w:r>
          </w:p>
          <w:p>
            <w:pPr>
              <w:spacing w:beforeLines="50"/>
              <w:contextualSpacing/>
              <w:rPr>
                <w:rFonts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接受，应满足下列要求：</w:t>
            </w:r>
            <w:r>
              <w:rPr>
                <w:rFonts w:hint="eastAsia" w:ascii="宋体" w:hAnsi="宋体" w:cs="宋体"/>
                <w:color w:val="auto"/>
                <w:szCs w:val="21"/>
                <w:highlight w:val="none"/>
                <w:u w:val="single"/>
              </w:rPr>
              <w:t>签订联合体协议书，明确各方具体工作内容。</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1.4</w:t>
            </w:r>
          </w:p>
        </w:tc>
        <w:tc>
          <w:tcPr>
            <w:tcW w:w="2192" w:type="dxa"/>
            <w:tcBorders>
              <w:top w:val="single" w:color="auto" w:sz="4" w:space="0"/>
              <w:left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037" w:type="dxa"/>
            <w:tcBorders>
              <w:top w:val="single" w:color="auto" w:sz="4" w:space="0"/>
              <w:left w:val="single" w:color="auto" w:sz="4" w:space="0"/>
              <w:right w:val="single" w:color="auto" w:sz="4" w:space="0"/>
            </w:tcBorders>
            <w:vAlign w:val="center"/>
          </w:tcPr>
          <w:p>
            <w:pPr>
              <w:pStyle w:val="15"/>
              <w:topLinePunct/>
              <w:spacing w:beforeLines="50" w:after="0"/>
              <w:contextualSpacing/>
              <w:rPr>
                <w:rFonts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电子化资格后审</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192" w:type="dxa"/>
            <w:tcBorders>
              <w:top w:val="single" w:color="auto" w:sz="4" w:space="0"/>
              <w:left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踏勘现场</w:t>
            </w:r>
          </w:p>
        </w:tc>
        <w:tc>
          <w:tcPr>
            <w:tcW w:w="5037" w:type="dxa"/>
            <w:tcBorders>
              <w:top w:val="single" w:color="auto" w:sz="4" w:space="0"/>
              <w:left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招标人不集中组织，由投标人自行踏勘；</w:t>
            </w:r>
          </w:p>
          <w:p>
            <w:pPr>
              <w:rPr>
                <w:rFonts w:ascii="宋体" w:hAnsi="宋体" w:cs="宋体"/>
                <w:color w:val="auto"/>
                <w:szCs w:val="21"/>
                <w:highlight w:val="none"/>
              </w:rPr>
            </w:pPr>
            <w:r>
              <w:rPr>
                <w:rFonts w:hint="eastAsia" w:ascii="宋体" w:hAnsi="宋体" w:cs="宋体"/>
                <w:color w:val="auto"/>
                <w:szCs w:val="21"/>
                <w:highlight w:val="none"/>
              </w:rPr>
              <w:t>时间：自___年___月___日起具备现场踏勘条件；</w:t>
            </w:r>
          </w:p>
          <w:p>
            <w:pPr>
              <w:rPr>
                <w:rFonts w:ascii="宋体" w:hAnsi="宋体" w:cs="宋体"/>
                <w:color w:val="auto"/>
                <w:szCs w:val="21"/>
                <w:highlight w:val="none"/>
              </w:rPr>
            </w:pPr>
            <w:r>
              <w:rPr>
                <w:rFonts w:hint="eastAsia" w:ascii="宋体" w:hAnsi="宋体" w:cs="宋体"/>
                <w:color w:val="auto"/>
                <w:szCs w:val="21"/>
                <w:highlight w:val="none"/>
              </w:rPr>
              <w:t>现场详细地点：</w:t>
            </w:r>
            <w:r>
              <w:rPr>
                <w:rFonts w:hint="eastAsia" w:ascii="宋体" w:hAnsi="宋体" w:cs="宋体"/>
                <w:color w:val="auto"/>
                <w:szCs w:val="21"/>
                <w:highlight w:val="none"/>
                <w:u w:val="single"/>
              </w:rPr>
              <w:t>广州市花都区乌石村、狮岭镇联星村</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1.11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偏离</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偏离允许幅度及其处理方法：</w:t>
            </w:r>
            <w:r>
              <w:rPr>
                <w:rFonts w:hint="eastAsia" w:ascii="宋体" w:hAnsi="宋体" w:cs="宋体"/>
                <w:color w:val="auto"/>
                <w:szCs w:val="21"/>
                <w:highlight w:val="none"/>
                <w:u w:val="single"/>
              </w:rPr>
              <w:t>不允许偏离。</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2.2</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招标答疑</w:t>
            </w:r>
          </w:p>
        </w:tc>
        <w:tc>
          <w:tcPr>
            <w:tcW w:w="50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疑问提交时间：年月日时前；</w:t>
            </w:r>
          </w:p>
          <w:p>
            <w:pPr>
              <w:rPr>
                <w:rFonts w:ascii="宋体" w:hAnsi="宋体"/>
                <w:color w:val="auto"/>
                <w:highlight w:val="none"/>
              </w:rPr>
            </w:pPr>
            <w:r>
              <w:rPr>
                <w:rFonts w:hint="eastAsia" w:ascii="宋体" w:hAnsi="宋体"/>
                <w:color w:val="auto"/>
                <w:highlight w:val="none"/>
              </w:rPr>
              <w:t>形式：</w:t>
            </w:r>
            <w:r>
              <w:rPr>
                <w:rFonts w:hint="eastAsia" w:ascii="宋体" w:hAnsi="宋体"/>
                <w:color w:val="auto"/>
                <w:highlight w:val="none"/>
                <w:u w:val="single"/>
              </w:rPr>
              <w:t>投标人的疑问通过广州公共资源交易平台提交。</w:t>
            </w:r>
          </w:p>
          <w:p>
            <w:pPr>
              <w:rPr>
                <w:rFonts w:ascii="宋体" w:hAnsi="宋体"/>
                <w:color w:val="auto"/>
                <w:highlight w:val="none"/>
                <w:u w:val="single"/>
              </w:rPr>
            </w:pPr>
            <w:r>
              <w:rPr>
                <w:rFonts w:hint="eastAsia" w:ascii="宋体" w:hAnsi="宋体"/>
                <w:color w:val="auto"/>
                <w:highlight w:val="none"/>
              </w:rPr>
              <w:t>具体要求：</w:t>
            </w:r>
            <w:r>
              <w:rPr>
                <w:rFonts w:hint="eastAsia" w:ascii="宋体" w:hAnsi="宋体"/>
                <w:color w:val="auto"/>
                <w:highlight w:val="none"/>
                <w:u w:val="single"/>
              </w:rPr>
              <w:t>按照广州公共资源交易平台关于全流程电子化项目的相关指南进行操作。</w:t>
            </w:r>
          </w:p>
          <w:p>
            <w:pPr>
              <w:rPr>
                <w:rFonts w:ascii="宋体" w:hAnsi="宋体"/>
                <w:color w:val="auto"/>
                <w:highlight w:val="none"/>
              </w:rPr>
            </w:pPr>
            <w:r>
              <w:rPr>
                <w:rFonts w:hint="eastAsia" w:ascii="宋体" w:hAnsi="宋体"/>
                <w:color w:val="auto"/>
                <w:highlight w:val="none"/>
              </w:rPr>
              <w:t>网上答疑的操作指南为：</w:t>
            </w:r>
            <w:r>
              <w:rPr>
                <w:rFonts w:hint="eastAsia" w:ascii="宋体" w:hAnsi="宋体"/>
                <w:color w:val="auto"/>
                <w:highlight w:val="none"/>
                <w:u w:val="single"/>
              </w:rPr>
              <w:t>登陆广州公共资源交易中心网站-&gt;进入“我是投标人（供应商）”-&gt;“我的投标”-&gt;“招标答疑提问”查询项目并提问。</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招标文件澄清和修改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招标文件的修改期限：在投标截止日期前</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日</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3.1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投标文件的组成</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采用综合评估法一：</w:t>
            </w:r>
            <w:r>
              <w:rPr>
                <w:rFonts w:hint="eastAsia" w:ascii="宋体" w:hAnsi="宋体" w:cs="宋体"/>
                <w:color w:val="auto"/>
                <w:szCs w:val="21"/>
                <w:highlight w:val="none"/>
                <w:u w:val="single"/>
              </w:rPr>
              <w:t>投标文件由资格审查文件、商务文件和技术文件组成。</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contextualSpacing/>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w:t>
            </w:r>
            <w:r>
              <w:rPr>
                <w:rFonts w:hint="eastAsia" w:ascii="宋体" w:hAnsi="宋体" w:cs="宋体"/>
                <w:color w:val="000000" w:themeColor="text1"/>
                <w:szCs w:val="21"/>
                <w14:textFill>
                  <w14:solidFill>
                    <w14:schemeClr w14:val="tx1"/>
                  </w14:solidFill>
                </w14:textFill>
              </w:rPr>
              <w:t>工程最高投标限价为人民币</w:t>
            </w:r>
            <w:r>
              <w:rPr>
                <w:rFonts w:hint="eastAsia" w:ascii="宋体" w:hAnsi="宋体" w:cs="宋体"/>
                <w:color w:val="000000" w:themeColor="text1"/>
                <w:szCs w:val="21"/>
                <w:u w:val="single"/>
                <w:lang w:val="en-US" w:eastAsia="zh-CN"/>
                <w14:textFill>
                  <w14:solidFill>
                    <w14:schemeClr w14:val="tx1"/>
                  </w14:solidFill>
                </w14:textFill>
              </w:rPr>
              <w:t>102,657,076.76</w:t>
            </w:r>
            <w:r>
              <w:rPr>
                <w:rFonts w:hint="eastAsia" w:ascii="宋体" w:hAnsi="宋体" w:cs="宋体"/>
                <w:color w:val="000000" w:themeColor="text1"/>
                <w:szCs w:val="21"/>
                <w14:textFill>
                  <w14:solidFill>
                    <w14:schemeClr w14:val="tx1"/>
                  </w14:solidFill>
                </w14:textFill>
              </w:rPr>
              <w:t>元</w:t>
            </w:r>
          </w:p>
          <w:p>
            <w:pPr>
              <w:spacing w:before="120" w:beforeLines="50"/>
              <w:contextualSpacing/>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本工程投标总价应包含按费率计算的绿色施工安全防护措施费、余泥渣土场外运输</w:t>
            </w:r>
            <w:r>
              <w:rPr>
                <w:rFonts w:hint="eastAsia" w:ascii="宋体" w:hAnsi="宋体" w:cs="宋体"/>
                <w:color w:val="000000" w:themeColor="text1"/>
                <w:szCs w:val="21"/>
                <w:u w:val="single"/>
                <w:lang w:val="en-US" w:eastAsia="zh-CN"/>
                <w14:textFill>
                  <w14:solidFill>
                    <w14:schemeClr w14:val="tx1"/>
                  </w14:solidFill>
                </w14:textFill>
              </w:rPr>
              <w:t>费、</w:t>
            </w:r>
            <w:r>
              <w:rPr>
                <w:rFonts w:hint="eastAsia" w:ascii="宋体" w:hAnsi="宋体" w:cs="宋体"/>
                <w:color w:val="000000" w:themeColor="text1"/>
                <w:szCs w:val="21"/>
                <w:u w:val="single"/>
                <w14:textFill>
                  <w14:solidFill>
                    <w14:schemeClr w14:val="tx1"/>
                  </w14:solidFill>
                </w14:textFill>
              </w:rPr>
              <w:t>余泥渣土消纳费、暂列金额等非竞争性费用。本工程非竞争性费用总额为</w:t>
            </w:r>
            <w:r>
              <w:rPr>
                <w:rFonts w:hint="eastAsia" w:ascii="宋体" w:hAnsi="宋体" w:cs="宋体"/>
                <w:color w:val="000000" w:themeColor="text1"/>
                <w:szCs w:val="21"/>
                <w:u w:val="single"/>
                <w:lang w:val="en-US" w:eastAsia="zh-CN"/>
                <w14:textFill>
                  <w14:solidFill>
                    <w14:schemeClr w14:val="tx1"/>
                  </w14:solidFill>
                </w14:textFill>
              </w:rPr>
              <w:t xml:space="preserve"> 18,054,703.09</w:t>
            </w:r>
            <w:r>
              <w:rPr>
                <w:rFonts w:hint="eastAsia" w:ascii="宋体" w:hAnsi="宋体" w:cs="宋体"/>
                <w:color w:val="000000" w:themeColor="text1"/>
                <w:szCs w:val="21"/>
                <w:u w:val="single"/>
                <w14:textFill>
                  <w14:solidFill>
                    <w14:schemeClr w14:val="tx1"/>
                  </w14:solidFill>
                </w14:textFill>
              </w:rPr>
              <w:t>元，其中按费率计算的绿色施工安全防护措施费</w:t>
            </w:r>
            <w:r>
              <w:rPr>
                <w:rFonts w:hint="eastAsia" w:ascii="宋体" w:hAnsi="宋体" w:cs="宋体"/>
                <w:color w:val="000000" w:themeColor="text1"/>
                <w:szCs w:val="21"/>
                <w:u w:val="single"/>
                <w:lang w:val="en-US" w:eastAsia="zh-CN"/>
                <w14:textFill>
                  <w14:solidFill>
                    <w14:schemeClr w14:val="tx1"/>
                  </w14:solidFill>
                </w14:textFill>
              </w:rPr>
              <w:t>3,215,998.56</w:t>
            </w:r>
            <w:r>
              <w:rPr>
                <w:rFonts w:hint="eastAsia" w:ascii="宋体" w:hAnsi="宋体" w:cs="宋体"/>
                <w:color w:val="000000" w:themeColor="text1"/>
                <w:szCs w:val="21"/>
                <w:u w:val="single"/>
                <w14:textFill>
                  <w14:solidFill>
                    <w14:schemeClr w14:val="tx1"/>
                  </w14:solidFill>
                </w14:textFill>
              </w:rPr>
              <w:t>元，余泥渣土场外运输费</w:t>
            </w:r>
            <w:r>
              <w:rPr>
                <w:rFonts w:hint="eastAsia" w:ascii="宋体" w:hAnsi="宋体" w:cs="宋体"/>
                <w:color w:val="000000" w:themeColor="text1"/>
                <w:szCs w:val="21"/>
                <w:u w:val="single"/>
                <w:lang w:val="en-US" w:eastAsia="zh-CN"/>
                <w14:textFill>
                  <w14:solidFill>
                    <w14:schemeClr w14:val="tx1"/>
                  </w14:solidFill>
                </w14:textFill>
              </w:rPr>
              <w:t>3,495,327.98</w:t>
            </w:r>
            <w:r>
              <w:rPr>
                <w:rFonts w:hint="eastAsia" w:ascii="宋体" w:hAnsi="宋体" w:cs="宋体"/>
                <w:color w:val="000000" w:themeColor="text1"/>
                <w:szCs w:val="21"/>
                <w:u w:val="single"/>
                <w14:textFill>
                  <w14:solidFill>
                    <w14:schemeClr w14:val="tx1"/>
                  </w14:solidFill>
                </w14:textFill>
              </w:rPr>
              <w:t>元，余泥渣土消纳费</w:t>
            </w:r>
            <w:r>
              <w:rPr>
                <w:rFonts w:hint="eastAsia" w:ascii="宋体" w:hAnsi="宋体" w:cs="宋体"/>
                <w:color w:val="000000" w:themeColor="text1"/>
                <w:szCs w:val="21"/>
                <w:u w:val="single"/>
                <w:lang w:val="en-US" w:eastAsia="zh-CN"/>
                <w14:textFill>
                  <w14:solidFill>
                    <w14:schemeClr w14:val="tx1"/>
                  </w14:solidFill>
                </w14:textFill>
              </w:rPr>
              <w:t>1,142,350.49</w:t>
            </w:r>
            <w:r>
              <w:rPr>
                <w:rFonts w:hint="eastAsia" w:ascii="宋体" w:hAnsi="宋体" w:cs="宋体"/>
                <w:color w:val="000000" w:themeColor="text1"/>
                <w:szCs w:val="21"/>
                <w:u w:val="single"/>
                <w14:textFill>
                  <w14:solidFill>
                    <w14:schemeClr w14:val="tx1"/>
                  </w14:solidFill>
                </w14:textFill>
              </w:rPr>
              <w:t>元，暂列金额</w:t>
            </w:r>
            <w:r>
              <w:rPr>
                <w:rFonts w:hint="eastAsia" w:ascii="宋体" w:hAnsi="宋体" w:cs="宋体"/>
                <w:color w:val="000000" w:themeColor="text1"/>
                <w:szCs w:val="21"/>
                <w:u w:val="single"/>
                <w:lang w:val="en-US" w:eastAsia="zh-CN"/>
                <w14:textFill>
                  <w14:solidFill>
                    <w14:schemeClr w14:val="tx1"/>
                  </w14:solidFill>
                </w14:textFill>
              </w:rPr>
              <w:t>7,451,026.06</w:t>
            </w:r>
            <w:r>
              <w:rPr>
                <w:rFonts w:hint="eastAsia" w:ascii="宋体" w:hAnsi="宋体" w:cs="宋体"/>
                <w:color w:val="000000" w:themeColor="text1"/>
                <w:szCs w:val="21"/>
                <w:u w:val="single"/>
                <w14:textFill>
                  <w14:solidFill>
                    <w14:schemeClr w14:val="tx1"/>
                  </w14:solidFill>
                </w14:textFill>
              </w:rPr>
              <w:t>元</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专业暂估价2,750,000.00元</w:t>
            </w:r>
            <w:r>
              <w:rPr>
                <w:rFonts w:hint="eastAsia" w:ascii="宋体" w:hAnsi="宋体" w:cs="宋体"/>
                <w:color w:val="000000" w:themeColor="text1"/>
                <w:szCs w:val="21"/>
                <w:u w:val="single"/>
                <w14:textFill>
                  <w14:solidFill>
                    <w14:schemeClr w14:val="tx1"/>
                  </w14:solidFill>
                </w14:textFill>
              </w:rPr>
              <w:t>。</w:t>
            </w:r>
          </w:p>
          <w:p>
            <w:pPr>
              <w:spacing w:beforeLines="50"/>
              <w:contextualSpacing/>
              <w:rPr>
                <w:color w:val="auto"/>
                <w:highlight w:val="none"/>
              </w:rPr>
            </w:pPr>
            <w:r>
              <w:rPr>
                <w:rFonts w:hint="eastAsia" w:ascii="宋体" w:hAnsi="宋体" w:cs="宋体"/>
                <w:color w:val="000000" w:themeColor="text1"/>
                <w:szCs w:val="21"/>
                <w14:textFill>
                  <w14:solidFill>
                    <w14:schemeClr w14:val="tx1"/>
                  </w14:solidFill>
                </w14:textFill>
              </w:rPr>
              <w:t>其他详见招标控制价公布函，投标总价超过最高投标限价的投标文件将被拒绝。</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成本警示价</w:t>
            </w:r>
          </w:p>
        </w:tc>
        <w:tc>
          <w:tcPr>
            <w:tcW w:w="5037" w:type="dxa"/>
            <w:tcBorders>
              <w:top w:val="single" w:color="auto" w:sz="4" w:space="0"/>
              <w:left w:val="single" w:color="auto" w:sz="4" w:space="0"/>
              <w:bottom w:val="single" w:color="auto" w:sz="4" w:space="0"/>
              <w:right w:val="single" w:color="auto" w:sz="4" w:space="0"/>
            </w:tcBorders>
            <w:vAlign w:val="center"/>
          </w:tcPr>
          <w:p>
            <w:pPr>
              <w:contextualSpacing/>
              <w:rPr>
                <w:rFonts w:ascii="宋体" w:hAnsi="宋体" w:cs="宋体"/>
                <w:color w:val="auto"/>
                <w:szCs w:val="21"/>
                <w:highlight w:val="none"/>
              </w:rPr>
            </w:pPr>
            <w:r>
              <w:rPr>
                <w:rFonts w:hint="eastAsia" w:ascii="宋体" w:hAnsi="宋体" w:cs="宋体"/>
                <w:color w:val="auto"/>
                <w:szCs w:val="21"/>
                <w:highlight w:val="none"/>
              </w:rPr>
              <w:t>成本警示价为</w:t>
            </w:r>
            <w:r>
              <w:rPr>
                <w:rFonts w:hint="eastAsia" w:ascii="宋体" w:hAnsi="宋体" w:cs="宋体"/>
                <w:color w:val="auto"/>
                <w:szCs w:val="21"/>
                <w:highlight w:val="none"/>
                <w:u w:val="single"/>
                <w:lang w:val="en-US" w:eastAsia="zh-CN"/>
              </w:rPr>
              <w:t>92,391,369.08</w:t>
            </w:r>
            <w:r>
              <w:rPr>
                <w:rFonts w:hint="eastAsia" w:ascii="宋体" w:hAnsi="宋体" w:cs="宋体"/>
                <w:color w:val="auto"/>
                <w:szCs w:val="21"/>
                <w:highlight w:val="none"/>
              </w:rPr>
              <w:t>元。</w:t>
            </w:r>
          </w:p>
          <w:p>
            <w:pPr>
              <w:contextualSpacing/>
              <w:rPr>
                <w:rFonts w:ascii="宋体" w:hAnsi="宋体" w:cs="宋体"/>
                <w:color w:val="auto"/>
                <w:szCs w:val="21"/>
                <w:highlight w:val="none"/>
              </w:rPr>
            </w:pPr>
            <w:r>
              <w:rPr>
                <w:rFonts w:hint="eastAsia" w:ascii="宋体" w:hAnsi="宋体" w:cs="宋体"/>
                <w:color w:val="auto"/>
                <w:szCs w:val="21"/>
                <w:highlight w:val="none"/>
                <w:u w:val="single"/>
              </w:rPr>
              <w:t>（最高投标限价的 90% 设置为成本警示价）</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90" w:name="_Toc221950062"/>
            <w:r>
              <w:rPr>
                <w:rFonts w:hint="eastAsia" w:ascii="宋体" w:hAnsi="宋体" w:cs="宋体"/>
                <w:color w:val="auto"/>
                <w:szCs w:val="21"/>
                <w:highlight w:val="none"/>
              </w:rPr>
              <w:t>3.3.1</w:t>
            </w:r>
            <w:bookmarkEnd w:id="90"/>
          </w:p>
        </w:tc>
        <w:tc>
          <w:tcPr>
            <w:tcW w:w="2192" w:type="dxa"/>
            <w:tcBorders>
              <w:top w:val="single" w:color="auto" w:sz="4" w:space="0"/>
              <w:left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投标有效期</w:t>
            </w:r>
          </w:p>
        </w:tc>
        <w:tc>
          <w:tcPr>
            <w:tcW w:w="5037" w:type="dxa"/>
            <w:tcBorders>
              <w:top w:val="single" w:color="auto" w:sz="4" w:space="0"/>
              <w:left w:val="single" w:color="auto" w:sz="4" w:space="0"/>
              <w:right w:val="single" w:color="auto" w:sz="4" w:space="0"/>
            </w:tcBorders>
            <w:vAlign w:val="center"/>
          </w:tcPr>
          <w:p>
            <w:pPr>
              <w:pStyle w:val="15"/>
              <w:topLinePunct/>
              <w:spacing w:beforeLines="50" w:after="0"/>
              <w:contextualSpacing/>
              <w:rPr>
                <w:rFonts w:ascii="宋体" w:hAnsi="宋体" w:cs="宋体"/>
                <w:color w:val="auto"/>
                <w:kern w:val="2"/>
                <w:sz w:val="21"/>
                <w:szCs w:val="21"/>
                <w:highlight w:val="none"/>
              </w:rPr>
            </w:pPr>
            <w:r>
              <w:rPr>
                <w:rFonts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日历天（从投标截止之日计起）</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91" w:name="_Toc221950064"/>
            <w:r>
              <w:rPr>
                <w:rFonts w:hint="eastAsia" w:ascii="宋体" w:hAnsi="宋体" w:cs="宋体"/>
                <w:color w:val="auto"/>
                <w:szCs w:val="21"/>
                <w:highlight w:val="none"/>
              </w:rPr>
              <w:t>3.4</w:t>
            </w:r>
            <w:bookmarkEnd w:id="91"/>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92" w:name="_Toc221950065"/>
            <w:r>
              <w:rPr>
                <w:rFonts w:hint="eastAsia" w:ascii="宋体" w:hAnsi="宋体" w:cs="宋体"/>
                <w:color w:val="auto"/>
                <w:szCs w:val="21"/>
                <w:highlight w:val="none"/>
              </w:rPr>
              <w:t>投标保证金</w:t>
            </w:r>
            <w:bookmarkEnd w:id="92"/>
          </w:p>
        </w:tc>
        <w:tc>
          <w:tcPr>
            <w:tcW w:w="50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是否要求投标人递交投标保证金：</w:t>
            </w:r>
          </w:p>
          <w:p>
            <w:pPr>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要求，按以下方式递交：</w:t>
            </w:r>
          </w:p>
          <w:p>
            <w:pPr>
              <w:rPr>
                <w:rFonts w:ascii="宋体" w:hAnsi="宋体"/>
                <w:color w:val="auto"/>
                <w:szCs w:val="21"/>
                <w:highlight w:val="none"/>
              </w:rPr>
            </w:pPr>
            <w:r>
              <w:rPr>
                <w:rFonts w:hint="eastAsia" w:ascii="宋体" w:hAnsi="宋体"/>
                <w:color w:val="auto"/>
                <w:szCs w:val="21"/>
                <w:highlight w:val="none"/>
              </w:rPr>
              <w:t>1.广州公交资源交易平台代收</w:t>
            </w:r>
          </w:p>
          <w:p>
            <w:pPr>
              <w:rPr>
                <w:rFonts w:ascii="宋体" w:hAnsi="宋体"/>
                <w:color w:val="auto"/>
                <w:szCs w:val="21"/>
                <w:highlight w:val="none"/>
              </w:rPr>
            </w:pPr>
            <w:r>
              <w:rPr>
                <w:rFonts w:hint="eastAsia" w:ascii="宋体" w:hAnsi="宋体"/>
                <w:color w:val="auto"/>
                <w:szCs w:val="21"/>
                <w:highlight w:val="none"/>
              </w:rPr>
              <w:t>投标保证金：</w:t>
            </w:r>
            <w:r>
              <w:rPr>
                <w:rFonts w:ascii="宋体" w:hAnsi="宋体"/>
                <w:b/>
                <w:color w:val="auto"/>
                <w:szCs w:val="21"/>
                <w:highlight w:val="none"/>
                <w:u w:val="single"/>
              </w:rPr>
              <w:t>10</w:t>
            </w:r>
            <w:r>
              <w:rPr>
                <w:rFonts w:hint="eastAsia" w:ascii="宋体" w:hAnsi="宋体"/>
                <w:color w:val="auto"/>
                <w:szCs w:val="21"/>
                <w:highlight w:val="none"/>
              </w:rPr>
              <w:t>万元人民币/标段；</w:t>
            </w:r>
            <w:r>
              <w:rPr>
                <w:rFonts w:hint="eastAsia" w:ascii="宋体" w:hAnsi="宋体"/>
                <w:color w:val="auto"/>
                <w:szCs w:val="21"/>
                <w:highlight w:val="none"/>
                <w:u w:val="single"/>
              </w:rPr>
              <w:t>（如联合体投标，由主办方递交）</w:t>
            </w:r>
          </w:p>
          <w:p>
            <w:pPr>
              <w:rPr>
                <w:rFonts w:ascii="宋体" w:hAnsi="宋体" w:cs="宋体"/>
                <w:color w:val="auto"/>
                <w:szCs w:val="21"/>
                <w:highlight w:val="none"/>
              </w:rPr>
            </w:pPr>
            <w:r>
              <w:rPr>
                <w:rFonts w:hint="eastAsia" w:ascii="宋体" w:hAnsi="宋体" w:cs="宋体"/>
                <w:color w:val="auto"/>
                <w:szCs w:val="21"/>
                <w:highlight w:val="none"/>
              </w:rPr>
              <w:t>2、收取方式：</w:t>
            </w:r>
          </w:p>
          <w:p>
            <w:pPr>
              <w:rPr>
                <w:rFonts w:ascii="宋体" w:hAnsi="宋体" w:cs="宋体"/>
                <w:color w:val="auto"/>
                <w:szCs w:val="21"/>
                <w:highlight w:val="none"/>
              </w:rPr>
            </w:pPr>
            <w:r>
              <w:rPr>
                <w:rFonts w:hint="eastAsia" w:ascii="宋体" w:hAnsi="宋体" w:cs="宋体"/>
                <w:color w:val="auto"/>
                <w:szCs w:val="21"/>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rPr>
                <w:rFonts w:ascii="宋体" w:hAnsi="宋体" w:cs="宋体"/>
                <w:color w:val="auto"/>
                <w:szCs w:val="21"/>
                <w:highlight w:val="none"/>
              </w:rPr>
            </w:pPr>
            <w:r>
              <w:rPr>
                <w:rFonts w:hint="eastAsia" w:ascii="宋体" w:hAnsi="宋体" w:cs="宋体"/>
                <w:color w:val="auto"/>
                <w:szCs w:val="21"/>
                <w:highlight w:val="none"/>
              </w:rPr>
              <w:t>（2）如采用投标保函、投标保证保险等形式提交投标保证金的，在开标前不强制要求提交纸质原件，由中标候选人在中标候选人公示前提交并在网上公示，但投标人应在投标文件中提交投标保函或投标保证保险等的复印件并加盖投标人公章。如投标人选择在开标前提交纸质原件的，可在投标截止时间前单独密封递交至开标室（时间及地点同递交投标文件的时间及地点）。</w:t>
            </w:r>
          </w:p>
          <w:p>
            <w:pPr>
              <w:spacing w:beforeLines="50"/>
              <w:contextualSpacing/>
              <w:rPr>
                <w:rFonts w:ascii="宋体" w:hAnsi="宋体" w:cs="宋体"/>
                <w:color w:val="auto"/>
                <w:szCs w:val="21"/>
                <w:highlight w:val="none"/>
              </w:rPr>
            </w:pPr>
            <w:r>
              <w:rPr>
                <w:rFonts w:hint="eastAsia" w:ascii="宋体" w:hAnsi="宋体"/>
                <w:color w:val="auto"/>
                <w:szCs w:val="21"/>
                <w:highlight w:val="none"/>
              </w:rPr>
              <w:t>□不要求</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3.6.3</w:t>
            </w:r>
          </w:p>
        </w:tc>
        <w:tc>
          <w:tcPr>
            <w:tcW w:w="2192" w:type="dxa"/>
            <w:tcBorders>
              <w:top w:val="single" w:color="auto" w:sz="4" w:space="0"/>
              <w:left w:val="single" w:color="auto" w:sz="4" w:space="0"/>
              <w:right w:val="single" w:color="auto" w:sz="4" w:space="0"/>
            </w:tcBorders>
            <w:shd w:val="clear" w:color="auto" w:fill="auto"/>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5037" w:type="dxa"/>
            <w:tcBorders>
              <w:top w:val="single" w:color="auto" w:sz="4" w:space="0"/>
              <w:left w:val="single" w:color="auto" w:sz="4" w:space="0"/>
              <w:right w:val="single" w:color="auto" w:sz="4" w:space="0"/>
            </w:tcBorders>
            <w:shd w:val="clear" w:color="auto" w:fill="auto"/>
            <w:vAlign w:val="center"/>
          </w:tcPr>
          <w:p>
            <w:pPr>
              <w:pStyle w:val="15"/>
              <w:topLinePunct/>
              <w:spacing w:beforeLines="50" w:after="0"/>
              <w:contextualSpacing/>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投标文件格式规定需个人签字的，应签字或签章后扫描上传。投标文件格式规定盖单位公章的页面必须盖单位公章（公章与电子公章具有相同法律效力）。</w:t>
            </w:r>
            <w:r>
              <w:rPr>
                <w:rFonts w:hint="eastAsia" w:ascii="宋体" w:hAnsi="宋体" w:cs="宋体"/>
                <w:color w:val="auto"/>
                <w:kern w:val="2"/>
                <w:sz w:val="21"/>
                <w:szCs w:val="21"/>
                <w:highlight w:val="none"/>
              </w:rPr>
              <w:cr/>
            </w:r>
            <w:r>
              <w:rPr>
                <w:rFonts w:hint="eastAsia" w:ascii="宋体" w:hAnsi="宋体" w:cs="宋体"/>
                <w:color w:val="auto"/>
                <w:kern w:val="2"/>
                <w:sz w:val="21"/>
                <w:szCs w:val="21"/>
                <w:highlight w:val="none"/>
              </w:rPr>
              <w:t>如联合体投标，投标文件中的“投标人”、“声明企业”、“投标单位”应填写联合体各成员的单位全称“（主）***公司（成）***公司”。除投标文件中的联合体协议书、投标人声明需联合体各成员按格式要求盖章或签字外，其他资料均由主办方盖章或签字即可。</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投标文件份数</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投标文件为含电子签章的加密电子投标文件1套。</w:t>
            </w:r>
          </w:p>
          <w:p>
            <w:pPr>
              <w:spacing w:beforeLines="50"/>
              <w:contextualSpacing/>
              <w:rPr>
                <w:rFonts w:ascii="宋体" w:hAnsi="宋体" w:cs="宋体"/>
                <w:color w:val="auto"/>
                <w:szCs w:val="21"/>
                <w:highlight w:val="none"/>
              </w:rPr>
            </w:pPr>
            <w:r>
              <w:rPr>
                <w:rFonts w:hint="eastAsia" w:ascii="宋体" w:hAnsi="宋体"/>
                <w:color w:val="auto"/>
                <w:szCs w:val="21"/>
                <w:highlight w:val="none"/>
                <w:u w:val="single"/>
              </w:rPr>
              <w:t>注：中标单位中标后须按招标人要求提供纸质版投标文件含一正两副。</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93" w:name="_Toc221950069"/>
            <w:r>
              <w:rPr>
                <w:rFonts w:hint="eastAsia" w:ascii="宋体" w:hAnsi="宋体" w:cs="宋体"/>
                <w:color w:val="auto"/>
                <w:szCs w:val="21"/>
                <w:highlight w:val="none"/>
              </w:rPr>
              <w:t>4.2.</w:t>
            </w:r>
            <w:bookmarkEnd w:id="93"/>
            <w:r>
              <w:rPr>
                <w:rFonts w:hint="eastAsia" w:ascii="宋体" w:hAnsi="宋体" w:cs="宋体"/>
                <w:color w:val="auto"/>
                <w:szCs w:val="21"/>
                <w:highlight w:val="none"/>
              </w:rPr>
              <w:t>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投标文件的递交时间和地点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1、递交方式：网上递交投标文件</w:t>
            </w:r>
          </w:p>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2、文件的递交截止时间：__年__月__日 __时__分。</w:t>
            </w:r>
          </w:p>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3、上述时间是否有改变，请密切留意招标答疑纪要的相关信息。</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4.7</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投标文件的解密</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在投标截止时间后</w:t>
            </w:r>
            <w:r>
              <w:rPr>
                <w:rFonts w:hint="eastAsia" w:ascii="宋体" w:hAnsi="宋体" w:cs="宋体"/>
                <w:b/>
                <w:color w:val="auto"/>
                <w:szCs w:val="21"/>
                <w:highlight w:val="none"/>
                <w:u w:val="single"/>
              </w:rPr>
              <w:t>30</w:t>
            </w:r>
            <w:r>
              <w:rPr>
                <w:rFonts w:hint="eastAsia" w:ascii="宋体" w:hAnsi="宋体" w:cs="宋体"/>
                <w:color w:val="auto"/>
                <w:szCs w:val="21"/>
                <w:highlight w:val="none"/>
              </w:rPr>
              <w:t>分钟内为投标人投标文件解密时间，投标人通过广州公共资源交易平台对已递交的电子投标文件进行解密。</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94" w:name="_Toc221950071"/>
            <w:r>
              <w:rPr>
                <w:rFonts w:hint="eastAsia" w:ascii="宋体" w:hAnsi="宋体" w:cs="宋体"/>
                <w:color w:val="auto"/>
                <w:szCs w:val="21"/>
                <w:highlight w:val="none"/>
              </w:rPr>
              <w:t>5.1</w:t>
            </w:r>
            <w:bookmarkEnd w:id="94"/>
          </w:p>
        </w:tc>
        <w:tc>
          <w:tcPr>
            <w:tcW w:w="2192" w:type="dxa"/>
            <w:tcBorders>
              <w:top w:val="single" w:color="auto" w:sz="4" w:space="0"/>
              <w:left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95" w:name="_Toc221950072"/>
            <w:r>
              <w:rPr>
                <w:rFonts w:hint="eastAsia" w:ascii="宋体" w:hAnsi="宋体" w:cs="宋体"/>
                <w:color w:val="auto"/>
                <w:szCs w:val="21"/>
                <w:highlight w:val="none"/>
              </w:rPr>
              <w:t>开标时间和地点</w:t>
            </w:r>
            <w:bookmarkEnd w:id="95"/>
          </w:p>
        </w:tc>
        <w:tc>
          <w:tcPr>
            <w:tcW w:w="5037" w:type="dxa"/>
            <w:tcBorders>
              <w:top w:val="single" w:color="auto" w:sz="4" w:space="0"/>
              <w:left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1、开标开始时间：年月__日__时__分</w:t>
            </w:r>
          </w:p>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2、地点：广州公共资源交易中心花都交易部第开标室。</w:t>
            </w:r>
          </w:p>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3、上述时间及地点是否有改变，请密切留意招标答疑纪要的相关信息。</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5.2</w:t>
            </w:r>
          </w:p>
        </w:tc>
        <w:tc>
          <w:tcPr>
            <w:tcW w:w="2192" w:type="dxa"/>
            <w:tcBorders>
              <w:top w:val="single" w:color="auto" w:sz="4" w:space="0"/>
              <w:left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开标评标办法</w:t>
            </w:r>
          </w:p>
        </w:tc>
        <w:tc>
          <w:tcPr>
            <w:tcW w:w="5037" w:type="dxa"/>
            <w:tcBorders>
              <w:top w:val="single" w:color="auto" w:sz="4" w:space="0"/>
              <w:left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综合评估法一</w:t>
            </w:r>
          </w:p>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□综合评估法二（以前叫：平均值法（一））</w:t>
            </w:r>
          </w:p>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□综合评估法三（以前叫：平均值法（二））</w:t>
            </w:r>
          </w:p>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□经评审的最低投标价法</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96" w:name="_Toc221950075"/>
            <w:r>
              <w:rPr>
                <w:rFonts w:hint="eastAsia" w:ascii="宋体" w:hAnsi="宋体" w:cs="宋体"/>
                <w:color w:val="auto"/>
                <w:szCs w:val="21"/>
                <w:highlight w:val="none"/>
              </w:rPr>
              <w:t>6.1.1</w:t>
            </w:r>
            <w:bookmarkEnd w:id="96"/>
          </w:p>
        </w:tc>
        <w:tc>
          <w:tcPr>
            <w:tcW w:w="2192" w:type="dxa"/>
            <w:tcBorders>
              <w:top w:val="single" w:color="auto" w:sz="4" w:space="0"/>
              <w:left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97" w:name="_Toc221950076"/>
            <w:r>
              <w:rPr>
                <w:rFonts w:hint="eastAsia" w:ascii="宋体" w:hAnsi="宋体" w:cs="宋体"/>
                <w:color w:val="auto"/>
                <w:szCs w:val="21"/>
                <w:highlight w:val="none"/>
              </w:rPr>
              <w:t>评标委员会的组建</w:t>
            </w:r>
            <w:bookmarkEnd w:id="97"/>
          </w:p>
        </w:tc>
        <w:tc>
          <w:tcPr>
            <w:tcW w:w="5037" w:type="dxa"/>
            <w:tcBorders>
              <w:top w:val="single" w:color="auto" w:sz="4" w:space="0"/>
              <w:left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依法组建。</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7.2.1</w:t>
            </w:r>
          </w:p>
        </w:tc>
        <w:tc>
          <w:tcPr>
            <w:tcW w:w="2192" w:type="dxa"/>
            <w:tcBorders>
              <w:top w:val="single" w:color="auto" w:sz="4" w:space="0"/>
              <w:left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5037" w:type="dxa"/>
            <w:tcBorders>
              <w:top w:val="single" w:color="auto" w:sz="4" w:space="0"/>
              <w:left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shd w:val="clear" w:color="auto" w:fill="FFFFFF"/>
              </w:rPr>
              <w:t>广东省招标投标监管网、广州公共资源交易中心网站</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bookmarkStart w:id="98" w:name="_Toc221950079"/>
            <w:r>
              <w:rPr>
                <w:rFonts w:hint="eastAsia" w:ascii="宋体" w:hAnsi="宋体" w:cs="宋体"/>
                <w:color w:val="auto"/>
                <w:szCs w:val="21"/>
                <w:highlight w:val="none"/>
              </w:rPr>
              <w:t>7.4.1</w:t>
            </w:r>
            <w:bookmarkEnd w:id="98"/>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bookmarkStart w:id="99" w:name="_Toc221950080"/>
            <w:r>
              <w:rPr>
                <w:rFonts w:hint="eastAsia" w:ascii="宋体" w:hAnsi="宋体" w:cs="宋体"/>
                <w:color w:val="auto"/>
                <w:szCs w:val="21"/>
                <w:highlight w:val="none"/>
              </w:rPr>
              <w:t>履约担保</w:t>
            </w:r>
            <w:bookmarkEnd w:id="99"/>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s="宋体"/>
                <w:color w:val="auto"/>
                <w:szCs w:val="21"/>
                <w:highlight w:val="none"/>
              </w:rPr>
              <w:t>履约保证金为中标价款的10%。</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10．</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需要补充的其他内容</w:t>
            </w:r>
          </w:p>
        </w:tc>
        <w:tc>
          <w:tcPr>
            <w:tcW w:w="5037" w:type="dxa"/>
            <w:tcBorders>
              <w:top w:val="single" w:color="auto" w:sz="4" w:space="0"/>
              <w:left w:val="single" w:color="auto" w:sz="4" w:space="0"/>
              <w:bottom w:val="single" w:color="auto" w:sz="4" w:space="0"/>
              <w:right w:val="single" w:color="auto" w:sz="4" w:space="0"/>
            </w:tcBorders>
            <w:vAlign w:val="center"/>
          </w:tcPr>
          <w:p>
            <w:pPr>
              <w:tabs>
                <w:tab w:val="left" w:pos="312"/>
              </w:tabs>
              <w:spacing w:beforeLines="50"/>
              <w:contextualSpacing/>
              <w:rPr>
                <w:rFonts w:ascii="宋体" w:hAnsi="宋体"/>
                <w:color w:val="auto"/>
                <w:szCs w:val="21"/>
                <w:highlight w:val="none"/>
              </w:rPr>
            </w:pPr>
            <w:r>
              <w:rPr>
                <w:rFonts w:hint="eastAsia" w:ascii="宋体" w:hAnsi="宋体"/>
                <w:color w:val="auto"/>
                <w:szCs w:val="21"/>
                <w:highlight w:val="none"/>
              </w:rPr>
              <w:t>1.中标人应依据相关规定，向广州公共资源交易中心缴纳交易服务费。</w:t>
            </w:r>
          </w:p>
          <w:p>
            <w:pPr>
              <w:tabs>
                <w:tab w:val="left" w:pos="312"/>
              </w:tabs>
              <w:spacing w:beforeLines="50"/>
              <w:contextualSpacing/>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本项目招标代理费由中标单位支付。收费标准参照现行国家规定的标准执行。以《中标通知书》确定的中标价作为收费的计算基数，按差额定率累进法计算。</w:t>
            </w:r>
          </w:p>
        </w:tc>
      </w:tr>
    </w:tbl>
    <w:p>
      <w:pPr>
        <w:pStyle w:val="28"/>
        <w:spacing w:line="360" w:lineRule="auto"/>
        <w:rPr>
          <w:rFonts w:eastAsia="宋体" w:cs="宋体"/>
          <w:b/>
          <w:color w:val="auto"/>
          <w:sz w:val="24"/>
          <w:highlight w:val="none"/>
        </w:rPr>
      </w:pPr>
    </w:p>
    <w:p>
      <w:pPr>
        <w:widowControl/>
        <w:jc w:val="left"/>
        <w:rPr>
          <w:rFonts w:ascii="宋体" w:hAnsi="宋体" w:cs="宋体"/>
          <w:b/>
          <w:color w:val="auto"/>
          <w:sz w:val="24"/>
          <w:szCs w:val="24"/>
          <w:highlight w:val="none"/>
          <w:u w:val="single"/>
        </w:rPr>
      </w:pPr>
      <w:r>
        <w:rPr>
          <w:rFonts w:hint="eastAsia" w:ascii="宋体" w:hAnsi="宋体" w:cs="宋体"/>
          <w:b/>
          <w:color w:val="auto"/>
          <w:sz w:val="24"/>
          <w:highlight w:val="none"/>
        </w:rPr>
        <w:br w:type="page"/>
      </w:r>
    </w:p>
    <w:p>
      <w:pPr>
        <w:spacing w:line="360" w:lineRule="auto"/>
        <w:jc w:val="center"/>
        <w:outlineLvl w:val="2"/>
        <w:rPr>
          <w:rFonts w:ascii="宋体" w:hAnsi="宋体" w:cs="宋体"/>
          <w:color w:val="auto"/>
          <w:sz w:val="28"/>
          <w:szCs w:val="27"/>
          <w:highlight w:val="none"/>
        </w:rPr>
      </w:pPr>
      <w:bookmarkStart w:id="100" w:name="_Toc17451101"/>
      <w:bookmarkStart w:id="101" w:name="_Toc17454871"/>
      <w:bookmarkStart w:id="102" w:name="_Toc17451623"/>
      <w:bookmarkStart w:id="103" w:name="_Toc17556876"/>
      <w:bookmarkStart w:id="104" w:name="_Toc17454922"/>
      <w:bookmarkStart w:id="105" w:name="_Toc17451578"/>
      <w:bookmarkStart w:id="106" w:name="_Toc17452664"/>
      <w:bookmarkStart w:id="107" w:name="_Toc262229161"/>
      <w:bookmarkStart w:id="108" w:name="_Toc132193443"/>
      <w:r>
        <w:rPr>
          <w:rFonts w:hint="eastAsia" w:ascii="宋体" w:hAnsi="宋体" w:cs="宋体"/>
          <w:color w:val="auto"/>
          <w:sz w:val="28"/>
          <w:szCs w:val="27"/>
          <w:highlight w:val="none"/>
        </w:rPr>
        <w:t>二、投标须知修改表</w:t>
      </w:r>
      <w:bookmarkEnd w:id="100"/>
      <w:bookmarkEnd w:id="101"/>
      <w:bookmarkEnd w:id="102"/>
      <w:bookmarkEnd w:id="103"/>
      <w:bookmarkEnd w:id="104"/>
      <w:bookmarkEnd w:id="105"/>
      <w:bookmarkEnd w:id="106"/>
      <w:bookmarkEnd w:id="107"/>
      <w:bookmarkEnd w:id="108"/>
    </w:p>
    <w:p>
      <w:pPr>
        <w:pStyle w:val="33"/>
        <w:pBdr>
          <w:bottom w:val="single" w:color="auto" w:sz="6" w:space="1"/>
        </w:pBd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本投标须知使用SWZB2019-01试行版招标文件范本的投标须知通用条款，与该通用条款不同之处，均在本表中列明，并以现文为准，原文不再有效。</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
          <w:color w:val="auto"/>
          <w:sz w:val="24"/>
          <w:szCs w:val="21"/>
          <w:highlight w:val="none"/>
        </w:rPr>
        <w:t>2.2.1、2.2.2</w:t>
      </w:r>
      <w:r>
        <w:rPr>
          <w:rFonts w:hint="eastAsia" w:ascii="宋体" w:hAnsi="宋体" w:cs="宋体"/>
          <w:b/>
          <w:color w:val="auto"/>
          <w:sz w:val="24"/>
          <w:szCs w:val="24"/>
          <w:highlight w:val="none"/>
        </w:rPr>
        <w:t xml:space="preserve">             修改类型：修改</w:t>
      </w:r>
    </w:p>
    <w:p>
      <w:pPr>
        <w:pStyle w:val="33"/>
        <w:spacing w:after="0" w:line="360" w:lineRule="auto"/>
        <w:ind w:firstLine="540" w:firstLineChars="224"/>
        <w:rPr>
          <w:rFonts w:ascii="宋体" w:hAnsi="宋体" w:eastAsia="宋体" w:cs="宋体"/>
          <w:color w:val="auto"/>
          <w:sz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1"/>
          <w:highlight w:val="none"/>
        </w:rPr>
        <w:t>2.2.1</w:t>
      </w:r>
      <w:r>
        <w:rPr>
          <w:rFonts w:hint="eastAsia" w:ascii="宋体" w:hAnsi="宋体" w:eastAsia="宋体" w:cs="宋体"/>
          <w:color w:val="auto"/>
          <w:sz w:val="24"/>
          <w:highlight w:val="none"/>
        </w:rPr>
        <w:t>招标答疑采用网上答疑方式进行。投标人若对招标文件（包括招标图纸、清单、招标控制价）有疑问的，可在规定的时间内通过</w:t>
      </w:r>
      <w:r>
        <w:rPr>
          <w:rFonts w:hint="eastAsia" w:ascii="宋体" w:hAnsi="宋体" w:eastAsia="宋体" w:cs="宋体"/>
          <w:color w:val="auto"/>
          <w:sz w:val="24"/>
          <w:szCs w:val="24"/>
          <w:highlight w:val="none"/>
        </w:rPr>
        <w:t>广州公共资源交易中心网站</w:t>
      </w:r>
      <w:r>
        <w:rPr>
          <w:rFonts w:hint="eastAsia" w:ascii="宋体" w:hAnsi="宋体" w:eastAsia="宋体" w:cs="宋体"/>
          <w:color w:val="auto"/>
          <w:sz w:val="24"/>
          <w:highlight w:val="none"/>
        </w:rPr>
        <w:t>凭密码进入提问区域将问题提交给招标人或招标代理人，提交问题时一律不得署名。</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2.2.2投标人应在投标截止时间前15日停止质疑。招标人应在投标截止时间7日前解答投标人对招标文件提出的疑问，形成答疑纪要，在交易中心网站“招标答疑”专区发布。</w:t>
      </w:r>
    </w:p>
    <w:p>
      <w:pPr>
        <w:pStyle w:val="33"/>
        <w:spacing w:after="0" w:line="360" w:lineRule="auto"/>
        <w:ind w:firstLine="540" w:firstLineChars="224"/>
        <w:rPr>
          <w:rFonts w:ascii="宋体" w:hAnsi="宋体" w:eastAsia="宋体" w:cs="宋体"/>
          <w:color w:val="auto"/>
          <w:sz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1"/>
          <w:highlight w:val="none"/>
          <w:u w:val="single"/>
        </w:rPr>
        <w:t>2.2.1</w:t>
      </w:r>
      <w:r>
        <w:rPr>
          <w:rFonts w:hint="eastAsia" w:ascii="宋体" w:hAnsi="宋体" w:eastAsia="宋体" w:cs="宋体"/>
          <w:color w:val="auto"/>
          <w:sz w:val="24"/>
          <w:highlight w:val="none"/>
          <w:u w:val="single"/>
        </w:rPr>
        <w:t>招标答疑采用网上答疑方式进行。投标人若对招标文件（包括招标图纸、清单、招标控制价）有疑问的，可在规定的时间内通过</w:t>
      </w:r>
      <w:r>
        <w:rPr>
          <w:rFonts w:hint="eastAsia" w:ascii="宋体" w:hAnsi="宋体" w:eastAsia="宋体" w:cs="宋体"/>
          <w:color w:val="auto"/>
          <w:sz w:val="24"/>
          <w:szCs w:val="24"/>
          <w:highlight w:val="none"/>
          <w:u w:val="single"/>
        </w:rPr>
        <w:t>广州公共资源交易中心网站</w:t>
      </w:r>
      <w:r>
        <w:rPr>
          <w:rFonts w:hint="eastAsia" w:ascii="宋体" w:hAnsi="宋体" w:eastAsia="宋体" w:cs="宋体"/>
          <w:color w:val="auto"/>
          <w:sz w:val="24"/>
          <w:highlight w:val="none"/>
          <w:u w:val="single"/>
        </w:rPr>
        <w:t>进入提问区域将问题提交给招标人或招标代理人，提交问题时一律不得署名。</w:t>
      </w:r>
    </w:p>
    <w:p>
      <w:pPr>
        <w:pBdr>
          <w:bottom w:val="single" w:color="auto" w:sz="4" w:space="1"/>
        </w:pBdr>
        <w:spacing w:line="360" w:lineRule="auto"/>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登陆广州公共资源交易中心网站-&gt;进入“我是投标人（供应商）”-&gt;“我的投标”-&gt;“招标答疑提问”查询项目并提问。(提问一律不得署名)。</w:t>
      </w:r>
    </w:p>
    <w:p>
      <w:pPr>
        <w:pBdr>
          <w:bottom w:val="single" w:color="auto" w:sz="4" w:space="1"/>
        </w:pBd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u w:val="single"/>
        </w:rPr>
        <w:t>2.2.2</w:t>
      </w:r>
      <w:r>
        <w:rPr>
          <w:rFonts w:hint="eastAsia" w:ascii="宋体" w:hAnsi="宋体"/>
          <w:color w:val="auto"/>
          <w:sz w:val="24"/>
          <w:highlight w:val="none"/>
          <w:u w:val="single"/>
        </w:rPr>
        <w:t>投标人应在投标截止时间前18日停止质疑。招标人应在投标截止时间15日前解答投标人对招标文件提出的疑问，形成答疑纪要，在交易中心网站“招标答疑”专区发布。</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 3.3.1            修改类型：修改</w:t>
      </w:r>
    </w:p>
    <w:p>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原文：3.3.1 </w:t>
      </w:r>
      <w:r>
        <w:rPr>
          <w:rFonts w:hint="eastAsia" w:ascii="宋体" w:hAnsi="宋体" w:cs="宋体"/>
          <w:color w:val="auto"/>
          <w:sz w:val="24"/>
          <w:szCs w:val="24"/>
          <w:highlight w:val="none"/>
        </w:rPr>
        <w:t>除投标人须知前附表另有规定外，投标有效期为60天。</w:t>
      </w:r>
    </w:p>
    <w:p>
      <w:pPr>
        <w:pBdr>
          <w:bottom w:val="single" w:color="auto" w:sz="6" w:space="1"/>
        </w:pBdr>
        <w:spacing w:line="360" w:lineRule="auto"/>
        <w:ind w:firstLine="482" w:firstLineChars="200"/>
        <w:rPr>
          <w:rFonts w:ascii="宋体" w:hAnsi="宋体" w:cs="宋体"/>
          <w:color w:val="auto"/>
          <w:sz w:val="32"/>
          <w:szCs w:val="28"/>
          <w:highlight w:val="none"/>
        </w:rPr>
      </w:pPr>
      <w:r>
        <w:rPr>
          <w:rFonts w:hint="eastAsia" w:ascii="宋体" w:hAnsi="宋体" w:cs="宋体"/>
          <w:b/>
          <w:color w:val="auto"/>
          <w:sz w:val="24"/>
          <w:szCs w:val="24"/>
          <w:highlight w:val="none"/>
        </w:rPr>
        <w:t xml:space="preserve">现文：3.3.1 </w:t>
      </w:r>
      <w:r>
        <w:rPr>
          <w:rFonts w:hint="eastAsia" w:ascii="宋体" w:hAnsi="宋体" w:cs="宋体"/>
          <w:color w:val="auto"/>
          <w:sz w:val="24"/>
          <w:szCs w:val="24"/>
          <w:highlight w:val="none"/>
        </w:rPr>
        <w:t>除投标人须知前附表另有规定外，投标有效期为</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天。</w:t>
      </w:r>
    </w:p>
    <w:p>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
          <w:color w:val="auto"/>
          <w:sz w:val="24"/>
          <w:szCs w:val="21"/>
          <w:highlight w:val="none"/>
        </w:rPr>
        <w:t>3.5</w:t>
      </w:r>
      <w:r>
        <w:rPr>
          <w:rFonts w:ascii="宋体" w:hAnsi="宋体" w:cs="宋体"/>
          <w:b/>
          <w:color w:val="auto"/>
          <w:sz w:val="24"/>
          <w:szCs w:val="21"/>
          <w:highlight w:val="none"/>
        </w:rPr>
        <w:t>.4</w:t>
      </w:r>
      <w:r>
        <w:rPr>
          <w:rFonts w:ascii="宋体" w:hAnsi="宋体" w:cs="宋体"/>
          <w:b/>
          <w:color w:val="auto"/>
          <w:sz w:val="24"/>
          <w:szCs w:val="24"/>
          <w:highlight w:val="none"/>
        </w:rPr>
        <w:t xml:space="preserve">3.5.6               </w:t>
      </w:r>
      <w:r>
        <w:rPr>
          <w:rFonts w:hint="eastAsia" w:ascii="宋体" w:hAnsi="宋体" w:cs="宋体"/>
          <w:b/>
          <w:color w:val="auto"/>
          <w:sz w:val="24"/>
          <w:szCs w:val="24"/>
          <w:highlight w:val="none"/>
        </w:rPr>
        <w:t xml:space="preserve">  修改类型：删除</w:t>
      </w:r>
    </w:p>
    <w:p>
      <w:pPr>
        <w:pBdr>
          <w:bottom w:val="single" w:color="auto" w:sz="4"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3.5.4 “近年完成的类似项目情况表”应附中标通知书、合同协议书以及合同工程完工证书（或工程竣工证书副本）的复印件。每张表格只填写一个项目，并标明序号。</w:t>
      </w:r>
    </w:p>
    <w:p>
      <w:pPr>
        <w:pBdr>
          <w:bottom w:val="single" w:color="auto" w:sz="4" w:space="1"/>
        </w:pBd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3.5.6 投标人须知前附表规定接受联合体投标的，本章第3.5.1项至第3.5.5项规定的表格和资料应包括联合体各方相关情况。</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注：以上修改，仅限于本范本中有可供选择条款的情形。</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pStyle w:val="28"/>
        <w:spacing w:line="360" w:lineRule="auto"/>
        <w:rPr>
          <w:rFonts w:eastAsia="宋体" w:cs="宋体"/>
          <w:b/>
          <w:color w:val="auto"/>
          <w:sz w:val="24"/>
          <w:highlight w:val="none"/>
        </w:rPr>
      </w:pPr>
    </w:p>
    <w:p>
      <w:pPr>
        <w:widowControl/>
        <w:jc w:val="left"/>
        <w:rPr>
          <w:rFonts w:ascii="宋体" w:hAnsi="宋体" w:cs="宋体"/>
          <w:b/>
          <w:color w:val="auto"/>
          <w:sz w:val="24"/>
          <w:szCs w:val="24"/>
          <w:highlight w:val="none"/>
          <w:u w:val="single"/>
        </w:rPr>
      </w:pPr>
      <w:r>
        <w:rPr>
          <w:rFonts w:hint="eastAsia" w:ascii="宋体" w:hAnsi="宋体" w:cs="宋体"/>
          <w:b/>
          <w:color w:val="auto"/>
          <w:sz w:val="24"/>
          <w:highlight w:val="none"/>
        </w:rPr>
        <w:br w:type="page"/>
      </w:r>
    </w:p>
    <w:p>
      <w:pPr>
        <w:spacing w:line="360" w:lineRule="auto"/>
        <w:jc w:val="center"/>
        <w:outlineLvl w:val="2"/>
        <w:rPr>
          <w:rFonts w:ascii="宋体" w:hAnsi="宋体" w:cs="宋体"/>
          <w:color w:val="auto"/>
          <w:sz w:val="28"/>
          <w:szCs w:val="27"/>
          <w:highlight w:val="none"/>
        </w:rPr>
      </w:pPr>
      <w:bookmarkStart w:id="109" w:name="_Toc17556877"/>
      <w:bookmarkStart w:id="110" w:name="_Toc17451624"/>
      <w:bookmarkStart w:id="111" w:name="_Toc17452665"/>
      <w:bookmarkStart w:id="112" w:name="_Toc17454872"/>
      <w:bookmarkStart w:id="113" w:name="_Toc17451579"/>
      <w:bookmarkStart w:id="114" w:name="_Toc132193444"/>
      <w:bookmarkStart w:id="115" w:name="_Toc17451102"/>
      <w:bookmarkStart w:id="116" w:name="_Toc17454923"/>
      <w:r>
        <w:rPr>
          <w:rFonts w:hint="eastAsia" w:ascii="宋体" w:hAnsi="宋体" w:cs="宋体"/>
          <w:color w:val="auto"/>
          <w:sz w:val="28"/>
          <w:szCs w:val="27"/>
          <w:highlight w:val="none"/>
        </w:rPr>
        <w:t>三、投标须知通用条款</w:t>
      </w:r>
      <w:bookmarkEnd w:id="109"/>
      <w:bookmarkEnd w:id="110"/>
      <w:bookmarkEnd w:id="111"/>
      <w:bookmarkEnd w:id="112"/>
      <w:bookmarkEnd w:id="113"/>
      <w:bookmarkEnd w:id="114"/>
      <w:bookmarkEnd w:id="115"/>
      <w:bookmarkEnd w:id="116"/>
    </w:p>
    <w:p>
      <w:pPr>
        <w:jc w:val="center"/>
        <w:outlineLvl w:val="3"/>
        <w:rPr>
          <w:rFonts w:ascii="宋体" w:hAnsi="宋体" w:cs="宋体"/>
          <w:b/>
          <w:color w:val="auto"/>
          <w:sz w:val="30"/>
          <w:szCs w:val="30"/>
          <w:highlight w:val="none"/>
        </w:rPr>
      </w:pPr>
      <w:bookmarkStart w:id="117" w:name="_Toc85505512"/>
      <w:bookmarkStart w:id="118" w:name="_Toc101777612"/>
      <w:bookmarkStart w:id="119" w:name="_Toc262229163"/>
      <w:r>
        <w:rPr>
          <w:rFonts w:hint="eastAsia" w:ascii="宋体" w:hAnsi="宋体" w:cs="宋体"/>
          <w:b/>
          <w:color w:val="auto"/>
          <w:sz w:val="30"/>
          <w:szCs w:val="30"/>
          <w:highlight w:val="none"/>
        </w:rPr>
        <w:t>（一）总则</w:t>
      </w:r>
      <w:bookmarkEnd w:id="117"/>
      <w:bookmarkEnd w:id="118"/>
      <w:bookmarkEnd w:id="119"/>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项目概况</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1.1.1根据《中华人民共和国招标投标法》等有关法律、法规和规章的规定，本招标项目已具备招标条件，现对本标段施工进行招标。</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 本招标项目招标人：见投标人须知前附表。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1.1.3 本标段招标代理机构：见投标人须知前附表。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1.1.4 本招标项目名称：见投标人须知前附表。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1.1.5 本标段建设地点：见投标人须知前附表。</w:t>
      </w:r>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资金来源和落实情况</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1.2.1 本招标项目的资金来源及出资比例：见投标人须知前附表。</w:t>
      </w:r>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招标范围、计划工期和质量要求</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1.3.1 本次招标范围：见投标人须知前附表。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1.3.2 本标段的计划工期：见投标人须知前附表。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1.3.3 本标段的质量要求：见投标人须知前附表。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1.3.4 本招标项目的承包方式：见投标人须知前附表。</w:t>
      </w:r>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 投标人资格要求</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1.4.1 投标人应具备承担本项目施工的资质条件、能力和信誉。</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（1）资质条件：见投标人须知前附表；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（2）项目负责人资格：见投标人须知前附表；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（3）其他要求：</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a)</w:t>
      </w:r>
      <w:r>
        <w:rPr>
          <w:rFonts w:hint="eastAsia" w:ascii="宋体" w:hAnsi="宋体" w:cs="宋体"/>
          <w:bCs/>
          <w:color w:val="auto"/>
          <w:sz w:val="24"/>
          <w:highlight w:val="none"/>
        </w:rPr>
        <w:tab/>
      </w:r>
      <w:r>
        <w:rPr>
          <w:rFonts w:hint="eastAsia" w:ascii="宋体" w:hAnsi="宋体" w:cs="宋体"/>
          <w:bCs/>
          <w:color w:val="auto"/>
          <w:sz w:val="24"/>
          <w:highlight w:val="none"/>
        </w:rPr>
        <w:t>投标人必须具备独立法人资格，具有有效的安全生产许可证。</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b)</w:t>
      </w:r>
      <w:r>
        <w:rPr>
          <w:rFonts w:hint="eastAsia" w:ascii="宋体" w:hAnsi="宋体" w:cs="宋体"/>
          <w:bCs/>
          <w:color w:val="auto"/>
          <w:sz w:val="24"/>
          <w:highlight w:val="none"/>
        </w:rPr>
        <w:tab/>
      </w:r>
      <w:r>
        <w:rPr>
          <w:rFonts w:hint="eastAsia" w:ascii="宋体" w:hAnsi="宋体" w:cs="宋体"/>
          <w:bCs/>
          <w:color w:val="auto"/>
          <w:sz w:val="24"/>
          <w:highlight w:val="none"/>
        </w:rPr>
        <w:t>项目负责人持有有效的安全培训考核合格证（B类）。安全培训考核合格证的颁发部门见投标人须知前附表。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c)</w:t>
      </w:r>
      <w:r>
        <w:rPr>
          <w:rFonts w:hint="eastAsia" w:ascii="宋体" w:hAnsi="宋体" w:cs="宋体"/>
          <w:bCs/>
          <w:color w:val="auto"/>
          <w:sz w:val="24"/>
          <w:highlight w:val="none"/>
        </w:rPr>
        <w:tab/>
      </w:r>
      <w:r>
        <w:rPr>
          <w:rFonts w:hint="eastAsia" w:ascii="宋体" w:hAnsi="宋体" w:cs="宋体"/>
          <w:bCs/>
          <w:color w:val="auto"/>
          <w:sz w:val="24"/>
          <w:highlight w:val="none"/>
        </w:rPr>
        <w:t>专职安全员具有有效的安全培训考核合格证（C类或C3类）。安全培训考核合格证的颁发部门见投标人须知前附表。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d）业绩要求：根据工程规模和特点设置。</w:t>
      </w:r>
    </w:p>
    <w:p>
      <w:pPr>
        <w:spacing w:line="360" w:lineRule="auto"/>
        <w:ind w:firstLine="480" w:firstLineChars="200"/>
        <w:rPr>
          <w:rFonts w:ascii="宋体" w:hAnsi="宋体" w:cs="宋体"/>
          <w:bCs/>
          <w:i/>
          <w:color w:val="auto"/>
          <w:sz w:val="24"/>
          <w:highlight w:val="none"/>
        </w:rPr>
      </w:pPr>
      <w:r>
        <w:rPr>
          <w:rFonts w:hint="eastAsia" w:ascii="宋体" w:hAnsi="宋体" w:cs="宋体"/>
          <w:bCs/>
          <w:color w:val="auto"/>
          <w:sz w:val="24"/>
          <w:highlight w:val="none"/>
        </w:rPr>
        <w:t>e)其他要求详见投标人须知前附表。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1.4.2 本招标项目是否接受联合体投标以招标公告为准。</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1.4.3 投标人不得存在下列情形之一：</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（1）为招标人不具有独立法人资格的附属机构（单位）；</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（2）为本次招标项目前期准备提供设计或咨询服务的；</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（3）为本次招标项目的监理人；</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（4）为本次招标项目的代建人；</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（5）为本次招标项目提供招标代理服务的；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（6）与本次招标项目的监理人或代建人或招标代理机构同为一个法定代表人的；</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（7）与本次招标项目的监理人或代建人或招标代理机构相互控股或参股的；</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（8）与本次招标项目的监理人或代建人或招标代理机构相互任职或工作的；</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（9）被责令停业的；</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（10）财产被接管或冻结的；</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（11）单位负责人为同一人或者存在控股、管理关系的不同单位，同时参加本招标项目投标。</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1.4.4 投标人未被纳入失信联合惩戒名单，失信联合惩戒名单以 “信用广州”网站公布的“失信联合惩戒黑名单”为准。</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1.5 费用承担</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投标人准备和参加投标活动发生的费用自理。</w:t>
      </w:r>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保密</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参与招标投标活动的各方应对招标文件和投标文件中的商业和技术等秘密保密，违者应对由此造成的后果承担法律责任。 </w:t>
      </w:r>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语言文字</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除专用术语外，与招标投标有关的语言均使用中文。必要时专用术语应附有中文注释。</w:t>
      </w:r>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计量单位</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所有计量均采用中华人民共和国法定计量单位。</w:t>
      </w:r>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踏勘现场</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1.9.1 投标人按投标人须知前附表规定的时间、地点自行踏勘项目现场。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1.9.2 投标人踏勘现场发生的费用自理。</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1.9.3 除招标人的原因外，投标人自行负责在踏勘现场中所发生的人员伤亡和财产损失。</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1.9.4 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1.10 投标预备会</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1.10.1招标人不召开投标预备会，投标人提出的澄清问题通过交易中心网站提交。网上答疑的相关事项详见招标文件2.2款。</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1.10.2 投标人应在投标人须知前附表规定的时间前，在交易中心网站上提出须澄清的问题。</w:t>
      </w:r>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1.11 偏离</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投标人须知前附表允许投标文件偏离招标文件某些要求的，偏离应当符合招标文件规定的偏离范围和幅度。</w:t>
      </w:r>
    </w:p>
    <w:p>
      <w:pPr>
        <w:jc w:val="center"/>
        <w:outlineLvl w:val="3"/>
        <w:rPr>
          <w:rFonts w:ascii="宋体" w:hAnsi="宋体" w:cs="宋体"/>
          <w:b/>
          <w:color w:val="auto"/>
          <w:sz w:val="30"/>
          <w:szCs w:val="30"/>
          <w:highlight w:val="none"/>
        </w:rPr>
      </w:pPr>
      <w:bookmarkStart w:id="120" w:name="_Toc262229164"/>
      <w:r>
        <w:rPr>
          <w:rFonts w:hint="eastAsia" w:ascii="宋体" w:hAnsi="宋体" w:cs="宋体"/>
          <w:b/>
          <w:color w:val="auto"/>
          <w:sz w:val="30"/>
          <w:szCs w:val="30"/>
          <w:highlight w:val="none"/>
        </w:rPr>
        <w:t>（二）招标文件</w:t>
      </w:r>
      <w:bookmarkEnd w:id="120"/>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 招标文件的组成</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2.1.1</w:t>
      </w:r>
      <w:r>
        <w:rPr>
          <w:rFonts w:hint="eastAsia" w:ascii="宋体" w:hAnsi="宋体" w:cs="宋体"/>
          <w:color w:val="auto"/>
          <w:sz w:val="24"/>
          <w:highlight w:val="none"/>
        </w:rPr>
        <w:t>本招标文件包括下列文件，以及所有按本须知第7条发出的澄清或修改和按本须知第8条发出的招标答疑会会议纪要：</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（1）招标公告（或投标邀请书）；</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（2）投标人须知；</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（3）评标办法；</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（4）合同条款及格式；</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（5）工程量清单（采用综合评估法三的，应为与</w:t>
      </w:r>
      <w:r>
        <w:rPr>
          <w:rFonts w:hint="eastAsia" w:ascii="宋体" w:hAnsi="宋体" w:cs="宋体"/>
          <w:color w:val="auto"/>
          <w:sz w:val="24"/>
          <w:highlight w:val="none"/>
        </w:rPr>
        <w:t>最高投标限价相对应的</w:t>
      </w:r>
      <w:r>
        <w:rPr>
          <w:rFonts w:hint="eastAsia" w:ascii="宋体" w:hAnsi="宋体" w:cs="宋体"/>
          <w:bCs/>
          <w:color w:val="auto"/>
          <w:sz w:val="24"/>
          <w:highlight w:val="none"/>
        </w:rPr>
        <w:t xml:space="preserve">已标价工程量清单）；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（6）图纸；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（7）技术标准和要求；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（8）投标文件格式；</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（9）否决性条款汇总.</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（10）</w:t>
      </w:r>
      <w:r>
        <w:rPr>
          <w:rFonts w:hint="eastAsia" w:ascii="宋体" w:hAnsi="宋体" w:cs="宋体"/>
          <w:bCs/>
          <w:color w:val="auto"/>
          <w:sz w:val="24"/>
          <w:szCs w:val="24"/>
          <w:highlight w:val="none"/>
        </w:rPr>
        <w:t>最高投标限价（招标控制价）</w:t>
      </w:r>
      <w:r>
        <w:rPr>
          <w:rFonts w:hint="eastAsia" w:ascii="宋体" w:hAnsi="宋体" w:cs="宋体"/>
          <w:bCs/>
          <w:color w:val="auto"/>
          <w:sz w:val="24"/>
          <w:highlight w:val="none"/>
        </w:rPr>
        <w:t>。</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（11）投标人须知前附表规定的其他材料。</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2.1.2根据本章第1.10款、第2.2款和第2.3款对招标文件所作的澄清、修改，构成招标文件的组成部分。</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2.1.3招标人（或委托招标代理机构）使用广东省内依法设立的电子认证服务机构签发的电子签章认证证书对电子形式的招标文件进行</w:t>
      </w:r>
      <w:r>
        <w:rPr>
          <w:rFonts w:hint="eastAsia" w:ascii="宋体" w:hAnsi="宋体" w:cs="宋体"/>
          <w:bCs/>
          <w:strike/>
          <w:color w:val="auto"/>
          <w:sz w:val="24"/>
          <w:highlight w:val="none"/>
        </w:rPr>
        <w:t>电子签名及</w:t>
      </w:r>
      <w:r>
        <w:rPr>
          <w:rFonts w:hint="eastAsia" w:ascii="宋体" w:hAnsi="宋体" w:cs="宋体"/>
          <w:bCs/>
          <w:color w:val="auto"/>
          <w:sz w:val="24"/>
          <w:highlight w:val="none"/>
        </w:rPr>
        <w:t>电子签章。该电子签章对招标人手写签名或者盖章同等的法律效力。</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2.1.5招标人应在招标文件中明确投标文件主要内容编制的格式要求。</w:t>
      </w:r>
    </w:p>
    <w:p>
      <w:pPr>
        <w:widowControl/>
        <w:snapToGrid w:val="0"/>
        <w:spacing w:line="360" w:lineRule="auto"/>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2.2招标答疑</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szCs w:val="21"/>
          <w:highlight w:val="none"/>
        </w:rPr>
        <w:t>2.2.1</w:t>
      </w:r>
      <w:r>
        <w:rPr>
          <w:rFonts w:hint="eastAsia" w:ascii="宋体" w:hAnsi="宋体" w:eastAsia="宋体" w:cs="宋体"/>
          <w:color w:val="auto"/>
          <w:sz w:val="24"/>
          <w:highlight w:val="none"/>
        </w:rPr>
        <w:t xml:space="preserve"> 招标答疑采用网上答疑方式进行。投标人若对招标文件（包括招标图纸、清单、招标控制价）有疑问的，可在规定的时间内通过</w:t>
      </w:r>
      <w:r>
        <w:rPr>
          <w:rFonts w:hint="eastAsia" w:ascii="宋体" w:hAnsi="宋体" w:eastAsia="宋体" w:cs="宋体"/>
          <w:color w:val="auto"/>
          <w:sz w:val="24"/>
          <w:szCs w:val="24"/>
          <w:highlight w:val="none"/>
        </w:rPr>
        <w:t>广州公共资源交易中心网站</w:t>
      </w:r>
      <w:r>
        <w:rPr>
          <w:rFonts w:hint="eastAsia" w:ascii="宋体" w:hAnsi="宋体" w:eastAsia="宋体" w:cs="宋体"/>
          <w:color w:val="auto"/>
          <w:sz w:val="24"/>
          <w:highlight w:val="none"/>
        </w:rPr>
        <w:t>凭密码进入提问区域将问题提交给招标人或招标代理人，提交问题时一律不得署名。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2.2.2投标人应在投标截止时间前15日停止质疑。招标人应在投标截止时间7日前解答投标人对招标文件提出的疑问，形成答疑纪要，在交易中心网站“招标答疑”专区发布。</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highlight w:val="none"/>
        </w:rPr>
        <w:t>招标答疑纪要一经在广州公共资源交易中心网站发布，视作已发放给所有投标人。</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2.2.4招标答疑纪要为招标文件的一部分。</w:t>
      </w:r>
      <w:r>
        <w:rPr>
          <w:rFonts w:hint="eastAsia" w:ascii="宋体" w:hAnsi="宋体" w:eastAsia="宋体" w:cs="宋体"/>
          <w:color w:val="auto"/>
          <w:sz w:val="24"/>
          <w:szCs w:val="24"/>
          <w:highlight w:val="none"/>
        </w:rPr>
        <w:t>投标人可在广州公共资源交易中心网站浏览、下载招标答疑纪要。</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2.2.5若招标答疑纪要与招标文件有矛盾时，以</w:t>
      </w:r>
      <w:r>
        <w:rPr>
          <w:rFonts w:hint="eastAsia" w:ascii="宋体" w:hAnsi="宋体" w:eastAsia="宋体" w:cs="宋体"/>
          <w:color w:val="auto"/>
          <w:sz w:val="24"/>
          <w:szCs w:val="24"/>
          <w:highlight w:val="none"/>
        </w:rPr>
        <w:t>广州公共资源交易中心网站</w:t>
      </w:r>
      <w:r>
        <w:rPr>
          <w:rFonts w:hint="eastAsia" w:ascii="宋体" w:hAnsi="宋体" w:eastAsia="宋体" w:cs="宋体"/>
          <w:color w:val="auto"/>
          <w:sz w:val="24"/>
          <w:highlight w:val="none"/>
        </w:rPr>
        <w:t>最后发布的答疑纪要为准。</w:t>
      </w:r>
    </w:p>
    <w:p>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2.3</w:t>
      </w:r>
      <w:r>
        <w:rPr>
          <w:rFonts w:hint="eastAsia" w:ascii="宋体" w:hAnsi="宋体" w:cs="宋体"/>
          <w:b/>
          <w:color w:val="auto"/>
          <w:sz w:val="24"/>
          <w:szCs w:val="24"/>
          <w:highlight w:val="none"/>
        </w:rPr>
        <w:t>招标文件的澄清与修改</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2.3.2投标人应及时通过广州公共资源交易中心网站浏览、下载招标文件修改。</w:t>
      </w:r>
    </w:p>
    <w:p>
      <w:pPr>
        <w:pStyle w:val="33"/>
        <w:spacing w:before="50" w:after="5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2.3.3招标文件的澄清或修改在广州公共资源交易中心网站发布。招标文件的澄清或修改一经在广州公共资源交易中心网站发布，视作已发放给所有投标人。</w:t>
      </w:r>
    </w:p>
    <w:p>
      <w:pPr>
        <w:pStyle w:val="33"/>
        <w:spacing w:before="50" w:after="5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2.3.4招标文件的澄清、修改作为招标文件的组成部分，具有约束作用。</w:t>
      </w:r>
    </w:p>
    <w:p>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2.3.5招标文件的澄清、修改均以广州公共资源交易中心网站</w:t>
      </w:r>
      <w:r>
        <w:rPr>
          <w:rFonts w:hint="eastAsia" w:ascii="宋体" w:hAnsi="宋体" w:cs="宋体"/>
          <w:color w:val="auto"/>
          <w:sz w:val="24"/>
          <w:szCs w:val="24"/>
          <w:highlight w:val="none"/>
        </w:rPr>
        <w:t>发布</w:t>
      </w:r>
      <w:r>
        <w:rPr>
          <w:rFonts w:hint="eastAsia" w:ascii="宋体" w:hAnsi="宋体" w:cs="宋体"/>
          <w:color w:val="auto"/>
          <w:sz w:val="24"/>
          <w:highlight w:val="none"/>
        </w:rPr>
        <w:t>的内容为准。当招标文件的澄清、修改在同一内容的表述不一致时，以广州公共资源交易中心网站最后发布的内容为准。</w:t>
      </w:r>
    </w:p>
    <w:p>
      <w:pPr>
        <w:jc w:val="center"/>
        <w:outlineLvl w:val="3"/>
        <w:rPr>
          <w:rFonts w:ascii="宋体" w:hAnsi="宋体" w:cs="宋体"/>
          <w:b/>
          <w:color w:val="auto"/>
          <w:sz w:val="30"/>
          <w:szCs w:val="30"/>
          <w:highlight w:val="none"/>
        </w:rPr>
      </w:pPr>
      <w:bookmarkStart w:id="121" w:name="_Toc101777614"/>
      <w:bookmarkStart w:id="122" w:name="_Toc262229165"/>
      <w:r>
        <w:rPr>
          <w:rFonts w:hint="eastAsia" w:ascii="宋体" w:hAnsi="宋体" w:cs="宋体"/>
          <w:b/>
          <w:color w:val="auto"/>
          <w:sz w:val="30"/>
          <w:szCs w:val="30"/>
          <w:highlight w:val="none"/>
        </w:rPr>
        <w:t>（三）投标文件的编制</w:t>
      </w:r>
      <w:bookmarkEnd w:id="121"/>
      <w:bookmarkEnd w:id="122"/>
    </w:p>
    <w:p>
      <w:pPr>
        <w:pStyle w:val="33"/>
        <w:spacing w:after="0"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3.1 投标文件的组成</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3.1.1投标文件应包括下列内容：</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（1）投标函及投标函附录；</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（2）法定代表人身份证明或附有法定代表人身份证明的授权委托书；</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（3）联合体协议书（非联合体不提交）；</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（4）投标保证金；</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（5）已标价工程量清单（采用综合评估法三的，不用提交）；</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（6）施工组织设计； </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（7）项目管理机构；</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（8）资格审查资料；</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（9）其他应提交的材料。</w:t>
      </w:r>
    </w:p>
    <w:p>
      <w:pPr>
        <w:pStyle w:val="33"/>
        <w:spacing w:after="0"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 投标报价</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3.2.1 投标人应按第五章“工程量清单”的要求填写相应表格。（此条不适用于综合评估法三）</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3.2.2 投标人在投标截止时间前修改投标函中的投标报价总额，应同时修改“已标价工程量清单”中的相应报价，投标报价总额为各分项金额之和。此修改须符合本章第4.3款的有关要求。（此条不适用于综合评估法三）</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3.2.2采用综合评估法三的，投标人在投标截止时间前修改投标函中的投标报价总额，并根据评标办法列明的方法重新计算投标报价下浮率。此修改须符合本章第4.3款的有关要求。</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3.2.3投标人的投标报价不得超过最高投标限价，最高投标限价见投标人须知前附表。</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3"/>
        <w:spacing w:after="0"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3.3 投标有效期</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3.3.1 除投标人须知前附表另有规定外，投标有效期为60天。</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3.3.2在投标有效期内，投标人撤销或修改其投标文件的，应承担招标文件和法律规定的责任。</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3"/>
        <w:spacing w:after="0"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3.4 投标保证金</w:t>
      </w:r>
    </w:p>
    <w:p>
      <w:pPr>
        <w:pStyle w:val="33"/>
        <w:spacing w:after="0" w:line="360" w:lineRule="auto"/>
        <w:ind w:firstLine="480" w:firstLineChars="200"/>
        <w:rPr>
          <w:rFonts w:ascii="宋体" w:hAnsi="宋体" w:eastAsia="宋体" w:cs="宋体"/>
          <w:b/>
          <w:bCs/>
          <w:color w:val="auto"/>
          <w:sz w:val="24"/>
          <w:highlight w:val="none"/>
        </w:rPr>
      </w:pPr>
      <w:r>
        <w:rPr>
          <w:rFonts w:hint="eastAsia" w:ascii="宋体" w:hAnsi="宋体" w:eastAsia="宋体" w:cs="宋体"/>
          <w:color w:val="auto"/>
          <w:sz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pPr>
        <w:pStyle w:val="33"/>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3.4.2投标保证金委托广州公共资源交易中心代收的形式，收取办法如下：</w:t>
      </w:r>
    </w:p>
    <w:p>
      <w:pPr>
        <w:pStyle w:val="33"/>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（1）招标人委托广州公共资源交易中心具体实施保证金的收取和退还工作</w:t>
      </w:r>
    </w:p>
    <w:p>
      <w:pPr>
        <w:pStyle w:val="33"/>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（2）所有投标保证金必须由投标单位的银行基本账户转出。</w:t>
      </w:r>
    </w:p>
    <w:p>
      <w:pPr>
        <w:pStyle w:val="33"/>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（3）投标保证金的缴纳情况以广州公共资源交易中心数据库记录的信息为准。</w:t>
      </w:r>
    </w:p>
    <w:p>
      <w:pPr>
        <w:pStyle w:val="33"/>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（4）缴费的操作详见广州公共资源交易中心公布的《投标人基本账户保证金操作指引》。</w:t>
      </w:r>
    </w:p>
    <w:p>
      <w:pPr>
        <w:pStyle w:val="33"/>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3.4.2招标人收取的，由招标人在前附表中明确具体要求。</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3.4.3要求提交投标保证金的,投标人不按本章第3.4.1项要求提交投标保证金的，评标委员会将否决其投标。</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3.4.4 招标人与中标人签订合同后5个工作日内，向未中标的投标人和中标人退还投标保证金。</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3.4.5 有下列情形之一的，投标保证金将不予退还： </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（1）投标人在规定的投标有效期内撤销或修改其投标文件；</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（2）中标人在收到中标通知书后，无正当理由拒签合同协议书或未按招标文件规定提交履约担保。</w:t>
      </w:r>
    </w:p>
    <w:p>
      <w:pPr>
        <w:pStyle w:val="33"/>
        <w:spacing w:after="0"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3.5 资格审查资料</w:t>
      </w:r>
    </w:p>
    <w:p>
      <w:pPr>
        <w:pStyle w:val="33"/>
        <w:spacing w:after="0"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3.5.1 “投标人基本情况表”应附投标人营业执照副本、资质证书副本和安全生产许可证等材料的复印件。</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3.5.2 项目负责人建造师证和安全培训考核合格证（B类）复印件。</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3.5.3专职安全员安全培训考核合格证（C类或C3类）复印件。</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3.5.4 “近年完成的类似项目情况表”应附中标通知书、合同协议书以及合同工程完工证书（或工程竣工证书副本）的复印件。每张表格只填写一个项目，并标明序号。</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3.5.6 投标人须知前附表规定接受联合体投标的，本章第3.5.1项至第3.5.5项规定的表格和资料应包括联合体各方相关情况。</w:t>
      </w:r>
    </w:p>
    <w:p>
      <w:pPr>
        <w:pStyle w:val="33"/>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3.5.7资审要求的其他材料。</w:t>
      </w:r>
    </w:p>
    <w:p>
      <w:pPr>
        <w:pStyle w:val="33"/>
        <w:spacing w:after="0" w:line="360" w:lineRule="auto"/>
        <w:ind w:firstLineChars="200"/>
        <w:rPr>
          <w:rFonts w:ascii="宋体" w:hAnsi="宋体" w:eastAsia="宋体" w:cs="宋体"/>
          <w:i/>
          <w:color w:val="auto"/>
          <w:sz w:val="21"/>
          <w:szCs w:val="21"/>
          <w:highlight w:val="none"/>
        </w:rPr>
      </w:pPr>
      <w:r>
        <w:rPr>
          <w:rFonts w:hint="eastAsia" w:ascii="宋体" w:hAnsi="宋体" w:eastAsia="宋体" w:cs="宋体"/>
          <w:i/>
          <w:color w:val="auto"/>
          <w:sz w:val="21"/>
          <w:szCs w:val="21"/>
          <w:highlight w:val="none"/>
        </w:rPr>
        <w:t>（说明：3.5.</w:t>
      </w:r>
      <w:r>
        <w:rPr>
          <w:rFonts w:hint="eastAsia" w:ascii="宋体" w:hAnsi="宋体" w:eastAsia="宋体" w:cs="宋体"/>
          <w:i/>
          <w:color w:val="auto"/>
          <w:szCs w:val="21"/>
          <w:highlight w:val="none"/>
        </w:rPr>
        <w:t>4</w:t>
      </w:r>
      <w:r>
        <w:rPr>
          <w:rFonts w:hint="eastAsia" w:ascii="宋体" w:hAnsi="宋体" w:eastAsia="宋体" w:cs="宋体"/>
          <w:i/>
          <w:color w:val="auto"/>
          <w:sz w:val="21"/>
          <w:szCs w:val="21"/>
          <w:highlight w:val="none"/>
        </w:rPr>
        <w:t xml:space="preserve"> ~ 3.5.</w:t>
      </w:r>
      <w:r>
        <w:rPr>
          <w:rFonts w:hint="eastAsia" w:ascii="宋体" w:hAnsi="宋体" w:eastAsia="宋体" w:cs="宋体"/>
          <w:i/>
          <w:color w:val="auto"/>
          <w:szCs w:val="21"/>
          <w:highlight w:val="none"/>
        </w:rPr>
        <w:t>6</w:t>
      </w:r>
      <w:r>
        <w:rPr>
          <w:rFonts w:hint="eastAsia" w:ascii="宋体" w:hAnsi="宋体" w:eastAsia="宋体" w:cs="宋体"/>
          <w:i/>
          <w:color w:val="auto"/>
          <w:sz w:val="21"/>
          <w:szCs w:val="21"/>
          <w:highlight w:val="none"/>
        </w:rPr>
        <w:t>为可选项。若资格条件里没有业绩等方面的要求，可不做要求）</w:t>
      </w:r>
    </w:p>
    <w:p>
      <w:pPr>
        <w:pStyle w:val="33"/>
        <w:spacing w:after="0"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3.6 投标文件的编制</w:t>
      </w:r>
    </w:p>
    <w:p>
      <w:pPr>
        <w:pStyle w:val="33"/>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3.6.1投标人应使用符合《广东省工程造价文件数据交换标准（电子评标部分） 交易中心实施细则》的计价软件制作工程量清单报价表和单价分析表（如本招标文件要求单价分析表）。</w:t>
      </w:r>
    </w:p>
    <w:p>
      <w:pPr>
        <w:spacing w:line="360"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3.6.2投标人应使用广州市水务工程（给排水专业）的投标文件管理软件进行投标文件的合成、</w:t>
      </w:r>
      <w:r>
        <w:rPr>
          <w:rFonts w:hint="eastAsia" w:ascii="宋体" w:hAnsi="宋体" w:cs="宋体"/>
          <w:strike/>
          <w:color w:val="auto"/>
          <w:sz w:val="24"/>
          <w:szCs w:val="24"/>
          <w:highlight w:val="none"/>
        </w:rPr>
        <w:t>电子签名、</w:t>
      </w:r>
      <w:r>
        <w:rPr>
          <w:rFonts w:hint="eastAsia" w:ascii="宋体" w:hAnsi="宋体" w:cs="宋体"/>
          <w:color w:val="auto"/>
          <w:sz w:val="24"/>
          <w:szCs w:val="24"/>
          <w:highlight w:val="none"/>
        </w:rPr>
        <w:t>电子签章及加密打包工作，所有电子投标文件不能进行压缩处理。电子投标文件统一采用网络上传的形式，投标人需登录交易中心网站投标人服务区在投标截止时间前完整上传至交易中心的电子评标系统。</w:t>
      </w:r>
    </w:p>
    <w:p>
      <w:pPr>
        <w:pStyle w:val="33"/>
        <w:spacing w:after="0"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3.6.3</w:t>
      </w:r>
      <w:r>
        <w:rPr>
          <w:rFonts w:hint="eastAsia" w:ascii="宋体" w:hAnsi="宋体" w:eastAsia="宋体" w:cs="宋体"/>
          <w:bCs/>
          <w:color w:val="auto"/>
          <w:sz w:val="24"/>
          <w:szCs w:val="24"/>
          <w:highlight w:val="none"/>
        </w:rPr>
        <w:t>投标人应使用依法设立的电子认证服务提供者签发的电子</w:t>
      </w:r>
      <w:r>
        <w:rPr>
          <w:rFonts w:hint="eastAsia" w:ascii="宋体" w:hAnsi="宋体" w:eastAsia="宋体" w:cs="宋体"/>
          <w:color w:val="auto"/>
          <w:sz w:val="24"/>
          <w:szCs w:val="24"/>
          <w:highlight w:val="none"/>
        </w:rPr>
        <w:t>签章</w:t>
      </w:r>
      <w:r>
        <w:rPr>
          <w:rFonts w:hint="eastAsia" w:ascii="宋体" w:hAnsi="宋体" w:eastAsia="宋体" w:cs="宋体"/>
          <w:bCs/>
          <w:color w:val="auto"/>
          <w:sz w:val="24"/>
          <w:szCs w:val="24"/>
          <w:highlight w:val="none"/>
        </w:rPr>
        <w:t>认证证书对电子投标文件进行</w:t>
      </w:r>
      <w:r>
        <w:rPr>
          <w:rFonts w:hint="eastAsia" w:ascii="宋体" w:hAnsi="宋体" w:eastAsia="宋体" w:cs="宋体"/>
          <w:color w:val="auto"/>
          <w:sz w:val="24"/>
          <w:szCs w:val="24"/>
          <w:highlight w:val="none"/>
        </w:rPr>
        <w:t>电子签章</w:t>
      </w:r>
      <w:r>
        <w:rPr>
          <w:rFonts w:hint="eastAsia" w:ascii="宋体" w:hAnsi="宋体" w:eastAsia="宋体" w:cs="宋体"/>
          <w:bCs/>
          <w:color w:val="auto"/>
          <w:sz w:val="24"/>
          <w:szCs w:val="24"/>
          <w:highlight w:val="none"/>
        </w:rPr>
        <w:t>。该</w:t>
      </w:r>
      <w:r>
        <w:rPr>
          <w:rFonts w:hint="eastAsia" w:ascii="宋体" w:hAnsi="宋体" w:eastAsia="宋体" w:cs="宋体"/>
          <w:color w:val="auto"/>
          <w:sz w:val="24"/>
          <w:szCs w:val="24"/>
          <w:highlight w:val="none"/>
        </w:rPr>
        <w:t>电子签章</w:t>
      </w:r>
      <w:r>
        <w:rPr>
          <w:rFonts w:hint="eastAsia" w:ascii="宋体" w:hAnsi="宋体" w:eastAsia="宋体" w:cs="宋体"/>
          <w:bCs/>
          <w:color w:val="auto"/>
          <w:sz w:val="24"/>
          <w:szCs w:val="24"/>
          <w:highlight w:val="none"/>
        </w:rPr>
        <w:t>与盖单位章具有同等的法律效力。</w:t>
      </w:r>
    </w:p>
    <w:p>
      <w:pPr>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3.6.4</w:t>
      </w:r>
      <w:r>
        <w:rPr>
          <w:rFonts w:hint="eastAsia" w:ascii="宋体" w:hAnsi="宋体" w:cs="宋体"/>
          <w:bCs/>
          <w:color w:val="auto"/>
          <w:sz w:val="24"/>
          <w:szCs w:val="24"/>
          <w:highlight w:val="none"/>
        </w:rPr>
        <w:t>除工程量清单报价表相关的内容、《投标函附录》外，投标文件的其他内容均以电子文件（纸质原件的扫描件）编制，其格式要求详见第八章投标文件格式说明。</w:t>
      </w:r>
    </w:p>
    <w:p>
      <w:pPr>
        <w:pStyle w:val="33"/>
        <w:spacing w:after="0"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3.6.5</w:t>
      </w:r>
      <w:r>
        <w:rPr>
          <w:rFonts w:hint="eastAsia" w:ascii="宋体" w:hAnsi="宋体" w:eastAsia="宋体" w:cs="宋体"/>
          <w:bCs/>
          <w:color w:val="auto"/>
          <w:sz w:val="24"/>
          <w:szCs w:val="24"/>
          <w:highlight w:val="none"/>
        </w:rPr>
        <w:t>投标文件应按上述的编排要求编制。如因不按上述编排要求编制而所引起系统无法检索、读取相关信息时，其后果将由投标人自行承担。</w:t>
      </w:r>
    </w:p>
    <w:p>
      <w:pPr>
        <w:pStyle w:val="33"/>
        <w:spacing w:after="0" w:line="360" w:lineRule="auto"/>
        <w:ind w:firstLine="480" w:firstLineChars="200"/>
        <w:rPr>
          <w:rFonts w:ascii="宋体" w:hAnsi="宋体" w:eastAsia="宋体" w:cs="宋体"/>
          <w:i/>
          <w:color w:val="auto"/>
          <w:sz w:val="24"/>
          <w:highlight w:val="none"/>
        </w:rPr>
      </w:pPr>
      <w:r>
        <w:rPr>
          <w:rFonts w:hint="eastAsia" w:ascii="宋体" w:hAnsi="宋体" w:eastAsia="宋体" w:cs="宋体"/>
          <w:i/>
          <w:color w:val="auto"/>
          <w:sz w:val="24"/>
          <w:highlight w:val="none"/>
        </w:rPr>
        <w:t>（</w:t>
      </w:r>
      <w:r>
        <w:rPr>
          <w:rFonts w:hint="eastAsia" w:ascii="宋体" w:hAnsi="宋体" w:eastAsia="宋体" w:cs="宋体"/>
          <w:i/>
          <w:color w:val="auto"/>
          <w:szCs w:val="21"/>
          <w:highlight w:val="none"/>
        </w:rPr>
        <w:t>给排水项目投标文件按交易中心的投标文件制作工具编制</w:t>
      </w:r>
      <w:r>
        <w:rPr>
          <w:rFonts w:hint="eastAsia" w:ascii="宋体" w:hAnsi="宋体" w:eastAsia="宋体" w:cs="宋体"/>
          <w:i/>
          <w:color w:val="auto"/>
          <w:sz w:val="24"/>
          <w:highlight w:val="none"/>
        </w:rPr>
        <w:t>）</w:t>
      </w:r>
    </w:p>
    <w:p>
      <w:pPr>
        <w:pStyle w:val="33"/>
        <w:spacing w:after="0" w:line="360" w:lineRule="auto"/>
        <w:ind w:firstLine="482" w:firstLineChars="200"/>
        <w:rPr>
          <w:rFonts w:ascii="宋体" w:hAnsi="宋体" w:eastAsia="宋体" w:cs="宋体"/>
          <w:b/>
          <w:bCs/>
          <w:color w:val="auto"/>
          <w:sz w:val="24"/>
          <w:highlight w:val="none"/>
        </w:rPr>
      </w:pPr>
    </w:p>
    <w:p>
      <w:pPr>
        <w:jc w:val="center"/>
        <w:outlineLvl w:val="3"/>
        <w:rPr>
          <w:rFonts w:ascii="宋体" w:hAnsi="宋体" w:cs="宋体"/>
          <w:b/>
          <w:color w:val="auto"/>
          <w:sz w:val="30"/>
          <w:szCs w:val="30"/>
          <w:highlight w:val="none"/>
        </w:rPr>
      </w:pPr>
      <w:bookmarkStart w:id="123" w:name="_Toc262229166"/>
      <w:bookmarkStart w:id="124" w:name="_Toc101777615"/>
      <w:r>
        <w:rPr>
          <w:rFonts w:hint="eastAsia" w:ascii="宋体" w:hAnsi="宋体" w:cs="宋体"/>
          <w:b/>
          <w:color w:val="auto"/>
          <w:sz w:val="30"/>
          <w:szCs w:val="30"/>
          <w:highlight w:val="none"/>
        </w:rPr>
        <w:t>（四）投标文件的递交</w:t>
      </w:r>
      <w:bookmarkEnd w:id="123"/>
      <w:bookmarkEnd w:id="124"/>
    </w:p>
    <w:p>
      <w:pPr>
        <w:pStyle w:val="33"/>
        <w:spacing w:after="0"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 </w:t>
      </w:r>
      <w:r>
        <w:rPr>
          <w:rFonts w:hint="eastAsia" w:ascii="宋体" w:hAnsi="宋体" w:eastAsia="宋体" w:cs="宋体"/>
          <w:b/>
          <w:color w:val="auto"/>
          <w:sz w:val="24"/>
          <w:szCs w:val="24"/>
          <w:highlight w:val="none"/>
        </w:rPr>
        <w:t>投标文件的包封、密封和标志</w:t>
      </w:r>
    </w:p>
    <w:p>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4.1.1投标文件的密封要求：投标人应使用</w:t>
      </w:r>
      <w:r>
        <w:rPr>
          <w:rFonts w:hint="eastAsia" w:ascii="宋体" w:hAnsi="宋体" w:cs="宋体"/>
          <w:color w:val="auto"/>
          <w:sz w:val="24"/>
          <w:szCs w:val="24"/>
          <w:highlight w:val="none"/>
        </w:rPr>
        <w:t>广州市水务工程（给排水专业）的投标文件管理软件</w:t>
      </w:r>
      <w:r>
        <w:rPr>
          <w:rFonts w:hint="eastAsia" w:ascii="宋体" w:hAnsi="宋体" w:cs="宋体"/>
          <w:color w:val="auto"/>
          <w:sz w:val="24"/>
          <w:szCs w:val="21"/>
          <w:highlight w:val="none"/>
        </w:rPr>
        <w:t>提供的软件制作电子投标文件并进行电子签章及加密打包。不得修改所生成电子投标文件的文件格式。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1"/>
          <w:highlight w:val="none"/>
        </w:rPr>
        <w:t>4.1.2投标文件的电子签章要求： 电子投标文件必须包含完整的投标人电子签章</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4.2 投标文件的递交和接收</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4.2.1投标人代表应按投标须知前附表所规定的时间和地点向招标人递交投标文件。</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4.2.2投标人应凭以下资料递交投标文件：</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（1）使用制作该投标文件的投标人电子签章认证证书；</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（2）投标人应使用制作该投标文件的电子签章认证证书递交投标文件。</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highlight w:val="none"/>
        </w:rPr>
        <w:t>.3</w:t>
      </w:r>
      <w:r>
        <w:rPr>
          <w:rFonts w:hint="eastAsia" w:ascii="宋体" w:hAnsi="宋体" w:cs="宋体"/>
          <w:color w:val="auto"/>
          <w:sz w:val="24"/>
          <w:szCs w:val="24"/>
          <w:highlight w:val="none"/>
        </w:rPr>
        <w:t>若出现以下情况，招标人将拒绝接收投标文件：</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 xml:space="preserve">（1）电子投标文件未在投标截止时间前完整上传并保存在广州公共资源交易中心电子评标系统且取得回执的； </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（2）投标文件未按招标文件要求进行电子签章，并进行加密的；</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（3）电子投标文件中投标人电子签章不完整的；</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（4）电子投标文件损坏或格式不正确的；</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（5）电子投标文件未加密的。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highlight w:val="none"/>
        </w:rPr>
        <w:t xml:space="preserve">.4 </w:t>
      </w:r>
      <w:r>
        <w:rPr>
          <w:rFonts w:hint="eastAsia" w:ascii="宋体" w:hAnsi="宋体" w:cs="宋体"/>
          <w:color w:val="auto"/>
          <w:sz w:val="24"/>
          <w:szCs w:val="24"/>
          <w:highlight w:val="none"/>
        </w:rPr>
        <w:t>投标截止前，招标人拒绝接收符合条件的投标文件，投标人可向招标监督机构投诉。</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szCs w:val="24"/>
          <w:highlight w:val="none"/>
        </w:rPr>
        <w:t xml:space="preserve">4.3 </w:t>
      </w:r>
      <w:r>
        <w:rPr>
          <w:rFonts w:hint="eastAsia" w:ascii="宋体" w:hAnsi="宋体" w:cs="宋体"/>
          <w:b/>
          <w:bCs/>
          <w:color w:val="auto"/>
          <w:sz w:val="24"/>
          <w:highlight w:val="none"/>
        </w:rPr>
        <w:t>投标文件递交的截止时间</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szCs w:val="24"/>
          <w:highlight w:val="none"/>
        </w:rPr>
        <w:t>4.3</w:t>
      </w:r>
      <w:r>
        <w:rPr>
          <w:rFonts w:hint="eastAsia" w:ascii="宋体" w:hAnsi="宋体" w:cs="宋体"/>
          <w:color w:val="auto"/>
          <w:sz w:val="24"/>
          <w:highlight w:val="none"/>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4.3</w:t>
      </w:r>
      <w:r>
        <w:rPr>
          <w:rFonts w:hint="eastAsia" w:ascii="宋体" w:hAnsi="宋体" w:cs="宋体"/>
          <w:color w:val="auto"/>
          <w:sz w:val="24"/>
          <w:highlight w:val="none"/>
        </w:rPr>
        <w:t>.2招标人可按本须知第2.4条规定以招标文件修改的方式，酌情延长递交投标文件的截止时间。在此情况下，投标人的所有权利和义务以及投标人受制约的截止时间，均以延长后新的投标截止时间为准。</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 xml:space="preserve">    4.3</w:t>
      </w:r>
      <w:r>
        <w:rPr>
          <w:rFonts w:hint="eastAsia" w:ascii="宋体" w:hAnsi="宋体" w:cs="宋体"/>
          <w:color w:val="auto"/>
          <w:sz w:val="24"/>
          <w:highlight w:val="none"/>
        </w:rPr>
        <w:t>.3 到投标截止时间止，招标人收到的投标文件少于3家的，招标人将依法重新组织招标。（当N个标段同时招标且不允许兼中时，若有效投标人不足N+2家，则重新组织招标）。</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szCs w:val="24"/>
          <w:highlight w:val="none"/>
        </w:rPr>
        <w:t>4.4</w:t>
      </w:r>
      <w:r>
        <w:rPr>
          <w:rFonts w:hint="eastAsia" w:ascii="宋体" w:hAnsi="宋体" w:cs="宋体"/>
          <w:b/>
          <w:bCs/>
          <w:color w:val="auto"/>
          <w:sz w:val="24"/>
          <w:highlight w:val="none"/>
        </w:rPr>
        <w:t xml:space="preserve"> 迟交的投标文件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4.4</w:t>
      </w:r>
      <w:r>
        <w:rPr>
          <w:rFonts w:hint="eastAsia" w:ascii="宋体" w:hAnsi="宋体" w:cs="宋体"/>
          <w:color w:val="auto"/>
          <w:sz w:val="24"/>
          <w:highlight w:val="none"/>
        </w:rPr>
        <w:t>.1投标截止时间到达后，电子评标系统将不允许投标人上传投标文件。</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szCs w:val="24"/>
          <w:highlight w:val="none"/>
        </w:rPr>
        <w:t>4.5</w:t>
      </w:r>
      <w:r>
        <w:rPr>
          <w:rFonts w:hint="eastAsia" w:ascii="宋体" w:hAnsi="宋体" w:cs="宋体"/>
          <w:b/>
          <w:bCs/>
          <w:color w:val="auto"/>
          <w:sz w:val="24"/>
          <w:highlight w:val="none"/>
        </w:rPr>
        <w:t xml:space="preserve"> 投标文件的补充、修改与撤回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4.5</w:t>
      </w:r>
      <w:r>
        <w:rPr>
          <w:rFonts w:hint="eastAsia" w:ascii="宋体" w:hAnsi="宋体" w:cs="宋体"/>
          <w:color w:val="auto"/>
          <w:sz w:val="24"/>
          <w:highlight w:val="none"/>
        </w:rPr>
        <w:t>.1 投标人在递交投标文件以后，在规定的投标截止时间之前，可以撤回或替换已递交的投标文件。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4.5</w:t>
      </w:r>
      <w:r>
        <w:rPr>
          <w:rFonts w:hint="eastAsia" w:ascii="宋体" w:hAnsi="宋体" w:cs="宋体"/>
          <w:color w:val="auto"/>
          <w:sz w:val="24"/>
          <w:highlight w:val="none"/>
        </w:rPr>
        <w:t>.3 在投标截止时间之后，投标人不得补充、修改和更换投标文件。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4.5</w:t>
      </w:r>
      <w:r>
        <w:rPr>
          <w:rFonts w:hint="eastAsia" w:ascii="宋体" w:hAnsi="宋体" w:cs="宋体"/>
          <w:color w:val="auto"/>
          <w:sz w:val="24"/>
          <w:highlight w:val="none"/>
        </w:rPr>
        <w:t>.4在投标截止后，投标人在投标文件格式中规定的有效期终止日前，投标人不能撤回投标文件，否则其投标保证金将被没收，且招标人有权就其撤回行为报告政府主管部门载入不良信用记录。</w:t>
      </w:r>
    </w:p>
    <w:p>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szCs w:val="24"/>
          <w:highlight w:val="none"/>
        </w:rPr>
        <w:t>4.6</w:t>
      </w:r>
      <w:r>
        <w:rPr>
          <w:rFonts w:hint="eastAsia" w:ascii="宋体" w:hAnsi="宋体" w:cs="宋体"/>
          <w:b/>
          <w:color w:val="auto"/>
          <w:sz w:val="24"/>
          <w:highlight w:val="none"/>
        </w:rPr>
        <w:t xml:space="preserve"> 投标信息录入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4.6</w:t>
      </w:r>
      <w:r>
        <w:rPr>
          <w:rFonts w:hint="eastAsia" w:ascii="宋体" w:hAnsi="宋体" w:cs="宋体"/>
          <w:color w:val="auto"/>
          <w:sz w:val="24"/>
          <w:highlight w:val="none"/>
        </w:rPr>
        <w:t>.1 投标人应在上传电子投标文件前将广州公共资源交易中心交易服务系统要求的相关信息在广州公共资源交易中心交易服务系统中录入完毕。</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szCs w:val="24"/>
          <w:highlight w:val="none"/>
        </w:rPr>
        <w:t>4.7</w:t>
      </w:r>
      <w:r>
        <w:rPr>
          <w:rFonts w:hint="eastAsia" w:ascii="宋体" w:hAnsi="宋体" w:cs="宋体"/>
          <w:b/>
          <w:color w:val="auto"/>
          <w:sz w:val="24"/>
          <w:highlight w:val="none"/>
        </w:rPr>
        <w:t xml:space="preserve"> 投标文件的解密</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4.7.1投标人须对在投标须知前附表规定的时间内完成电子投标文件解密。超过时间未解密的投标文件将作为放弃投标处理。</w:t>
      </w:r>
    </w:p>
    <w:p>
      <w:pPr>
        <w:jc w:val="center"/>
        <w:outlineLvl w:val="3"/>
        <w:rPr>
          <w:rFonts w:ascii="宋体" w:hAnsi="宋体" w:cs="宋体"/>
          <w:b/>
          <w:color w:val="auto"/>
          <w:sz w:val="30"/>
          <w:szCs w:val="30"/>
          <w:highlight w:val="none"/>
        </w:rPr>
      </w:pPr>
      <w:r>
        <w:rPr>
          <w:rFonts w:hint="eastAsia" w:ascii="宋体" w:hAnsi="宋体" w:cs="宋体"/>
          <w:b/>
          <w:color w:val="auto"/>
          <w:sz w:val="30"/>
          <w:szCs w:val="30"/>
          <w:highlight w:val="none"/>
        </w:rPr>
        <w:t>（五）开标</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5.1 开标时间和地点</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投标人在本章第4.2.1款规定的投标截止时间（开标时间）和投标人须知前附表规定的地点公开开标，并邀请所有投标人的法定代表人或其委托代理人准时参加。</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5.2 开标程序</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5.2.1 招标人按投标须知前附表第4.2.1项所规定的时间和地点公开开标，并邀请所有投标人参加，不参加视为认可唱标结果。</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5.2.2唱标前公开摇取评标基准价下浮率（下浮率取值范围在2%~5%，按0.5%设定级差）（经评审的最低投标价法不需要摇评标基准价下浮率）。</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5.2.3 招标人在招标文件要求的递交投标文件截止时间前收到的投标文件，在开标前未完成投标人解密的，其视为投标人放弃投标。</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5.2.3 招标人在开标开始时间后，使用制作该招标文件的机构业务数字证书对所有投标人电子投标文件进行招标人解密。</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5.2.5招标人完成解密后按开标记录表规定的内容进行唱标。</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5.2.5唱标结束，参与开标的招标人、招标代理、投标人及有关人员对开标记录表进行签字确认。</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5.2.4投标人没有按要求提供投标保证金的，其投标无效，不参与排序和资格审查。</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5.3 开标异议</w:t>
      </w:r>
    </w:p>
    <w:p>
      <w:pPr>
        <w:pStyle w:val="29"/>
        <w:shd w:val="clear" w:color="auto" w:fill="FFFFFF"/>
        <w:spacing w:before="0" w:beforeAutospacing="0" w:after="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5.3.1投标人对开标有异议的，应当在开标现场提出，招标人当场作出答复，并制作记录。</w:t>
      </w:r>
    </w:p>
    <w:p>
      <w:pPr>
        <w:widowControl/>
        <w:shd w:val="clear" w:color="auto" w:fill="FFFFFF"/>
        <w:spacing w:line="360" w:lineRule="auto"/>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p>
    <w:p>
      <w:pPr>
        <w:widowControl/>
        <w:shd w:val="clear" w:color="auto" w:fill="FFFFFF"/>
        <w:spacing w:line="360" w:lineRule="auto"/>
        <w:ind w:firstLine="640"/>
        <w:jc w:val="left"/>
        <w:rPr>
          <w:rFonts w:ascii="宋体" w:hAnsi="宋体" w:cs="宋体"/>
          <w:color w:val="auto"/>
          <w:sz w:val="24"/>
          <w:szCs w:val="24"/>
          <w:highlight w:val="none"/>
        </w:rPr>
      </w:pPr>
      <w:r>
        <w:rPr>
          <w:rFonts w:hint="eastAsia" w:ascii="宋体" w:hAnsi="宋体" w:cs="宋体"/>
          <w:color w:val="auto"/>
          <w:kern w:val="0"/>
          <w:sz w:val="24"/>
          <w:szCs w:val="24"/>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auto"/>
          <w:kern w:val="0"/>
          <w:sz w:val="32"/>
          <w:szCs w:val="32"/>
          <w:highlight w:val="none"/>
        </w:rPr>
        <w:t>。</w:t>
      </w:r>
    </w:p>
    <w:p>
      <w:pPr>
        <w:tabs>
          <w:tab w:val="left" w:pos="105"/>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5.4开标时，出现下列情形之一的，不参与资格审查和评标：</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5.4.1未成功递交投标文件的；</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5.4.2因投标人原因造成投标文件未解密的；</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5.4.3未按招标文件要求提供投标保证金的；</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5.4.4两个（含两个）以上的投标人加密打包投标文件电脑机器码一致的；</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5.4.5项目负责人和安全员为同一人的；</w:t>
      </w:r>
    </w:p>
    <w:p>
      <w:pPr>
        <w:tabs>
          <w:tab w:val="left" w:pos="10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5.4.6投标文件中的投标人、项目负责人、安全员与投标登记时的信息不一致的。</w:t>
      </w:r>
    </w:p>
    <w:p>
      <w:pPr>
        <w:jc w:val="center"/>
        <w:outlineLvl w:val="3"/>
        <w:rPr>
          <w:rFonts w:ascii="宋体" w:hAnsi="宋体" w:cs="宋体"/>
          <w:b/>
          <w:color w:val="auto"/>
          <w:sz w:val="30"/>
          <w:szCs w:val="30"/>
          <w:highlight w:val="none"/>
        </w:rPr>
      </w:pPr>
      <w:r>
        <w:rPr>
          <w:rFonts w:hint="eastAsia" w:ascii="宋体" w:hAnsi="宋体" w:cs="宋体"/>
          <w:b/>
          <w:color w:val="auto"/>
          <w:sz w:val="30"/>
          <w:szCs w:val="30"/>
          <w:highlight w:val="none"/>
        </w:rPr>
        <w:t>（六）评标</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6.1 评标委员会</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评标委员会成员有下列情形之一的，应当回避：</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（1）招标人或投标人的主要负责人的近亲属；</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（3）与投标人有经济利益关系，可能影响对投标公正评审的；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（5）与投标人有其他利害关系。</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6.2 评标原则</w:t>
      </w:r>
      <w:r>
        <w:rPr>
          <w:rFonts w:hint="eastAsia" w:ascii="宋体" w:hAnsi="宋体" w:cs="宋体"/>
          <w:b/>
          <w:color w:val="auto"/>
          <w:sz w:val="24"/>
          <w:highlight w:val="none"/>
        </w:rPr>
        <w:tab/>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评标活动遵循公平、公正、科学和择优的原则。</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6.3 评标</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评标委员会按照第三章“评标办法”规定的方法、评审因素、标准和程序对投标文件进行评审。第三章“评标办法”没有规定的方法、评审因素和标准，不作为评标依据。</w:t>
      </w:r>
    </w:p>
    <w:p>
      <w:pPr>
        <w:jc w:val="center"/>
        <w:outlineLvl w:val="3"/>
        <w:rPr>
          <w:rFonts w:ascii="宋体" w:hAnsi="宋体" w:cs="宋体"/>
          <w:b/>
          <w:color w:val="auto"/>
          <w:sz w:val="30"/>
          <w:szCs w:val="30"/>
          <w:highlight w:val="none"/>
        </w:rPr>
      </w:pPr>
      <w:r>
        <w:rPr>
          <w:rFonts w:hint="eastAsia" w:ascii="宋体" w:hAnsi="宋体" w:cs="宋体"/>
          <w:b/>
          <w:color w:val="auto"/>
          <w:sz w:val="30"/>
          <w:szCs w:val="30"/>
          <w:highlight w:val="none"/>
        </w:rPr>
        <w:t>（七）合同授予</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7.1 定标方式</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招标人根据评标委员会推荐的中标候选人确定中标人，评标委员会推荐中标候选人的人数为3个。</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7.1.2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7.1.3 发出中标通知书前，中标人应未被纳入失信联合惩戒名单，否则招标人将取消其中标资格，招标人可以按照评标委员会提出的中标候选人名单排序依次确定其他中标候选人为中标人。</w:t>
      </w:r>
    </w:p>
    <w:p>
      <w:pPr>
        <w:pStyle w:val="19"/>
        <w:rPr>
          <w:rFonts w:hAnsi="宋体" w:eastAsia="宋体"/>
          <w:color w:val="auto"/>
          <w:highlight w:val="none"/>
        </w:rPr>
      </w:pP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7.2 中标候选人公示</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7.2.1招标人在《投标人须知前附表》规定的媒介公示中标候选人，公示期为三天，最后一天应为工作日。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7.2.2中标候选人公示时，招标人将同时公示中标候选人的投标文件商务部分文件的所有内容（包括人员、业绩、奖项等资料）。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7.3 中标通知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在法规规定的时间内，招标人以书面形式向中标人发出中标通知书。在</w:t>
      </w:r>
      <w:r>
        <w:rPr>
          <w:rFonts w:hint="eastAsia" w:ascii="宋体" w:hAnsi="宋体" w:cs="宋体"/>
          <w:color w:val="auto"/>
          <w:sz w:val="24"/>
          <w:szCs w:val="24"/>
          <w:highlight w:val="none"/>
        </w:rPr>
        <w:t>广州公共资源交易网</w:t>
      </w:r>
      <w:r>
        <w:rPr>
          <w:rFonts w:hint="eastAsia" w:ascii="宋体" w:hAnsi="宋体" w:cs="宋体"/>
          <w:color w:val="auto"/>
          <w:sz w:val="24"/>
          <w:highlight w:val="none"/>
        </w:rPr>
        <w:t>发布中标信息，视同将中标结果通知未中标的投标人。</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7.4 履约担保</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7.5 签订合同</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7.5.2 发出中标通知书后，招标人无正当理由拒签合同的，招标人向中标人退还投标保证金；给中标人造成损失的，还应当赔偿损失。</w:t>
      </w:r>
    </w:p>
    <w:p>
      <w:pPr>
        <w:jc w:val="center"/>
        <w:outlineLvl w:val="3"/>
        <w:rPr>
          <w:rFonts w:ascii="宋体" w:hAnsi="宋体" w:cs="宋体"/>
          <w:b/>
          <w:color w:val="auto"/>
          <w:sz w:val="30"/>
          <w:szCs w:val="30"/>
          <w:highlight w:val="none"/>
        </w:rPr>
      </w:pPr>
      <w:r>
        <w:rPr>
          <w:rFonts w:hint="eastAsia" w:ascii="宋体" w:hAnsi="宋体" w:cs="宋体"/>
          <w:b/>
          <w:color w:val="auto"/>
          <w:sz w:val="30"/>
          <w:szCs w:val="30"/>
          <w:highlight w:val="none"/>
        </w:rPr>
        <w:t>（八）重新招标</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8.1 重新招标</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有下列情形之一的，招标人将重新招标；</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（1）投标截止时间止，投标人少于3个的；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（2）经评标委员会评审后否决所有投标的；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（3）资审合格的投标人少于3家或经评审有效标少于3家的；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（4）同意延长投标有效期的投标人少于3个的；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（5）中标候选人均未与招标人签订合同的。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（6）当N个标段同时招标且不允许兼中时，若有效投标人不足N+2家，则重新组织招标</w:t>
      </w:r>
    </w:p>
    <w:p>
      <w:pPr>
        <w:jc w:val="center"/>
        <w:outlineLvl w:val="3"/>
        <w:rPr>
          <w:rFonts w:ascii="宋体" w:hAnsi="宋体" w:cs="宋体"/>
          <w:b/>
          <w:color w:val="auto"/>
          <w:sz w:val="30"/>
          <w:szCs w:val="30"/>
          <w:highlight w:val="none"/>
        </w:rPr>
      </w:pPr>
      <w:r>
        <w:rPr>
          <w:rFonts w:hint="eastAsia" w:ascii="宋体" w:hAnsi="宋体" w:cs="宋体"/>
          <w:b/>
          <w:color w:val="auto"/>
          <w:sz w:val="30"/>
          <w:szCs w:val="30"/>
          <w:highlight w:val="none"/>
        </w:rPr>
        <w:t>（九）纪律和监督</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9.1对招标人的纪律要求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招标人不得泄漏招标投标活动中应当保密的情况和资料，不得与投标人串通损害国家利益、社会公共利益或者他人合法权益。</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9.2 对投标人的纪律要求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9.3 对评标委员会成员的纪律要求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9.4 对与评标活动有关的工作人员的纪律要求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9.5 投诉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jc w:val="center"/>
        <w:outlineLvl w:val="3"/>
        <w:rPr>
          <w:rFonts w:ascii="宋体" w:hAnsi="宋体" w:cs="宋体"/>
          <w:b/>
          <w:color w:val="auto"/>
          <w:sz w:val="30"/>
          <w:szCs w:val="30"/>
          <w:highlight w:val="none"/>
        </w:rPr>
      </w:pPr>
      <w:r>
        <w:rPr>
          <w:rFonts w:hint="eastAsia" w:ascii="宋体" w:hAnsi="宋体" w:cs="宋体"/>
          <w:b/>
          <w:color w:val="auto"/>
          <w:sz w:val="30"/>
          <w:szCs w:val="30"/>
          <w:highlight w:val="none"/>
        </w:rPr>
        <w:t>（十）需要补充的其他内容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需要补充的其他内容：见投标人须知前附表。</w:t>
      </w:r>
    </w:p>
    <w:p>
      <w:pPr>
        <w:spacing w:line="360" w:lineRule="auto"/>
        <w:ind w:firstLine="480" w:firstLineChars="200"/>
        <w:rPr>
          <w:rFonts w:ascii="宋体" w:hAnsi="宋体" w:cs="宋体"/>
          <w:color w:val="auto"/>
          <w:sz w:val="24"/>
          <w:highlight w:val="none"/>
        </w:rPr>
      </w:pPr>
    </w:p>
    <w:p>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pPr>
        <w:spacing w:line="360" w:lineRule="auto"/>
        <w:jc w:val="left"/>
        <w:outlineLvl w:val="2"/>
        <w:rPr>
          <w:rFonts w:ascii="宋体" w:hAnsi="宋体" w:cs="宋体"/>
          <w:color w:val="auto"/>
          <w:sz w:val="28"/>
          <w:szCs w:val="27"/>
          <w:highlight w:val="none"/>
        </w:rPr>
      </w:pPr>
      <w:bookmarkStart w:id="125" w:name="_Toc17451580"/>
      <w:bookmarkStart w:id="126" w:name="_Toc17451103"/>
      <w:bookmarkStart w:id="127" w:name="_Toc152045581"/>
      <w:bookmarkStart w:id="128" w:name="_Toc17454924"/>
      <w:bookmarkStart w:id="129" w:name="_Toc17556878"/>
      <w:bookmarkStart w:id="130" w:name="_Toc247085739"/>
      <w:bookmarkStart w:id="131" w:name="_Toc17452666"/>
      <w:bookmarkStart w:id="132" w:name="_Toc179632599"/>
      <w:bookmarkStart w:id="133" w:name="_Toc132193445"/>
      <w:bookmarkStart w:id="134" w:name="_Toc332641306"/>
      <w:bookmarkStart w:id="135" w:name="_Toc144974548"/>
      <w:bookmarkStart w:id="136" w:name="_Toc152042358"/>
      <w:bookmarkStart w:id="137" w:name="_Toc17454873"/>
      <w:bookmarkStart w:id="138" w:name="_Toc17451625"/>
      <w:r>
        <w:rPr>
          <w:rFonts w:hint="eastAsia" w:ascii="宋体" w:hAnsi="宋体" w:cs="宋体"/>
          <w:color w:val="auto"/>
          <w:sz w:val="28"/>
          <w:szCs w:val="27"/>
          <w:highlight w:val="none"/>
        </w:rPr>
        <w:t>附件一：开标记录表</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（项目名称）开标记录表</w:t>
      </w:r>
    </w:p>
    <w:p>
      <w:pPr>
        <w:spacing w:line="500" w:lineRule="exact"/>
        <w:rPr>
          <w:rFonts w:ascii="宋体" w:hAnsi="宋体" w:cs="宋体"/>
          <w:color w:val="auto"/>
          <w:highlight w:val="none"/>
        </w:rPr>
      </w:pPr>
      <w:r>
        <w:rPr>
          <w:rFonts w:hint="eastAsia" w:ascii="宋体" w:hAnsi="宋体" w:cs="宋体"/>
          <w:color w:val="auto"/>
          <w:szCs w:val="21"/>
          <w:highlight w:val="none"/>
        </w:rPr>
        <w:t>评标参考价下浮率：                开标时间：年月日时分</w:t>
      </w:r>
    </w:p>
    <w:tbl>
      <w:tblPr>
        <w:tblStyle w:val="34"/>
        <w:tblW w:w="0" w:type="auto"/>
        <w:tblInd w:w="0" w:type="dxa"/>
        <w:tblLayout w:type="fixed"/>
        <w:tblCellMar>
          <w:top w:w="0" w:type="dxa"/>
          <w:left w:w="108" w:type="dxa"/>
          <w:bottom w:w="0" w:type="dxa"/>
          <w:right w:w="108" w:type="dxa"/>
        </w:tblCellMar>
      </w:tblPr>
      <w:tblGrid>
        <w:gridCol w:w="544"/>
        <w:gridCol w:w="1147"/>
        <w:gridCol w:w="700"/>
        <w:gridCol w:w="987"/>
        <w:gridCol w:w="960"/>
        <w:gridCol w:w="633"/>
        <w:gridCol w:w="901"/>
        <w:gridCol w:w="450"/>
        <w:gridCol w:w="452"/>
        <w:gridCol w:w="450"/>
        <w:gridCol w:w="450"/>
        <w:gridCol w:w="730"/>
        <w:gridCol w:w="885"/>
        <w:gridCol w:w="545"/>
      </w:tblGrid>
      <w:tr>
        <w:tblPrEx>
          <w:tblCellMar>
            <w:top w:w="0" w:type="dxa"/>
            <w:left w:w="108" w:type="dxa"/>
            <w:bottom w:w="0" w:type="dxa"/>
            <w:right w:w="108" w:type="dxa"/>
          </w:tblCellMar>
        </w:tblPrEx>
        <w:trPr>
          <w:trHeight w:val="1273" w:hRule="atLeast"/>
        </w:trPr>
        <w:tc>
          <w:tcPr>
            <w:tcW w:w="544"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47"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投标人</w:t>
            </w:r>
          </w:p>
        </w:tc>
        <w:tc>
          <w:tcPr>
            <w:tcW w:w="70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解密情况</w:t>
            </w:r>
          </w:p>
        </w:tc>
        <w:tc>
          <w:tcPr>
            <w:tcW w:w="987"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96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投标报价（元）</w:t>
            </w:r>
          </w:p>
        </w:tc>
        <w:tc>
          <w:tcPr>
            <w:tcW w:w="633"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901"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工期（日历天）</w:t>
            </w:r>
          </w:p>
        </w:tc>
        <w:tc>
          <w:tcPr>
            <w:tcW w:w="90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专职安全员</w:t>
            </w:r>
          </w:p>
        </w:tc>
        <w:tc>
          <w:tcPr>
            <w:tcW w:w="73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投标须知5.4的条款</w:t>
            </w:r>
          </w:p>
        </w:tc>
        <w:tc>
          <w:tcPr>
            <w:tcW w:w="885"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签名</w:t>
            </w:r>
          </w:p>
        </w:tc>
        <w:tc>
          <w:tcPr>
            <w:tcW w:w="545"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CellMar>
            <w:top w:w="0" w:type="dxa"/>
            <w:left w:w="108" w:type="dxa"/>
            <w:bottom w:w="0" w:type="dxa"/>
            <w:right w:w="108" w:type="dxa"/>
          </w:tblCellMar>
        </w:tblPrEx>
        <w:trPr>
          <w:trHeight w:val="1233" w:hRule="atLeast"/>
        </w:trPr>
        <w:tc>
          <w:tcPr>
            <w:tcW w:w="544"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c>
          <w:tcPr>
            <w:tcW w:w="1147"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c>
          <w:tcPr>
            <w:tcW w:w="70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c>
          <w:tcPr>
            <w:tcW w:w="987"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c>
          <w:tcPr>
            <w:tcW w:w="96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c>
          <w:tcPr>
            <w:tcW w:w="633"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c>
          <w:tcPr>
            <w:tcW w:w="901"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登记时</w:t>
            </w:r>
          </w:p>
        </w:tc>
        <w:tc>
          <w:tcPr>
            <w:tcW w:w="4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投标时</w:t>
            </w: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登记时</w:t>
            </w: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投标时</w:t>
            </w:r>
          </w:p>
        </w:tc>
        <w:tc>
          <w:tcPr>
            <w:tcW w:w="73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c>
          <w:tcPr>
            <w:tcW w:w="545"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CellMar>
            <w:top w:w="0" w:type="dxa"/>
            <w:left w:w="108" w:type="dxa"/>
            <w:bottom w:w="0" w:type="dxa"/>
            <w:right w:w="108" w:type="dxa"/>
          </w:tblCellMar>
        </w:tblPrEx>
        <w:tc>
          <w:tcPr>
            <w:tcW w:w="433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color w:val="auto"/>
                <w:szCs w:val="21"/>
                <w:highlight w:val="none"/>
              </w:rPr>
            </w:pPr>
            <w:r>
              <w:rPr>
                <w:rFonts w:hint="eastAsia" w:ascii="宋体" w:hAnsi="宋体" w:cs="宋体"/>
                <w:color w:val="auto"/>
                <w:szCs w:val="21"/>
                <w:highlight w:val="none"/>
              </w:rPr>
              <w:t>招标人编制最高投标限价（单位：元）</w:t>
            </w:r>
          </w:p>
        </w:tc>
        <w:tc>
          <w:tcPr>
            <w:tcW w:w="5496" w:type="dxa"/>
            <w:gridSpan w:val="9"/>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bl>
    <w:p>
      <w:pPr>
        <w:spacing w:line="440" w:lineRule="exact"/>
        <w:rPr>
          <w:rFonts w:ascii="宋体" w:hAnsi="宋体" w:cs="宋体"/>
          <w:color w:val="auto"/>
          <w:highlight w:val="none"/>
        </w:rPr>
      </w:pPr>
    </w:p>
    <w:p>
      <w:pPr>
        <w:spacing w:line="440" w:lineRule="exact"/>
        <w:rPr>
          <w:rFonts w:ascii="宋体" w:hAnsi="宋体" w:cs="宋体"/>
          <w:color w:val="auto"/>
          <w:highlight w:val="none"/>
          <w:u w:val="single"/>
        </w:rPr>
      </w:pPr>
      <w:r>
        <w:rPr>
          <w:rFonts w:hint="eastAsia" w:ascii="宋体" w:hAnsi="宋体" w:cs="宋体"/>
          <w:color w:val="auto"/>
          <w:highlight w:val="none"/>
        </w:rPr>
        <w:t>招标人代表： 记录人： 监标人：</w:t>
      </w:r>
    </w:p>
    <w:p>
      <w:pPr>
        <w:spacing w:line="440" w:lineRule="exact"/>
        <w:jc w:val="right"/>
        <w:rPr>
          <w:rFonts w:ascii="宋体" w:hAnsi="宋体" w:cs="宋体"/>
          <w:color w:val="auto"/>
          <w:highlight w:val="none"/>
          <w:u w:val="single"/>
        </w:rPr>
      </w:pPr>
      <w:r>
        <w:rPr>
          <w:rFonts w:hint="eastAsia" w:ascii="宋体" w:hAnsi="宋体" w:cs="宋体"/>
          <w:color w:val="auto"/>
          <w:highlight w:val="none"/>
        </w:rPr>
        <w:t>年月 日</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抽取评标基准价的下浮率记录表</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工程名称：</w:t>
      </w:r>
    </w:p>
    <w:p>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抽取评标基准价的下浮率记录表</w:t>
      </w:r>
    </w:p>
    <w:p>
      <w:pPr>
        <w:tabs>
          <w:tab w:val="left" w:pos="720"/>
        </w:tabs>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项目名称：</w:t>
      </w:r>
    </w:p>
    <w:p>
      <w:pPr>
        <w:tabs>
          <w:tab w:val="left" w:pos="720"/>
        </w:tabs>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开标地点：</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1535"/>
        <w:gridCol w:w="1620"/>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vAlign w:val="center"/>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球号</w:t>
            </w:r>
          </w:p>
        </w:tc>
        <w:tc>
          <w:tcPr>
            <w:tcW w:w="1535" w:type="dxa"/>
            <w:vAlign w:val="center"/>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代表下浮率（%）</w:t>
            </w:r>
          </w:p>
        </w:tc>
        <w:tc>
          <w:tcPr>
            <w:tcW w:w="1620" w:type="dxa"/>
            <w:vAlign w:val="center"/>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摇出球号</w:t>
            </w:r>
          </w:p>
        </w:tc>
        <w:tc>
          <w:tcPr>
            <w:tcW w:w="4264" w:type="dxa"/>
            <w:vAlign w:val="center"/>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color w:val="auto"/>
                <w:sz w:val="24"/>
                <w:highlight w:val="none"/>
              </w:rPr>
            </w:pPr>
          </w:p>
        </w:tc>
        <w:tc>
          <w:tcPr>
            <w:tcW w:w="1535" w:type="dxa"/>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1620" w:type="dxa"/>
            <w:vMerge w:val="restart"/>
          </w:tcPr>
          <w:p>
            <w:pPr>
              <w:tabs>
                <w:tab w:val="left" w:pos="720"/>
              </w:tabs>
              <w:snapToGrid w:val="0"/>
              <w:jc w:val="center"/>
              <w:rPr>
                <w:rFonts w:ascii="宋体" w:hAnsi="宋体" w:cs="宋体"/>
                <w:color w:val="auto"/>
                <w:sz w:val="24"/>
                <w:highlight w:val="none"/>
              </w:rPr>
            </w:pPr>
          </w:p>
        </w:tc>
        <w:tc>
          <w:tcPr>
            <w:tcW w:w="4264" w:type="dxa"/>
            <w:vMerge w:val="restart"/>
          </w:tcPr>
          <w:p>
            <w:pPr>
              <w:tabs>
                <w:tab w:val="left" w:pos="720"/>
              </w:tabs>
              <w:snapToGrid w:val="0"/>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color w:val="auto"/>
                <w:sz w:val="24"/>
                <w:highlight w:val="none"/>
              </w:rPr>
            </w:pPr>
          </w:p>
        </w:tc>
        <w:tc>
          <w:tcPr>
            <w:tcW w:w="1535" w:type="dxa"/>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2.5</w:t>
            </w:r>
          </w:p>
        </w:tc>
        <w:tc>
          <w:tcPr>
            <w:tcW w:w="1620" w:type="dxa"/>
            <w:vMerge w:val="continue"/>
          </w:tcPr>
          <w:p>
            <w:pPr>
              <w:tabs>
                <w:tab w:val="left" w:pos="720"/>
              </w:tabs>
              <w:snapToGrid w:val="0"/>
              <w:jc w:val="center"/>
              <w:rPr>
                <w:rFonts w:ascii="宋体" w:hAnsi="宋体" w:cs="宋体"/>
                <w:color w:val="auto"/>
                <w:sz w:val="24"/>
                <w:highlight w:val="none"/>
              </w:rPr>
            </w:pPr>
          </w:p>
        </w:tc>
        <w:tc>
          <w:tcPr>
            <w:tcW w:w="4264" w:type="dxa"/>
            <w:vMerge w:val="continue"/>
          </w:tcPr>
          <w:p>
            <w:pPr>
              <w:tabs>
                <w:tab w:val="left" w:pos="720"/>
              </w:tabs>
              <w:snapToGrid w:val="0"/>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color w:val="auto"/>
                <w:sz w:val="24"/>
                <w:highlight w:val="none"/>
              </w:rPr>
            </w:pPr>
          </w:p>
        </w:tc>
        <w:tc>
          <w:tcPr>
            <w:tcW w:w="1535" w:type="dxa"/>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1620" w:type="dxa"/>
            <w:vMerge w:val="continue"/>
          </w:tcPr>
          <w:p>
            <w:pPr>
              <w:tabs>
                <w:tab w:val="left" w:pos="720"/>
              </w:tabs>
              <w:snapToGrid w:val="0"/>
              <w:jc w:val="center"/>
              <w:rPr>
                <w:rFonts w:ascii="宋体" w:hAnsi="宋体" w:cs="宋体"/>
                <w:color w:val="auto"/>
                <w:sz w:val="24"/>
                <w:highlight w:val="none"/>
              </w:rPr>
            </w:pPr>
          </w:p>
        </w:tc>
        <w:tc>
          <w:tcPr>
            <w:tcW w:w="4264" w:type="dxa"/>
            <w:vMerge w:val="continue"/>
          </w:tcPr>
          <w:p>
            <w:pPr>
              <w:tabs>
                <w:tab w:val="left" w:pos="720"/>
              </w:tabs>
              <w:snapToGrid w:val="0"/>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color w:val="auto"/>
                <w:sz w:val="24"/>
                <w:highlight w:val="none"/>
              </w:rPr>
            </w:pPr>
          </w:p>
        </w:tc>
        <w:tc>
          <w:tcPr>
            <w:tcW w:w="1535" w:type="dxa"/>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3.5</w:t>
            </w:r>
          </w:p>
        </w:tc>
        <w:tc>
          <w:tcPr>
            <w:tcW w:w="1620" w:type="dxa"/>
            <w:vMerge w:val="continue"/>
          </w:tcPr>
          <w:p>
            <w:pPr>
              <w:tabs>
                <w:tab w:val="left" w:pos="720"/>
              </w:tabs>
              <w:snapToGrid w:val="0"/>
              <w:jc w:val="center"/>
              <w:rPr>
                <w:rFonts w:ascii="宋体" w:hAnsi="宋体" w:cs="宋体"/>
                <w:color w:val="auto"/>
                <w:sz w:val="24"/>
                <w:highlight w:val="none"/>
              </w:rPr>
            </w:pPr>
          </w:p>
        </w:tc>
        <w:tc>
          <w:tcPr>
            <w:tcW w:w="4264" w:type="dxa"/>
            <w:vMerge w:val="continue"/>
          </w:tcPr>
          <w:p>
            <w:pPr>
              <w:tabs>
                <w:tab w:val="left" w:pos="720"/>
              </w:tabs>
              <w:snapToGrid w:val="0"/>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color w:val="auto"/>
                <w:sz w:val="24"/>
                <w:highlight w:val="none"/>
              </w:rPr>
            </w:pPr>
          </w:p>
        </w:tc>
        <w:tc>
          <w:tcPr>
            <w:tcW w:w="1535" w:type="dxa"/>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4</w:t>
            </w:r>
          </w:p>
        </w:tc>
        <w:tc>
          <w:tcPr>
            <w:tcW w:w="1620" w:type="dxa"/>
            <w:vMerge w:val="continue"/>
          </w:tcPr>
          <w:p>
            <w:pPr>
              <w:tabs>
                <w:tab w:val="left" w:pos="720"/>
              </w:tabs>
              <w:snapToGrid w:val="0"/>
              <w:jc w:val="center"/>
              <w:rPr>
                <w:rFonts w:ascii="宋体" w:hAnsi="宋体" w:cs="宋体"/>
                <w:color w:val="auto"/>
                <w:sz w:val="24"/>
                <w:highlight w:val="none"/>
              </w:rPr>
            </w:pPr>
          </w:p>
        </w:tc>
        <w:tc>
          <w:tcPr>
            <w:tcW w:w="4264" w:type="dxa"/>
            <w:vMerge w:val="continue"/>
          </w:tcPr>
          <w:p>
            <w:pPr>
              <w:tabs>
                <w:tab w:val="left" w:pos="720"/>
              </w:tabs>
              <w:snapToGrid w:val="0"/>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color w:val="auto"/>
                <w:sz w:val="24"/>
                <w:highlight w:val="none"/>
              </w:rPr>
            </w:pPr>
          </w:p>
        </w:tc>
        <w:tc>
          <w:tcPr>
            <w:tcW w:w="1535" w:type="dxa"/>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4.5</w:t>
            </w:r>
          </w:p>
        </w:tc>
        <w:tc>
          <w:tcPr>
            <w:tcW w:w="1620" w:type="dxa"/>
            <w:vMerge w:val="continue"/>
          </w:tcPr>
          <w:p>
            <w:pPr>
              <w:tabs>
                <w:tab w:val="left" w:pos="720"/>
              </w:tabs>
              <w:snapToGrid w:val="0"/>
              <w:jc w:val="center"/>
              <w:rPr>
                <w:rFonts w:ascii="宋体" w:hAnsi="宋体" w:cs="宋体"/>
                <w:color w:val="auto"/>
                <w:sz w:val="24"/>
                <w:highlight w:val="none"/>
              </w:rPr>
            </w:pPr>
          </w:p>
        </w:tc>
        <w:tc>
          <w:tcPr>
            <w:tcW w:w="4264" w:type="dxa"/>
            <w:vMerge w:val="continue"/>
          </w:tcPr>
          <w:p>
            <w:pPr>
              <w:tabs>
                <w:tab w:val="left" w:pos="720"/>
              </w:tabs>
              <w:snapToGrid w:val="0"/>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color w:val="auto"/>
                <w:sz w:val="24"/>
                <w:highlight w:val="none"/>
              </w:rPr>
            </w:pPr>
          </w:p>
        </w:tc>
        <w:tc>
          <w:tcPr>
            <w:tcW w:w="1535" w:type="dxa"/>
          </w:tcPr>
          <w:p>
            <w:pPr>
              <w:tabs>
                <w:tab w:val="left" w:pos="720"/>
              </w:tabs>
              <w:snapToGrid w:val="0"/>
              <w:jc w:val="center"/>
              <w:rPr>
                <w:rFonts w:ascii="宋体" w:hAnsi="宋体" w:cs="宋体"/>
                <w:color w:val="auto"/>
                <w:sz w:val="24"/>
                <w:highlight w:val="none"/>
              </w:rPr>
            </w:pPr>
            <w:r>
              <w:rPr>
                <w:rFonts w:hint="eastAsia" w:ascii="宋体" w:hAnsi="宋体" w:cs="宋体"/>
                <w:color w:val="auto"/>
                <w:sz w:val="24"/>
                <w:highlight w:val="none"/>
              </w:rPr>
              <w:t>5</w:t>
            </w:r>
          </w:p>
        </w:tc>
        <w:tc>
          <w:tcPr>
            <w:tcW w:w="1620" w:type="dxa"/>
            <w:vMerge w:val="continue"/>
          </w:tcPr>
          <w:p>
            <w:pPr>
              <w:tabs>
                <w:tab w:val="left" w:pos="720"/>
              </w:tabs>
              <w:snapToGrid w:val="0"/>
              <w:jc w:val="center"/>
              <w:rPr>
                <w:rFonts w:ascii="宋体" w:hAnsi="宋体" w:cs="宋体"/>
                <w:color w:val="auto"/>
                <w:sz w:val="24"/>
                <w:highlight w:val="none"/>
              </w:rPr>
            </w:pPr>
          </w:p>
        </w:tc>
        <w:tc>
          <w:tcPr>
            <w:tcW w:w="4264" w:type="dxa"/>
            <w:vMerge w:val="continue"/>
          </w:tcPr>
          <w:p>
            <w:pPr>
              <w:tabs>
                <w:tab w:val="left" w:pos="720"/>
              </w:tabs>
              <w:snapToGrid w:val="0"/>
              <w:jc w:val="center"/>
              <w:rPr>
                <w:rFonts w:ascii="宋体" w:hAnsi="宋体" w:cs="宋体"/>
                <w:color w:val="auto"/>
                <w:sz w:val="24"/>
                <w:highlight w:val="none"/>
              </w:rPr>
            </w:pPr>
          </w:p>
        </w:tc>
      </w:tr>
    </w:tbl>
    <w:p>
      <w:pPr>
        <w:spacing w:line="440" w:lineRule="exact"/>
        <w:rPr>
          <w:rFonts w:ascii="宋体" w:hAnsi="宋体" w:cs="宋体"/>
          <w:b/>
          <w:color w:val="auto"/>
          <w:szCs w:val="21"/>
          <w:highlight w:val="none"/>
        </w:rPr>
      </w:pPr>
      <w:r>
        <w:rPr>
          <w:rFonts w:hint="eastAsia" w:ascii="宋体" w:hAnsi="宋体" w:cs="宋体"/>
          <w:b/>
          <w:color w:val="auto"/>
          <w:szCs w:val="21"/>
          <w:highlight w:val="none"/>
        </w:rPr>
        <w:t>注：1、计算评标基准价的下浮率从2%、2.5%、3%、3.5%、4%、4.5%、5%中随机抽取</w:t>
      </w:r>
    </w:p>
    <w:p>
      <w:pPr>
        <w:spacing w:line="440" w:lineRule="exact"/>
        <w:rPr>
          <w:rFonts w:ascii="宋体" w:hAnsi="宋体" w:cs="宋体"/>
          <w:color w:val="auto"/>
          <w:szCs w:val="21"/>
          <w:highlight w:val="none"/>
        </w:rPr>
      </w:pPr>
      <w:r>
        <w:rPr>
          <w:rFonts w:hint="eastAsia" w:ascii="宋体" w:hAnsi="宋体" w:cs="宋体"/>
          <w:b/>
          <w:color w:val="auto"/>
          <w:szCs w:val="21"/>
          <w:highlight w:val="none"/>
        </w:rPr>
        <w:t xml:space="preserve">    2、球号根据交易中心提供号球填写，如提供的球为1、2、3、4、5、6、7，则按从小到大的顺序对应填写1、2、3、4、5、6、7；如提供的球号2、2.5、3、3.5、4、4.5、5，则对应填写2、2.5、3、3.5、4、4.5、5。</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监标人：             </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招标代理记录人：              </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招标代理唱标人:               </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见证人:              </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日期:     年  月  日</w:t>
      </w:r>
      <w:r>
        <w:rPr>
          <w:rFonts w:hint="eastAsia" w:ascii="宋体" w:hAnsi="宋体" w:cs="宋体"/>
          <w:color w:val="auto"/>
          <w:highlight w:val="none"/>
        </w:rPr>
        <w:br w:type="page"/>
      </w:r>
    </w:p>
    <w:p>
      <w:pPr>
        <w:spacing w:line="360" w:lineRule="auto"/>
        <w:jc w:val="left"/>
        <w:outlineLvl w:val="2"/>
        <w:rPr>
          <w:rFonts w:ascii="宋体" w:hAnsi="宋体" w:cs="宋体"/>
          <w:color w:val="auto"/>
          <w:sz w:val="28"/>
          <w:szCs w:val="27"/>
          <w:highlight w:val="none"/>
        </w:rPr>
      </w:pPr>
      <w:bookmarkStart w:id="139" w:name="_Toc332641307"/>
      <w:bookmarkStart w:id="140" w:name="_Toc246996968"/>
      <w:bookmarkStart w:id="141" w:name="_Toc152042359"/>
      <w:bookmarkStart w:id="142" w:name="_Toc144974549"/>
      <w:bookmarkStart w:id="143" w:name="_Toc17454925"/>
      <w:bookmarkStart w:id="144" w:name="_Toc17451104"/>
      <w:bookmarkStart w:id="145" w:name="_Toc17556879"/>
      <w:bookmarkStart w:id="146" w:name="_Toc152045582"/>
      <w:bookmarkStart w:id="147" w:name="_Toc17451581"/>
      <w:bookmarkStart w:id="148" w:name="_Toc17452667"/>
      <w:bookmarkStart w:id="149" w:name="_Toc179632600"/>
      <w:bookmarkStart w:id="150" w:name="_Toc247085740"/>
      <w:bookmarkStart w:id="151" w:name="_Toc132193446"/>
      <w:bookmarkStart w:id="152" w:name="_Toc17454874"/>
      <w:bookmarkStart w:id="153" w:name="_Toc17451626"/>
      <w:bookmarkStart w:id="154" w:name="_Toc246996225"/>
      <w:r>
        <w:rPr>
          <w:rFonts w:hint="eastAsia" w:ascii="宋体" w:hAnsi="宋体" w:cs="宋体"/>
          <w:color w:val="auto"/>
          <w:sz w:val="28"/>
          <w:szCs w:val="27"/>
          <w:highlight w:val="none"/>
        </w:rPr>
        <w:t>附件二：问题澄清通知</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spacing w:line="440" w:lineRule="exact"/>
        <w:jc w:val="center"/>
        <w:rPr>
          <w:rFonts w:ascii="宋体" w:hAnsi="宋体" w:cs="宋体"/>
          <w:color w:val="auto"/>
          <w:szCs w:val="21"/>
          <w:highlight w:val="none"/>
        </w:rPr>
      </w:pPr>
    </w:p>
    <w:p>
      <w:pPr>
        <w:spacing w:line="440" w:lineRule="exact"/>
        <w:jc w:val="center"/>
        <w:rPr>
          <w:rFonts w:ascii="宋体" w:hAnsi="宋体" w:cs="宋体"/>
          <w:b/>
          <w:color w:val="auto"/>
          <w:sz w:val="36"/>
          <w:szCs w:val="28"/>
          <w:highlight w:val="none"/>
        </w:rPr>
      </w:pPr>
      <w:r>
        <w:rPr>
          <w:rFonts w:hint="eastAsia" w:ascii="宋体" w:hAnsi="宋体" w:cs="宋体"/>
          <w:b/>
          <w:color w:val="auto"/>
          <w:sz w:val="36"/>
          <w:szCs w:val="28"/>
          <w:highlight w:val="none"/>
        </w:rPr>
        <w:t>问题澄清通知</w:t>
      </w: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编号：__________________________</w:t>
      </w:r>
    </w:p>
    <w:p>
      <w:pPr>
        <w:spacing w:line="440" w:lineRule="exact"/>
        <w:rPr>
          <w:rFonts w:ascii="宋体" w:hAnsi="宋体" w:cs="宋体"/>
          <w:color w:val="auto"/>
          <w:szCs w:val="21"/>
          <w:highlight w:val="none"/>
        </w:rPr>
      </w:pPr>
    </w:p>
    <w:p>
      <w:pPr>
        <w:spacing w:line="440" w:lineRule="exact"/>
        <w:rPr>
          <w:rFonts w:ascii="宋体" w:hAnsi="宋体" w:cs="宋体"/>
          <w:color w:val="auto"/>
          <w:sz w:val="24"/>
          <w:szCs w:val="21"/>
          <w:highlight w:val="none"/>
        </w:rPr>
      </w:pPr>
      <w:r>
        <w:rPr>
          <w:rFonts w:hint="eastAsia" w:ascii="宋体" w:hAnsi="宋体" w:cs="宋体"/>
          <w:color w:val="auto"/>
          <w:sz w:val="24"/>
          <w:szCs w:val="21"/>
          <w:highlight w:val="none"/>
        </w:rPr>
        <w:t>（投标人名称）：</w:t>
      </w:r>
    </w:p>
    <w:p>
      <w:pPr>
        <w:spacing w:line="440" w:lineRule="exact"/>
        <w:rPr>
          <w:rFonts w:ascii="宋体" w:hAnsi="宋体" w:cs="宋体"/>
          <w:color w:val="auto"/>
          <w:szCs w:val="21"/>
          <w:highlight w:val="none"/>
        </w:rPr>
      </w:pP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请将上述问题的澄清于年月日时前递交至（详细地址）或传真至（传真号码）。采用传真方式的，应在年月日时前将原件递交至（详细地址）。</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招标人或招标代理机构：</w:t>
      </w:r>
      <w:r>
        <w:rPr>
          <w:rFonts w:hint="eastAsia" w:ascii="宋体" w:hAnsi="宋体" w:cs="宋体"/>
          <w:color w:val="auto"/>
          <w:sz w:val="24"/>
          <w:szCs w:val="24"/>
          <w:highlight w:val="none"/>
          <w:u w:val="single"/>
        </w:rPr>
        <w:t xml:space="preserve">           （签字或盖章）</w:t>
      </w:r>
    </w:p>
    <w:p>
      <w:pPr>
        <w:spacing w:line="360" w:lineRule="auto"/>
        <w:ind w:firstLine="3480" w:firstLineChars="145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spacing w:line="400" w:lineRule="exact"/>
        <w:rPr>
          <w:rFonts w:ascii="宋体" w:hAnsi="宋体" w:cs="宋体"/>
          <w:color w:val="auto"/>
          <w:highlight w:val="none"/>
        </w:rPr>
      </w:pPr>
      <w:r>
        <w:rPr>
          <w:rFonts w:hint="eastAsia" w:ascii="宋体" w:hAnsi="宋体" w:cs="宋体"/>
          <w:color w:val="auto"/>
          <w:highlight w:val="none"/>
        </w:rPr>
        <w:br w:type="page"/>
      </w:r>
    </w:p>
    <w:p>
      <w:pPr>
        <w:spacing w:line="360" w:lineRule="auto"/>
        <w:jc w:val="left"/>
        <w:outlineLvl w:val="2"/>
        <w:rPr>
          <w:rFonts w:ascii="宋体" w:hAnsi="宋体" w:cs="宋体"/>
          <w:color w:val="auto"/>
          <w:sz w:val="28"/>
          <w:szCs w:val="27"/>
          <w:highlight w:val="none"/>
        </w:rPr>
      </w:pPr>
      <w:bookmarkStart w:id="155" w:name="_Toc17556880"/>
      <w:bookmarkStart w:id="156" w:name="_Toc152045583"/>
      <w:bookmarkStart w:id="157" w:name="_Toc17451627"/>
      <w:bookmarkStart w:id="158" w:name="_Toc246996226"/>
      <w:bookmarkStart w:id="159" w:name="_Toc17451105"/>
      <w:bookmarkStart w:id="160" w:name="_Toc247085741"/>
      <w:bookmarkStart w:id="161" w:name="_Toc144974550"/>
      <w:bookmarkStart w:id="162" w:name="_Toc179632601"/>
      <w:bookmarkStart w:id="163" w:name="_Toc332641308"/>
      <w:bookmarkStart w:id="164" w:name="_Toc246996969"/>
      <w:bookmarkStart w:id="165" w:name="_Toc17451582"/>
      <w:bookmarkStart w:id="166" w:name="_Toc152042360"/>
      <w:bookmarkStart w:id="167" w:name="_Toc17454926"/>
      <w:bookmarkStart w:id="168" w:name="_Toc132193447"/>
      <w:bookmarkStart w:id="169" w:name="_Toc17452668"/>
      <w:bookmarkStart w:id="170" w:name="_Toc17454875"/>
      <w:r>
        <w:rPr>
          <w:rFonts w:hint="eastAsia" w:ascii="宋体" w:hAnsi="宋体" w:cs="宋体"/>
          <w:color w:val="auto"/>
          <w:sz w:val="28"/>
          <w:szCs w:val="27"/>
          <w:highlight w:val="none"/>
        </w:rPr>
        <w:t>附件三：问题的澄清</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line="400" w:lineRule="exact"/>
        <w:jc w:val="center"/>
        <w:rPr>
          <w:rFonts w:ascii="宋体" w:hAnsi="宋体" w:cs="宋体"/>
          <w:color w:val="auto"/>
          <w:sz w:val="28"/>
          <w:szCs w:val="28"/>
          <w:highlight w:val="none"/>
        </w:rPr>
      </w:pPr>
    </w:p>
    <w:p>
      <w:pPr>
        <w:spacing w:line="360" w:lineRule="auto"/>
        <w:jc w:val="center"/>
        <w:rPr>
          <w:rFonts w:ascii="宋体" w:hAnsi="宋体" w:cs="宋体"/>
          <w:b/>
          <w:color w:val="auto"/>
          <w:sz w:val="36"/>
          <w:szCs w:val="24"/>
          <w:highlight w:val="none"/>
        </w:rPr>
      </w:pPr>
      <w:r>
        <w:rPr>
          <w:rFonts w:hint="eastAsia" w:ascii="宋体" w:hAnsi="宋体" w:cs="宋体"/>
          <w:b/>
          <w:color w:val="auto"/>
          <w:sz w:val="36"/>
          <w:szCs w:val="24"/>
          <w:highlight w:val="none"/>
        </w:rPr>
        <w:t>问题的澄清</w:t>
      </w: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编号：_____________________</w:t>
      </w:r>
    </w:p>
    <w:p>
      <w:pPr>
        <w:spacing w:line="360" w:lineRule="auto"/>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项目名称）招标评标委员会：</w:t>
      </w:r>
    </w:p>
    <w:p>
      <w:pPr>
        <w:snapToGrid w:val="0"/>
        <w:spacing w:line="360" w:lineRule="auto"/>
        <w:ind w:firstLine="480" w:firstLineChars="200"/>
        <w:rPr>
          <w:rFonts w:ascii="宋体" w:hAnsi="宋体" w:cs="宋体"/>
          <w:color w:val="auto"/>
          <w:sz w:val="24"/>
          <w:highlight w:val="none"/>
        </w:rPr>
      </w:pP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问题澄清通知（编号：______）已收悉，现澄清如下：</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p>
    <w:p>
      <w:pPr>
        <w:snapToGrid w:val="0"/>
        <w:spacing w:line="360" w:lineRule="auto"/>
        <w:ind w:firstLine="480" w:firstLineChars="200"/>
        <w:rPr>
          <w:rFonts w:ascii="宋体" w:hAnsi="宋体" w:cs="宋体"/>
          <w:color w:val="auto"/>
          <w:sz w:val="24"/>
          <w:highlight w:val="none"/>
        </w:rPr>
      </w:pP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投标人：（盖单位章）</w:t>
      </w:r>
    </w:p>
    <w:p>
      <w:pPr>
        <w:spacing w:line="44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法定代表人或其委托代理人：（签字）</w:t>
      </w:r>
    </w:p>
    <w:p>
      <w:pPr>
        <w:spacing w:line="44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年月日</w:t>
      </w: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jc w:val="left"/>
        <w:outlineLvl w:val="2"/>
        <w:rPr>
          <w:rFonts w:ascii="宋体" w:hAnsi="宋体" w:cs="宋体"/>
          <w:color w:val="auto"/>
          <w:sz w:val="28"/>
          <w:szCs w:val="27"/>
          <w:highlight w:val="none"/>
        </w:rPr>
      </w:pPr>
      <w:bookmarkStart w:id="171" w:name="_Toc17451628"/>
      <w:bookmarkStart w:id="172" w:name="_Toc132193448"/>
      <w:bookmarkStart w:id="173" w:name="_Toc144974551"/>
      <w:bookmarkStart w:id="174" w:name="_Toc17556881"/>
      <w:bookmarkStart w:id="175" w:name="_Toc246996227"/>
      <w:bookmarkStart w:id="176" w:name="_Toc247085742"/>
      <w:bookmarkStart w:id="177" w:name="_Toc152045584"/>
      <w:bookmarkStart w:id="178" w:name="_Toc17454876"/>
      <w:bookmarkStart w:id="179" w:name="_Toc152042361"/>
      <w:bookmarkStart w:id="180" w:name="_Toc179632602"/>
      <w:bookmarkStart w:id="181" w:name="_Toc17451106"/>
      <w:bookmarkStart w:id="182" w:name="_Toc17452669"/>
      <w:bookmarkStart w:id="183" w:name="_Toc17451583"/>
      <w:bookmarkStart w:id="184" w:name="_Toc332641309"/>
      <w:bookmarkStart w:id="185" w:name="_Toc246996970"/>
      <w:bookmarkStart w:id="186" w:name="_Toc17454927"/>
      <w:r>
        <w:rPr>
          <w:rFonts w:hint="eastAsia" w:ascii="宋体" w:hAnsi="宋体" w:cs="宋体"/>
          <w:color w:val="auto"/>
          <w:sz w:val="28"/>
          <w:szCs w:val="27"/>
          <w:highlight w:val="none"/>
        </w:rPr>
        <w:t>附件四：中标通知书</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rPr>
          <w:rFonts w:ascii="宋体" w:hAnsi="宋体" w:cs="宋体"/>
          <w:color w:val="auto"/>
          <w:sz w:val="24"/>
          <w:highlight w:val="none"/>
        </w:rPr>
      </w:pPr>
    </w:p>
    <w:p>
      <w:pPr>
        <w:spacing w:line="360" w:lineRule="auto"/>
        <w:ind w:firstLine="480" w:firstLineChars="200"/>
        <w:jc w:val="left"/>
        <w:rPr>
          <w:rFonts w:ascii="宋体" w:hAnsi="宋体" w:cs="宋体"/>
          <w:color w:val="auto"/>
          <w:sz w:val="32"/>
          <w:highlight w:val="none"/>
        </w:rPr>
      </w:pPr>
      <w:r>
        <w:rPr>
          <w:rFonts w:hint="eastAsia" w:ascii="宋体" w:hAnsi="宋体" w:cs="宋体"/>
          <w:color w:val="auto"/>
          <w:sz w:val="24"/>
          <w:szCs w:val="21"/>
          <w:highlight w:val="none"/>
          <w:u w:val="single"/>
        </w:rPr>
        <w:t>（说明：中标通知书采用广州公共资源交易中心规定的格式）</w:t>
      </w:r>
    </w:p>
    <w:p>
      <w:pPr>
        <w:spacing w:line="360" w:lineRule="auto"/>
        <w:jc w:val="center"/>
        <w:outlineLvl w:val="1"/>
        <w:rPr>
          <w:rFonts w:ascii="宋体" w:hAnsi="宋体" w:cs="宋体"/>
          <w:color w:val="auto"/>
          <w:sz w:val="32"/>
          <w:szCs w:val="27"/>
          <w:highlight w:val="none"/>
        </w:rPr>
      </w:pPr>
      <w:bookmarkStart w:id="187" w:name="_Toc262229168"/>
      <w:bookmarkStart w:id="188" w:name="_Toc155150492"/>
      <w:r>
        <w:rPr>
          <w:rFonts w:hint="eastAsia" w:ascii="宋体" w:hAnsi="宋体" w:cs="宋体"/>
          <w:color w:val="auto"/>
          <w:sz w:val="32"/>
          <w:szCs w:val="27"/>
          <w:highlight w:val="none"/>
        </w:rPr>
        <w:br w:type="page"/>
      </w:r>
    </w:p>
    <w:p>
      <w:pPr>
        <w:spacing w:line="360" w:lineRule="auto"/>
        <w:jc w:val="center"/>
        <w:outlineLvl w:val="1"/>
        <w:rPr>
          <w:rFonts w:ascii="宋体" w:hAnsi="宋体" w:cs="宋体"/>
          <w:color w:val="auto"/>
          <w:sz w:val="32"/>
          <w:szCs w:val="27"/>
          <w:highlight w:val="none"/>
        </w:rPr>
      </w:pPr>
      <w:bookmarkStart w:id="189" w:name="_Toc17451629"/>
      <w:bookmarkStart w:id="190" w:name="_Toc17556882"/>
      <w:bookmarkStart w:id="191" w:name="_Toc17452670"/>
      <w:bookmarkStart w:id="192" w:name="_Toc17451584"/>
      <w:bookmarkStart w:id="193" w:name="_Toc17454877"/>
      <w:bookmarkStart w:id="194" w:name="_Toc17454928"/>
      <w:bookmarkStart w:id="195" w:name="_Toc132193449"/>
      <w:bookmarkStart w:id="196" w:name="_Toc17451107"/>
      <w:r>
        <w:rPr>
          <w:rFonts w:hint="eastAsia" w:ascii="宋体" w:hAnsi="宋体" w:cs="宋体"/>
          <w:color w:val="auto"/>
          <w:sz w:val="32"/>
          <w:szCs w:val="27"/>
          <w:highlight w:val="none"/>
        </w:rPr>
        <w:t>第三章 评标及定标办法</w:t>
      </w:r>
      <w:bookmarkEnd w:id="187"/>
      <w:bookmarkEnd w:id="188"/>
      <w:bookmarkEnd w:id="189"/>
      <w:bookmarkEnd w:id="190"/>
      <w:bookmarkEnd w:id="191"/>
      <w:bookmarkEnd w:id="192"/>
      <w:bookmarkEnd w:id="193"/>
      <w:bookmarkEnd w:id="194"/>
      <w:bookmarkEnd w:id="195"/>
      <w:bookmarkEnd w:id="196"/>
    </w:p>
    <w:p>
      <w:pPr>
        <w:spacing w:line="360" w:lineRule="auto"/>
        <w:jc w:val="center"/>
        <w:outlineLvl w:val="2"/>
        <w:rPr>
          <w:rFonts w:ascii="宋体" w:hAnsi="宋体" w:cs="宋体"/>
          <w:color w:val="auto"/>
          <w:sz w:val="28"/>
          <w:szCs w:val="27"/>
          <w:highlight w:val="none"/>
        </w:rPr>
      </w:pPr>
      <w:bookmarkStart w:id="197" w:name="_Toc155150493"/>
      <w:bookmarkStart w:id="198" w:name="_Toc17556883"/>
      <w:bookmarkStart w:id="199" w:name="_Toc17451108"/>
      <w:bookmarkStart w:id="200" w:name="_Toc262229169"/>
      <w:bookmarkStart w:id="201" w:name="_Toc17452671"/>
      <w:bookmarkStart w:id="202" w:name="_Toc132193450"/>
      <w:bookmarkStart w:id="203" w:name="_Toc17454878"/>
      <w:bookmarkStart w:id="204" w:name="_Toc17451630"/>
      <w:bookmarkStart w:id="205" w:name="_Toc17454929"/>
      <w:bookmarkStart w:id="206" w:name="_Toc17451585"/>
      <w:r>
        <w:rPr>
          <w:rFonts w:hint="eastAsia" w:ascii="宋体" w:hAnsi="宋体" w:cs="宋体"/>
          <w:color w:val="auto"/>
          <w:sz w:val="28"/>
          <w:szCs w:val="27"/>
          <w:highlight w:val="none"/>
        </w:rPr>
        <w:t>一、评标及定标办法修改表</w:t>
      </w:r>
      <w:bookmarkEnd w:id="197"/>
      <w:bookmarkEnd w:id="198"/>
      <w:bookmarkEnd w:id="199"/>
      <w:bookmarkEnd w:id="200"/>
      <w:bookmarkEnd w:id="201"/>
      <w:bookmarkEnd w:id="202"/>
      <w:bookmarkEnd w:id="203"/>
      <w:bookmarkEnd w:id="204"/>
      <w:bookmarkEnd w:id="205"/>
      <w:bookmarkEnd w:id="206"/>
    </w:p>
    <w:p>
      <w:pPr>
        <w:pStyle w:val="33"/>
        <w:pBdr>
          <w:bottom w:val="single" w:color="auto" w:sz="6" w:space="1"/>
        </w:pBdr>
        <w:spacing w:after="0" w:line="360" w:lineRule="auto"/>
        <w:rPr>
          <w:rFonts w:ascii="宋体" w:hAnsi="宋体" w:eastAsia="宋体" w:cs="宋体"/>
          <w:b/>
          <w:color w:val="auto"/>
          <w:sz w:val="24"/>
          <w:szCs w:val="21"/>
          <w:highlight w:val="none"/>
        </w:rPr>
      </w:pPr>
      <w:r>
        <w:rPr>
          <w:rFonts w:hint="eastAsia" w:ascii="宋体" w:hAnsi="宋体" w:eastAsia="宋体" w:cs="宋体"/>
          <w:b/>
          <w:color w:val="auto"/>
          <w:sz w:val="24"/>
          <w:highlight w:val="none"/>
        </w:rPr>
        <w:t>本修改表是对评标及定标办法</w:t>
      </w:r>
      <w:r>
        <w:rPr>
          <w:rFonts w:hint="eastAsia" w:ascii="宋体" w:hAnsi="宋体" w:eastAsia="宋体" w:cs="宋体"/>
          <w:b/>
          <w:color w:val="auto"/>
          <w:sz w:val="24"/>
          <w:szCs w:val="21"/>
          <w:highlight w:val="none"/>
        </w:rPr>
        <w:t>通用条款的修改，与该通用条款不同之处，均在本表中列明，并以现文为准，原文不再有效。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条款号：方法二：方法三：方法四：       修改类型：删除</w:t>
      </w:r>
    </w:p>
    <w:p>
      <w:pPr>
        <w:spacing w:line="360" w:lineRule="auto"/>
        <w:ind w:firstLine="422" w:firstLineChars="200"/>
        <w:rPr>
          <w:rFonts w:ascii="宋体" w:hAnsi="宋体"/>
          <w:strike/>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方法二：综合评估法二（需要编制技术文件）</w:t>
      </w:r>
    </w:p>
    <w:p>
      <w:pPr>
        <w:pBdr>
          <w:bottom w:val="single" w:color="auto" w:sz="6" w:space="1"/>
        </w:pBdr>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方法三：综合评估法三（不需要编制技术文件）</w:t>
      </w:r>
    </w:p>
    <w:p>
      <w:pPr>
        <w:pBdr>
          <w:bottom w:val="single" w:color="auto" w:sz="6" w:space="1"/>
        </w:pBdr>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方法四：经评审的最低投标价法</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条款号：2.2.3             修改类型：修改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2.2.3 评标基准价计算</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评标基准价可按以下方式确定（招标人以下两种方式任选一）：</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方式一：以全部或随机抽取的有效投标报价的算术平均值按随机抽取的评标基准价下浮率（2～5%，0.5一个级别）下浮作为评标基准价。具体确定方法如下：</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a、当有效投标报价的投标人少于或等于5个时，取全部有效投标报价的算术平均按随机抽取的评标基准价下浮率（2～5%，0.5一个级别）下浮作为评标基准价。</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方式二：以有效投标报价的算术平均值按随机抽取的评标基准价下浮率（2～5%，0.5一个级别）下浮作为评标基准价。</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在首次评标过程中，投标人未被发现存在串通投标、弄虚作假、行贿等情形的，无论是否重评，经确定的评标</w:t>
      </w:r>
      <w:r>
        <w:rPr>
          <w:rFonts w:hint="eastAsia" w:ascii="宋体" w:hAnsi="宋体" w:cs="宋体"/>
          <w:color w:val="auto"/>
          <w:szCs w:val="21"/>
          <w:highlight w:val="none"/>
          <w:lang w:val="en-US" w:eastAsia="zh-CN"/>
        </w:rPr>
        <w:t>基准价</w:t>
      </w:r>
      <w:r>
        <w:rPr>
          <w:rFonts w:hint="eastAsia" w:ascii="宋体" w:hAnsi="宋体" w:cs="宋体"/>
          <w:color w:val="auto"/>
          <w:szCs w:val="21"/>
          <w:highlight w:val="none"/>
        </w:rPr>
        <w:t>不变。</w:t>
      </w:r>
    </w:p>
    <w:p>
      <w:pPr>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2.2.3 评标基准价计算</w:t>
      </w:r>
    </w:p>
    <w:p>
      <w:pPr>
        <w:pBdr>
          <w:bottom w:val="single" w:color="auto" w:sz="4" w:space="0"/>
        </w:pBdr>
        <w:spacing w:line="36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u w:val="single"/>
        </w:rPr>
        <w:t>方式二：以有效投标报价的算术平均值按随机抽取的评标基准价下浮率（2～5%，0.5一个级别）下浮作为评标基准价。</w:t>
      </w:r>
    </w:p>
    <w:p>
      <w:pPr>
        <w:pBdr>
          <w:bottom w:val="single" w:color="auto" w:sz="4" w:space="0"/>
        </w:pBd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u w:val="single"/>
        </w:rPr>
        <w:t>在首次评标过程中，投标人未被发现存在串通投标、弄虚作假、行贿等情形的，无论是否重评，经确定的评标基准价不变。</w:t>
      </w:r>
    </w:p>
    <w:p>
      <w:pPr>
        <w:spacing w:line="360" w:lineRule="auto"/>
        <w:ind w:firstLine="472" w:firstLineChars="224"/>
        <w:rPr>
          <w:rFonts w:ascii="宋体" w:hAnsi="宋体"/>
          <w:b/>
          <w:bCs/>
          <w:color w:val="auto"/>
          <w:szCs w:val="21"/>
          <w:highlight w:val="none"/>
        </w:rPr>
      </w:pPr>
      <w:r>
        <w:rPr>
          <w:rFonts w:hint="eastAsia" w:ascii="宋体" w:hAnsi="宋体"/>
          <w:b/>
          <w:bCs/>
          <w:color w:val="auto"/>
          <w:szCs w:val="21"/>
          <w:highlight w:val="none"/>
        </w:rPr>
        <w:t>条款号：3</w:t>
      </w:r>
      <w:r>
        <w:rPr>
          <w:rFonts w:ascii="宋体" w:hAnsi="宋体"/>
          <w:b/>
          <w:bCs/>
          <w:color w:val="auto"/>
          <w:szCs w:val="21"/>
          <w:highlight w:val="none"/>
        </w:rPr>
        <w:t>.2.3</w:t>
      </w:r>
      <w:r>
        <w:rPr>
          <w:rFonts w:hint="eastAsia" w:ascii="宋体" w:hAnsi="宋体"/>
          <w:b/>
          <w:bCs/>
          <w:color w:val="auto"/>
          <w:szCs w:val="21"/>
          <w:highlight w:val="none"/>
        </w:rPr>
        <w:t xml:space="preserve">    修改类型：修改</w:t>
      </w:r>
    </w:p>
    <w:p>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3.2.3</w:t>
      </w:r>
      <w:r>
        <w:rPr>
          <w:rFonts w:hint="eastAsia" w:ascii="宋体" w:hAnsi="宋体"/>
          <w:color w:val="auto"/>
          <w:szCs w:val="21"/>
          <w:highlight w:val="none"/>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3.2.3</w:t>
      </w:r>
      <w:r>
        <w:rPr>
          <w:rFonts w:hint="eastAsia" w:ascii="宋体" w:hAnsi="宋体"/>
          <w:color w:val="auto"/>
          <w:szCs w:val="21"/>
          <w:highlight w:val="none"/>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w:t>
      </w:r>
      <w:r>
        <w:rPr>
          <w:rFonts w:hint="eastAsia" w:ascii="宋体" w:hAnsi="宋体"/>
          <w:color w:val="auto"/>
          <w:szCs w:val="21"/>
          <w:highlight w:val="none"/>
          <w:u w:val="single"/>
        </w:rPr>
        <w:t>评标总得分=(技术部分得分（A）×</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%+商务部分得分（B）×</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%+投标报价得分(C) ×80%)×</w:t>
      </w:r>
      <w:r>
        <w:rPr>
          <w:rFonts w:ascii="宋体" w:hAnsi="宋体"/>
          <w:color w:val="auto"/>
          <w:szCs w:val="21"/>
          <w:highlight w:val="none"/>
          <w:u w:val="single"/>
        </w:rPr>
        <w:t>95</w:t>
      </w:r>
      <w:r>
        <w:rPr>
          <w:rFonts w:hint="eastAsia" w:ascii="宋体" w:hAnsi="宋体"/>
          <w:color w:val="auto"/>
          <w:szCs w:val="21"/>
          <w:highlight w:val="none"/>
          <w:u w:val="single"/>
        </w:rPr>
        <w:t>%+诚信评价分（D）×</w:t>
      </w:r>
      <w:r>
        <w:rPr>
          <w:rFonts w:ascii="宋体" w:hAnsi="宋体"/>
          <w:color w:val="auto"/>
          <w:szCs w:val="21"/>
          <w:highlight w:val="none"/>
          <w:u w:val="single"/>
        </w:rPr>
        <w:t>5</w:t>
      </w:r>
      <w:r>
        <w:rPr>
          <w:rFonts w:hint="eastAsia"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72" w:firstLineChars="224"/>
        <w:rPr>
          <w:rFonts w:ascii="宋体" w:hAnsi="宋体"/>
          <w:b/>
          <w:bCs/>
          <w:color w:val="auto"/>
          <w:szCs w:val="21"/>
          <w:highlight w:val="none"/>
        </w:rPr>
      </w:pPr>
      <w:r>
        <w:rPr>
          <w:rFonts w:hint="eastAsia" w:ascii="宋体" w:hAnsi="宋体"/>
          <w:b/>
          <w:bCs/>
          <w:color w:val="auto"/>
          <w:szCs w:val="21"/>
          <w:highlight w:val="none"/>
        </w:rPr>
        <w:t>条款号：4.1            修改类型：修改</w:t>
      </w:r>
    </w:p>
    <w:p>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w:t>
      </w:r>
      <w:r>
        <w:rPr>
          <w:rFonts w:ascii="宋体" w:hAnsi="宋体"/>
          <w:color w:val="auto"/>
          <w:szCs w:val="21"/>
          <w:highlight w:val="none"/>
        </w:rPr>
        <w:t>.1</w:t>
      </w:r>
      <w:r>
        <w:rPr>
          <w:rFonts w:hint="eastAsia" w:ascii="宋体" w:hAnsi="宋体"/>
          <w:color w:val="auto"/>
          <w:szCs w:val="21"/>
          <w:highlight w:val="none"/>
        </w:rPr>
        <w:t>投标人诚信评价分取自本项目招标公告第1天所在季度的上一季度广州市水务工程企业信息库及诚信中心网站（http://121.8.226.19/gzswcx/index.jsp）中的“诚信排名&gt;&gt;施工—给排水(或水利)”中“诚信综合评价”分，未入库企业或在广州市水务工程企业信息库及诚信中心网站中尚无诚信排名“施工－给排水（或水利）”得分的投标人，其诚信评价分按40分计算。</w:t>
      </w:r>
    </w:p>
    <w:p>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4</w:t>
      </w:r>
      <w:r>
        <w:rPr>
          <w:rFonts w:ascii="宋体" w:hAnsi="宋体"/>
          <w:color w:val="auto"/>
          <w:szCs w:val="21"/>
          <w:highlight w:val="none"/>
          <w:u w:val="single"/>
        </w:rPr>
        <w:t>.1</w:t>
      </w:r>
      <w:r>
        <w:rPr>
          <w:rFonts w:hint="eastAsia" w:ascii="宋体" w:hAnsi="宋体"/>
          <w:color w:val="auto"/>
          <w:szCs w:val="21"/>
          <w:highlight w:val="none"/>
          <w:u w:val="single"/>
        </w:rPr>
        <w:t>投标人诚信评价分取自本项目招标公告发布第1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w:t>
      </w:r>
      <w:r>
        <w:rPr>
          <w:rFonts w:ascii="宋体" w:hAnsi="宋体"/>
          <w:color w:val="auto"/>
          <w:szCs w:val="21"/>
          <w:highlight w:val="none"/>
          <w:u w:val="single"/>
        </w:rPr>
        <w:t>8</w:t>
      </w:r>
      <w:r>
        <w:rPr>
          <w:rFonts w:hint="eastAsia" w:ascii="宋体" w:hAnsi="宋体"/>
          <w:color w:val="auto"/>
          <w:szCs w:val="21"/>
          <w:highlight w:val="none"/>
          <w:u w:val="single"/>
        </w:rPr>
        <w:t>0分计算。</w:t>
      </w:r>
    </w:p>
    <w:p>
      <w:pPr>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注：以上修改，仅限于本范本中有可供选择条款的情形。</w:t>
      </w:r>
    </w:p>
    <w:p>
      <w:pPr>
        <w:spacing w:line="360" w:lineRule="auto"/>
        <w:rPr>
          <w:rFonts w:ascii="宋体" w:hAnsi="宋体" w:cs="宋体"/>
          <w:color w:val="auto"/>
          <w:sz w:val="24"/>
          <w:highlight w:val="none"/>
        </w:rPr>
      </w:pPr>
      <w:r>
        <w:rPr>
          <w:rFonts w:hint="eastAsia" w:ascii="宋体" w:hAnsi="宋体" w:cs="宋体"/>
          <w:color w:val="auto"/>
          <w:sz w:val="24"/>
          <w:szCs w:val="21"/>
          <w:highlight w:val="none"/>
        </w:rPr>
        <w:t>（以下无正文）</w:t>
      </w:r>
    </w:p>
    <w:p>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pPr>
        <w:spacing w:line="360" w:lineRule="auto"/>
        <w:jc w:val="center"/>
        <w:outlineLvl w:val="2"/>
        <w:rPr>
          <w:rFonts w:ascii="宋体" w:hAnsi="宋体" w:cs="宋体"/>
          <w:color w:val="auto"/>
          <w:sz w:val="28"/>
          <w:szCs w:val="27"/>
          <w:highlight w:val="none"/>
        </w:rPr>
      </w:pPr>
      <w:bookmarkStart w:id="207" w:name="_Toc17451631"/>
      <w:bookmarkStart w:id="208" w:name="_Toc17451109"/>
      <w:bookmarkStart w:id="209" w:name="_Toc17454879"/>
      <w:bookmarkStart w:id="210" w:name="_Toc17451586"/>
      <w:bookmarkStart w:id="211" w:name="_Toc17454930"/>
      <w:bookmarkStart w:id="212" w:name="_Toc17452672"/>
      <w:bookmarkStart w:id="213" w:name="_Toc17556884"/>
      <w:bookmarkStart w:id="214" w:name="_Toc132193451"/>
      <w:r>
        <w:rPr>
          <w:rFonts w:hint="eastAsia" w:ascii="宋体" w:hAnsi="宋体" w:cs="宋体"/>
          <w:color w:val="auto"/>
          <w:sz w:val="28"/>
          <w:szCs w:val="27"/>
          <w:highlight w:val="none"/>
        </w:rPr>
        <w:t>二、评标及定标办法通用条款</w:t>
      </w:r>
      <w:bookmarkEnd w:id="207"/>
      <w:bookmarkEnd w:id="208"/>
      <w:bookmarkEnd w:id="209"/>
      <w:bookmarkEnd w:id="210"/>
      <w:bookmarkEnd w:id="211"/>
      <w:bookmarkEnd w:id="212"/>
      <w:bookmarkEnd w:id="213"/>
      <w:bookmarkEnd w:id="214"/>
    </w:p>
    <w:p>
      <w:pPr>
        <w:spacing w:line="360" w:lineRule="auto"/>
        <w:jc w:val="center"/>
        <w:outlineLvl w:val="2"/>
        <w:rPr>
          <w:rFonts w:ascii="宋体" w:hAnsi="宋体" w:cs="宋体"/>
          <w:color w:val="auto"/>
          <w:sz w:val="28"/>
          <w:szCs w:val="27"/>
          <w:highlight w:val="none"/>
        </w:rPr>
      </w:pPr>
      <w:bookmarkStart w:id="215" w:name="_Toc17451632"/>
      <w:bookmarkStart w:id="216" w:name="_Toc17451110"/>
      <w:bookmarkStart w:id="217" w:name="_Toc17451587"/>
      <w:bookmarkStart w:id="218" w:name="_Toc17452673"/>
      <w:bookmarkStart w:id="219" w:name="_Toc17454880"/>
      <w:bookmarkStart w:id="220" w:name="_Toc17454931"/>
      <w:bookmarkStart w:id="221" w:name="_Toc132193452"/>
      <w:bookmarkStart w:id="222" w:name="_Toc17556885"/>
      <w:r>
        <w:rPr>
          <w:rFonts w:hint="eastAsia" w:ascii="宋体" w:hAnsi="宋体" w:cs="宋体"/>
          <w:color w:val="auto"/>
          <w:sz w:val="28"/>
          <w:szCs w:val="27"/>
          <w:highlight w:val="none"/>
        </w:rPr>
        <w:t>方法一：</w:t>
      </w:r>
      <w:bookmarkEnd w:id="215"/>
      <w:bookmarkEnd w:id="216"/>
      <w:bookmarkEnd w:id="217"/>
      <w:bookmarkEnd w:id="218"/>
      <w:r>
        <w:rPr>
          <w:rFonts w:hint="eastAsia" w:ascii="宋体" w:hAnsi="宋体" w:cs="宋体"/>
          <w:color w:val="auto"/>
          <w:sz w:val="28"/>
          <w:szCs w:val="27"/>
          <w:highlight w:val="none"/>
        </w:rPr>
        <w:t>综合评估法</w:t>
      </w:r>
      <w:bookmarkEnd w:id="219"/>
      <w:r>
        <w:rPr>
          <w:rFonts w:hint="eastAsia" w:ascii="宋体" w:hAnsi="宋体" w:cs="宋体"/>
          <w:color w:val="auto"/>
          <w:sz w:val="28"/>
          <w:szCs w:val="27"/>
          <w:highlight w:val="none"/>
        </w:rPr>
        <w:t>一</w:t>
      </w:r>
      <w:bookmarkEnd w:id="220"/>
      <w:bookmarkEnd w:id="221"/>
      <w:bookmarkEnd w:id="222"/>
    </w:p>
    <w:p>
      <w:pPr>
        <w:spacing w:line="360" w:lineRule="auto"/>
        <w:jc w:val="center"/>
        <w:rPr>
          <w:rFonts w:ascii="宋体" w:hAnsi="宋体" w:cs="宋体"/>
          <w:b/>
          <w:color w:val="auto"/>
          <w:sz w:val="28"/>
          <w:highlight w:val="none"/>
        </w:rPr>
      </w:pPr>
      <w:bookmarkStart w:id="223" w:name="_Toc152045599"/>
      <w:bookmarkStart w:id="224" w:name="_Toc144974566"/>
      <w:bookmarkStart w:id="225" w:name="_Toc152042376"/>
      <w:bookmarkStart w:id="226" w:name="_Toc179632617"/>
      <w:r>
        <w:rPr>
          <w:rFonts w:hint="eastAsia" w:ascii="宋体" w:hAnsi="宋体" w:cs="宋体"/>
          <w:b/>
          <w:color w:val="auto"/>
          <w:sz w:val="28"/>
          <w:highlight w:val="none"/>
        </w:rPr>
        <w:t>评标办法前附表</w:t>
      </w:r>
      <w:bookmarkEnd w:id="223"/>
      <w:bookmarkEnd w:id="224"/>
      <w:bookmarkEnd w:id="225"/>
      <w:bookmarkEnd w:id="226"/>
    </w:p>
    <w:tbl>
      <w:tblPr>
        <w:tblStyle w:val="34"/>
        <w:tblpPr w:leftFromText="180" w:rightFromText="180" w:vertAnchor="text" w:tblpX="-572" w:tblpY="1"/>
        <w:tblOverlap w:val="never"/>
        <w:tblW w:w="95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033"/>
        <w:gridCol w:w="15"/>
        <w:gridCol w:w="2167"/>
        <w:gridCol w:w="15"/>
        <w:gridCol w:w="5178"/>
        <w:gridCol w:w="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49" w:type="dxa"/>
            <w:gridSpan w:val="3"/>
            <w:tcBorders>
              <w:top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restart"/>
            <w:tcBorders>
              <w:top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033" w:type="dxa"/>
            <w:vMerge w:val="restart"/>
            <w:tcBorders>
              <w:top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资格评审标准</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营业执照</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具备有效的营业执照。</w:t>
            </w:r>
            <w:r>
              <w:rPr>
                <w:rFonts w:hint="eastAsia"/>
                <w:color w:val="auto"/>
                <w:szCs w:val="21"/>
                <w:highlight w:val="none"/>
              </w:rPr>
              <w:t>（联合体投标的，联合体各方均需提供）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安全生产许可证</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具有有效的建设行政主管部门颁发的安全生产许可证。</w:t>
            </w:r>
            <w:r>
              <w:rPr>
                <w:rFonts w:hint="eastAsia"/>
                <w:color w:val="auto"/>
                <w:szCs w:val="21"/>
                <w:highlight w:val="none"/>
              </w:rPr>
              <w:t>（联合体投标的，联合体各方均需提供）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资质等级</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r>
              <w:rPr>
                <w:rFonts w:hint="eastAsia"/>
                <w:color w:val="auto"/>
                <w:szCs w:val="21"/>
                <w:highlight w:val="none"/>
              </w:rPr>
              <w:t>（联合体投标的，联合体各方均需提供）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项目负责人资格</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符合第二章“投标人须知”第1.4.1项规定，且未被广州公共资源交易中心锁定。</w:t>
            </w:r>
            <w:r>
              <w:rPr>
                <w:rFonts w:hint="eastAsia"/>
                <w:color w:val="auto"/>
                <w:szCs w:val="21"/>
                <w:highlight w:val="none"/>
              </w:rPr>
              <w:t>（联合体投标的，由联合体主办方提供）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安全培训考核合格证</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项目负责人及专职安全员具备有效的符合符合第二章“投标人须知”第1.4.1项规定的行政主管部门颁发的安全培训考核合格证。</w:t>
            </w:r>
            <w:r>
              <w:rPr>
                <w:rFonts w:hint="eastAsia"/>
                <w:color w:val="auto"/>
                <w:szCs w:val="21"/>
                <w:highlight w:val="none"/>
              </w:rPr>
              <w:t>（联合体投标的，由联合体主办方提供）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社保要求</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r>
              <w:rPr>
                <w:rFonts w:hint="eastAsia"/>
                <w:color w:val="auto"/>
                <w:szCs w:val="21"/>
                <w:highlight w:val="none"/>
              </w:rPr>
              <w:t>（联合体投标的，由联合体主办方提供）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color w:val="auto"/>
                <w:szCs w:val="21"/>
                <w:highlight w:val="none"/>
              </w:rPr>
            </w:pPr>
            <w:r>
              <w:rPr>
                <w:rFonts w:hint="eastAsia" w:ascii="宋体" w:hAnsi="宋体" w:cs="宋体"/>
                <w:strike/>
                <w:color w:val="auto"/>
                <w:szCs w:val="21"/>
                <w:highlight w:val="none"/>
              </w:rPr>
              <w:t>类似项目业绩</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color w:val="auto"/>
                <w:szCs w:val="21"/>
                <w:highlight w:val="none"/>
              </w:rPr>
            </w:pPr>
            <w:r>
              <w:rPr>
                <w:rFonts w:hint="eastAsia" w:ascii="宋体" w:hAnsi="宋体" w:cs="宋体"/>
                <w:strike/>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项目负责人、技术负责人签字</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投标人声明有项目负责人、技术负责人签名。（联合体投标的，由联合体主办方提供）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落实失信联合惩戒措施</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 未被纳入失信联合惩戒名单，失信联合惩戒名单以 “信用广州”网站公布的“失信联合惩戒黑名单”为准。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restart"/>
            <w:tcBorders>
              <w:top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033" w:type="dxa"/>
            <w:vMerge w:val="restart"/>
            <w:tcBorders>
              <w:top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形式评审标准</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color w:val="auto"/>
                <w:szCs w:val="21"/>
                <w:highlight w:val="none"/>
              </w:rPr>
            </w:pPr>
            <w:r>
              <w:rPr>
                <w:rFonts w:hint="eastAsia" w:ascii="宋体" w:hAnsi="宋体" w:cs="宋体"/>
                <w:color w:val="auto"/>
                <w:szCs w:val="21"/>
                <w:highlight w:val="none"/>
              </w:rPr>
              <w:t>投标文件格式</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color w:val="auto"/>
                <w:szCs w:val="21"/>
                <w:highlight w:val="none"/>
              </w:rPr>
            </w:pPr>
            <w:r>
              <w:rPr>
                <w:rFonts w:hint="eastAsia" w:ascii="宋体" w:hAnsi="宋体" w:cs="宋体"/>
                <w:color w:val="auto"/>
                <w:szCs w:val="21"/>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top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top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投标函盖章</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有加盖单位公章；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top w:val="nil"/>
              <w:bottom w:val="single" w:color="auto" w:sz="4" w:space="0"/>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top w:val="nil"/>
              <w:bottom w:val="single" w:color="auto" w:sz="4" w:space="0"/>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auto"/>
                <w:szCs w:val="21"/>
                <w:highlight w:val="none"/>
              </w:rPr>
            </w:pPr>
            <w:r>
              <w:rPr>
                <w:rFonts w:hint="eastAsia" w:ascii="宋体" w:hAnsi="宋体" w:cs="宋体"/>
                <w:color w:val="auto"/>
                <w:szCs w:val="21"/>
                <w:highlight w:val="none"/>
              </w:rPr>
              <w:t>联合体申请人</w:t>
            </w:r>
          </w:p>
        </w:tc>
        <w:tc>
          <w:tcPr>
            <w:tcW w:w="5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top w:val="nil"/>
              <w:bottom w:val="single" w:color="auto" w:sz="4" w:space="0"/>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top w:val="nil"/>
              <w:bottom w:val="single" w:color="auto" w:sz="4" w:space="0"/>
              <w:right w:val="single" w:color="auto" w:sz="4" w:space="0"/>
            </w:tcBorders>
            <w:vAlign w:val="center"/>
          </w:tcPr>
          <w:p>
            <w:pPr>
              <w:jc w:val="left"/>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报价唯一</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只能有一个有效报价（指符合第三章“评标办法”2.2.2规定的有效投标报价）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restart"/>
            <w:tcBorders>
              <w:top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2.1.3</w:t>
            </w:r>
          </w:p>
        </w:tc>
        <w:tc>
          <w:tcPr>
            <w:tcW w:w="1033" w:type="dxa"/>
            <w:vMerge w:val="restart"/>
            <w:tcBorders>
              <w:top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投标报价</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符合第二章“投标人须知”第3.2.3项规定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center"/>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计划工期</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center"/>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工程质量</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center"/>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投标保证金</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符合第二章“投标人须知”第3.4项规定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center"/>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已标价工程量清单</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4" w:hRule="atLeast"/>
        </w:trPr>
        <w:tc>
          <w:tcPr>
            <w:tcW w:w="1101" w:type="dxa"/>
            <w:vMerge w:val="continue"/>
            <w:tcBorders>
              <w:right w:val="single" w:color="auto" w:sz="4" w:space="0"/>
            </w:tcBorders>
            <w:vAlign w:val="center"/>
          </w:tcPr>
          <w:p>
            <w:pPr>
              <w:jc w:val="center"/>
              <w:rPr>
                <w:rFonts w:ascii="宋体" w:hAnsi="宋体" w:cs="宋体"/>
                <w:color w:val="auto"/>
                <w:szCs w:val="21"/>
                <w:highlight w:val="none"/>
              </w:rPr>
            </w:pPr>
          </w:p>
        </w:tc>
        <w:tc>
          <w:tcPr>
            <w:tcW w:w="1033" w:type="dxa"/>
            <w:vMerge w:val="continue"/>
            <w:tcBorders>
              <w:right w:val="single" w:color="auto" w:sz="4" w:space="0"/>
            </w:tcBorders>
            <w:vAlign w:val="center"/>
          </w:tcPr>
          <w:p>
            <w:pPr>
              <w:jc w:val="center"/>
              <w:rPr>
                <w:rFonts w:ascii="宋体" w:hAnsi="宋体" w:cs="宋体"/>
                <w:color w:val="auto"/>
                <w:szCs w:val="21"/>
                <w:highlight w:val="none"/>
              </w:rPr>
            </w:pPr>
          </w:p>
        </w:tc>
        <w:tc>
          <w:tcPr>
            <w:tcW w:w="21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u w:val="single"/>
              </w:rPr>
            </w:pPr>
            <w:r>
              <w:rPr>
                <w:rFonts w:hint="eastAsia" w:ascii="宋体" w:hAnsi="宋体"/>
                <w:color w:val="auto"/>
                <w:szCs w:val="21"/>
                <w:highlight w:val="none"/>
                <w:u w:val="single"/>
              </w:rPr>
              <w:t>机器码唯一</w:t>
            </w:r>
          </w:p>
        </w:tc>
        <w:tc>
          <w:tcPr>
            <w:tcW w:w="5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olor w:val="auto"/>
                <w:szCs w:val="21"/>
                <w:highlight w:val="none"/>
                <w:u w:val="single"/>
              </w:rPr>
            </w:pPr>
            <w:r>
              <w:rPr>
                <w:rFonts w:hint="eastAsia" w:ascii="宋体" w:hAnsi="宋体"/>
                <w:color w:val="auto"/>
                <w:szCs w:val="21"/>
                <w:highlight w:val="none"/>
                <w:u w:val="single"/>
              </w:rPr>
              <w:t>不存在以下情形之一：</w:t>
            </w:r>
          </w:p>
          <w:p>
            <w:pPr>
              <w:rPr>
                <w:rFonts w:ascii="宋体" w:hAnsi="宋体"/>
                <w:color w:val="auto"/>
                <w:szCs w:val="21"/>
                <w:highlight w:val="none"/>
                <w:u w:val="single"/>
              </w:rPr>
            </w:pPr>
            <w:r>
              <w:rPr>
                <w:rFonts w:hint="eastAsia" w:ascii="宋体" w:hAnsi="宋体"/>
                <w:color w:val="auto"/>
                <w:szCs w:val="21"/>
                <w:highlight w:val="none"/>
                <w:u w:val="single"/>
              </w:rPr>
              <w:t>①投标人与本项目其他投标人加密打包投标文件电脑机器特征码一致的(以交易平台评标系统的检索信息为准)；</w:t>
            </w:r>
          </w:p>
          <w:p>
            <w:pPr>
              <w:rPr>
                <w:rFonts w:ascii="宋体" w:hAnsi="宋体" w:cs="宋体"/>
                <w:color w:val="auto"/>
                <w:szCs w:val="21"/>
                <w:highlight w:val="none"/>
                <w:u w:val="single"/>
              </w:rPr>
            </w:pPr>
            <w:r>
              <w:rPr>
                <w:rFonts w:hint="eastAsia" w:ascii="宋体" w:hAnsi="宋体"/>
                <w:color w:val="auto"/>
                <w:szCs w:val="21"/>
                <w:highlight w:val="none"/>
                <w:u w:val="single"/>
              </w:rPr>
              <w:t xml:space="preserve">②投标人与本项目其他投标人的投标文件工程量清单编制机器硬件信息一致的（以交易平台评标系统的检索信息为准）。  </w:t>
            </w:r>
          </w:p>
        </w:tc>
      </w:tr>
    </w:tbl>
    <w:p>
      <w:pPr>
        <w:widowControl/>
        <w:jc w:val="left"/>
        <w:rPr>
          <w:rFonts w:ascii="宋体" w:hAnsi="宋体"/>
          <w:color w:val="auto"/>
          <w:highlight w:val="none"/>
        </w:rPr>
      </w:pPr>
    </w:p>
    <w:tbl>
      <w:tblPr>
        <w:tblStyle w:val="34"/>
        <w:tblW w:w="9498" w:type="dxa"/>
        <w:tblInd w:w="-57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106"/>
        <w:gridCol w:w="1134"/>
        <w:gridCol w:w="1842"/>
        <w:gridCol w:w="541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条款号</w:t>
            </w:r>
          </w:p>
        </w:tc>
        <w:tc>
          <w:tcPr>
            <w:tcW w:w="2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条款内容</w:t>
            </w:r>
          </w:p>
        </w:tc>
        <w:tc>
          <w:tcPr>
            <w:tcW w:w="5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tcBorders>
              <w:top w:val="nil"/>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2.2.1</w:t>
            </w:r>
          </w:p>
        </w:tc>
        <w:tc>
          <w:tcPr>
            <w:tcW w:w="2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综合评估得分构成</w:t>
            </w:r>
          </w:p>
          <w:p>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s="宋体"/>
                <w:color w:val="auto"/>
                <w:szCs w:val="21"/>
                <w:highlight w:val="none"/>
              </w:rPr>
              <w:t>总分</w:t>
            </w:r>
            <w:r>
              <w:rPr>
                <w:rFonts w:ascii="宋体" w:hAnsi="宋体"/>
                <w:color w:val="auto"/>
                <w:szCs w:val="21"/>
                <w:highlight w:val="none"/>
              </w:rPr>
              <w:t>100</w:t>
            </w:r>
            <w:r>
              <w:rPr>
                <w:rFonts w:hint="eastAsia" w:ascii="宋体" w:hAnsi="宋体" w:cs="宋体"/>
                <w:color w:val="auto"/>
                <w:szCs w:val="21"/>
                <w:highlight w:val="none"/>
              </w:rPr>
              <w:t>分</w:t>
            </w:r>
            <w:r>
              <w:rPr>
                <w:rFonts w:ascii="宋体" w:hAnsi="宋体"/>
                <w:color w:val="auto"/>
                <w:szCs w:val="21"/>
                <w:highlight w:val="none"/>
              </w:rPr>
              <w:t>)</w:t>
            </w:r>
          </w:p>
        </w:tc>
        <w:tc>
          <w:tcPr>
            <w:tcW w:w="541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A.技术评审权重：</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B.商务评审权重：</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C.投标报价权重：80%</w:t>
            </w:r>
          </w:p>
          <w:p>
            <w:pPr>
              <w:rPr>
                <w:rFonts w:ascii="宋体" w:hAnsi="宋体"/>
                <w:color w:val="auto"/>
                <w:szCs w:val="21"/>
                <w:highlight w:val="none"/>
                <w:u w:val="single"/>
              </w:rPr>
            </w:pPr>
            <w:r>
              <w:rPr>
                <w:rFonts w:hint="eastAsia" w:ascii="宋体" w:hAnsi="宋体" w:cs="宋体"/>
                <w:color w:val="auto"/>
                <w:szCs w:val="21"/>
                <w:highlight w:val="none"/>
                <w:u w:val="single"/>
              </w:rPr>
              <w:t>上述三项评审得分总和占综合评估得分权重</w:t>
            </w:r>
            <w:r>
              <w:rPr>
                <w:rFonts w:hint="eastAsia" w:ascii="宋体" w:hAnsi="宋体"/>
                <w:color w:val="auto"/>
                <w:szCs w:val="21"/>
                <w:highlight w:val="none"/>
                <w:u w:val="single"/>
              </w:rPr>
              <w:t>95%</w:t>
            </w:r>
            <w:r>
              <w:rPr>
                <w:rFonts w:hint="eastAsia" w:ascii="宋体" w:hAnsi="宋体" w:cs="宋体"/>
                <w:color w:val="auto"/>
                <w:szCs w:val="21"/>
                <w:highlight w:val="none"/>
                <w:u w:val="single"/>
              </w:rPr>
              <w:t>；（注：投标报价权重不少于商务、技术、投标报价三者之和的</w:t>
            </w:r>
            <w:r>
              <w:rPr>
                <w:rFonts w:ascii="宋体" w:hAnsi="宋体"/>
                <w:color w:val="auto"/>
                <w:szCs w:val="21"/>
                <w:highlight w:val="none"/>
                <w:u w:val="single"/>
              </w:rPr>
              <w:t>60%</w:t>
            </w:r>
            <w:r>
              <w:rPr>
                <w:rFonts w:hint="eastAsia" w:ascii="宋体" w:hAnsi="宋体" w:cs="宋体"/>
                <w:color w:val="auto"/>
                <w:szCs w:val="21"/>
                <w:highlight w:val="none"/>
                <w:u w:val="single"/>
              </w:rPr>
              <w:t>或</w:t>
            </w:r>
            <w:r>
              <w:rPr>
                <w:rFonts w:ascii="宋体" w:hAnsi="宋体"/>
                <w:color w:val="auto"/>
                <w:szCs w:val="21"/>
                <w:highlight w:val="none"/>
                <w:u w:val="single"/>
              </w:rPr>
              <w:t>80%</w:t>
            </w:r>
            <w:r>
              <w:rPr>
                <w:rFonts w:hint="eastAsia" w:ascii="宋体" w:hAnsi="宋体" w:cs="宋体"/>
                <w:color w:val="auto"/>
                <w:szCs w:val="21"/>
                <w:highlight w:val="none"/>
                <w:u w:val="single"/>
              </w:rPr>
              <w:t>，特殊性工程不少于</w:t>
            </w:r>
            <w:r>
              <w:rPr>
                <w:rFonts w:ascii="宋体" w:hAnsi="宋体"/>
                <w:color w:val="auto"/>
                <w:szCs w:val="21"/>
                <w:highlight w:val="none"/>
                <w:u w:val="single"/>
              </w:rPr>
              <w:t>60%</w:t>
            </w:r>
            <w:r>
              <w:rPr>
                <w:rFonts w:hint="eastAsia" w:ascii="宋体" w:hAnsi="宋体" w:cs="宋体"/>
                <w:color w:val="auto"/>
                <w:szCs w:val="21"/>
                <w:highlight w:val="none"/>
                <w:u w:val="single"/>
              </w:rPr>
              <w:t>，一般性工程不少于</w:t>
            </w:r>
            <w:r>
              <w:rPr>
                <w:rFonts w:ascii="宋体" w:hAnsi="宋体"/>
                <w:color w:val="auto"/>
                <w:szCs w:val="21"/>
                <w:highlight w:val="none"/>
                <w:u w:val="single"/>
              </w:rPr>
              <w:t>80%</w:t>
            </w:r>
            <w:r>
              <w:rPr>
                <w:rFonts w:hint="eastAsia" w:ascii="宋体" w:hAnsi="宋体" w:cs="宋体"/>
                <w:color w:val="auto"/>
                <w:szCs w:val="21"/>
                <w:highlight w:val="none"/>
                <w:u w:val="single"/>
              </w:rPr>
              <w:t>。）</w:t>
            </w:r>
          </w:p>
          <w:p>
            <w:pPr>
              <w:rPr>
                <w:rFonts w:ascii="宋体" w:hAnsi="宋体"/>
                <w:color w:val="auto"/>
                <w:szCs w:val="21"/>
                <w:highlight w:val="none"/>
              </w:rPr>
            </w:pPr>
            <w:r>
              <w:rPr>
                <w:rFonts w:ascii="宋体" w:hAnsi="宋体"/>
                <w:color w:val="auto"/>
                <w:szCs w:val="21"/>
                <w:highlight w:val="none"/>
              </w:rPr>
              <w:t>4.</w:t>
            </w:r>
            <w:r>
              <w:rPr>
                <w:rFonts w:hint="eastAsia" w:ascii="宋体" w:hAnsi="宋体" w:cs="宋体"/>
                <w:color w:val="auto"/>
                <w:szCs w:val="21"/>
                <w:highlight w:val="none"/>
              </w:rPr>
              <w:t>诚信得分占综合评估得分权重：</w:t>
            </w:r>
            <w:r>
              <w:rPr>
                <w:rFonts w:hint="eastAsia" w:ascii="宋体" w:hAnsi="宋体"/>
                <w:color w:val="auto"/>
                <w:szCs w:val="21"/>
                <w:highlight w:val="none"/>
                <w:u w:val="single"/>
              </w:rPr>
              <w:t>5</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s="宋体"/>
                <w:color w:val="auto"/>
                <w:szCs w:val="21"/>
                <w:highlight w:val="none"/>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tcBorders>
              <w:top w:val="nil"/>
              <w:left w:val="single" w:color="auto" w:sz="4" w:space="0"/>
              <w:bottom w:val="single" w:color="auto" w:sz="4" w:space="0"/>
              <w:right w:val="single" w:color="auto" w:sz="4" w:space="0"/>
            </w:tcBorders>
            <w:vAlign w:val="center"/>
          </w:tcPr>
          <w:p>
            <w:pPr>
              <w:jc w:val="center"/>
              <w:rPr>
                <w:rFonts w:ascii="宋体" w:hAnsi="宋体"/>
                <w:bCs/>
                <w:color w:val="auto"/>
                <w:szCs w:val="21"/>
                <w:highlight w:val="none"/>
              </w:rPr>
            </w:pPr>
            <w:r>
              <w:rPr>
                <w:rFonts w:ascii="宋体" w:hAnsi="宋体"/>
                <w:bCs/>
                <w:color w:val="auto"/>
                <w:szCs w:val="21"/>
                <w:highlight w:val="none"/>
              </w:rPr>
              <w:t>2.2.4</w:t>
            </w:r>
          </w:p>
        </w:tc>
        <w:tc>
          <w:tcPr>
            <w:tcW w:w="2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Cs w:val="21"/>
                <w:highlight w:val="none"/>
              </w:rPr>
            </w:pPr>
            <w:r>
              <w:rPr>
                <w:rFonts w:hint="eastAsia" w:ascii="宋体" w:hAnsi="宋体" w:cs="宋体"/>
                <w:bCs/>
                <w:color w:val="auto"/>
                <w:szCs w:val="21"/>
                <w:highlight w:val="none"/>
              </w:rPr>
              <w:t>投标报价偏差率计算公式</w:t>
            </w:r>
          </w:p>
        </w:tc>
        <w:tc>
          <w:tcPr>
            <w:tcW w:w="5416"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szCs w:val="21"/>
                <w:highlight w:val="none"/>
              </w:rPr>
            </w:pPr>
            <w:r>
              <w:rPr>
                <w:rFonts w:hint="eastAsia" w:ascii="宋体" w:hAnsi="宋体" w:cs="宋体"/>
                <w:bCs/>
                <w:color w:val="auto"/>
                <w:szCs w:val="21"/>
                <w:highlight w:val="none"/>
              </w:rPr>
              <w:t>偏差率</w:t>
            </w:r>
            <w:r>
              <w:rPr>
                <w:rFonts w:ascii="宋体" w:hAnsi="宋体"/>
                <w:bCs/>
                <w:color w:val="auto"/>
                <w:szCs w:val="21"/>
                <w:highlight w:val="none"/>
              </w:rPr>
              <w:t>=</w:t>
            </w:r>
            <w:r>
              <w:rPr>
                <w:rFonts w:hint="eastAsia" w:ascii="宋体" w:hAnsi="宋体" w:cs="宋体"/>
                <w:bCs/>
                <w:color w:val="auto"/>
                <w:szCs w:val="21"/>
                <w:highlight w:val="none"/>
              </w:rPr>
              <w:t>（投标报价</w:t>
            </w:r>
            <w:r>
              <w:rPr>
                <w:rFonts w:ascii="宋体" w:hAnsi="宋体"/>
                <w:bCs/>
                <w:color w:val="auto"/>
                <w:szCs w:val="21"/>
                <w:highlight w:val="none"/>
              </w:rPr>
              <w:t>-</w:t>
            </w:r>
            <w:r>
              <w:rPr>
                <w:rFonts w:hint="eastAsia" w:ascii="宋体" w:hAnsi="宋体" w:cs="宋体"/>
                <w:bCs/>
                <w:color w:val="auto"/>
                <w:szCs w:val="21"/>
                <w:highlight w:val="none"/>
              </w:rPr>
              <w:t>评标基准价）</w:t>
            </w:r>
            <w:r>
              <w:rPr>
                <w:rFonts w:ascii="宋体" w:hAnsi="宋体"/>
                <w:bCs/>
                <w:color w:val="auto"/>
                <w:szCs w:val="21"/>
                <w:highlight w:val="none"/>
              </w:rPr>
              <w:t>/</w:t>
            </w:r>
            <w:r>
              <w:rPr>
                <w:rFonts w:hint="eastAsia" w:ascii="宋体" w:hAnsi="宋体" w:cs="宋体"/>
                <w:bCs/>
                <w:color w:val="auto"/>
                <w:szCs w:val="21"/>
                <w:highlight w:val="none"/>
              </w:rPr>
              <w:t>评标基准价×</w:t>
            </w:r>
            <w:r>
              <w:rPr>
                <w:rFonts w:ascii="宋体" w:hAnsi="宋体"/>
                <w:bCs/>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tcBorders>
              <w:top w:val="nil"/>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c>
          <w:tcPr>
            <w:tcW w:w="2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详细评审</w:t>
            </w:r>
          </w:p>
        </w:tc>
        <w:tc>
          <w:tcPr>
            <w:tcW w:w="5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tcBorders>
              <w:top w:val="nil"/>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条款号</w:t>
            </w:r>
          </w:p>
        </w:tc>
        <w:tc>
          <w:tcPr>
            <w:tcW w:w="2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评分因素</w:t>
            </w:r>
          </w:p>
        </w:tc>
        <w:tc>
          <w:tcPr>
            <w:tcW w:w="5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36" w:hRule="atLeast"/>
        </w:trPr>
        <w:tc>
          <w:tcPr>
            <w:tcW w:w="1106" w:type="dxa"/>
            <w:vMerge w:val="restart"/>
            <w:tcBorders>
              <w:left w:val="single" w:color="auto" w:sz="4" w:space="0"/>
              <w:right w:val="single" w:color="auto" w:sz="4" w:space="0"/>
            </w:tcBorders>
            <w:vAlign w:val="center"/>
          </w:tcPr>
          <w:p>
            <w:pPr>
              <w:jc w:val="center"/>
              <w:rPr>
                <w:rFonts w:ascii="宋体" w:hAnsi="宋体"/>
                <w:color w:val="auto"/>
                <w:szCs w:val="21"/>
                <w:highlight w:val="none"/>
              </w:rPr>
            </w:pPr>
          </w:p>
        </w:tc>
        <w:tc>
          <w:tcPr>
            <w:tcW w:w="1134" w:type="dxa"/>
            <w:vMerge w:val="restart"/>
            <w:tcBorders>
              <w:left w:val="nil"/>
              <w:right w:val="single" w:color="auto" w:sz="4" w:space="0"/>
            </w:tcBorders>
            <w:vAlign w:val="center"/>
          </w:tcPr>
          <w:p>
            <w:pPr>
              <w:widowControl/>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w:t>
            </w:r>
          </w:p>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（100*权重）</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质量管理体系与措施（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top w:val="single" w:color="auto" w:sz="4" w:space="0"/>
              <w:left w:val="single" w:color="auto" w:sz="4" w:space="0"/>
              <w:right w:val="single" w:color="auto" w:sz="4" w:space="0"/>
            </w:tcBorders>
            <w:shd w:val="clear" w:color="auto" w:fill="FFFFFF" w:themeFill="background1"/>
            <w:vAlign w:val="center"/>
          </w:tcPr>
          <w:p>
            <w:pPr>
              <w:autoSpaceDE w:val="0"/>
              <w:autoSpaceDN w:val="0"/>
              <w:adjustRightInd w:val="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有质量管理目标、质量管理体系、质量保证措施</w:t>
            </w:r>
            <w:r>
              <w:rPr>
                <w:rFonts w:hint="eastAsia" w:ascii="宋体" w:hAnsi="宋体" w:cs="宋体"/>
                <w:color w:val="auto"/>
                <w:szCs w:val="21"/>
                <w:highlight w:val="none"/>
                <w:lang w:val="en-US" w:eastAsia="zh-CN"/>
              </w:rPr>
              <w:t>的</w:t>
            </w:r>
            <w:r>
              <w:rPr>
                <w:rFonts w:hint="default"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20</w:t>
            </w:r>
            <w:r>
              <w:rPr>
                <w:rFonts w:hint="default" w:ascii="宋体" w:hAnsi="宋体" w:eastAsia="宋体" w:cs="宋体"/>
                <w:color w:val="auto"/>
                <w:szCs w:val="21"/>
                <w:highlight w:val="none"/>
                <w:lang w:val="en-US" w:eastAsia="zh-CN"/>
              </w:rPr>
              <w:t>分。</w:t>
            </w:r>
          </w:p>
          <w:p>
            <w:pPr>
              <w:autoSpaceDE w:val="0"/>
              <w:autoSpaceDN w:val="0"/>
              <w:adjustRightInd w:val="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有质量管理目标，有质量管理体系或质量保证措施</w:t>
            </w:r>
            <w:r>
              <w:rPr>
                <w:rFonts w:hint="eastAsia" w:ascii="宋体" w:hAnsi="宋体" w:cs="宋体"/>
                <w:color w:val="auto"/>
                <w:szCs w:val="21"/>
                <w:highlight w:val="none"/>
                <w:lang w:val="en-US" w:eastAsia="zh-CN"/>
              </w:rPr>
              <w:t>的</w:t>
            </w:r>
            <w:r>
              <w:rPr>
                <w:rFonts w:hint="default"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18</w:t>
            </w:r>
            <w:r>
              <w:rPr>
                <w:rFonts w:hint="default" w:ascii="宋体" w:hAnsi="宋体" w:eastAsia="宋体" w:cs="宋体"/>
                <w:color w:val="auto"/>
                <w:szCs w:val="21"/>
                <w:highlight w:val="none"/>
                <w:lang w:val="en-US" w:eastAsia="zh-CN"/>
              </w:rPr>
              <w:t>分。</w:t>
            </w:r>
          </w:p>
          <w:p>
            <w:pPr>
              <w:autoSpaceDE w:val="0"/>
              <w:autoSpaceDN w:val="0"/>
              <w:adjustRightInd w:val="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仅有质量管理目标</w:t>
            </w:r>
            <w:r>
              <w:rPr>
                <w:rFonts w:hint="eastAsia" w:ascii="宋体" w:hAnsi="宋体" w:cs="宋体"/>
                <w:color w:val="auto"/>
                <w:szCs w:val="21"/>
                <w:highlight w:val="none"/>
                <w:lang w:val="en-US" w:eastAsia="zh-CN"/>
              </w:rPr>
              <w:t>的</w:t>
            </w:r>
            <w:r>
              <w:rPr>
                <w:rFonts w:hint="default"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16</w:t>
            </w:r>
            <w:r>
              <w:rPr>
                <w:rFonts w:hint="default" w:ascii="宋体" w:hAnsi="宋体" w:eastAsia="宋体" w:cs="宋体"/>
                <w:color w:val="auto"/>
                <w:szCs w:val="21"/>
                <w:highlight w:val="none"/>
                <w:lang w:val="en-US" w:eastAsia="zh-CN"/>
              </w:rPr>
              <w:t>分。</w:t>
            </w:r>
          </w:p>
          <w:p>
            <w:pPr>
              <w:autoSpaceDE w:val="0"/>
              <w:autoSpaceDN w:val="0"/>
              <w:adjustRightInd w:val="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不满足以上三种情况，不得分。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8" w:hRule="atLeast"/>
        </w:trPr>
        <w:tc>
          <w:tcPr>
            <w:tcW w:w="1106" w:type="dxa"/>
            <w:vMerge w:val="continue"/>
            <w:tcBorders>
              <w:left w:val="single" w:color="auto" w:sz="4" w:space="0"/>
              <w:right w:val="single" w:color="auto" w:sz="4" w:space="0"/>
            </w:tcBorders>
            <w:vAlign w:val="center"/>
          </w:tcPr>
          <w:p>
            <w:pPr>
              <w:jc w:val="center"/>
              <w:rPr>
                <w:color w:val="auto"/>
                <w:highlight w:val="none"/>
              </w:rPr>
            </w:pPr>
          </w:p>
        </w:tc>
        <w:tc>
          <w:tcPr>
            <w:tcW w:w="1134" w:type="dxa"/>
            <w:vMerge w:val="continue"/>
            <w:tcBorders>
              <w:left w:val="nil"/>
              <w:right w:val="single" w:color="auto" w:sz="4" w:space="0"/>
            </w:tcBorders>
            <w:vAlign w:val="center"/>
          </w:tcPr>
          <w:p>
            <w:pPr>
              <w:jc w:val="center"/>
              <w:rPr>
                <w:color w:val="auto"/>
                <w:highlight w:val="none"/>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安全管理体系与措施（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left w:val="single" w:color="auto" w:sz="4" w:space="0"/>
              <w:right w:val="single" w:color="auto" w:sz="4" w:space="0"/>
            </w:tcBorders>
            <w:shd w:val="clear" w:color="auto" w:fill="FFFFFF" w:themeFill="background1"/>
            <w:vAlign w:val="center"/>
          </w:tcPr>
          <w:p>
            <w:pPr>
              <w:jc w:val="left"/>
              <w:rPr>
                <w:rFonts w:hint="eastAsia"/>
                <w:color w:val="auto"/>
                <w:highlight w:val="none"/>
              </w:rPr>
            </w:pPr>
            <w:r>
              <w:rPr>
                <w:rFonts w:hint="eastAsia"/>
                <w:color w:val="auto"/>
                <w:highlight w:val="none"/>
              </w:rPr>
              <w:t>有安全文明施工目标、安全文明施工管理体系、安全文明施工保证措施</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20</w:t>
            </w:r>
            <w:r>
              <w:rPr>
                <w:rFonts w:hint="eastAsia"/>
                <w:color w:val="auto"/>
                <w:highlight w:val="none"/>
              </w:rPr>
              <w:t>分。</w:t>
            </w:r>
          </w:p>
          <w:p>
            <w:pPr>
              <w:jc w:val="left"/>
              <w:rPr>
                <w:rFonts w:hint="eastAsia"/>
                <w:color w:val="auto"/>
                <w:highlight w:val="none"/>
              </w:rPr>
            </w:pPr>
            <w:r>
              <w:rPr>
                <w:rFonts w:hint="eastAsia"/>
                <w:color w:val="auto"/>
                <w:highlight w:val="none"/>
              </w:rPr>
              <w:t>有安全文明施工目标，有安全文明施工管理体系或安全文明施工保证措施</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18</w:t>
            </w:r>
            <w:r>
              <w:rPr>
                <w:rFonts w:hint="eastAsia"/>
                <w:color w:val="auto"/>
                <w:highlight w:val="none"/>
              </w:rPr>
              <w:t>分。</w:t>
            </w:r>
          </w:p>
          <w:p>
            <w:pPr>
              <w:jc w:val="left"/>
              <w:rPr>
                <w:rFonts w:hint="eastAsia"/>
                <w:color w:val="auto"/>
                <w:highlight w:val="none"/>
              </w:rPr>
            </w:pPr>
            <w:r>
              <w:rPr>
                <w:rFonts w:hint="eastAsia"/>
                <w:color w:val="auto"/>
                <w:highlight w:val="none"/>
              </w:rPr>
              <w:t>仅有安全文明施工目标</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16</w:t>
            </w:r>
            <w:r>
              <w:rPr>
                <w:rFonts w:hint="eastAsia"/>
                <w:color w:val="auto"/>
                <w:highlight w:val="none"/>
              </w:rPr>
              <w:t>分。</w:t>
            </w:r>
          </w:p>
          <w:p>
            <w:pPr>
              <w:jc w:val="left"/>
              <w:rPr>
                <w:rFonts w:hint="eastAsia" w:ascii="Calibri" w:hAnsi="Calibri" w:eastAsia="宋体" w:cs="Times New Roman"/>
                <w:color w:val="auto"/>
                <w:kern w:val="2"/>
                <w:sz w:val="21"/>
                <w:szCs w:val="22"/>
                <w:highlight w:val="none"/>
                <w:lang w:val="en-US" w:eastAsia="zh-CN" w:bidi="ar-SA"/>
              </w:rPr>
            </w:pPr>
            <w:r>
              <w:rPr>
                <w:rFonts w:hint="eastAsia" w:ascii="宋体" w:hAnsi="宋体" w:cs="宋体"/>
                <w:color w:val="auto"/>
                <w:kern w:val="0"/>
                <w:szCs w:val="21"/>
                <w:highlight w:val="none"/>
              </w:rPr>
              <w:t>不满足以上三种情况，不得分。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8" w:hRule="atLeast"/>
        </w:trPr>
        <w:tc>
          <w:tcPr>
            <w:tcW w:w="1106" w:type="dxa"/>
            <w:vMerge w:val="continue"/>
            <w:tcBorders>
              <w:left w:val="single" w:color="auto" w:sz="4" w:space="0"/>
              <w:right w:val="single" w:color="auto" w:sz="4" w:space="0"/>
            </w:tcBorders>
            <w:vAlign w:val="center"/>
          </w:tcPr>
          <w:p>
            <w:pPr>
              <w:jc w:val="center"/>
              <w:rPr>
                <w:rFonts w:hint="eastAsia" w:ascii="宋体" w:hAnsi="宋体" w:cs="宋体"/>
                <w:color w:val="auto"/>
                <w:szCs w:val="21"/>
                <w:highlight w:val="none"/>
              </w:rPr>
            </w:pPr>
          </w:p>
        </w:tc>
        <w:tc>
          <w:tcPr>
            <w:tcW w:w="1134" w:type="dxa"/>
            <w:vMerge w:val="continue"/>
            <w:tcBorders>
              <w:left w:val="nil"/>
              <w:right w:val="single" w:color="auto" w:sz="4" w:space="0"/>
            </w:tcBorders>
            <w:vAlign w:val="center"/>
          </w:tcPr>
          <w:p>
            <w:pPr>
              <w:jc w:val="center"/>
              <w:rPr>
                <w:rFonts w:hint="eastAsia"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环境保护管理体系与措施（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left w:val="single" w:color="auto" w:sz="4" w:space="0"/>
              <w:right w:val="single" w:color="auto" w:sz="4" w:space="0"/>
            </w:tcBorders>
            <w:shd w:val="clear" w:color="auto" w:fill="FFFFFF" w:themeFill="background1"/>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有绿色节能控制措施、有在材料消耗、环境保护方面的控制措施，且承诺使用绿色生产达标企业生产的混凝土</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有绿色节能控制措施、有在材料消耗、环境保护方面的控制措施</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分；</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仅</w:t>
            </w:r>
            <w:r>
              <w:rPr>
                <w:rFonts w:hint="eastAsia" w:ascii="宋体" w:hAnsi="宋体" w:cs="宋体"/>
                <w:color w:val="auto"/>
                <w:kern w:val="0"/>
                <w:szCs w:val="21"/>
                <w:highlight w:val="none"/>
              </w:rPr>
              <w:t>有绿色节能控制措施</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分；</w:t>
            </w:r>
          </w:p>
          <w:p>
            <w:pPr>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不满足以上三种情况，不得分。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5" w:hRule="atLeast"/>
        </w:trPr>
        <w:tc>
          <w:tcPr>
            <w:tcW w:w="1106" w:type="dxa"/>
            <w:vMerge w:val="continue"/>
            <w:tcBorders>
              <w:left w:val="single" w:color="auto" w:sz="4" w:space="0"/>
              <w:right w:val="single" w:color="auto" w:sz="4" w:space="0"/>
            </w:tcBorders>
            <w:vAlign w:val="center"/>
          </w:tcPr>
          <w:p>
            <w:pPr>
              <w:jc w:val="center"/>
              <w:rPr>
                <w:rFonts w:hint="eastAsia" w:ascii="宋体" w:hAnsi="宋体" w:cs="宋体"/>
                <w:color w:val="auto"/>
                <w:szCs w:val="21"/>
                <w:highlight w:val="none"/>
              </w:rPr>
            </w:pPr>
          </w:p>
        </w:tc>
        <w:tc>
          <w:tcPr>
            <w:tcW w:w="1134" w:type="dxa"/>
            <w:vMerge w:val="continue"/>
            <w:tcBorders>
              <w:left w:val="nil"/>
              <w:right w:val="single" w:color="auto" w:sz="4" w:space="0"/>
            </w:tcBorders>
            <w:vAlign w:val="center"/>
          </w:tcPr>
          <w:p>
            <w:pPr>
              <w:jc w:val="center"/>
              <w:rPr>
                <w:rFonts w:hint="eastAsia"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工程建设进度计划与措施（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left w:val="single" w:color="auto" w:sz="4" w:space="0"/>
              <w:right w:val="single" w:color="auto" w:sz="4" w:space="0"/>
            </w:tcBorders>
            <w:shd w:val="clear" w:color="auto" w:fill="FFFFFF" w:themeFill="background1"/>
            <w:vAlign w:val="center"/>
          </w:tcPr>
          <w:p>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有提供施工进度计划，有施工工期保证措施，有总工期计划目标</w:t>
            </w:r>
            <w:r>
              <w:rPr>
                <w:rFonts w:hint="eastAsia" w:ascii="宋体" w:hAnsi="宋体" w:cs="宋体"/>
                <w:color w:val="auto"/>
                <w:kern w:val="0"/>
                <w:sz w:val="21"/>
                <w:szCs w:val="21"/>
                <w:highlight w:val="none"/>
                <w:lang w:val="en-US" w:eastAsia="zh-CN" w:bidi="ar-SA"/>
              </w:rPr>
              <w:t>且</w:t>
            </w:r>
            <w:r>
              <w:rPr>
                <w:rFonts w:hint="eastAsia" w:ascii="宋体" w:hAnsi="宋体" w:eastAsia="宋体" w:cs="宋体"/>
                <w:color w:val="auto"/>
                <w:kern w:val="0"/>
                <w:sz w:val="21"/>
                <w:szCs w:val="21"/>
                <w:highlight w:val="none"/>
                <w:lang w:val="en-US" w:eastAsia="zh-CN" w:bidi="ar-SA"/>
              </w:rPr>
              <w:t>对比招标文件要求提前5天或以上完工</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，得</w:t>
            </w:r>
            <w:r>
              <w:rPr>
                <w:rFonts w:hint="eastAsia" w:ascii="宋体" w:hAnsi="宋体" w:cs="宋体"/>
                <w:color w:val="auto"/>
                <w:kern w:val="0"/>
                <w:sz w:val="21"/>
                <w:szCs w:val="21"/>
                <w:highlight w:val="none"/>
                <w:lang w:val="en-US" w:eastAsia="zh-CN" w:bidi="ar-SA"/>
              </w:rPr>
              <w:t>20</w:t>
            </w:r>
            <w:r>
              <w:rPr>
                <w:rFonts w:hint="eastAsia" w:ascii="宋体" w:hAnsi="宋体" w:eastAsia="宋体" w:cs="宋体"/>
                <w:color w:val="auto"/>
                <w:kern w:val="0"/>
                <w:sz w:val="21"/>
                <w:szCs w:val="21"/>
                <w:highlight w:val="none"/>
                <w:lang w:val="en-US" w:eastAsia="zh-CN" w:bidi="ar-SA"/>
              </w:rPr>
              <w:t>分。</w:t>
            </w:r>
          </w:p>
          <w:p>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有提供施工进度计划及施工工期保证措施，总工期计划目标</w:t>
            </w:r>
            <w:r>
              <w:rPr>
                <w:rFonts w:hint="eastAsia" w:ascii="宋体" w:hAnsi="宋体" w:cs="宋体"/>
                <w:color w:val="auto"/>
                <w:kern w:val="0"/>
                <w:sz w:val="21"/>
                <w:szCs w:val="21"/>
                <w:highlight w:val="none"/>
                <w:lang w:val="en-US" w:eastAsia="zh-CN" w:bidi="ar-SA"/>
              </w:rPr>
              <w:t>且</w:t>
            </w:r>
            <w:r>
              <w:rPr>
                <w:rFonts w:hint="eastAsia" w:ascii="宋体" w:hAnsi="宋体" w:eastAsia="宋体" w:cs="宋体"/>
                <w:color w:val="auto"/>
                <w:kern w:val="0"/>
                <w:sz w:val="21"/>
                <w:szCs w:val="21"/>
                <w:highlight w:val="none"/>
                <w:lang w:val="en-US" w:eastAsia="zh-CN" w:bidi="ar-SA"/>
              </w:rPr>
              <w:t>对比招标文件要求提前1至4天完工</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，得</w:t>
            </w:r>
            <w:r>
              <w:rPr>
                <w:rFonts w:hint="eastAsia" w:ascii="宋体" w:hAnsi="宋体" w:cs="宋体"/>
                <w:color w:val="auto"/>
                <w:kern w:val="0"/>
                <w:sz w:val="21"/>
                <w:szCs w:val="21"/>
                <w:highlight w:val="none"/>
                <w:lang w:val="en-US" w:eastAsia="zh-CN" w:bidi="ar-SA"/>
              </w:rPr>
              <w:t>18</w:t>
            </w:r>
            <w:r>
              <w:rPr>
                <w:rFonts w:hint="eastAsia" w:ascii="宋体" w:hAnsi="宋体" w:eastAsia="宋体" w:cs="宋体"/>
                <w:color w:val="auto"/>
                <w:kern w:val="0"/>
                <w:sz w:val="21"/>
                <w:szCs w:val="21"/>
                <w:highlight w:val="none"/>
                <w:lang w:val="en-US" w:eastAsia="zh-CN" w:bidi="ar-SA"/>
              </w:rPr>
              <w:t>分。</w:t>
            </w:r>
          </w:p>
          <w:p>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有提供施工进度计划，总工期计划目标符合招标文件要求</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，得</w:t>
            </w:r>
            <w:r>
              <w:rPr>
                <w:rFonts w:hint="eastAsia" w:ascii="宋体" w:hAnsi="宋体" w:cs="宋体"/>
                <w:color w:val="auto"/>
                <w:kern w:val="0"/>
                <w:sz w:val="21"/>
                <w:szCs w:val="21"/>
                <w:highlight w:val="none"/>
                <w:lang w:val="en-US" w:eastAsia="zh-CN" w:bidi="ar-SA"/>
              </w:rPr>
              <w:t>16</w:t>
            </w:r>
            <w:r>
              <w:rPr>
                <w:rFonts w:hint="eastAsia" w:ascii="宋体" w:hAnsi="宋体" w:eastAsia="宋体" w:cs="宋体"/>
                <w:color w:val="auto"/>
                <w:kern w:val="0"/>
                <w:sz w:val="21"/>
                <w:szCs w:val="21"/>
                <w:highlight w:val="none"/>
                <w:lang w:val="en-US" w:eastAsia="zh-CN" w:bidi="ar-SA"/>
              </w:rPr>
              <w:t>分。</w:t>
            </w:r>
          </w:p>
          <w:p>
            <w:pPr>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不满足以上三种情况，不得分。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5" w:hRule="atLeast"/>
        </w:trPr>
        <w:tc>
          <w:tcPr>
            <w:tcW w:w="1106" w:type="dxa"/>
            <w:vMerge w:val="continue"/>
            <w:tcBorders>
              <w:left w:val="single" w:color="auto" w:sz="4" w:space="0"/>
              <w:right w:val="single" w:color="auto" w:sz="4" w:space="0"/>
            </w:tcBorders>
            <w:vAlign w:val="center"/>
          </w:tcPr>
          <w:p>
            <w:pPr>
              <w:jc w:val="center"/>
              <w:rPr>
                <w:color w:val="auto"/>
                <w:highlight w:val="none"/>
              </w:rPr>
            </w:pPr>
          </w:p>
        </w:tc>
        <w:tc>
          <w:tcPr>
            <w:tcW w:w="1134" w:type="dxa"/>
            <w:vMerge w:val="continue"/>
            <w:tcBorders>
              <w:left w:val="nil"/>
              <w:right w:val="single" w:color="auto" w:sz="4" w:space="0"/>
            </w:tcBorders>
            <w:vAlign w:val="center"/>
          </w:tcPr>
          <w:p>
            <w:pPr>
              <w:jc w:val="center"/>
              <w:rPr>
                <w:color w:val="auto"/>
                <w:highlight w:val="none"/>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资源配备计划</w:t>
            </w:r>
          </w:p>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left w:val="single" w:color="auto" w:sz="4" w:space="0"/>
              <w:bottom w:val="single" w:color="auto" w:sz="4" w:space="0"/>
              <w:right w:val="single" w:color="auto" w:sz="4" w:space="0"/>
            </w:tcBorders>
            <w:shd w:val="clear" w:color="auto" w:fill="FFFFFF" w:themeFill="background1"/>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根据工程需要，配备齐全、计划合理可行。各投标人横向比较打分： </w:t>
            </w:r>
          </w:p>
          <w:p>
            <w:pPr>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【优】得20分，【良】得18分，【一般】得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6分，无计划的不得分。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vMerge w:val="restart"/>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2.2.5(</w:t>
            </w:r>
            <w:r>
              <w:rPr>
                <w:rFonts w:hint="eastAsia" w:ascii="宋体" w:hAnsi="宋体"/>
                <w:color w:val="auto"/>
                <w:szCs w:val="21"/>
                <w:highlight w:val="none"/>
                <w:lang w:val="en-US" w:eastAsia="zh-CN"/>
              </w:rPr>
              <w:t>2</w:t>
            </w:r>
            <w:r>
              <w:rPr>
                <w:rFonts w:ascii="宋体" w:hAnsi="宋体"/>
                <w:color w:val="auto"/>
                <w:szCs w:val="21"/>
                <w:highlight w:val="none"/>
              </w:rPr>
              <w:t>)</w:t>
            </w:r>
          </w:p>
          <w:p>
            <w:pPr>
              <w:rPr>
                <w:rFonts w:ascii="宋体" w:hAnsi="宋体"/>
                <w:color w:val="auto"/>
                <w:szCs w:val="21"/>
                <w:highlight w:val="none"/>
              </w:rPr>
            </w:pPr>
          </w:p>
        </w:tc>
        <w:tc>
          <w:tcPr>
            <w:tcW w:w="1134" w:type="dxa"/>
            <w:vMerge w:val="restart"/>
            <w:tcBorders>
              <w:top w:val="single" w:color="auto" w:sz="4" w:space="0"/>
              <w:left w:val="nil"/>
              <w:right w:val="single" w:color="auto" w:sz="4" w:space="0"/>
            </w:tcBorders>
            <w:vAlign w:val="center"/>
          </w:tcPr>
          <w:p>
            <w:pPr>
              <w:widowControl/>
              <w:jc w:val="center"/>
              <w:rPr>
                <w:rFonts w:ascii="宋体" w:hAnsi="宋体" w:cs="宋体"/>
                <w:color w:val="auto"/>
                <w:szCs w:val="21"/>
                <w:highlight w:val="none"/>
              </w:rPr>
            </w:pPr>
            <w:r>
              <w:rPr>
                <w:rFonts w:hint="eastAsia" w:ascii="宋体" w:hAnsi="宋体" w:cs="宋体"/>
                <w:color w:val="auto"/>
                <w:kern w:val="0"/>
                <w:szCs w:val="21"/>
                <w:highlight w:val="none"/>
              </w:rPr>
              <w:t>商务</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w:t>
            </w:r>
          </w:p>
          <w:p>
            <w:pPr>
              <w:jc w:val="center"/>
              <w:rPr>
                <w:rFonts w:ascii="宋体" w:hAnsi="宋体" w:cs="宋体"/>
                <w:color w:val="auto"/>
                <w:szCs w:val="21"/>
                <w:highlight w:val="none"/>
              </w:rPr>
            </w:pPr>
            <w:r>
              <w:rPr>
                <w:rFonts w:hint="eastAsia" w:ascii="宋体" w:hAnsi="宋体" w:cs="宋体"/>
                <w:color w:val="auto"/>
                <w:kern w:val="0"/>
                <w:szCs w:val="21"/>
                <w:highlight w:val="none"/>
              </w:rPr>
              <w:t>（100*权重）</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ind w:left="13" w:leftChars="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项目负责人的任职资格</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经验</w:t>
            </w:r>
            <w:r>
              <w:rPr>
                <w:rFonts w:hint="eastAsia" w:ascii="宋体" w:hAnsi="宋体" w:cs="宋体"/>
                <w:color w:val="auto"/>
                <w:kern w:val="0"/>
                <w:szCs w:val="21"/>
                <w:highlight w:val="none"/>
                <w:lang w:val="en-US" w:eastAsia="zh-CN"/>
              </w:rPr>
              <w:t>及业绩</w:t>
            </w:r>
            <w:r>
              <w:rPr>
                <w:rFonts w:hint="eastAsia" w:ascii="宋体" w:hAnsi="宋体"/>
                <w:color w:val="auto"/>
                <w:szCs w:val="21"/>
                <w:highlight w:val="none"/>
              </w:rPr>
              <w:t>（10分）</w:t>
            </w:r>
          </w:p>
        </w:tc>
        <w:tc>
          <w:tcPr>
            <w:tcW w:w="5416" w:type="dxa"/>
            <w:tcBorders>
              <w:top w:val="single" w:color="auto" w:sz="4" w:space="0"/>
              <w:left w:val="single" w:color="auto" w:sz="4" w:space="0"/>
              <w:bottom w:val="single" w:color="auto" w:sz="4" w:space="0"/>
              <w:right w:val="single" w:color="auto" w:sz="4" w:space="0"/>
            </w:tcBorders>
            <w:vAlign w:val="center"/>
          </w:tcPr>
          <w:p>
            <w:pPr>
              <w:pStyle w:val="3"/>
              <w:spacing w:before="0" w:after="0" w:line="240" w:lineRule="auto"/>
              <w:rPr>
                <w:sz w:val="21"/>
                <w:szCs w:val="21"/>
                <w:highlight w:val="none"/>
              </w:rPr>
            </w:pPr>
            <w:r>
              <w:rPr>
                <w:rFonts w:hint="eastAsia" w:ascii="宋体" w:hAnsi="宋体" w:cs="宋体"/>
                <w:b w:val="0"/>
                <w:bCs w:val="0"/>
                <w:color w:val="auto"/>
                <w:sz w:val="21"/>
                <w:szCs w:val="21"/>
                <w:highlight w:val="none"/>
              </w:rPr>
              <w:t>1、工作经验</w:t>
            </w:r>
            <w:r>
              <w:rPr>
                <w:rFonts w:hint="eastAsia" w:ascii="宋体" w:hAnsi="宋体"/>
                <w:b w:val="0"/>
                <w:bCs w:val="0"/>
                <w:color w:val="auto"/>
                <w:sz w:val="21"/>
                <w:szCs w:val="21"/>
                <w:highlight w:val="none"/>
              </w:rPr>
              <w:t>10年以上（不含）的得</w:t>
            </w:r>
            <w:r>
              <w:rPr>
                <w:rFonts w:hint="eastAsia" w:ascii="宋体" w:hAnsi="宋体"/>
                <w:b w:val="0"/>
                <w:bCs w:val="0"/>
                <w:color w:val="auto"/>
                <w:sz w:val="21"/>
                <w:szCs w:val="21"/>
                <w:highlight w:val="none"/>
                <w:lang w:val="en-US" w:eastAsia="zh-CN"/>
              </w:rPr>
              <w:t>9.5</w:t>
            </w:r>
            <w:r>
              <w:rPr>
                <w:rFonts w:hint="eastAsia" w:ascii="宋体" w:hAnsi="宋体"/>
                <w:b w:val="0"/>
                <w:bCs w:val="0"/>
                <w:color w:val="auto"/>
                <w:sz w:val="21"/>
                <w:szCs w:val="21"/>
                <w:highlight w:val="none"/>
              </w:rPr>
              <w:t>分； 5-10年的得</w:t>
            </w:r>
            <w:r>
              <w:rPr>
                <w:rFonts w:hint="eastAsia" w:ascii="宋体" w:hAnsi="宋体"/>
                <w:b w:val="0"/>
                <w:bCs w:val="0"/>
                <w:color w:val="auto"/>
                <w:sz w:val="21"/>
                <w:szCs w:val="21"/>
                <w:highlight w:val="none"/>
                <w:lang w:val="en-US" w:eastAsia="zh-CN"/>
              </w:rPr>
              <w:t>6</w:t>
            </w:r>
            <w:r>
              <w:rPr>
                <w:rFonts w:hint="eastAsia" w:ascii="宋体" w:hAnsi="宋体"/>
                <w:b w:val="0"/>
                <w:bCs w:val="0"/>
                <w:color w:val="auto"/>
                <w:sz w:val="21"/>
                <w:szCs w:val="21"/>
                <w:highlight w:val="none"/>
              </w:rPr>
              <w:t>分；1-4年的得</w:t>
            </w:r>
            <w:r>
              <w:rPr>
                <w:rFonts w:hint="eastAsia" w:ascii="宋体" w:hAnsi="宋体"/>
                <w:b w:val="0"/>
                <w:bCs w:val="0"/>
                <w:color w:val="auto"/>
                <w:sz w:val="21"/>
                <w:szCs w:val="21"/>
                <w:highlight w:val="none"/>
                <w:lang w:val="en-US" w:eastAsia="zh-CN"/>
              </w:rPr>
              <w:t>2</w:t>
            </w:r>
            <w:r>
              <w:rPr>
                <w:rFonts w:hint="eastAsia" w:ascii="宋体" w:hAnsi="宋体"/>
                <w:b w:val="0"/>
                <w:bCs w:val="0"/>
                <w:color w:val="auto"/>
                <w:sz w:val="21"/>
                <w:szCs w:val="21"/>
                <w:highlight w:val="none"/>
              </w:rPr>
              <w:t>分。（</w:t>
            </w:r>
            <w:r>
              <w:rPr>
                <w:rFonts w:hint="eastAsia" w:ascii="宋体" w:hAnsi="宋体"/>
                <w:b w:val="0"/>
                <w:bCs w:val="0"/>
                <w:color w:val="auto"/>
                <w:sz w:val="21"/>
                <w:szCs w:val="21"/>
                <w:highlight w:val="none"/>
                <w:u w:val="single"/>
              </w:rPr>
              <w:t>工作经验年限从毕业证书的核发时间起计</w:t>
            </w:r>
            <w:r>
              <w:rPr>
                <w:rFonts w:hint="eastAsia" w:ascii="宋体" w:hAnsi="宋体"/>
                <w:b w:val="0"/>
                <w:bCs w:val="0"/>
                <w:color w:val="auto"/>
                <w:sz w:val="21"/>
                <w:szCs w:val="21"/>
                <w:highlight w:val="none"/>
              </w:rPr>
              <w:t>）</w:t>
            </w:r>
          </w:p>
          <w:p>
            <w:pPr>
              <w:pStyle w:val="3"/>
              <w:spacing w:before="0" w:after="0" w:line="240" w:lineRule="auto"/>
              <w:rPr>
                <w:rFonts w:hint="eastAsia" w:ascii="宋体" w:hAnsi="宋体" w:cs="宋体" w:eastAsiaTheme="minorEastAsia"/>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b w:val="0"/>
                <w:bCs w:val="0"/>
                <w:color w:val="000000"/>
                <w:sz w:val="21"/>
                <w:szCs w:val="21"/>
                <w:highlight w:val="none"/>
                <w:lang w:bidi="ar"/>
              </w:rPr>
              <w:t>项目负责人负责过市政公用工程施工业绩的得0.5分，最高得0.5分。</w:t>
            </w:r>
          </w:p>
          <w:p>
            <w:pPr>
              <w:pStyle w:val="3"/>
              <w:spacing w:before="0" w:after="0" w:line="24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本小项最高得10分。</w:t>
            </w:r>
          </w:p>
          <w:p>
            <w:pPr>
              <w:pStyle w:val="3"/>
              <w:spacing w:before="0" w:after="0" w:line="240" w:lineRule="auto"/>
              <w:rPr>
                <w:rFonts w:hint="eastAsia" w:ascii="宋体" w:hAnsi="宋体" w:eastAsia="宋体" w:cs="Times New Roman"/>
                <w:b w:val="0"/>
                <w:bCs w:val="0"/>
                <w:color w:val="auto"/>
                <w:kern w:val="44"/>
                <w:sz w:val="21"/>
                <w:szCs w:val="21"/>
                <w:highlight w:val="none"/>
                <w:lang w:val="en-US" w:eastAsia="zh-CN" w:bidi="ar-SA"/>
              </w:rPr>
            </w:pPr>
            <w:r>
              <w:rPr>
                <w:rFonts w:hint="eastAsia" w:ascii="宋体" w:hAnsi="宋体" w:cs="宋体"/>
                <w:b w:val="0"/>
                <w:bCs w:val="0"/>
                <w:color w:val="auto"/>
                <w:sz w:val="21"/>
                <w:szCs w:val="21"/>
                <w:highlight w:val="none"/>
              </w:rPr>
              <w:t>注：①需提供毕业证扫描件</w:t>
            </w:r>
            <w:r>
              <w:rPr>
                <w:rFonts w:hint="eastAsia" w:ascii="宋体" w:hAnsi="宋体" w:cs="宋体"/>
                <w:b w:val="0"/>
                <w:bCs w:val="0"/>
                <w:color w:val="auto"/>
                <w:sz w:val="21"/>
                <w:szCs w:val="21"/>
                <w:highlight w:val="none"/>
                <w:lang w:eastAsia="zh-CN"/>
              </w:rPr>
              <w:t>、</w:t>
            </w:r>
            <w:r>
              <w:rPr>
                <w:rFonts w:hint="eastAsia" w:ascii="宋体" w:hAnsi="宋体"/>
                <w:b w:val="0"/>
                <w:bCs w:val="0"/>
                <w:color w:val="000000"/>
                <w:sz w:val="21"/>
                <w:szCs w:val="21"/>
                <w:highlight w:val="none"/>
                <w:lang w:bidi="ar"/>
              </w:rPr>
              <w:t>近1个月本单位的社保证明资料扫描件</w:t>
            </w:r>
            <w:r>
              <w:rPr>
                <w:rFonts w:hint="eastAsia" w:ascii="宋体" w:hAnsi="宋体"/>
                <w:b w:val="0"/>
                <w:bCs w:val="0"/>
                <w:color w:val="000000"/>
                <w:sz w:val="21"/>
                <w:szCs w:val="21"/>
                <w:highlight w:val="none"/>
                <w:lang w:eastAsia="zh-CN" w:bidi="ar"/>
              </w:rPr>
              <w:t>；</w:t>
            </w:r>
            <w:r>
              <w:rPr>
                <w:rFonts w:hint="eastAsia" w:ascii="宋体" w:hAnsi="宋体"/>
                <w:b w:val="0"/>
                <w:bCs w:val="0"/>
                <w:color w:val="000000"/>
                <w:sz w:val="21"/>
                <w:szCs w:val="21"/>
                <w:highlight w:val="none"/>
                <w:lang w:bidi="ar"/>
              </w:rPr>
              <w:t>②业绩证明材料可提供中标通知书或免招标证明或合同关键页等资料加盖单位电子印章，如上述资料无法体现项目技术负责人业绩经历的，可另行提供投标人自行出具职务任命书或承诺书等材料（任命书、承诺书格式自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vMerge w:val="continue"/>
            <w:tcBorders>
              <w:left w:val="single" w:color="auto" w:sz="4" w:space="0"/>
              <w:right w:val="single" w:color="auto" w:sz="4" w:space="0"/>
            </w:tcBorders>
            <w:vAlign w:val="center"/>
          </w:tcPr>
          <w:p>
            <w:pPr>
              <w:rPr>
                <w:rFonts w:ascii="宋体" w:hAnsi="宋体"/>
                <w:color w:val="auto"/>
                <w:szCs w:val="21"/>
                <w:highlight w:val="none"/>
              </w:rPr>
            </w:pPr>
          </w:p>
        </w:tc>
        <w:tc>
          <w:tcPr>
            <w:tcW w:w="1134" w:type="dxa"/>
            <w:vMerge w:val="continue"/>
            <w:tcBorders>
              <w:left w:val="nil"/>
              <w:right w:val="single" w:color="auto" w:sz="4" w:space="0"/>
            </w:tcBorders>
            <w:vAlign w:val="center"/>
          </w:tcPr>
          <w:p>
            <w:pPr>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ind w:left="13" w:leftChars="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项目技术负责人的任职资格及经验</w:t>
            </w:r>
            <w:r>
              <w:rPr>
                <w:rFonts w:hint="eastAsia" w:ascii="宋体" w:hAnsi="宋体"/>
                <w:color w:val="auto"/>
                <w:highlight w:val="none"/>
              </w:rPr>
              <w:t>（10分）</w:t>
            </w:r>
          </w:p>
        </w:tc>
        <w:tc>
          <w:tcPr>
            <w:tcW w:w="5416" w:type="dxa"/>
            <w:tcBorders>
              <w:top w:val="single" w:color="auto" w:sz="4" w:space="0"/>
              <w:left w:val="single" w:color="auto" w:sz="4" w:space="0"/>
              <w:bottom w:val="single" w:color="auto" w:sz="4" w:space="0"/>
              <w:right w:val="single" w:color="auto" w:sz="4" w:space="0"/>
            </w:tcBorders>
            <w:vAlign w:val="center"/>
          </w:tcPr>
          <w:p>
            <w:pPr>
              <w:pStyle w:val="3"/>
              <w:spacing w:before="0" w:after="0" w:line="24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1、具有高级工程师职称的，得5分；具有中级工程师职称的，得2分；</w:t>
            </w:r>
          </w:p>
          <w:p>
            <w:pPr>
              <w:pStyle w:val="3"/>
              <w:spacing w:before="0" w:after="0" w:line="24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2、工作经验</w:t>
            </w:r>
            <w:r>
              <w:rPr>
                <w:rFonts w:hint="eastAsia" w:ascii="宋体" w:hAnsi="宋体"/>
                <w:b w:val="0"/>
                <w:bCs w:val="0"/>
                <w:color w:val="auto"/>
                <w:sz w:val="21"/>
                <w:szCs w:val="21"/>
                <w:highlight w:val="none"/>
              </w:rPr>
              <w:t>10年以上（不含）的得</w:t>
            </w:r>
            <w:r>
              <w:rPr>
                <w:rFonts w:hint="eastAsia" w:ascii="宋体" w:hAnsi="宋体"/>
                <w:b w:val="0"/>
                <w:bCs w:val="0"/>
                <w:color w:val="auto"/>
                <w:sz w:val="21"/>
                <w:szCs w:val="21"/>
                <w:highlight w:val="none"/>
                <w:lang w:val="en-US" w:eastAsia="zh-CN"/>
              </w:rPr>
              <w:t>4.5</w:t>
            </w:r>
            <w:r>
              <w:rPr>
                <w:rFonts w:hint="eastAsia" w:ascii="宋体" w:hAnsi="宋体"/>
                <w:b w:val="0"/>
                <w:bCs w:val="0"/>
                <w:color w:val="auto"/>
                <w:sz w:val="21"/>
                <w:szCs w:val="21"/>
                <w:highlight w:val="none"/>
              </w:rPr>
              <w:t>分； 5-10年的得3分；1-4年的得1分。（</w:t>
            </w:r>
            <w:r>
              <w:rPr>
                <w:rFonts w:hint="eastAsia" w:ascii="宋体" w:hAnsi="宋体"/>
                <w:b w:val="0"/>
                <w:bCs w:val="0"/>
                <w:color w:val="auto"/>
                <w:sz w:val="21"/>
                <w:szCs w:val="21"/>
                <w:highlight w:val="none"/>
                <w:u w:val="single"/>
              </w:rPr>
              <w:t>工作经验年限从毕业证书的核发时间起计</w:t>
            </w:r>
            <w:r>
              <w:rPr>
                <w:rFonts w:hint="eastAsia" w:ascii="宋体" w:hAnsi="宋体"/>
                <w:b w:val="0"/>
                <w:bCs w:val="0"/>
                <w:color w:val="auto"/>
                <w:sz w:val="21"/>
                <w:szCs w:val="21"/>
                <w:highlight w:val="none"/>
              </w:rPr>
              <w:t>）</w:t>
            </w:r>
          </w:p>
          <w:p>
            <w:pPr>
              <w:pStyle w:val="3"/>
              <w:spacing w:before="0" w:after="0" w:line="240" w:lineRule="auto"/>
              <w:rPr>
                <w:rFonts w:hint="eastAsia" w:ascii="宋体" w:hAnsi="宋体" w:cs="宋体" w:eastAsiaTheme="minorEastAsia"/>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b w:val="0"/>
                <w:bCs w:val="0"/>
                <w:color w:val="auto"/>
                <w:sz w:val="21"/>
                <w:szCs w:val="21"/>
                <w:highlight w:val="none"/>
              </w:rPr>
              <w:t>项目技术负责人负责过市政公用工程施工业绩的得0.5分，最高得0.5分。</w:t>
            </w:r>
          </w:p>
          <w:p>
            <w:pPr>
              <w:pStyle w:val="3"/>
              <w:spacing w:before="0" w:after="0" w:line="24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本小项最高得10分。</w:t>
            </w:r>
          </w:p>
          <w:p>
            <w:pP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szCs w:val="21"/>
                <w:highlight w:val="none"/>
              </w:rPr>
              <w:t>注：</w:t>
            </w:r>
            <w:r>
              <w:rPr>
                <w:rFonts w:hint="eastAsia" w:ascii="宋体" w:hAnsi="宋体" w:cs="宋体"/>
                <w:b w:val="0"/>
                <w:bCs w:val="0"/>
                <w:color w:val="auto"/>
                <w:sz w:val="21"/>
                <w:szCs w:val="21"/>
                <w:highlight w:val="none"/>
              </w:rPr>
              <w:t>①</w:t>
            </w:r>
            <w:r>
              <w:rPr>
                <w:rFonts w:hint="eastAsia" w:ascii="宋体" w:hAnsi="宋体" w:cs="宋体"/>
                <w:b w:val="0"/>
                <w:bCs w:val="0"/>
                <w:color w:val="auto"/>
                <w:szCs w:val="21"/>
                <w:highlight w:val="none"/>
              </w:rPr>
              <w:t>需提供职称证、毕业证扫描件</w:t>
            </w:r>
            <w:r>
              <w:rPr>
                <w:rFonts w:hint="eastAsia" w:ascii="宋体" w:hAnsi="宋体" w:cs="宋体"/>
                <w:b w:val="0"/>
                <w:bCs w:val="0"/>
                <w:color w:val="auto"/>
                <w:szCs w:val="21"/>
                <w:highlight w:val="none"/>
                <w:lang w:eastAsia="zh-CN"/>
              </w:rPr>
              <w:t>、</w:t>
            </w:r>
            <w:r>
              <w:rPr>
                <w:rFonts w:hint="eastAsia" w:ascii="宋体" w:hAnsi="宋体"/>
                <w:b w:val="0"/>
                <w:bCs w:val="0"/>
                <w:color w:val="000000"/>
                <w:sz w:val="21"/>
                <w:szCs w:val="21"/>
                <w:highlight w:val="none"/>
                <w:lang w:bidi="ar"/>
              </w:rPr>
              <w:t>近1个月本单位的社保证明资料扫描件</w:t>
            </w:r>
            <w:r>
              <w:rPr>
                <w:rFonts w:hint="eastAsia" w:ascii="宋体" w:hAnsi="宋体" w:cs="宋体"/>
                <w:b w:val="0"/>
                <w:bCs w:val="0"/>
                <w:color w:val="auto"/>
                <w:szCs w:val="21"/>
                <w:highlight w:val="none"/>
                <w:lang w:eastAsia="zh-CN"/>
              </w:rPr>
              <w:t>；</w:t>
            </w:r>
            <w:r>
              <w:rPr>
                <w:rFonts w:hint="eastAsia" w:ascii="宋体" w:hAnsi="宋体"/>
                <w:b w:val="0"/>
                <w:bCs w:val="0"/>
                <w:color w:val="000000"/>
                <w:sz w:val="21"/>
                <w:szCs w:val="21"/>
                <w:highlight w:val="none"/>
                <w:lang w:bidi="ar"/>
              </w:rPr>
              <w:t>②业绩证明材料可提供中标通知书或免招标证明或合同关键页等资料加盖单位电子印章，如上述资料无法体现项目技术负责人业绩经历的，可另行提供投标人自行出具职务任命书或承诺书等材料（任命书、承诺书格式自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2" w:hRule="atLeast"/>
        </w:trPr>
        <w:tc>
          <w:tcPr>
            <w:tcW w:w="1106" w:type="dxa"/>
            <w:vMerge w:val="continue"/>
            <w:tcBorders>
              <w:left w:val="single" w:color="auto" w:sz="4" w:space="0"/>
              <w:right w:val="single" w:color="auto" w:sz="4" w:space="0"/>
            </w:tcBorders>
            <w:vAlign w:val="center"/>
          </w:tcPr>
          <w:p>
            <w:pPr>
              <w:rPr>
                <w:rFonts w:ascii="宋体" w:hAnsi="宋体"/>
                <w:color w:val="auto"/>
                <w:szCs w:val="21"/>
                <w:highlight w:val="none"/>
              </w:rPr>
            </w:pPr>
          </w:p>
        </w:tc>
        <w:tc>
          <w:tcPr>
            <w:tcW w:w="1134" w:type="dxa"/>
            <w:vMerge w:val="continue"/>
            <w:tcBorders>
              <w:left w:val="nil"/>
              <w:right w:val="single" w:color="auto" w:sz="4" w:space="0"/>
            </w:tcBorders>
            <w:vAlign w:val="center"/>
          </w:tcPr>
          <w:p>
            <w:pPr>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ind w:left="13"/>
              <w:rPr>
                <w:rFonts w:ascii="宋体" w:hAnsi="宋体" w:cs="宋体"/>
                <w:color w:val="auto"/>
                <w:kern w:val="0"/>
                <w:szCs w:val="21"/>
                <w:highlight w:val="none"/>
              </w:rPr>
            </w:pPr>
            <w:r>
              <w:rPr>
                <w:rFonts w:hint="eastAsia" w:ascii="宋体" w:hAnsi="宋体" w:cs="宋体"/>
                <w:color w:val="auto"/>
                <w:kern w:val="0"/>
                <w:szCs w:val="21"/>
                <w:highlight w:val="none"/>
              </w:rPr>
              <w:t>项目组织机构及管理人员</w:t>
            </w:r>
            <w:r>
              <w:rPr>
                <w:rFonts w:hint="eastAsia" w:ascii="宋体" w:hAnsi="宋体"/>
                <w:color w:val="auto"/>
                <w:highlight w:val="none"/>
              </w:rPr>
              <w:t>（10分）</w:t>
            </w:r>
          </w:p>
        </w:tc>
        <w:tc>
          <w:tcPr>
            <w:tcW w:w="54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安全负责人：</w:t>
            </w:r>
            <w:r>
              <w:rPr>
                <w:rFonts w:hint="eastAsia" w:ascii="宋体" w:hAnsi="宋体" w:cs="宋体"/>
                <w:color w:val="auto"/>
                <w:sz w:val="21"/>
                <w:szCs w:val="21"/>
                <w:highlight w:val="none"/>
              </w:rPr>
              <w:t>具有中级</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rPr>
              <w:t>工程师职称的，得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2、造价负责人：</w:t>
            </w:r>
            <w:r>
              <w:rPr>
                <w:rFonts w:hint="eastAsia" w:ascii="宋体" w:hAnsi="宋体" w:cs="宋体"/>
                <w:color w:val="auto"/>
                <w:sz w:val="21"/>
                <w:szCs w:val="21"/>
                <w:highlight w:val="none"/>
              </w:rPr>
              <w:t>具有中级</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rPr>
              <w:t>工程师职称的，得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3、质量负责人：</w:t>
            </w:r>
            <w:r>
              <w:rPr>
                <w:rFonts w:hint="eastAsia" w:ascii="宋体" w:hAnsi="宋体" w:cs="宋体"/>
                <w:color w:val="auto"/>
                <w:sz w:val="21"/>
                <w:szCs w:val="21"/>
                <w:highlight w:val="none"/>
              </w:rPr>
              <w:t>具有中级</w:t>
            </w:r>
            <w:r>
              <w:rPr>
                <w:rFonts w:hint="eastAsia" w:ascii="宋体" w:hAnsi="宋体" w:cs="宋体"/>
                <w:color w:val="auto"/>
                <w:sz w:val="21"/>
                <w:szCs w:val="21"/>
                <w:highlight w:val="none"/>
                <w:lang w:val="en-US" w:eastAsia="zh-CN"/>
              </w:rPr>
              <w:t>或以上</w:t>
            </w:r>
            <w:bookmarkStart w:id="708" w:name="_GoBack"/>
            <w:bookmarkEnd w:id="708"/>
            <w:r>
              <w:rPr>
                <w:rFonts w:hint="eastAsia" w:ascii="宋体" w:hAnsi="宋体" w:cs="宋体"/>
                <w:color w:val="auto"/>
                <w:sz w:val="21"/>
                <w:szCs w:val="21"/>
                <w:highlight w:val="none"/>
              </w:rPr>
              <w:t>工程师职称的，得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pPr>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注：需提供职称证</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投标截止时间最近一个月（时间为：2023年4月）在本单位交纳的社保证明文件。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vMerge w:val="continue"/>
            <w:tcBorders>
              <w:left w:val="single" w:color="auto" w:sz="4" w:space="0"/>
              <w:right w:val="single" w:color="auto" w:sz="4" w:space="0"/>
            </w:tcBorders>
            <w:vAlign w:val="center"/>
          </w:tcPr>
          <w:p>
            <w:pPr>
              <w:rPr>
                <w:rFonts w:ascii="宋体" w:hAnsi="宋体"/>
                <w:color w:val="auto"/>
                <w:szCs w:val="21"/>
                <w:highlight w:val="none"/>
              </w:rPr>
            </w:pPr>
          </w:p>
        </w:tc>
        <w:tc>
          <w:tcPr>
            <w:tcW w:w="1134" w:type="dxa"/>
            <w:vMerge w:val="continue"/>
            <w:tcBorders>
              <w:left w:val="nil"/>
              <w:right w:val="single" w:color="auto" w:sz="4" w:space="0"/>
            </w:tcBorders>
            <w:vAlign w:val="center"/>
          </w:tcPr>
          <w:p>
            <w:pPr>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ind w:left="13"/>
              <w:rPr>
                <w:rFonts w:ascii="宋体" w:hAnsi="宋体" w:cs="宋体"/>
                <w:color w:val="auto"/>
                <w:kern w:val="0"/>
                <w:szCs w:val="21"/>
                <w:highlight w:val="none"/>
              </w:rPr>
            </w:pPr>
            <w:r>
              <w:rPr>
                <w:rFonts w:hint="eastAsia" w:ascii="宋体" w:hAnsi="宋体" w:cs="宋体"/>
                <w:color w:val="auto"/>
                <w:kern w:val="0"/>
                <w:szCs w:val="21"/>
                <w:highlight w:val="none"/>
              </w:rPr>
              <w:t>企业获奖（30分）</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9"/>
              <w:spacing w:line="216" w:lineRule="atLeast"/>
              <w:rPr>
                <w:color w:val="auto"/>
                <w:sz w:val="21"/>
                <w:highlight w:val="none"/>
              </w:rPr>
            </w:pPr>
            <w:r>
              <w:rPr>
                <w:rFonts w:hint="eastAsia"/>
                <w:color w:val="auto"/>
                <w:sz w:val="21"/>
                <w:highlight w:val="none"/>
              </w:rPr>
              <w:t>自2019年1月1日至投标文件递交截止日止，投标人</w:t>
            </w:r>
            <w:r>
              <w:rPr>
                <w:rFonts w:hint="eastAsia"/>
                <w:color w:val="auto"/>
                <w:sz w:val="21"/>
                <w:highlight w:val="none"/>
                <w:lang w:val="zh-CN"/>
              </w:rPr>
              <w:t>（若为联合体，指</w:t>
            </w:r>
            <w:r>
              <w:rPr>
                <w:rFonts w:hint="eastAsia"/>
                <w:color w:val="auto"/>
                <w:sz w:val="21"/>
                <w:highlight w:val="none"/>
              </w:rPr>
              <w:t>联合体牵头方）完成的工程项目，获得国家级工程质量奖项的，每项得2分；获得省级工程质量奖项的，每项得1分；获得市级工程质量奖项的，每项得0.5分；最多计取15项，本项最高得30分。</w:t>
            </w:r>
          </w:p>
          <w:p>
            <w:pPr>
              <w:rPr>
                <w:rFonts w:ascii="宋体" w:hAnsi="宋体" w:cs="宋体"/>
                <w:color w:val="auto"/>
                <w:kern w:val="0"/>
                <w:szCs w:val="21"/>
                <w:highlight w:val="none"/>
              </w:rPr>
            </w:pPr>
            <w:r>
              <w:rPr>
                <w:rFonts w:hint="eastAsia"/>
                <w:color w:val="auto"/>
                <w:highlight w:val="none"/>
              </w:rPr>
              <w:t>注：①工程获奖时间以发证时间为准；②获奖项目只计算主承建或联合承建获奖，参建获奖不得分，境外工程不得分。③国家级工程质量奖指</w:t>
            </w:r>
            <w:r>
              <w:rPr>
                <w:rFonts w:hint="eastAsia" w:ascii="宋体" w:hAnsi="宋体"/>
                <w:color w:val="auto"/>
                <w:szCs w:val="21"/>
                <w:highlight w:val="none"/>
              </w:rPr>
              <w:t>中国建设工程鲁班奖、国家优质工程金质奖、国家优质工程奖、中国土木工程詹天佑奖、全国市政金杯奖等</w:t>
            </w:r>
            <w:r>
              <w:rPr>
                <w:rFonts w:hint="eastAsia"/>
                <w:color w:val="auto"/>
                <w:highlight w:val="none"/>
              </w:rPr>
              <w:t>；</w:t>
            </w:r>
            <w:r>
              <w:rPr>
                <w:rFonts w:hint="eastAsia" w:ascii="宋体" w:hAnsi="宋体"/>
                <w:color w:val="auto"/>
                <w:szCs w:val="21"/>
                <w:highlight w:val="none"/>
              </w:rPr>
              <w:t>省级工程质量奖项和市级工程质量奖项对应为工程的质量类获奖等，非质量类获奖不予计算；</w:t>
            </w:r>
            <w:r>
              <w:rPr>
                <w:rFonts w:hint="eastAsia"/>
                <w:color w:val="auto"/>
                <w:highlight w:val="none"/>
              </w:rPr>
              <w:t>④须提供获奖证书或网上公示获奖页面截图凭证复印件；⑤同一项目获得多个奖项的，该项目获奖只按其中一个奖项所在最高级别计算一次分数，不得重复计算。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vMerge w:val="continue"/>
            <w:tcBorders>
              <w:left w:val="single" w:color="auto" w:sz="4" w:space="0"/>
              <w:right w:val="single" w:color="auto" w:sz="4" w:space="0"/>
            </w:tcBorders>
            <w:vAlign w:val="center"/>
          </w:tcPr>
          <w:p>
            <w:pPr>
              <w:rPr>
                <w:rFonts w:ascii="宋体" w:hAnsi="宋体"/>
                <w:color w:val="auto"/>
                <w:szCs w:val="21"/>
                <w:highlight w:val="none"/>
              </w:rPr>
            </w:pPr>
          </w:p>
        </w:tc>
        <w:tc>
          <w:tcPr>
            <w:tcW w:w="1134" w:type="dxa"/>
            <w:vMerge w:val="continue"/>
            <w:tcBorders>
              <w:left w:val="nil"/>
              <w:right w:val="single" w:color="auto" w:sz="4" w:space="0"/>
            </w:tcBorders>
            <w:vAlign w:val="center"/>
          </w:tcPr>
          <w:p>
            <w:pPr>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ind w:left="13"/>
              <w:rPr>
                <w:rFonts w:ascii="宋体" w:hAnsi="宋体" w:cs="宋体"/>
                <w:color w:val="auto"/>
                <w:kern w:val="0"/>
                <w:szCs w:val="21"/>
                <w:highlight w:val="none"/>
              </w:rPr>
            </w:pPr>
            <w:r>
              <w:rPr>
                <w:rFonts w:hint="eastAsia" w:ascii="宋体" w:hAnsi="宋体" w:cs="宋体"/>
                <w:color w:val="auto"/>
                <w:highlight w:val="none"/>
              </w:rPr>
              <w:t>企业业绩（</w:t>
            </w:r>
            <w:r>
              <w:rPr>
                <w:rFonts w:hint="eastAsia" w:ascii="宋体" w:hAnsi="宋体" w:cs="宋体"/>
                <w:color w:val="auto"/>
                <w:highlight w:val="none"/>
                <w:lang w:val="en-US" w:eastAsia="zh-CN"/>
              </w:rPr>
              <w:t>2</w:t>
            </w:r>
            <w:r>
              <w:rPr>
                <w:rFonts w:hint="eastAsia" w:ascii="宋体" w:hAnsi="宋体" w:cs="宋体"/>
                <w:color w:val="auto"/>
                <w:highlight w:val="none"/>
              </w:rPr>
              <w:t>0分）</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3"/>
              <w:spacing w:before="0" w:after="0" w:line="240" w:lineRule="auto"/>
              <w:rPr>
                <w:rFonts w:ascii="宋体" w:hAnsi="宋体"/>
                <w:b w:val="0"/>
                <w:bCs w:val="0"/>
                <w:color w:val="auto"/>
                <w:sz w:val="21"/>
                <w:szCs w:val="21"/>
                <w:highlight w:val="none"/>
              </w:rPr>
            </w:pPr>
            <w:r>
              <w:rPr>
                <w:rFonts w:hint="eastAsia" w:ascii="宋体" w:hAnsi="宋体"/>
                <w:b w:val="0"/>
                <w:bCs w:val="0"/>
                <w:color w:val="auto"/>
                <w:sz w:val="21"/>
                <w:szCs w:val="21"/>
                <w:highlight w:val="none"/>
              </w:rPr>
              <w:t>投标人（若为联合体，指联合体牵头方）自2019年1月1日至今承接过大于5000万元市政公用工程业绩的，每个5分，最高得</w:t>
            </w:r>
            <w:r>
              <w:rPr>
                <w:rFonts w:hint="eastAsia" w:ascii="宋体" w:hAnsi="宋体"/>
                <w:b w:val="0"/>
                <w:bCs w:val="0"/>
                <w:color w:val="auto"/>
                <w:sz w:val="21"/>
                <w:szCs w:val="21"/>
                <w:highlight w:val="none"/>
                <w:lang w:val="en-US" w:eastAsia="zh-CN"/>
              </w:rPr>
              <w:t>2</w:t>
            </w:r>
            <w:r>
              <w:rPr>
                <w:rFonts w:hint="eastAsia" w:ascii="宋体" w:hAnsi="宋体"/>
                <w:b w:val="0"/>
                <w:bCs w:val="0"/>
                <w:color w:val="auto"/>
                <w:sz w:val="21"/>
                <w:szCs w:val="21"/>
                <w:highlight w:val="none"/>
              </w:rPr>
              <w:t>0分。</w:t>
            </w:r>
          </w:p>
          <w:p>
            <w:pPr>
              <w:rPr>
                <w:rFonts w:ascii="宋体" w:hAnsi="宋体" w:cs="宋体"/>
                <w:color w:val="auto"/>
                <w:kern w:val="0"/>
                <w:szCs w:val="21"/>
                <w:highlight w:val="none"/>
              </w:rPr>
            </w:pPr>
            <w:r>
              <w:rPr>
                <w:rFonts w:hint="eastAsia" w:ascii="宋体" w:hAnsi="宋体"/>
                <w:color w:val="auto"/>
                <w:szCs w:val="21"/>
                <w:highlight w:val="none"/>
              </w:rPr>
              <w:t>注：提供中标通知书、施工合同、竣工验收资料等相关资料作为证明材料。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vMerge w:val="continue"/>
            <w:tcBorders>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134" w:type="dxa"/>
            <w:vMerge w:val="continue"/>
            <w:tcBorders>
              <w:left w:val="nil"/>
              <w:bottom w:val="single" w:color="auto" w:sz="4" w:space="0"/>
              <w:right w:val="single" w:color="auto" w:sz="4" w:space="0"/>
            </w:tcBorders>
            <w:vAlign w:val="center"/>
          </w:tcPr>
          <w:p>
            <w:pPr>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ind w:left="13"/>
              <w:rPr>
                <w:rFonts w:ascii="宋体" w:hAnsi="宋体" w:cs="宋体"/>
                <w:color w:val="auto"/>
                <w:kern w:val="0"/>
                <w:szCs w:val="21"/>
                <w:highlight w:val="none"/>
              </w:rPr>
            </w:pPr>
            <w:r>
              <w:rPr>
                <w:rFonts w:hint="eastAsia" w:ascii="宋体" w:hAnsi="宋体"/>
                <w:color w:val="auto"/>
                <w:szCs w:val="21"/>
                <w:highlight w:val="none"/>
                <w:lang w:val="en-US" w:eastAsia="zh-CN"/>
              </w:rPr>
              <w:t>第三方评价</w:t>
            </w:r>
            <w:r>
              <w:rPr>
                <w:rFonts w:hint="eastAsia" w:ascii="宋体" w:hAnsi="宋体" w:cs="宋体"/>
                <w:color w:val="auto"/>
                <w:highlight w:val="none"/>
              </w:rPr>
              <w:t>（20分）</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textAlignment w:val="baseline"/>
              <w:rPr>
                <w:rFonts w:ascii="宋体" w:hAnsi="宋体" w:cs="宋体"/>
                <w:color w:val="auto"/>
                <w:kern w:val="0"/>
                <w:szCs w:val="21"/>
                <w:highlight w:val="none"/>
              </w:rPr>
            </w:pPr>
            <w:r>
              <w:rPr>
                <w:rFonts w:hint="eastAsia"/>
                <w:color w:val="auto"/>
                <w:highlight w:val="none"/>
              </w:rPr>
              <w:t>自2019年1月1日至投标文件递交截止日止，</w:t>
            </w:r>
            <w:r>
              <w:rPr>
                <w:rFonts w:hint="eastAsia" w:ascii="宋体" w:hAnsi="宋体" w:cs="宋体"/>
                <w:color w:val="auto"/>
                <w:kern w:val="0"/>
                <w:szCs w:val="21"/>
                <w:highlight w:val="none"/>
              </w:rPr>
              <w:t>投标人（若为联合体投标，</w:t>
            </w:r>
            <w:r>
              <w:rPr>
                <w:rFonts w:hint="eastAsia" w:ascii="宋体" w:hAnsi="宋体" w:cs="宋体"/>
                <w:color w:val="auto"/>
                <w:szCs w:val="21"/>
                <w:highlight w:val="none"/>
              </w:rPr>
              <w:t>指联合体</w:t>
            </w:r>
            <w:r>
              <w:rPr>
                <w:rFonts w:hint="eastAsia" w:ascii="宋体" w:hAnsi="宋体" w:cs="宋体"/>
                <w:color w:val="auto"/>
                <w:szCs w:val="21"/>
                <w:highlight w:val="none"/>
                <w:lang w:val="en-US" w:eastAsia="zh-CN"/>
              </w:rPr>
              <w:t>牵头方</w:t>
            </w:r>
            <w:r>
              <w:rPr>
                <w:rFonts w:hint="eastAsia" w:ascii="宋体" w:hAnsi="宋体" w:cs="宋体"/>
                <w:color w:val="auto"/>
                <w:kern w:val="0"/>
                <w:szCs w:val="21"/>
                <w:highlight w:val="none"/>
              </w:rPr>
              <w:t xml:space="preserve">）完成过的工程项目获得过“市场质量信用等级：AA级,类别：用户满意工程”，时间以证书颁发时间为准，证书有效期需要在“建议复评时间”截止日之前： </w:t>
            </w:r>
          </w:p>
          <w:p>
            <w:pPr>
              <w:rPr>
                <w:rFonts w:ascii="宋体" w:hAnsi="宋体" w:cs="宋体"/>
                <w:color w:val="auto"/>
                <w:kern w:val="0"/>
                <w:szCs w:val="21"/>
                <w:highlight w:val="none"/>
              </w:rPr>
            </w:pPr>
            <w:r>
              <w:rPr>
                <w:rFonts w:hint="eastAsia" w:ascii="宋体" w:hAnsi="宋体" w:cs="宋体"/>
                <w:color w:val="auto"/>
                <w:kern w:val="0"/>
                <w:szCs w:val="21"/>
                <w:highlight w:val="none"/>
              </w:rPr>
              <w:t>（1）获得用户满意工程数量达到</w:t>
            </w:r>
            <w:r>
              <w:rPr>
                <w:rFonts w:ascii="宋体" w:hAnsi="宋体" w:cs="宋体"/>
                <w:color w:val="auto"/>
                <w:kern w:val="0"/>
                <w:szCs w:val="21"/>
                <w:highlight w:val="none"/>
              </w:rPr>
              <w:t>10</w:t>
            </w:r>
            <w:r>
              <w:rPr>
                <w:rFonts w:hint="eastAsia" w:ascii="宋体" w:hAnsi="宋体" w:cs="宋体"/>
                <w:color w:val="auto"/>
                <w:kern w:val="0"/>
                <w:szCs w:val="21"/>
                <w:highlight w:val="none"/>
              </w:rPr>
              <w:t>个及以上，得20分；</w:t>
            </w:r>
          </w:p>
          <w:p>
            <w:pPr>
              <w:rPr>
                <w:rFonts w:ascii="宋体" w:hAnsi="宋体" w:cs="宋体"/>
                <w:color w:val="auto"/>
                <w:kern w:val="0"/>
                <w:szCs w:val="21"/>
                <w:highlight w:val="none"/>
              </w:rPr>
            </w:pPr>
            <w:r>
              <w:rPr>
                <w:rFonts w:hint="eastAsia" w:ascii="宋体" w:hAnsi="宋体" w:cs="宋体"/>
                <w:color w:val="auto"/>
                <w:kern w:val="0"/>
                <w:szCs w:val="21"/>
                <w:highlight w:val="none"/>
              </w:rPr>
              <w:t>（2）获得用户满意工程数量达到</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至</w:t>
            </w:r>
            <w:r>
              <w:rPr>
                <w:rFonts w:ascii="宋体" w:hAnsi="宋体" w:cs="宋体"/>
                <w:color w:val="auto"/>
                <w:kern w:val="0"/>
                <w:szCs w:val="21"/>
                <w:highlight w:val="none"/>
              </w:rPr>
              <w:t>9</w:t>
            </w:r>
            <w:r>
              <w:rPr>
                <w:rFonts w:hint="eastAsia" w:ascii="宋体" w:hAnsi="宋体" w:cs="宋体"/>
                <w:color w:val="auto"/>
                <w:kern w:val="0"/>
                <w:szCs w:val="21"/>
                <w:highlight w:val="none"/>
              </w:rPr>
              <w:t>个，得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（3）获得用户满意工程数量达到</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至</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个，得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pPr>
              <w:rPr>
                <w:rFonts w:hint="eastAsia"/>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）获得用户满意工程数量达到</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至</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p>
            <w:pPr>
              <w:rPr>
                <w:rFonts w:ascii="宋体" w:hAnsi="宋体" w:cs="宋体"/>
                <w:color w:val="auto"/>
                <w:kern w:val="0"/>
                <w:szCs w:val="21"/>
                <w:highlight w:val="none"/>
              </w:rPr>
            </w:pPr>
            <w:r>
              <w:rPr>
                <w:rFonts w:hint="eastAsia"/>
                <w:color w:val="auto"/>
                <w:highlight w:val="none"/>
              </w:rPr>
              <w:t>注：全国市场质量信用等级A等用户满意工程评价，须提供“全国用户满意企业信用服务平台（http://www.yonghu.org.cn/index.php/Home/Grade/index）”的网站查询打印页作为得分评审依据。时间以颁发证书日期为准</w:t>
            </w:r>
            <w:r>
              <w:rPr>
                <w:rFonts w:hint="eastAsia"/>
                <w:color w:val="auto"/>
                <w:highlight w:val="none"/>
                <w:lang w:eastAsia="zh-CN"/>
              </w:rPr>
              <w:t>，</w:t>
            </w:r>
            <w:r>
              <w:rPr>
                <w:rFonts w:hint="eastAsia"/>
                <w:color w:val="auto"/>
                <w:highlight w:val="none"/>
                <w:lang w:val="en-US" w:eastAsia="zh-CN"/>
              </w:rPr>
              <w:t>获奖单位名称需与投标人</w:t>
            </w:r>
            <w:r>
              <w:rPr>
                <w:rFonts w:hint="eastAsia" w:ascii="宋体" w:hAnsi="宋体" w:cs="宋体"/>
                <w:color w:val="auto"/>
                <w:kern w:val="0"/>
                <w:szCs w:val="21"/>
                <w:highlight w:val="none"/>
              </w:rPr>
              <w:t>（若为联合体投标，</w:t>
            </w:r>
            <w:r>
              <w:rPr>
                <w:rFonts w:hint="eastAsia" w:ascii="宋体" w:hAnsi="宋体" w:cs="宋体"/>
                <w:color w:val="auto"/>
                <w:szCs w:val="21"/>
                <w:highlight w:val="none"/>
              </w:rPr>
              <w:t>指联合体</w:t>
            </w:r>
            <w:r>
              <w:rPr>
                <w:rFonts w:hint="eastAsia" w:ascii="宋体" w:hAnsi="宋体" w:cs="宋体"/>
                <w:color w:val="auto"/>
                <w:szCs w:val="21"/>
                <w:highlight w:val="none"/>
                <w:lang w:val="en-US" w:eastAsia="zh-CN"/>
              </w:rPr>
              <w:t>牵头方</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名称完全一致，分公司或子公司获奖不予认可</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2.2.5(3)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投标报价评审</w:t>
            </w:r>
          </w:p>
        </w:tc>
        <w:tc>
          <w:tcPr>
            <w:tcW w:w="7258"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投标人的投标报价等于评标基准价的，得</w:t>
            </w:r>
            <w:r>
              <w:rPr>
                <w:rFonts w:ascii="宋体" w:hAnsi="宋体"/>
                <w:color w:val="auto"/>
                <w:szCs w:val="21"/>
                <w:highlight w:val="none"/>
              </w:rPr>
              <w:t>100</w:t>
            </w:r>
            <w:r>
              <w:rPr>
                <w:rFonts w:hint="eastAsia" w:ascii="宋体" w:hAnsi="宋体" w:cs="宋体"/>
                <w:color w:val="auto"/>
                <w:szCs w:val="21"/>
                <w:highlight w:val="none"/>
              </w:rPr>
              <w:t>分，投标报价比评标基准价每高</w:t>
            </w:r>
            <w:r>
              <w:rPr>
                <w:rFonts w:ascii="宋体" w:hAnsi="宋体"/>
                <w:color w:val="auto"/>
                <w:szCs w:val="21"/>
                <w:highlight w:val="none"/>
              </w:rPr>
              <w:t>1%</w:t>
            </w:r>
            <w:r>
              <w:rPr>
                <w:rFonts w:hint="eastAsia" w:ascii="宋体" w:hAnsi="宋体" w:cs="宋体"/>
                <w:color w:val="auto"/>
                <w:szCs w:val="21"/>
                <w:highlight w:val="none"/>
              </w:rPr>
              <w:t>的，扣</w:t>
            </w:r>
            <w:r>
              <w:rPr>
                <w:rFonts w:hint="eastAsia" w:ascii="宋体" w:hAnsi="宋体"/>
                <w:color w:val="auto"/>
                <w:szCs w:val="21"/>
                <w:highlight w:val="none"/>
                <w:u w:val="single"/>
              </w:rPr>
              <w:t>0.2</w:t>
            </w:r>
            <w:r>
              <w:rPr>
                <w:rFonts w:hint="eastAsia" w:ascii="宋体" w:hAnsi="宋体" w:cs="宋体"/>
                <w:color w:val="auto"/>
                <w:szCs w:val="21"/>
                <w:highlight w:val="none"/>
              </w:rPr>
              <w:t>分；每低</w:t>
            </w:r>
            <w:r>
              <w:rPr>
                <w:rFonts w:ascii="宋体" w:hAnsi="宋体"/>
                <w:color w:val="auto"/>
                <w:szCs w:val="21"/>
                <w:highlight w:val="none"/>
              </w:rPr>
              <w:t>1%</w:t>
            </w:r>
            <w:r>
              <w:rPr>
                <w:rFonts w:hint="eastAsia" w:ascii="宋体" w:hAnsi="宋体" w:cs="宋体"/>
                <w:color w:val="auto"/>
                <w:szCs w:val="21"/>
                <w:highlight w:val="none"/>
              </w:rPr>
              <w:t>扣</w:t>
            </w:r>
            <w:r>
              <w:rPr>
                <w:rFonts w:hint="eastAsia" w:ascii="宋体" w:hAnsi="宋体"/>
                <w:color w:val="auto"/>
                <w:szCs w:val="21"/>
                <w:highlight w:val="none"/>
                <w:u w:val="single"/>
              </w:rPr>
              <w:t>0.</w:t>
            </w:r>
            <w:r>
              <w:rPr>
                <w:rFonts w:ascii="宋体" w:hAnsi="宋体"/>
                <w:color w:val="auto"/>
                <w:szCs w:val="21"/>
                <w:highlight w:val="none"/>
                <w:u w:val="single"/>
              </w:rPr>
              <w:t>1</w:t>
            </w:r>
            <w:r>
              <w:rPr>
                <w:rFonts w:hint="eastAsia" w:ascii="宋体" w:hAnsi="宋体" w:cs="宋体"/>
                <w:color w:val="auto"/>
                <w:szCs w:val="21"/>
                <w:highlight w:val="none"/>
              </w:rPr>
              <w:t>分，扣至</w:t>
            </w:r>
            <w:r>
              <w:rPr>
                <w:rFonts w:ascii="宋体" w:hAnsi="宋体"/>
                <w:color w:val="auto"/>
                <w:szCs w:val="21"/>
                <w:highlight w:val="none"/>
              </w:rPr>
              <w:t>0</w:t>
            </w:r>
            <w:r>
              <w:rPr>
                <w:rFonts w:hint="eastAsia" w:ascii="宋体" w:hAnsi="宋体" w:cs="宋体"/>
                <w:color w:val="auto"/>
                <w:szCs w:val="21"/>
                <w:highlight w:val="none"/>
              </w:rPr>
              <w:t>分为止。（注：扣分标准由招标人自行制定）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2.2.5(4)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诚信得分评审</w:t>
            </w:r>
          </w:p>
        </w:tc>
        <w:tc>
          <w:tcPr>
            <w:tcW w:w="7258"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投标人诚信评价分取自本项目招标公告发布第1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w:t>
            </w:r>
            <w:r>
              <w:rPr>
                <w:rFonts w:ascii="宋体" w:hAnsi="宋体"/>
                <w:color w:val="auto"/>
                <w:szCs w:val="21"/>
                <w:highlight w:val="none"/>
              </w:rPr>
              <w:t>8</w:t>
            </w:r>
            <w:r>
              <w:rPr>
                <w:rFonts w:hint="eastAsia" w:ascii="宋体" w:hAnsi="宋体"/>
                <w:color w:val="auto"/>
                <w:szCs w:val="21"/>
                <w:highlight w:val="none"/>
              </w:rPr>
              <w:t>0分计算。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3.2.3</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szCs w:val="21"/>
                <w:highlight w:val="none"/>
              </w:rPr>
            </w:pPr>
            <w:r>
              <w:rPr>
                <w:rFonts w:hint="eastAsia" w:ascii="宋体" w:hAnsi="宋体" w:cs="宋体"/>
                <w:color w:val="auto"/>
                <w:szCs w:val="21"/>
                <w:highlight w:val="none"/>
              </w:rPr>
              <w:t>投标人最终得分的计算方法</w:t>
            </w:r>
          </w:p>
        </w:tc>
        <w:tc>
          <w:tcPr>
            <w:tcW w:w="725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评标总得分=(技术部分得分（A）×</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%+商务部分得分（B）×</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%+投标报价得分(C) ×80%)×95%+诚信评价分（D）×5%</w:t>
            </w:r>
          </w:p>
        </w:tc>
      </w:tr>
    </w:tbl>
    <w:p>
      <w:pPr>
        <w:jc w:val="left"/>
        <w:rPr>
          <w:rFonts w:ascii="宋体" w:hAnsi="宋体" w:cs="宋体"/>
          <w:color w:val="auto"/>
          <w:szCs w:val="21"/>
          <w:highlight w:val="none"/>
        </w:rPr>
      </w:pPr>
      <w:bookmarkStart w:id="227" w:name="_Toc179632618"/>
      <w:bookmarkStart w:id="228" w:name="_Toc144974567"/>
      <w:bookmarkStart w:id="229" w:name="_Toc152042377"/>
      <w:bookmarkStart w:id="230" w:name="_Toc152045600"/>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评标方法</w:t>
      </w:r>
      <w:bookmarkEnd w:id="227"/>
      <w:bookmarkEnd w:id="228"/>
      <w:bookmarkEnd w:id="229"/>
      <w:bookmarkEnd w:id="23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33"/>
        <w:spacing w:after="0" w:line="360" w:lineRule="auto"/>
        <w:ind w:firstLine="482" w:firstLineChars="200"/>
        <w:rPr>
          <w:rFonts w:ascii="宋体" w:hAnsi="宋体" w:eastAsia="宋体" w:cs="宋体"/>
          <w:b/>
          <w:bCs/>
          <w:color w:val="auto"/>
          <w:sz w:val="24"/>
          <w:szCs w:val="24"/>
          <w:highlight w:val="none"/>
        </w:rPr>
      </w:pPr>
      <w:bookmarkStart w:id="231" w:name="_Toc152045601"/>
      <w:bookmarkStart w:id="232" w:name="_Toc152042378"/>
      <w:bookmarkStart w:id="233" w:name="_Toc179632619"/>
      <w:bookmarkStart w:id="234" w:name="_Toc144974568"/>
      <w:r>
        <w:rPr>
          <w:rFonts w:hint="eastAsia" w:ascii="宋体" w:hAnsi="宋体" w:eastAsia="宋体" w:cs="宋体"/>
          <w:b/>
          <w:bCs/>
          <w:color w:val="auto"/>
          <w:sz w:val="24"/>
          <w:szCs w:val="24"/>
          <w:highlight w:val="none"/>
        </w:rPr>
        <w:t>2. 评审标准</w:t>
      </w:r>
      <w:bookmarkEnd w:id="231"/>
      <w:bookmarkEnd w:id="232"/>
      <w:bookmarkEnd w:id="233"/>
      <w:bookmarkEnd w:id="234"/>
    </w:p>
    <w:p>
      <w:pPr>
        <w:spacing w:line="360" w:lineRule="auto"/>
        <w:ind w:firstLine="480" w:firstLineChars="200"/>
        <w:rPr>
          <w:rFonts w:ascii="宋体" w:hAnsi="宋体" w:cs="宋体"/>
          <w:color w:val="auto"/>
          <w:sz w:val="24"/>
          <w:highlight w:val="none"/>
        </w:rPr>
      </w:pPr>
      <w:bookmarkStart w:id="235" w:name="_Toc152045602"/>
      <w:bookmarkStart w:id="236" w:name="_Toc152042379"/>
      <w:bookmarkStart w:id="237" w:name="_Toc144974569"/>
      <w:bookmarkStart w:id="238" w:name="_Toc179632620"/>
      <w:r>
        <w:rPr>
          <w:rFonts w:hint="eastAsia" w:ascii="宋体" w:hAnsi="宋体" w:cs="宋体"/>
          <w:color w:val="auto"/>
          <w:sz w:val="24"/>
          <w:highlight w:val="none"/>
        </w:rPr>
        <w:t>2.1 初步评审标准</w:t>
      </w:r>
      <w:bookmarkEnd w:id="235"/>
      <w:bookmarkEnd w:id="236"/>
      <w:bookmarkEnd w:id="237"/>
      <w:bookmarkEnd w:id="23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资格评审标准：见评标办法前附表。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形式评审标准：见评标办法前附表。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响应性评审标准：见评标办法前附表。</w:t>
      </w:r>
    </w:p>
    <w:p>
      <w:pPr>
        <w:spacing w:line="360" w:lineRule="auto"/>
        <w:ind w:firstLine="480" w:firstLineChars="200"/>
        <w:rPr>
          <w:rFonts w:ascii="宋体" w:hAnsi="宋体" w:cs="宋体"/>
          <w:color w:val="auto"/>
          <w:sz w:val="24"/>
          <w:highlight w:val="none"/>
        </w:rPr>
      </w:pPr>
      <w:bookmarkStart w:id="239" w:name="_Toc152042380"/>
      <w:bookmarkStart w:id="240" w:name="_Toc152045603"/>
      <w:bookmarkStart w:id="241" w:name="_Toc144974570"/>
      <w:bookmarkStart w:id="242" w:name="_Toc179632621"/>
      <w:r>
        <w:rPr>
          <w:rFonts w:hint="eastAsia" w:ascii="宋体" w:hAnsi="宋体" w:cs="宋体"/>
          <w:color w:val="auto"/>
          <w:sz w:val="24"/>
          <w:highlight w:val="none"/>
        </w:rPr>
        <w:t>2.2 分值构成与评分标准</w:t>
      </w:r>
      <w:bookmarkEnd w:id="239"/>
      <w:bookmarkEnd w:id="240"/>
      <w:bookmarkEnd w:id="241"/>
      <w:bookmarkEnd w:id="24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分值构成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（1）技术部分：见评标办法前附表；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（2）商务部分：见评标办法前附表；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（3）投标报价：见评标办法前附表；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（4）诚信得分：见评标办法前附表；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有效投标报价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评标基准价计算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评标基准价可按以下方式确定（招标人以下两种方式任选一）：</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方式一</w:t>
      </w:r>
      <w:r>
        <w:rPr>
          <w:rFonts w:hint="eastAsia" w:ascii="宋体" w:hAnsi="宋体" w:cs="宋体"/>
          <w:color w:val="auto"/>
          <w:sz w:val="24"/>
          <w:highlight w:val="none"/>
        </w:rPr>
        <w:t>：以全部或随机抽取的有效投标报价的算术平均值</w:t>
      </w:r>
      <w:r>
        <w:rPr>
          <w:rFonts w:hint="eastAsia" w:ascii="宋体" w:hAnsi="宋体" w:cs="宋体"/>
          <w:color w:val="auto"/>
          <w:highlight w:val="none"/>
        </w:rPr>
        <w:t>按</w:t>
      </w:r>
      <w:r>
        <w:rPr>
          <w:rFonts w:hint="eastAsia" w:ascii="宋体" w:hAnsi="宋体" w:cs="宋体"/>
          <w:color w:val="auto"/>
          <w:sz w:val="24"/>
          <w:highlight w:val="none"/>
        </w:rPr>
        <w:t>随机抽取的评标基准价下浮率（2～5%，0.5一个级别）下浮作为评标基准价。具体确定方法如下：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a、当有效投标报价的投标人少于或等于5个时，取全部有效投标报价的算术平均</w:t>
      </w:r>
      <w:r>
        <w:rPr>
          <w:rFonts w:hint="eastAsia" w:ascii="宋体" w:hAnsi="宋体" w:cs="宋体"/>
          <w:color w:val="auto"/>
          <w:highlight w:val="none"/>
        </w:rPr>
        <w:t>按</w:t>
      </w:r>
      <w:r>
        <w:rPr>
          <w:rFonts w:hint="eastAsia" w:ascii="宋体" w:hAnsi="宋体" w:cs="宋体"/>
          <w:color w:val="auto"/>
          <w:sz w:val="24"/>
          <w:highlight w:val="none"/>
        </w:rPr>
        <w:t>随机抽取的评标基准价下浮率（2～5%，0.5一个级别）下浮作为评标基准价。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b、当有效投标报价的投标人为6至10个时，从全部有效投标报价中去掉一个最大值和最小值，其他有效投标报价的算术平均值</w:t>
      </w:r>
      <w:r>
        <w:rPr>
          <w:rFonts w:hint="eastAsia" w:ascii="宋体" w:hAnsi="宋体" w:cs="宋体"/>
          <w:color w:val="auto"/>
          <w:highlight w:val="none"/>
        </w:rPr>
        <w:t>按</w:t>
      </w:r>
      <w:r>
        <w:rPr>
          <w:rFonts w:hint="eastAsia" w:ascii="宋体" w:hAnsi="宋体" w:cs="宋体"/>
          <w:color w:val="auto"/>
          <w:sz w:val="24"/>
          <w:highlight w:val="none"/>
        </w:rPr>
        <w:t>随机抽取的评标基准价下浮率（2～5%，0.5一个级别）下浮作为评标基准价。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c、当有效投标报价的投标人大于10个时，随机抽取10个有效投标报价并从中去掉一个最大值和最小值后计算算术平均值，该平均值</w:t>
      </w:r>
      <w:r>
        <w:rPr>
          <w:rFonts w:hint="eastAsia" w:ascii="宋体" w:hAnsi="宋体" w:cs="宋体"/>
          <w:color w:val="auto"/>
          <w:highlight w:val="none"/>
        </w:rPr>
        <w:t>按</w:t>
      </w:r>
      <w:r>
        <w:rPr>
          <w:rFonts w:hint="eastAsia" w:ascii="宋体" w:hAnsi="宋体" w:cs="宋体"/>
          <w:color w:val="auto"/>
          <w:sz w:val="24"/>
          <w:highlight w:val="none"/>
        </w:rPr>
        <w:t>随机抽取的评标基准价下浮率（2～5%，0.5一个级别）下浮作为评标基准价。</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方式二</w:t>
      </w:r>
      <w:r>
        <w:rPr>
          <w:rFonts w:hint="eastAsia" w:ascii="宋体" w:hAnsi="宋体" w:cs="宋体"/>
          <w:color w:val="auto"/>
          <w:sz w:val="24"/>
          <w:highlight w:val="none"/>
        </w:rPr>
        <w:t>：以有效投标报价的算术平均值</w:t>
      </w:r>
      <w:r>
        <w:rPr>
          <w:rFonts w:hint="eastAsia" w:ascii="宋体" w:hAnsi="宋体" w:cs="宋体"/>
          <w:color w:val="auto"/>
          <w:highlight w:val="none"/>
        </w:rPr>
        <w:t>按</w:t>
      </w:r>
      <w:r>
        <w:rPr>
          <w:rFonts w:hint="eastAsia" w:ascii="宋体" w:hAnsi="宋体" w:cs="宋体"/>
          <w:color w:val="auto"/>
          <w:sz w:val="24"/>
          <w:highlight w:val="none"/>
        </w:rPr>
        <w:t>随机抽取的评标基准价下浮率（2～5%，0.5一个级别）下浮作为评标基准价。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在首次评标过程中，投标人未被发现存在串通投标、弄虚作假、行贿等情形的，无论是否重评，经确定的评标基准价不变。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投标报价的得分计算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2.2.5 评分标准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（1）技术部分评分标准：见评标办法前附表；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（2）商务部分评分标准：见评标办法前附表；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（3）投标报价评分标准：见评标办法前附表；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（4）诚信得分评分标准：见本章第4节的内容；</w:t>
      </w:r>
    </w:p>
    <w:p>
      <w:pPr>
        <w:pStyle w:val="33"/>
        <w:spacing w:after="0" w:line="360" w:lineRule="auto"/>
        <w:ind w:firstLine="482" w:firstLineChars="200"/>
        <w:rPr>
          <w:rFonts w:ascii="宋体" w:hAnsi="宋体" w:eastAsia="宋体" w:cs="宋体"/>
          <w:b/>
          <w:bCs/>
          <w:color w:val="auto"/>
          <w:sz w:val="24"/>
          <w:szCs w:val="24"/>
          <w:highlight w:val="none"/>
        </w:rPr>
      </w:pPr>
      <w:bookmarkStart w:id="243" w:name="_Toc152045604"/>
      <w:bookmarkStart w:id="244" w:name="_Toc152042381"/>
      <w:bookmarkStart w:id="245" w:name="_Toc179632622"/>
      <w:bookmarkStart w:id="246" w:name="_Toc144974571"/>
      <w:r>
        <w:rPr>
          <w:rFonts w:hint="eastAsia" w:ascii="宋体" w:hAnsi="宋体" w:eastAsia="宋体" w:cs="宋体"/>
          <w:b/>
          <w:bCs/>
          <w:color w:val="auto"/>
          <w:sz w:val="24"/>
          <w:szCs w:val="24"/>
          <w:highlight w:val="none"/>
        </w:rPr>
        <w:t>3. 评标程序</w:t>
      </w:r>
      <w:bookmarkEnd w:id="243"/>
      <w:bookmarkEnd w:id="244"/>
      <w:bookmarkEnd w:id="245"/>
      <w:bookmarkEnd w:id="246"/>
    </w:p>
    <w:p>
      <w:pPr>
        <w:spacing w:line="360" w:lineRule="auto"/>
        <w:ind w:firstLine="480" w:firstLineChars="200"/>
        <w:rPr>
          <w:rFonts w:ascii="宋体" w:hAnsi="宋体" w:cs="宋体"/>
          <w:color w:val="auto"/>
          <w:sz w:val="24"/>
          <w:highlight w:val="none"/>
        </w:rPr>
      </w:pPr>
      <w:bookmarkStart w:id="247" w:name="_Toc152045605"/>
      <w:bookmarkStart w:id="248" w:name="_Toc152042382"/>
      <w:bookmarkStart w:id="249" w:name="_Toc144974572"/>
      <w:bookmarkStart w:id="250" w:name="_Toc179632623"/>
      <w:r>
        <w:rPr>
          <w:rFonts w:hint="eastAsia" w:ascii="宋体" w:hAnsi="宋体" w:cs="宋体"/>
          <w:color w:val="auto"/>
          <w:sz w:val="24"/>
          <w:highlight w:val="none"/>
        </w:rPr>
        <w:t>3.1 初步评审</w:t>
      </w:r>
      <w:bookmarkEnd w:id="247"/>
      <w:bookmarkEnd w:id="248"/>
      <w:bookmarkEnd w:id="249"/>
      <w:bookmarkEnd w:id="25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 投标人有以下情形之一的，评标委员会应当否决其投标。：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（1）第二章“投标人须知”第1.4.3项规定的任何一种情形的；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（2）串通投标或弄虚作假或有其他违法行为的；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（3）不按评标委员会要求澄清、说明或补正的。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（4）两个（含两个）以上投标人加密打包投标文件工程量清单编制机器硬件信息一致。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ascii="宋体" w:hAnsi="宋体" w:cs="宋体"/>
          <w:color w:val="auto"/>
          <w:sz w:val="24"/>
          <w:highlight w:val="none"/>
        </w:rPr>
      </w:pPr>
      <w:bookmarkStart w:id="251" w:name="_Toc152042383"/>
      <w:r>
        <w:rPr>
          <w:rFonts w:hint="eastAsia" w:ascii="宋体" w:hAnsi="宋体" w:cs="宋体"/>
          <w:color w:val="auto"/>
          <w:sz w:val="24"/>
          <w:highlight w:val="none"/>
        </w:rPr>
        <w:t>（1）投标文件中的大写金额与小写金额不一致的，以大写金额为准；</w:t>
      </w:r>
      <w:bookmarkEnd w:id="25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（2）总价金额与依据单价计算出的结果不一致的，以单价金额为准修正总价，但单价金额小数点有明显错误的除外。</w:t>
      </w:r>
    </w:p>
    <w:p>
      <w:pPr>
        <w:spacing w:line="360" w:lineRule="auto"/>
        <w:ind w:firstLine="480" w:firstLineChars="200"/>
        <w:rPr>
          <w:rFonts w:ascii="宋体" w:hAnsi="宋体" w:cs="宋体"/>
          <w:color w:val="auto"/>
          <w:sz w:val="24"/>
          <w:highlight w:val="none"/>
        </w:rPr>
      </w:pPr>
      <w:bookmarkStart w:id="252" w:name="_Toc152045606"/>
      <w:bookmarkStart w:id="253" w:name="_Toc179632624"/>
      <w:bookmarkStart w:id="254" w:name="_Toc152042384"/>
      <w:bookmarkStart w:id="255" w:name="_Toc144974573"/>
      <w:r>
        <w:rPr>
          <w:rFonts w:hint="eastAsia" w:ascii="宋体" w:hAnsi="宋体" w:cs="宋体"/>
          <w:color w:val="auto"/>
          <w:sz w:val="24"/>
          <w:highlight w:val="none"/>
        </w:rPr>
        <w:t>3.2 详细评审</w:t>
      </w:r>
      <w:bookmarkEnd w:id="252"/>
      <w:bookmarkEnd w:id="253"/>
      <w:bookmarkEnd w:id="254"/>
      <w:bookmarkEnd w:id="25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 评标委员会按本章第2.2款规定的量化因素和分值进行打分，并计算出综合评估得分。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（1）按本章第2.2.5（1）目规定的评审因素和分值对技术部分计算出得分A；技术部分得分为从各评标专家打分中去掉一个最高分和去掉一个最低分后的剩余评标专家打分的平均值。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（2）按本章第2.2.5（2）目规定的评审因素和分值对商务部分计算出得分B；商务部分得分为从各评标专家打分中去掉一个最高分和去掉一个最低分后的剩余评标专家打分的平均值。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（3）按本章第2.2.5（3）目规定的评审因素和分值对投标报价计算出得分C；</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（4）按本章第2.2.5（4）目规定的评审因素和分值对诚信评价计算出得分D；</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评分分值计算保留小数点后两位，小数点后第三位“四舍五入”。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 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pPr>
        <w:spacing w:line="360" w:lineRule="auto"/>
        <w:ind w:firstLine="480" w:firstLineChars="200"/>
        <w:rPr>
          <w:rFonts w:ascii="宋体" w:hAnsi="宋体" w:cs="宋体"/>
          <w:color w:val="auto"/>
          <w:sz w:val="24"/>
          <w:highlight w:val="none"/>
        </w:rPr>
      </w:pPr>
      <w:bookmarkStart w:id="256" w:name="_Toc144974575"/>
      <w:bookmarkStart w:id="257" w:name="_Toc152042385"/>
      <w:bookmarkStart w:id="258" w:name="_Toc152045607"/>
      <w:bookmarkStart w:id="259" w:name="_Toc179632625"/>
      <w:r>
        <w:rPr>
          <w:rFonts w:hint="eastAsia" w:ascii="宋体" w:hAnsi="宋体" w:cs="宋体"/>
          <w:color w:val="auto"/>
          <w:sz w:val="24"/>
          <w:highlight w:val="none"/>
        </w:rPr>
        <w:t>3.3 投标文件的澄清</w:t>
      </w:r>
      <w:bookmarkEnd w:id="256"/>
      <w:r>
        <w:rPr>
          <w:rFonts w:hint="eastAsia" w:ascii="宋体" w:hAnsi="宋体" w:cs="宋体"/>
          <w:color w:val="auto"/>
          <w:sz w:val="24"/>
          <w:highlight w:val="none"/>
        </w:rPr>
        <w:t>和补正</w:t>
      </w:r>
      <w:bookmarkEnd w:id="257"/>
      <w:bookmarkEnd w:id="258"/>
      <w:bookmarkEnd w:id="25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澄清、说明和补正不得改变投标文件的实质性内容（算术性错误修正的除外）。投标人的书面澄清、说明和补正属于投标文件的组成部分。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评标委员会对投标人提交的澄清、说明或补正有疑问的，可以要求投标人进一步澄清、说明或补正，直至满足评标委员会的要求。</w:t>
      </w:r>
    </w:p>
    <w:p>
      <w:pPr>
        <w:spacing w:line="360" w:lineRule="auto"/>
        <w:ind w:firstLine="480" w:firstLineChars="200"/>
        <w:rPr>
          <w:rFonts w:ascii="宋体" w:hAnsi="宋体" w:cs="宋体"/>
          <w:color w:val="auto"/>
          <w:sz w:val="24"/>
          <w:highlight w:val="none"/>
        </w:rPr>
      </w:pPr>
      <w:bookmarkStart w:id="260" w:name="_Toc179632626"/>
      <w:bookmarkStart w:id="261" w:name="_Toc152042386"/>
      <w:bookmarkStart w:id="262" w:name="_Toc144974576"/>
      <w:bookmarkStart w:id="263" w:name="_Toc152045608"/>
      <w:r>
        <w:rPr>
          <w:rFonts w:hint="eastAsia" w:ascii="宋体" w:hAnsi="宋体" w:cs="宋体"/>
          <w:color w:val="auto"/>
          <w:sz w:val="24"/>
          <w:highlight w:val="none"/>
        </w:rPr>
        <w:t>3.4 评标结果</w:t>
      </w:r>
      <w:bookmarkEnd w:id="260"/>
      <w:bookmarkEnd w:id="261"/>
      <w:bookmarkEnd w:id="262"/>
      <w:bookmarkEnd w:id="26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 评标委员会完成评标后，应当向招标人提交书面评标报告。</w:t>
      </w:r>
    </w:p>
    <w:p>
      <w:pPr>
        <w:pStyle w:val="33"/>
        <w:spacing w:after="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 </w:t>
      </w:r>
      <w:r>
        <w:rPr>
          <w:rFonts w:hint="eastAsia" w:ascii="宋体" w:hAnsi="宋体" w:eastAsia="宋体" w:cs="宋体"/>
          <w:b/>
          <w:color w:val="auto"/>
          <w:sz w:val="24"/>
          <w:szCs w:val="24"/>
          <w:highlight w:val="none"/>
        </w:rPr>
        <w:t>诚信评价</w:t>
      </w:r>
      <w:r>
        <w:rPr>
          <w:rFonts w:hint="eastAsia" w:ascii="宋体" w:hAnsi="宋体" w:eastAsia="宋体" w:cs="宋体"/>
          <w:b/>
          <w:bCs/>
          <w:color w:val="auto"/>
          <w:sz w:val="24"/>
          <w:szCs w:val="24"/>
          <w:highlight w:val="none"/>
        </w:rPr>
        <w:t>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4.1 </w:t>
      </w:r>
      <w:r>
        <w:rPr>
          <w:rFonts w:hint="eastAsia" w:ascii="宋体" w:hAnsi="宋体"/>
          <w:color w:val="auto"/>
          <w:sz w:val="24"/>
          <w:szCs w:val="24"/>
          <w:highlight w:val="none"/>
        </w:rPr>
        <w:t>投标人诚信评价分取自本项目招标公告发布第一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80分计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4.2两个或者两个以上水务建设市场主体组成联合体投标时，按联合体中诚信评价得分低的市场主体作为联合体的诚信评价得分。</w:t>
      </w:r>
    </w:p>
    <w:p>
      <w:pPr>
        <w:widowControl/>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5.评标应急预案</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5.1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widowControl/>
        <w:spacing w:line="360" w:lineRule="auto"/>
        <w:ind w:firstLine="480" w:firstLineChars="200"/>
        <w:jc w:val="left"/>
        <w:rPr>
          <w:rFonts w:ascii="宋体" w:hAnsi="宋体" w:cs="宋体"/>
          <w:color w:val="auto"/>
          <w:kern w:val="0"/>
          <w:sz w:val="24"/>
          <w:szCs w:val="24"/>
          <w:highlight w:val="none"/>
        </w:rPr>
        <w:sectPr>
          <w:headerReference r:id="rId3" w:type="default"/>
          <w:footerReference r:id="rId4" w:type="default"/>
          <w:pgSz w:w="11906" w:h="16838"/>
          <w:pgMar w:top="1440" w:right="1797" w:bottom="1440" w:left="1797" w:header="851" w:footer="850"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color w:val="auto"/>
          <w:kern w:val="0"/>
          <w:sz w:val="24"/>
          <w:szCs w:val="24"/>
          <w:highlight w:val="none"/>
        </w:rPr>
        <w:t>5.2在电子评标过程中，无论遇到任何系统异常或故障，评标委员会均应出具评标报告。</w:t>
      </w:r>
    </w:p>
    <w:p>
      <w:pPr>
        <w:ind w:right="-722" w:rightChars="-344"/>
        <w:jc w:val="center"/>
        <w:rPr>
          <w:rFonts w:ascii="宋体" w:hAnsi="宋体" w:cs="宋体"/>
          <w:b/>
          <w:color w:val="auto"/>
          <w:sz w:val="36"/>
          <w:szCs w:val="36"/>
          <w:highlight w:val="none"/>
        </w:rPr>
      </w:pPr>
      <w:bookmarkStart w:id="264" w:name="_Toc262229174"/>
      <w:r>
        <w:rPr>
          <w:rFonts w:hint="eastAsia" w:ascii="宋体" w:hAnsi="宋体" w:cs="宋体"/>
          <w:b/>
          <w:color w:val="auto"/>
          <w:sz w:val="36"/>
          <w:szCs w:val="36"/>
          <w:highlight w:val="none"/>
        </w:rPr>
        <w:t>平均值法评标基准价计算表（适用于直接选取）</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工程名称：                                                                                       最高投标限价：元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946"/>
        <w:gridCol w:w="1350"/>
        <w:gridCol w:w="1620"/>
        <w:gridCol w:w="1440"/>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94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1350" w:type="dxa"/>
          </w:tcPr>
          <w:p>
            <w:pPr>
              <w:jc w:val="center"/>
              <w:rPr>
                <w:rFonts w:ascii="宋体" w:hAnsi="宋体" w:cs="宋体"/>
                <w:color w:val="auto"/>
                <w:szCs w:val="21"/>
                <w:highlight w:val="none"/>
              </w:rPr>
            </w:pPr>
            <w:r>
              <w:rPr>
                <w:rFonts w:hint="eastAsia" w:ascii="宋体" w:hAnsi="宋体" w:cs="宋体"/>
                <w:color w:val="auto"/>
                <w:szCs w:val="21"/>
                <w:highlight w:val="none"/>
              </w:rPr>
              <w:t>投标价C</w:t>
            </w:r>
          </w:p>
        </w:tc>
        <w:tc>
          <w:tcPr>
            <w:tcW w:w="16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是否参与评标基准价的计算【是/否】</w:t>
            </w:r>
          </w:p>
        </w:tc>
        <w:tc>
          <w:tcPr>
            <w:tcW w:w="1440" w:type="dxa"/>
          </w:tcPr>
          <w:p>
            <w:pPr>
              <w:rPr>
                <w:rFonts w:ascii="宋体" w:hAnsi="宋体" w:cs="宋体"/>
                <w:color w:val="auto"/>
                <w:szCs w:val="21"/>
                <w:highlight w:val="none"/>
              </w:rPr>
            </w:pPr>
            <w:r>
              <w:rPr>
                <w:rFonts w:hint="eastAsia" w:ascii="宋体" w:hAnsi="宋体" w:cs="宋体"/>
                <w:color w:val="auto"/>
                <w:szCs w:val="21"/>
                <w:highlight w:val="none"/>
              </w:rPr>
              <w:t>计算评标基准价的下浮率X</w:t>
            </w:r>
          </w:p>
        </w:tc>
        <w:tc>
          <w:tcPr>
            <w:tcW w:w="583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color w:val="auto"/>
                <w:szCs w:val="21"/>
                <w:highlight w:val="none"/>
              </w:rPr>
            </w:pPr>
          </w:p>
        </w:tc>
        <w:tc>
          <w:tcPr>
            <w:tcW w:w="2946" w:type="dxa"/>
          </w:tcPr>
          <w:p>
            <w:pPr>
              <w:spacing w:line="560" w:lineRule="exact"/>
              <w:rPr>
                <w:rFonts w:ascii="宋体" w:hAnsi="宋体" w:cs="宋体"/>
                <w:color w:val="auto"/>
                <w:szCs w:val="21"/>
                <w:highlight w:val="none"/>
              </w:rPr>
            </w:pPr>
          </w:p>
        </w:tc>
        <w:tc>
          <w:tcPr>
            <w:tcW w:w="1350" w:type="dxa"/>
          </w:tcPr>
          <w:p>
            <w:pPr>
              <w:spacing w:line="560" w:lineRule="exact"/>
              <w:rPr>
                <w:rFonts w:ascii="宋体" w:hAnsi="宋体" w:cs="宋体"/>
                <w:color w:val="auto"/>
                <w:szCs w:val="21"/>
                <w:highlight w:val="none"/>
              </w:rPr>
            </w:pPr>
          </w:p>
        </w:tc>
        <w:tc>
          <w:tcPr>
            <w:tcW w:w="1620" w:type="dxa"/>
          </w:tcPr>
          <w:p>
            <w:pPr>
              <w:spacing w:line="560" w:lineRule="exact"/>
              <w:rPr>
                <w:rFonts w:ascii="宋体" w:hAnsi="宋体" w:cs="宋体"/>
                <w:color w:val="auto"/>
                <w:szCs w:val="21"/>
                <w:highlight w:val="none"/>
              </w:rPr>
            </w:pPr>
          </w:p>
        </w:tc>
        <w:tc>
          <w:tcPr>
            <w:tcW w:w="1440" w:type="dxa"/>
            <w:vMerge w:val="restart"/>
          </w:tcPr>
          <w:p>
            <w:pPr>
              <w:spacing w:line="560" w:lineRule="exact"/>
              <w:rPr>
                <w:rFonts w:ascii="宋体" w:hAnsi="宋体" w:cs="宋体"/>
                <w:color w:val="auto"/>
                <w:szCs w:val="21"/>
                <w:highlight w:val="none"/>
              </w:rPr>
            </w:pPr>
          </w:p>
        </w:tc>
        <w:tc>
          <w:tcPr>
            <w:tcW w:w="5834" w:type="dxa"/>
            <w:vMerge w:val="restart"/>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color w:val="auto"/>
                <w:szCs w:val="21"/>
                <w:highlight w:val="none"/>
              </w:rPr>
            </w:pPr>
          </w:p>
        </w:tc>
        <w:tc>
          <w:tcPr>
            <w:tcW w:w="2946" w:type="dxa"/>
          </w:tcPr>
          <w:p>
            <w:pPr>
              <w:spacing w:line="560" w:lineRule="exact"/>
              <w:rPr>
                <w:rFonts w:ascii="宋体" w:hAnsi="宋体" w:cs="宋体"/>
                <w:color w:val="auto"/>
                <w:szCs w:val="21"/>
                <w:highlight w:val="none"/>
              </w:rPr>
            </w:pPr>
          </w:p>
        </w:tc>
        <w:tc>
          <w:tcPr>
            <w:tcW w:w="1350" w:type="dxa"/>
          </w:tcPr>
          <w:p>
            <w:pPr>
              <w:spacing w:line="560" w:lineRule="exact"/>
              <w:rPr>
                <w:rFonts w:ascii="宋体" w:hAnsi="宋体" w:cs="宋体"/>
                <w:color w:val="auto"/>
                <w:szCs w:val="21"/>
                <w:highlight w:val="none"/>
              </w:rPr>
            </w:pPr>
          </w:p>
        </w:tc>
        <w:tc>
          <w:tcPr>
            <w:tcW w:w="1620" w:type="dxa"/>
          </w:tcPr>
          <w:p>
            <w:pPr>
              <w:spacing w:line="560" w:lineRule="exact"/>
              <w:rPr>
                <w:rFonts w:ascii="宋体" w:hAnsi="宋体" w:cs="宋体"/>
                <w:color w:val="auto"/>
                <w:szCs w:val="21"/>
                <w:highlight w:val="none"/>
              </w:rPr>
            </w:pPr>
          </w:p>
        </w:tc>
        <w:tc>
          <w:tcPr>
            <w:tcW w:w="1440" w:type="dxa"/>
            <w:vMerge w:val="continue"/>
          </w:tcPr>
          <w:p>
            <w:pPr>
              <w:spacing w:line="560" w:lineRule="exact"/>
              <w:rPr>
                <w:rFonts w:ascii="宋体" w:hAnsi="宋体" w:cs="宋体"/>
                <w:color w:val="auto"/>
                <w:szCs w:val="21"/>
                <w:highlight w:val="none"/>
              </w:rPr>
            </w:pPr>
          </w:p>
        </w:tc>
        <w:tc>
          <w:tcPr>
            <w:tcW w:w="5834" w:type="dxa"/>
            <w:vMerge w:val="continue"/>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color w:val="auto"/>
                <w:szCs w:val="21"/>
                <w:highlight w:val="none"/>
              </w:rPr>
            </w:pPr>
          </w:p>
        </w:tc>
        <w:tc>
          <w:tcPr>
            <w:tcW w:w="2946" w:type="dxa"/>
          </w:tcPr>
          <w:p>
            <w:pPr>
              <w:spacing w:line="560" w:lineRule="exact"/>
              <w:rPr>
                <w:rFonts w:ascii="宋体" w:hAnsi="宋体" w:cs="宋体"/>
                <w:color w:val="auto"/>
                <w:szCs w:val="21"/>
                <w:highlight w:val="none"/>
              </w:rPr>
            </w:pPr>
          </w:p>
        </w:tc>
        <w:tc>
          <w:tcPr>
            <w:tcW w:w="1350" w:type="dxa"/>
          </w:tcPr>
          <w:p>
            <w:pPr>
              <w:spacing w:line="560" w:lineRule="exact"/>
              <w:rPr>
                <w:rFonts w:ascii="宋体" w:hAnsi="宋体" w:cs="宋体"/>
                <w:color w:val="auto"/>
                <w:szCs w:val="21"/>
                <w:highlight w:val="none"/>
              </w:rPr>
            </w:pPr>
          </w:p>
        </w:tc>
        <w:tc>
          <w:tcPr>
            <w:tcW w:w="1620" w:type="dxa"/>
          </w:tcPr>
          <w:p>
            <w:pPr>
              <w:spacing w:line="560" w:lineRule="exact"/>
              <w:rPr>
                <w:rFonts w:ascii="宋体" w:hAnsi="宋体" w:cs="宋体"/>
                <w:color w:val="auto"/>
                <w:szCs w:val="21"/>
                <w:highlight w:val="none"/>
              </w:rPr>
            </w:pPr>
          </w:p>
        </w:tc>
        <w:tc>
          <w:tcPr>
            <w:tcW w:w="1440" w:type="dxa"/>
            <w:vMerge w:val="continue"/>
          </w:tcPr>
          <w:p>
            <w:pPr>
              <w:spacing w:line="560" w:lineRule="exact"/>
              <w:rPr>
                <w:rFonts w:ascii="宋体" w:hAnsi="宋体" w:cs="宋体"/>
                <w:color w:val="auto"/>
                <w:szCs w:val="21"/>
                <w:highlight w:val="none"/>
              </w:rPr>
            </w:pPr>
          </w:p>
        </w:tc>
        <w:tc>
          <w:tcPr>
            <w:tcW w:w="5834" w:type="dxa"/>
            <w:vMerge w:val="continue"/>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color w:val="auto"/>
                <w:szCs w:val="21"/>
                <w:highlight w:val="none"/>
              </w:rPr>
            </w:pPr>
          </w:p>
        </w:tc>
        <w:tc>
          <w:tcPr>
            <w:tcW w:w="2946" w:type="dxa"/>
          </w:tcPr>
          <w:p>
            <w:pPr>
              <w:spacing w:line="560" w:lineRule="exact"/>
              <w:rPr>
                <w:rFonts w:ascii="宋体" w:hAnsi="宋体" w:cs="宋体"/>
                <w:color w:val="auto"/>
                <w:szCs w:val="21"/>
                <w:highlight w:val="none"/>
              </w:rPr>
            </w:pPr>
          </w:p>
        </w:tc>
        <w:tc>
          <w:tcPr>
            <w:tcW w:w="1350" w:type="dxa"/>
          </w:tcPr>
          <w:p>
            <w:pPr>
              <w:spacing w:line="560" w:lineRule="exact"/>
              <w:rPr>
                <w:rFonts w:ascii="宋体" w:hAnsi="宋体" w:cs="宋体"/>
                <w:color w:val="auto"/>
                <w:szCs w:val="21"/>
                <w:highlight w:val="none"/>
              </w:rPr>
            </w:pPr>
          </w:p>
        </w:tc>
        <w:tc>
          <w:tcPr>
            <w:tcW w:w="1620" w:type="dxa"/>
          </w:tcPr>
          <w:p>
            <w:pPr>
              <w:spacing w:line="560" w:lineRule="exact"/>
              <w:rPr>
                <w:rFonts w:ascii="宋体" w:hAnsi="宋体" w:cs="宋体"/>
                <w:color w:val="auto"/>
                <w:szCs w:val="21"/>
                <w:highlight w:val="none"/>
              </w:rPr>
            </w:pPr>
          </w:p>
        </w:tc>
        <w:tc>
          <w:tcPr>
            <w:tcW w:w="1440" w:type="dxa"/>
            <w:vMerge w:val="continue"/>
          </w:tcPr>
          <w:p>
            <w:pPr>
              <w:spacing w:line="560" w:lineRule="exact"/>
              <w:rPr>
                <w:rFonts w:ascii="宋体" w:hAnsi="宋体" w:cs="宋体"/>
                <w:color w:val="auto"/>
                <w:szCs w:val="21"/>
                <w:highlight w:val="none"/>
              </w:rPr>
            </w:pPr>
          </w:p>
        </w:tc>
        <w:tc>
          <w:tcPr>
            <w:tcW w:w="5834" w:type="dxa"/>
            <w:vMerge w:val="continue"/>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color w:val="auto"/>
                <w:szCs w:val="21"/>
                <w:highlight w:val="none"/>
              </w:rPr>
            </w:pPr>
          </w:p>
        </w:tc>
        <w:tc>
          <w:tcPr>
            <w:tcW w:w="2946" w:type="dxa"/>
          </w:tcPr>
          <w:p>
            <w:pPr>
              <w:spacing w:line="560" w:lineRule="exact"/>
              <w:rPr>
                <w:rFonts w:ascii="宋体" w:hAnsi="宋体" w:cs="宋体"/>
                <w:color w:val="auto"/>
                <w:szCs w:val="21"/>
                <w:highlight w:val="none"/>
              </w:rPr>
            </w:pPr>
          </w:p>
        </w:tc>
        <w:tc>
          <w:tcPr>
            <w:tcW w:w="1350" w:type="dxa"/>
          </w:tcPr>
          <w:p>
            <w:pPr>
              <w:spacing w:line="560" w:lineRule="exact"/>
              <w:rPr>
                <w:rFonts w:ascii="宋体" w:hAnsi="宋体" w:cs="宋体"/>
                <w:color w:val="auto"/>
                <w:szCs w:val="21"/>
                <w:highlight w:val="none"/>
              </w:rPr>
            </w:pPr>
          </w:p>
        </w:tc>
        <w:tc>
          <w:tcPr>
            <w:tcW w:w="1620" w:type="dxa"/>
          </w:tcPr>
          <w:p>
            <w:pPr>
              <w:spacing w:line="560" w:lineRule="exact"/>
              <w:rPr>
                <w:rFonts w:ascii="宋体" w:hAnsi="宋体" w:cs="宋体"/>
                <w:color w:val="auto"/>
                <w:szCs w:val="21"/>
                <w:highlight w:val="none"/>
              </w:rPr>
            </w:pPr>
          </w:p>
        </w:tc>
        <w:tc>
          <w:tcPr>
            <w:tcW w:w="1440" w:type="dxa"/>
            <w:vMerge w:val="continue"/>
          </w:tcPr>
          <w:p>
            <w:pPr>
              <w:spacing w:line="560" w:lineRule="exact"/>
              <w:rPr>
                <w:rFonts w:ascii="宋体" w:hAnsi="宋体" w:cs="宋体"/>
                <w:color w:val="auto"/>
                <w:szCs w:val="21"/>
                <w:highlight w:val="none"/>
              </w:rPr>
            </w:pPr>
          </w:p>
        </w:tc>
        <w:tc>
          <w:tcPr>
            <w:tcW w:w="5834" w:type="dxa"/>
            <w:vMerge w:val="continue"/>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color w:val="auto"/>
                <w:szCs w:val="21"/>
                <w:highlight w:val="none"/>
              </w:rPr>
            </w:pPr>
          </w:p>
        </w:tc>
        <w:tc>
          <w:tcPr>
            <w:tcW w:w="2946" w:type="dxa"/>
          </w:tcPr>
          <w:p>
            <w:pPr>
              <w:spacing w:line="560" w:lineRule="exact"/>
              <w:rPr>
                <w:rFonts w:ascii="宋体" w:hAnsi="宋体" w:cs="宋体"/>
                <w:color w:val="auto"/>
                <w:szCs w:val="21"/>
                <w:highlight w:val="none"/>
              </w:rPr>
            </w:pPr>
          </w:p>
        </w:tc>
        <w:tc>
          <w:tcPr>
            <w:tcW w:w="1350" w:type="dxa"/>
          </w:tcPr>
          <w:p>
            <w:pPr>
              <w:spacing w:line="560" w:lineRule="exact"/>
              <w:rPr>
                <w:rFonts w:ascii="宋体" w:hAnsi="宋体" w:cs="宋体"/>
                <w:color w:val="auto"/>
                <w:szCs w:val="21"/>
                <w:highlight w:val="none"/>
              </w:rPr>
            </w:pPr>
          </w:p>
        </w:tc>
        <w:tc>
          <w:tcPr>
            <w:tcW w:w="1620" w:type="dxa"/>
          </w:tcPr>
          <w:p>
            <w:pPr>
              <w:spacing w:line="560" w:lineRule="exact"/>
              <w:rPr>
                <w:rFonts w:ascii="宋体" w:hAnsi="宋体" w:cs="宋体"/>
                <w:color w:val="auto"/>
                <w:szCs w:val="21"/>
                <w:highlight w:val="none"/>
              </w:rPr>
            </w:pPr>
          </w:p>
        </w:tc>
        <w:tc>
          <w:tcPr>
            <w:tcW w:w="1440" w:type="dxa"/>
            <w:vMerge w:val="continue"/>
          </w:tcPr>
          <w:p>
            <w:pPr>
              <w:spacing w:line="560" w:lineRule="exact"/>
              <w:rPr>
                <w:rFonts w:ascii="宋体" w:hAnsi="宋体" w:cs="宋体"/>
                <w:color w:val="auto"/>
                <w:szCs w:val="21"/>
                <w:highlight w:val="none"/>
              </w:rPr>
            </w:pPr>
          </w:p>
        </w:tc>
        <w:tc>
          <w:tcPr>
            <w:tcW w:w="5834" w:type="dxa"/>
            <w:vMerge w:val="continue"/>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color w:val="auto"/>
                <w:szCs w:val="21"/>
                <w:highlight w:val="none"/>
              </w:rPr>
            </w:pPr>
          </w:p>
        </w:tc>
        <w:tc>
          <w:tcPr>
            <w:tcW w:w="2946" w:type="dxa"/>
          </w:tcPr>
          <w:p>
            <w:pPr>
              <w:spacing w:line="560" w:lineRule="exact"/>
              <w:rPr>
                <w:rFonts w:ascii="宋体" w:hAnsi="宋体" w:cs="宋体"/>
                <w:color w:val="auto"/>
                <w:szCs w:val="21"/>
                <w:highlight w:val="none"/>
              </w:rPr>
            </w:pPr>
          </w:p>
        </w:tc>
        <w:tc>
          <w:tcPr>
            <w:tcW w:w="1350" w:type="dxa"/>
          </w:tcPr>
          <w:p>
            <w:pPr>
              <w:spacing w:line="560" w:lineRule="exact"/>
              <w:rPr>
                <w:rFonts w:ascii="宋体" w:hAnsi="宋体" w:cs="宋体"/>
                <w:color w:val="auto"/>
                <w:szCs w:val="21"/>
                <w:highlight w:val="none"/>
              </w:rPr>
            </w:pPr>
          </w:p>
        </w:tc>
        <w:tc>
          <w:tcPr>
            <w:tcW w:w="1620" w:type="dxa"/>
          </w:tcPr>
          <w:p>
            <w:pPr>
              <w:spacing w:line="560" w:lineRule="exact"/>
              <w:rPr>
                <w:rFonts w:ascii="宋体" w:hAnsi="宋体" w:cs="宋体"/>
                <w:color w:val="auto"/>
                <w:szCs w:val="21"/>
                <w:highlight w:val="none"/>
              </w:rPr>
            </w:pPr>
          </w:p>
        </w:tc>
        <w:tc>
          <w:tcPr>
            <w:tcW w:w="1440" w:type="dxa"/>
            <w:vMerge w:val="continue"/>
          </w:tcPr>
          <w:p>
            <w:pPr>
              <w:spacing w:line="560" w:lineRule="exact"/>
              <w:rPr>
                <w:rFonts w:ascii="宋体" w:hAnsi="宋体" w:cs="宋体"/>
                <w:color w:val="auto"/>
                <w:szCs w:val="21"/>
                <w:highlight w:val="none"/>
              </w:rPr>
            </w:pPr>
          </w:p>
        </w:tc>
        <w:tc>
          <w:tcPr>
            <w:tcW w:w="5834" w:type="dxa"/>
            <w:vMerge w:val="continue"/>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color w:val="auto"/>
                <w:szCs w:val="21"/>
                <w:highlight w:val="none"/>
              </w:rPr>
            </w:pPr>
          </w:p>
        </w:tc>
        <w:tc>
          <w:tcPr>
            <w:tcW w:w="2946" w:type="dxa"/>
          </w:tcPr>
          <w:p>
            <w:pPr>
              <w:spacing w:line="560" w:lineRule="exact"/>
              <w:rPr>
                <w:rFonts w:ascii="宋体" w:hAnsi="宋体" w:cs="宋体"/>
                <w:color w:val="auto"/>
                <w:szCs w:val="21"/>
                <w:highlight w:val="none"/>
              </w:rPr>
            </w:pPr>
          </w:p>
        </w:tc>
        <w:tc>
          <w:tcPr>
            <w:tcW w:w="1350" w:type="dxa"/>
          </w:tcPr>
          <w:p>
            <w:pPr>
              <w:spacing w:line="560" w:lineRule="exact"/>
              <w:rPr>
                <w:rFonts w:ascii="宋体" w:hAnsi="宋体" w:cs="宋体"/>
                <w:color w:val="auto"/>
                <w:szCs w:val="21"/>
                <w:highlight w:val="none"/>
              </w:rPr>
            </w:pPr>
          </w:p>
        </w:tc>
        <w:tc>
          <w:tcPr>
            <w:tcW w:w="1620" w:type="dxa"/>
          </w:tcPr>
          <w:p>
            <w:pPr>
              <w:spacing w:line="560" w:lineRule="exact"/>
              <w:rPr>
                <w:rFonts w:ascii="宋体" w:hAnsi="宋体" w:cs="宋体"/>
                <w:color w:val="auto"/>
                <w:szCs w:val="21"/>
                <w:highlight w:val="none"/>
              </w:rPr>
            </w:pPr>
          </w:p>
        </w:tc>
        <w:tc>
          <w:tcPr>
            <w:tcW w:w="1440" w:type="dxa"/>
            <w:vMerge w:val="continue"/>
          </w:tcPr>
          <w:p>
            <w:pPr>
              <w:spacing w:line="560" w:lineRule="exact"/>
              <w:rPr>
                <w:rFonts w:ascii="宋体" w:hAnsi="宋体" w:cs="宋体"/>
                <w:color w:val="auto"/>
                <w:szCs w:val="21"/>
                <w:highlight w:val="none"/>
              </w:rPr>
            </w:pPr>
          </w:p>
        </w:tc>
        <w:tc>
          <w:tcPr>
            <w:tcW w:w="5834" w:type="dxa"/>
            <w:vMerge w:val="continue"/>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color w:val="auto"/>
                <w:szCs w:val="21"/>
                <w:highlight w:val="none"/>
              </w:rPr>
            </w:pPr>
          </w:p>
        </w:tc>
        <w:tc>
          <w:tcPr>
            <w:tcW w:w="2946" w:type="dxa"/>
          </w:tcPr>
          <w:p>
            <w:pPr>
              <w:spacing w:line="560" w:lineRule="exact"/>
              <w:rPr>
                <w:rFonts w:ascii="宋体" w:hAnsi="宋体" w:cs="宋体"/>
                <w:color w:val="auto"/>
                <w:szCs w:val="21"/>
                <w:highlight w:val="none"/>
              </w:rPr>
            </w:pPr>
          </w:p>
        </w:tc>
        <w:tc>
          <w:tcPr>
            <w:tcW w:w="1350" w:type="dxa"/>
          </w:tcPr>
          <w:p>
            <w:pPr>
              <w:spacing w:line="560" w:lineRule="exact"/>
              <w:rPr>
                <w:rFonts w:ascii="宋体" w:hAnsi="宋体" w:cs="宋体"/>
                <w:color w:val="auto"/>
                <w:szCs w:val="21"/>
                <w:highlight w:val="none"/>
              </w:rPr>
            </w:pPr>
          </w:p>
        </w:tc>
        <w:tc>
          <w:tcPr>
            <w:tcW w:w="1620" w:type="dxa"/>
          </w:tcPr>
          <w:p>
            <w:pPr>
              <w:spacing w:line="560" w:lineRule="exact"/>
              <w:rPr>
                <w:rFonts w:ascii="宋体" w:hAnsi="宋体" w:cs="宋体"/>
                <w:color w:val="auto"/>
                <w:szCs w:val="21"/>
                <w:highlight w:val="none"/>
              </w:rPr>
            </w:pPr>
          </w:p>
        </w:tc>
        <w:tc>
          <w:tcPr>
            <w:tcW w:w="1440" w:type="dxa"/>
            <w:vMerge w:val="continue"/>
          </w:tcPr>
          <w:p>
            <w:pPr>
              <w:spacing w:line="560" w:lineRule="exact"/>
              <w:rPr>
                <w:rFonts w:ascii="宋体" w:hAnsi="宋体" w:cs="宋体"/>
                <w:color w:val="auto"/>
                <w:szCs w:val="21"/>
                <w:highlight w:val="none"/>
              </w:rPr>
            </w:pPr>
          </w:p>
        </w:tc>
        <w:tc>
          <w:tcPr>
            <w:tcW w:w="5834" w:type="dxa"/>
            <w:vMerge w:val="continue"/>
          </w:tcPr>
          <w:p>
            <w:pPr>
              <w:spacing w:line="560" w:lineRule="exact"/>
              <w:rPr>
                <w:rFonts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b/>
          <w:color w:val="auto"/>
          <w:szCs w:val="21"/>
          <w:highlight w:val="none"/>
        </w:rPr>
        <w:t>1. 以有效投标价为基础计算并根据抽取的计算评标基准价的下浮率下浮后确定评标基准价。</w:t>
      </w:r>
    </w:p>
    <w:p>
      <w:pPr>
        <w:rPr>
          <w:rFonts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使用此表时，对于已经确定为无效报价的，不得在本计算表中列出。</w:t>
      </w:r>
    </w:p>
    <w:p>
      <w:pPr>
        <w:rPr>
          <w:rFonts w:ascii="宋体" w:hAnsi="宋体" w:cs="宋体"/>
          <w:color w:val="auto"/>
          <w:kern w:val="0"/>
          <w:highlight w:val="none"/>
        </w:rPr>
      </w:pPr>
      <w:r>
        <w:rPr>
          <w:rFonts w:hint="eastAsia" w:ascii="宋体" w:hAnsi="宋体" w:cs="宋体"/>
          <w:color w:val="auto"/>
          <w:szCs w:val="21"/>
          <w:highlight w:val="none"/>
        </w:rPr>
        <w:t xml:space="preserve">评标委员会全体评委签名：                              </w:t>
      </w:r>
      <w:r>
        <w:rPr>
          <w:rFonts w:hint="eastAsia" w:ascii="宋体" w:hAnsi="宋体" w:cs="宋体"/>
          <w:color w:val="auto"/>
          <w:kern w:val="0"/>
          <w:highlight w:val="none"/>
        </w:rPr>
        <w:t>日期：   年   月  日</w:t>
      </w:r>
    </w:p>
    <w:p>
      <w:pPr>
        <w:rPr>
          <w:rFonts w:ascii="宋体" w:hAnsi="宋体" w:cs="宋体"/>
          <w:color w:val="auto"/>
          <w:kern w:val="0"/>
          <w:highlight w:val="none"/>
        </w:rPr>
      </w:pPr>
    </w:p>
    <w:p>
      <w:pPr>
        <w:rPr>
          <w:rFonts w:ascii="宋体" w:hAnsi="宋体" w:cs="宋体"/>
          <w:color w:val="auto"/>
          <w:sz w:val="32"/>
          <w:szCs w:val="27"/>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诚信评价分表</w:t>
      </w:r>
    </w:p>
    <w:p>
      <w:pPr>
        <w:spacing w:line="360" w:lineRule="auto"/>
        <w:ind w:firstLine="826" w:firstLineChars="392"/>
        <w:rPr>
          <w:rFonts w:ascii="宋体" w:hAnsi="宋体" w:cs="宋体"/>
          <w:b/>
          <w:color w:val="auto"/>
          <w:szCs w:val="21"/>
          <w:highlight w:val="none"/>
        </w:rPr>
      </w:pPr>
      <w:r>
        <w:rPr>
          <w:rFonts w:hint="eastAsia" w:ascii="宋体" w:hAnsi="宋体" w:cs="宋体"/>
          <w:b/>
          <w:color w:val="auto"/>
          <w:szCs w:val="21"/>
          <w:highlight w:val="none"/>
        </w:rPr>
        <w:t>工程名称：</w:t>
      </w:r>
    </w:p>
    <w:tbl>
      <w:tblPr>
        <w:tblStyle w:val="34"/>
        <w:tblW w:w="0" w:type="auto"/>
        <w:tblInd w:w="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00"/>
        <w:gridCol w:w="78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投标单位</w:t>
            </w:r>
          </w:p>
        </w:tc>
        <w:tc>
          <w:tcPr>
            <w:tcW w:w="78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诚信类别</w:t>
            </w:r>
          </w:p>
        </w:tc>
        <w:tc>
          <w:tcPr>
            <w:tcW w:w="45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700" w:type="dxa"/>
          </w:tcPr>
          <w:p>
            <w:pPr>
              <w:rPr>
                <w:rFonts w:ascii="宋体" w:hAnsi="宋体" w:cs="宋体"/>
                <w:color w:val="auto"/>
                <w:szCs w:val="21"/>
                <w:highlight w:val="none"/>
              </w:rPr>
            </w:pPr>
          </w:p>
        </w:tc>
        <w:tc>
          <w:tcPr>
            <w:tcW w:w="780" w:type="dxa"/>
            <w:vMerge w:val="restart"/>
            <w:vAlign w:val="center"/>
          </w:tcPr>
          <w:p>
            <w:pPr>
              <w:rPr>
                <w:rFonts w:ascii="宋体" w:hAnsi="宋体" w:cs="宋体"/>
                <w:color w:val="auto"/>
                <w:szCs w:val="21"/>
                <w:highlight w:val="none"/>
              </w:rPr>
            </w:pPr>
            <w:r>
              <w:rPr>
                <w:rFonts w:hint="eastAsia" w:ascii="宋体" w:hAnsi="宋体" w:cs="宋体"/>
                <w:color w:val="auto"/>
                <w:szCs w:val="21"/>
                <w:highlight w:val="none"/>
              </w:rPr>
              <w:t>施工-给排水</w:t>
            </w: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700" w:type="dxa"/>
          </w:tcPr>
          <w:p>
            <w:pPr>
              <w:rPr>
                <w:rFonts w:ascii="宋体" w:hAnsi="宋体" w:cs="宋体"/>
                <w:color w:val="auto"/>
                <w:szCs w:val="21"/>
                <w:highlight w:val="none"/>
              </w:rPr>
            </w:pPr>
          </w:p>
        </w:tc>
        <w:tc>
          <w:tcPr>
            <w:tcW w:w="780" w:type="dxa"/>
            <w:vMerge w:val="continue"/>
          </w:tcPr>
          <w:p>
            <w:pPr>
              <w:jc w:val="cente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700" w:type="dxa"/>
          </w:tcPr>
          <w:p>
            <w:pPr>
              <w:rPr>
                <w:rFonts w:ascii="宋体" w:hAnsi="宋体" w:cs="宋体"/>
                <w:color w:val="auto"/>
                <w:szCs w:val="21"/>
                <w:highlight w:val="none"/>
              </w:rPr>
            </w:pPr>
          </w:p>
        </w:tc>
        <w:tc>
          <w:tcPr>
            <w:tcW w:w="780" w:type="dxa"/>
            <w:vMerge w:val="continue"/>
          </w:tcPr>
          <w:p>
            <w:pPr>
              <w:jc w:val="cente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700" w:type="dxa"/>
          </w:tcPr>
          <w:p>
            <w:pPr>
              <w:rPr>
                <w:rFonts w:ascii="宋体" w:hAnsi="宋体" w:cs="宋体"/>
                <w:color w:val="auto"/>
                <w:szCs w:val="21"/>
                <w:highlight w:val="none"/>
              </w:rPr>
            </w:pPr>
          </w:p>
        </w:tc>
        <w:tc>
          <w:tcPr>
            <w:tcW w:w="780" w:type="dxa"/>
            <w:vMerge w:val="continue"/>
          </w:tcPr>
          <w:p>
            <w:pPr>
              <w:jc w:val="cente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700" w:type="dxa"/>
          </w:tcPr>
          <w:p>
            <w:pPr>
              <w:rPr>
                <w:rFonts w:ascii="宋体" w:hAnsi="宋体" w:cs="宋体"/>
                <w:color w:val="auto"/>
                <w:szCs w:val="21"/>
                <w:highlight w:val="none"/>
              </w:rPr>
            </w:pPr>
          </w:p>
        </w:tc>
        <w:tc>
          <w:tcPr>
            <w:tcW w:w="780" w:type="dxa"/>
            <w:vMerge w:val="continue"/>
          </w:tcPr>
          <w:p>
            <w:pPr>
              <w:jc w:val="center"/>
              <w:rPr>
                <w:rFonts w:ascii="宋体" w:hAnsi="宋体" w:cs="宋体"/>
                <w:color w:val="auto"/>
                <w:szCs w:val="21"/>
                <w:highlight w:val="none"/>
              </w:rPr>
            </w:pPr>
          </w:p>
        </w:tc>
        <w:tc>
          <w:tcPr>
            <w:tcW w:w="4500" w:type="dxa"/>
          </w:tcPr>
          <w:p>
            <w:pPr>
              <w:widowControl/>
              <w:jc w:val="left"/>
              <w:rPr>
                <w:rFonts w:ascii="宋体" w:hAnsi="宋体" w:cs="宋体"/>
                <w:color w:val="auto"/>
                <w:szCs w:val="21"/>
                <w:highlight w:val="none"/>
              </w:rPr>
            </w:pPr>
          </w:p>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700" w:type="dxa"/>
          </w:tcPr>
          <w:p>
            <w:pPr>
              <w:rPr>
                <w:rFonts w:ascii="宋体" w:hAnsi="宋体" w:cs="宋体"/>
                <w:color w:val="auto"/>
                <w:szCs w:val="21"/>
                <w:highlight w:val="none"/>
              </w:rPr>
            </w:pPr>
          </w:p>
        </w:tc>
        <w:tc>
          <w:tcPr>
            <w:tcW w:w="780" w:type="dxa"/>
            <w:vMerge w:val="continue"/>
          </w:tcPr>
          <w:p>
            <w:pP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700" w:type="dxa"/>
          </w:tcPr>
          <w:p>
            <w:pPr>
              <w:rPr>
                <w:rFonts w:ascii="宋体" w:hAnsi="宋体" w:cs="宋体"/>
                <w:color w:val="auto"/>
                <w:szCs w:val="21"/>
                <w:highlight w:val="none"/>
              </w:rPr>
            </w:pPr>
          </w:p>
        </w:tc>
        <w:tc>
          <w:tcPr>
            <w:tcW w:w="780" w:type="dxa"/>
            <w:vMerge w:val="continue"/>
          </w:tcPr>
          <w:p>
            <w:pP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700" w:type="dxa"/>
          </w:tcPr>
          <w:p>
            <w:pPr>
              <w:rPr>
                <w:rFonts w:ascii="宋体" w:hAnsi="宋体" w:cs="宋体"/>
                <w:color w:val="auto"/>
                <w:szCs w:val="21"/>
                <w:highlight w:val="none"/>
              </w:rPr>
            </w:pPr>
          </w:p>
        </w:tc>
        <w:tc>
          <w:tcPr>
            <w:tcW w:w="780" w:type="dxa"/>
            <w:vMerge w:val="continue"/>
          </w:tcPr>
          <w:p>
            <w:pP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700" w:type="dxa"/>
          </w:tcPr>
          <w:p>
            <w:pPr>
              <w:rPr>
                <w:rFonts w:ascii="宋体" w:hAnsi="宋体" w:cs="宋体"/>
                <w:color w:val="auto"/>
                <w:szCs w:val="21"/>
                <w:highlight w:val="none"/>
              </w:rPr>
            </w:pPr>
          </w:p>
        </w:tc>
        <w:tc>
          <w:tcPr>
            <w:tcW w:w="780" w:type="dxa"/>
            <w:vMerge w:val="continue"/>
          </w:tcPr>
          <w:p>
            <w:pP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p>
        </w:tc>
        <w:tc>
          <w:tcPr>
            <w:tcW w:w="1700" w:type="dxa"/>
          </w:tcPr>
          <w:p>
            <w:pPr>
              <w:rPr>
                <w:rFonts w:ascii="宋体" w:hAnsi="宋体" w:cs="宋体"/>
                <w:color w:val="auto"/>
                <w:szCs w:val="21"/>
                <w:highlight w:val="none"/>
              </w:rPr>
            </w:pPr>
          </w:p>
        </w:tc>
        <w:tc>
          <w:tcPr>
            <w:tcW w:w="780" w:type="dxa"/>
            <w:vMerge w:val="continue"/>
          </w:tcPr>
          <w:p>
            <w:pP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p>
        </w:tc>
        <w:tc>
          <w:tcPr>
            <w:tcW w:w="1700" w:type="dxa"/>
          </w:tcPr>
          <w:p>
            <w:pPr>
              <w:rPr>
                <w:rFonts w:ascii="宋体" w:hAnsi="宋体" w:cs="宋体"/>
                <w:color w:val="auto"/>
                <w:szCs w:val="21"/>
                <w:highlight w:val="none"/>
              </w:rPr>
            </w:pPr>
          </w:p>
        </w:tc>
        <w:tc>
          <w:tcPr>
            <w:tcW w:w="780" w:type="dxa"/>
            <w:vMerge w:val="continue"/>
          </w:tcPr>
          <w:p>
            <w:pP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5" w:type="dxa"/>
            <w:vAlign w:val="center"/>
          </w:tcPr>
          <w:p>
            <w:pPr>
              <w:jc w:val="center"/>
              <w:rPr>
                <w:rFonts w:ascii="宋体" w:hAnsi="宋体" w:cs="宋体"/>
                <w:color w:val="auto"/>
                <w:szCs w:val="21"/>
                <w:highlight w:val="none"/>
              </w:rPr>
            </w:pPr>
          </w:p>
        </w:tc>
        <w:tc>
          <w:tcPr>
            <w:tcW w:w="1700" w:type="dxa"/>
          </w:tcPr>
          <w:p>
            <w:pPr>
              <w:rPr>
                <w:rFonts w:ascii="宋体" w:hAnsi="宋体" w:cs="宋体"/>
                <w:color w:val="auto"/>
                <w:szCs w:val="21"/>
                <w:highlight w:val="none"/>
              </w:rPr>
            </w:pPr>
          </w:p>
        </w:tc>
        <w:tc>
          <w:tcPr>
            <w:tcW w:w="780" w:type="dxa"/>
            <w:vMerge w:val="continue"/>
          </w:tcPr>
          <w:p>
            <w:pPr>
              <w:rPr>
                <w:rFonts w:ascii="宋体" w:hAnsi="宋体" w:cs="宋体"/>
                <w:color w:val="auto"/>
                <w:szCs w:val="21"/>
                <w:highlight w:val="none"/>
              </w:rPr>
            </w:pPr>
          </w:p>
        </w:tc>
        <w:tc>
          <w:tcPr>
            <w:tcW w:w="4500" w:type="dxa"/>
          </w:tcPr>
          <w:p>
            <w:pPr>
              <w:rPr>
                <w:rFonts w:ascii="宋体" w:hAnsi="宋体" w:cs="宋体"/>
                <w:color w:val="auto"/>
                <w:szCs w:val="21"/>
                <w:highlight w:val="none"/>
              </w:rPr>
            </w:pPr>
          </w:p>
        </w:tc>
      </w:tr>
    </w:tbl>
    <w:p>
      <w:pPr>
        <w:spacing w:line="360" w:lineRule="auto"/>
        <w:rPr>
          <w:rFonts w:ascii="宋体" w:hAnsi="宋体" w:cs="宋体"/>
          <w:b/>
          <w:color w:val="auto"/>
          <w:sz w:val="24"/>
          <w:szCs w:val="24"/>
          <w:highlight w:val="none"/>
        </w:rPr>
      </w:pPr>
      <w:r>
        <w:rPr>
          <w:rFonts w:hint="eastAsia" w:ascii="宋体" w:hAnsi="宋体" w:cs="宋体"/>
          <w:color w:val="auto"/>
          <w:szCs w:val="21"/>
          <w:highlight w:val="none"/>
        </w:rPr>
        <w:t xml:space="preserve">评标委员会全体评委签名：                              </w:t>
      </w:r>
      <w:r>
        <w:rPr>
          <w:rFonts w:hint="eastAsia" w:ascii="宋体" w:hAnsi="宋体" w:cs="宋体"/>
          <w:color w:val="auto"/>
          <w:kern w:val="0"/>
          <w:highlight w:val="none"/>
        </w:rPr>
        <w:t>日期：   年   月  日</w:t>
      </w:r>
    </w:p>
    <w:p>
      <w:pPr>
        <w:spacing w:line="360" w:lineRule="auto"/>
        <w:jc w:val="center"/>
        <w:rPr>
          <w:rFonts w:ascii="宋体" w:hAnsi="宋体" w:cs="宋体"/>
          <w:b/>
          <w:color w:val="auto"/>
          <w:sz w:val="36"/>
          <w:szCs w:val="36"/>
          <w:highlight w:val="none"/>
        </w:rPr>
      </w:pPr>
    </w:p>
    <w:p>
      <w:pPr>
        <w:pageBreakBefore/>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总得分及排序表</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工程名称：</w:t>
      </w:r>
    </w:p>
    <w:tbl>
      <w:tblPr>
        <w:tblStyle w:val="34"/>
        <w:tblW w:w="0" w:type="auto"/>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962"/>
        <w:gridCol w:w="1457"/>
        <w:gridCol w:w="1542"/>
        <w:gridCol w:w="993"/>
        <w:gridCol w:w="1017"/>
        <w:gridCol w:w="902"/>
        <w:gridCol w:w="902"/>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6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145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投标价C（元）</w:t>
            </w:r>
          </w:p>
        </w:tc>
        <w:tc>
          <w:tcPr>
            <w:tcW w:w="1542" w:type="dxa"/>
          </w:tcPr>
          <w:p>
            <w:pPr>
              <w:jc w:val="center"/>
              <w:rPr>
                <w:rFonts w:ascii="宋体" w:hAnsi="宋体" w:cs="宋体"/>
                <w:color w:val="auto"/>
                <w:szCs w:val="21"/>
                <w:highlight w:val="none"/>
              </w:rPr>
            </w:pPr>
            <w:r>
              <w:rPr>
                <w:rFonts w:hint="eastAsia" w:ascii="宋体" w:hAnsi="宋体" w:cs="宋体"/>
                <w:color w:val="auto"/>
                <w:szCs w:val="21"/>
                <w:highlight w:val="none"/>
              </w:rPr>
              <w:t>评标基准价（元）</w:t>
            </w:r>
          </w:p>
        </w:tc>
        <w:tc>
          <w:tcPr>
            <w:tcW w:w="99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偏差</w:t>
            </w:r>
          </w:p>
        </w:tc>
        <w:tc>
          <w:tcPr>
            <w:tcW w:w="1017" w:type="dxa"/>
          </w:tcPr>
          <w:p>
            <w:pPr>
              <w:jc w:val="center"/>
              <w:rPr>
                <w:rFonts w:ascii="宋体" w:hAnsi="宋体" w:cs="宋体"/>
                <w:color w:val="auto"/>
                <w:szCs w:val="21"/>
                <w:highlight w:val="none"/>
              </w:rPr>
            </w:pPr>
            <w:r>
              <w:rPr>
                <w:rFonts w:hint="eastAsia" w:ascii="宋体" w:hAnsi="宋体" w:cs="宋体"/>
                <w:color w:val="auto"/>
                <w:szCs w:val="21"/>
                <w:highlight w:val="none"/>
              </w:rPr>
              <w:t>投标报价分</w:t>
            </w:r>
          </w:p>
        </w:tc>
        <w:tc>
          <w:tcPr>
            <w:tcW w:w="902" w:type="dxa"/>
          </w:tcPr>
          <w:p>
            <w:pPr>
              <w:jc w:val="center"/>
              <w:rPr>
                <w:rFonts w:ascii="宋体" w:hAnsi="宋体" w:cs="宋体"/>
                <w:color w:val="auto"/>
                <w:szCs w:val="21"/>
                <w:highlight w:val="none"/>
              </w:rPr>
            </w:pPr>
            <w:r>
              <w:rPr>
                <w:rFonts w:hint="eastAsia" w:ascii="宋体" w:hAnsi="宋体" w:cs="宋体"/>
                <w:color w:val="auto"/>
                <w:szCs w:val="21"/>
                <w:highlight w:val="none"/>
              </w:rPr>
              <w:t>诚信评价分</w:t>
            </w:r>
          </w:p>
        </w:tc>
        <w:tc>
          <w:tcPr>
            <w:tcW w:w="902" w:type="dxa"/>
          </w:tcPr>
          <w:p>
            <w:pPr>
              <w:jc w:val="center"/>
              <w:rPr>
                <w:rFonts w:ascii="宋体" w:hAnsi="宋体" w:cs="宋体"/>
                <w:color w:val="auto"/>
                <w:szCs w:val="21"/>
                <w:highlight w:val="none"/>
              </w:rPr>
            </w:pPr>
            <w:r>
              <w:rPr>
                <w:rFonts w:hint="eastAsia" w:ascii="宋体" w:hAnsi="宋体" w:cs="宋体"/>
                <w:color w:val="auto"/>
                <w:szCs w:val="21"/>
                <w:highlight w:val="none"/>
              </w:rPr>
              <w:t>总得分</w:t>
            </w:r>
          </w:p>
        </w:tc>
        <w:tc>
          <w:tcPr>
            <w:tcW w:w="90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restart"/>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spacing w:line="560" w:lineRule="exact"/>
              <w:rPr>
                <w:rFonts w:ascii="宋体" w:hAnsi="宋体" w:cs="宋体"/>
                <w:color w:val="auto"/>
                <w:szCs w:val="21"/>
                <w:highlight w:val="none"/>
              </w:rPr>
            </w:pPr>
          </w:p>
        </w:tc>
        <w:tc>
          <w:tcPr>
            <w:tcW w:w="1962" w:type="dxa"/>
          </w:tcPr>
          <w:p>
            <w:pPr>
              <w:spacing w:line="560" w:lineRule="exact"/>
              <w:rPr>
                <w:rFonts w:ascii="宋体" w:hAnsi="宋体" w:cs="宋体"/>
                <w:color w:val="auto"/>
                <w:szCs w:val="21"/>
                <w:highlight w:val="none"/>
              </w:rPr>
            </w:pPr>
          </w:p>
        </w:tc>
        <w:tc>
          <w:tcPr>
            <w:tcW w:w="1457" w:type="dxa"/>
          </w:tcPr>
          <w:p>
            <w:pPr>
              <w:spacing w:line="560" w:lineRule="exact"/>
              <w:rPr>
                <w:rFonts w:ascii="宋体" w:hAnsi="宋体" w:cs="宋体"/>
                <w:color w:val="auto"/>
                <w:szCs w:val="21"/>
                <w:highlight w:val="none"/>
              </w:rPr>
            </w:pPr>
          </w:p>
        </w:tc>
        <w:tc>
          <w:tcPr>
            <w:tcW w:w="1542" w:type="dxa"/>
            <w:vMerge w:val="continue"/>
          </w:tcPr>
          <w:p>
            <w:pPr>
              <w:spacing w:line="560" w:lineRule="exact"/>
              <w:rPr>
                <w:rFonts w:ascii="宋体" w:hAnsi="宋体" w:cs="宋体"/>
                <w:color w:val="auto"/>
                <w:szCs w:val="21"/>
                <w:highlight w:val="none"/>
              </w:rPr>
            </w:pPr>
          </w:p>
        </w:tc>
        <w:tc>
          <w:tcPr>
            <w:tcW w:w="993" w:type="dxa"/>
          </w:tcPr>
          <w:p>
            <w:pPr>
              <w:spacing w:line="560" w:lineRule="exact"/>
              <w:rPr>
                <w:rFonts w:ascii="宋体" w:hAnsi="宋体" w:cs="宋体"/>
                <w:color w:val="auto"/>
                <w:szCs w:val="21"/>
                <w:highlight w:val="none"/>
              </w:rPr>
            </w:pPr>
          </w:p>
        </w:tc>
        <w:tc>
          <w:tcPr>
            <w:tcW w:w="1017"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c>
          <w:tcPr>
            <w:tcW w:w="902" w:type="dxa"/>
          </w:tcPr>
          <w:p>
            <w:pPr>
              <w:spacing w:line="560" w:lineRule="exact"/>
              <w:rPr>
                <w:rFonts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 xml:space="preserve">评标委员会全体评委签名：                              </w:t>
      </w:r>
      <w:r>
        <w:rPr>
          <w:rFonts w:hint="eastAsia" w:ascii="宋体" w:hAnsi="宋体" w:cs="宋体"/>
          <w:color w:val="auto"/>
          <w:kern w:val="0"/>
          <w:highlight w:val="none"/>
        </w:rPr>
        <w:t>日期：   年   月  日</w:t>
      </w:r>
    </w:p>
    <w:p>
      <w:pPr>
        <w:rPr>
          <w:rFonts w:ascii="宋体" w:hAnsi="宋体" w:cs="宋体"/>
          <w:color w:val="auto"/>
          <w:highlight w:val="none"/>
        </w:rPr>
      </w:pPr>
    </w:p>
    <w:p>
      <w:pPr>
        <w:rPr>
          <w:rFonts w:ascii="宋体" w:hAnsi="宋体" w:cs="宋体"/>
          <w:color w:val="auto"/>
          <w:sz w:val="32"/>
          <w:szCs w:val="27"/>
          <w:highlight w:val="none"/>
        </w:rPr>
      </w:pPr>
    </w:p>
    <w:p>
      <w:pPr>
        <w:pageBreakBefore/>
        <w:spacing w:line="360" w:lineRule="auto"/>
        <w:jc w:val="center"/>
        <w:outlineLvl w:val="1"/>
        <w:rPr>
          <w:rFonts w:ascii="宋体" w:hAnsi="宋体" w:cs="宋体"/>
          <w:color w:val="auto"/>
          <w:sz w:val="32"/>
          <w:szCs w:val="27"/>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pageBreakBefore/>
        <w:spacing w:line="360" w:lineRule="auto"/>
        <w:jc w:val="center"/>
        <w:outlineLvl w:val="1"/>
        <w:rPr>
          <w:rFonts w:ascii="宋体" w:hAnsi="宋体" w:cs="宋体"/>
          <w:color w:val="auto"/>
          <w:sz w:val="32"/>
          <w:szCs w:val="27"/>
          <w:highlight w:val="none"/>
        </w:rPr>
      </w:pPr>
      <w:bookmarkStart w:id="265" w:name="_Toc17556890"/>
      <w:bookmarkStart w:id="266" w:name="_Toc17452678"/>
      <w:bookmarkStart w:id="267" w:name="_Toc17451115"/>
      <w:bookmarkStart w:id="268" w:name="_Toc17454936"/>
      <w:bookmarkStart w:id="269" w:name="_Toc17451637"/>
      <w:bookmarkStart w:id="270" w:name="_Toc17454885"/>
      <w:bookmarkStart w:id="271" w:name="_Toc17451592"/>
      <w:bookmarkStart w:id="272" w:name="_Toc132193453"/>
      <w:r>
        <w:rPr>
          <w:rFonts w:hint="eastAsia" w:ascii="宋体" w:hAnsi="宋体" w:cs="宋体"/>
          <w:color w:val="auto"/>
          <w:sz w:val="32"/>
          <w:szCs w:val="27"/>
          <w:highlight w:val="none"/>
        </w:rPr>
        <w:t>第四章 合同条款</w:t>
      </w:r>
      <w:bookmarkEnd w:id="264"/>
      <w:bookmarkEnd w:id="265"/>
      <w:bookmarkEnd w:id="266"/>
      <w:bookmarkEnd w:id="267"/>
      <w:bookmarkEnd w:id="268"/>
      <w:bookmarkEnd w:id="269"/>
      <w:bookmarkEnd w:id="270"/>
      <w:bookmarkEnd w:id="271"/>
      <w:bookmarkEnd w:id="272"/>
    </w:p>
    <w:p>
      <w:pPr>
        <w:spacing w:line="360" w:lineRule="auto"/>
        <w:jc w:val="center"/>
        <w:rPr>
          <w:rFonts w:ascii="宋体" w:hAnsi="宋体" w:cs="宋体"/>
          <w:color w:val="auto"/>
          <w:sz w:val="32"/>
          <w:szCs w:val="27"/>
          <w:highlight w:val="none"/>
        </w:rPr>
      </w:pPr>
      <w:r>
        <w:rPr>
          <w:rFonts w:hint="eastAsia" w:ascii="宋体" w:hAnsi="宋体" w:cs="宋体"/>
          <w:color w:val="auto"/>
          <w:szCs w:val="21"/>
          <w:highlight w:val="none"/>
        </w:rPr>
        <w:t>（另册）</w:t>
      </w:r>
    </w:p>
    <w:p>
      <w:pPr>
        <w:spacing w:before="120" w:line="620" w:lineRule="exact"/>
        <w:ind w:left="27" w:leftChars="13" w:firstLine="480" w:firstLineChars="200"/>
        <w:jc w:val="left"/>
        <w:rPr>
          <w:rFonts w:ascii="宋体" w:hAnsi="宋体" w:cs="宋体"/>
          <w:color w:val="auto"/>
          <w:sz w:val="24"/>
          <w:szCs w:val="24"/>
          <w:highlight w:val="none"/>
        </w:rPr>
      </w:pPr>
    </w:p>
    <w:p>
      <w:pPr>
        <w:pageBreakBefore/>
        <w:spacing w:line="360" w:lineRule="auto"/>
        <w:jc w:val="center"/>
        <w:outlineLvl w:val="1"/>
        <w:rPr>
          <w:rFonts w:ascii="宋体" w:hAnsi="宋体" w:cs="宋体"/>
          <w:color w:val="auto"/>
          <w:sz w:val="32"/>
          <w:szCs w:val="27"/>
          <w:highlight w:val="none"/>
        </w:rPr>
      </w:pPr>
      <w:bookmarkStart w:id="273" w:name="_Toc259524395"/>
      <w:bookmarkStart w:id="274" w:name="_Toc229305403"/>
      <w:bookmarkStart w:id="275" w:name="_Toc221951336"/>
      <w:bookmarkStart w:id="276" w:name="_Toc222033895"/>
      <w:bookmarkStart w:id="277" w:name="_Toc222031046"/>
      <w:bookmarkStart w:id="278" w:name="_Toc222032713"/>
      <w:bookmarkStart w:id="279" w:name="_Toc222029544"/>
      <w:bookmarkStart w:id="280" w:name="_Toc17454886"/>
      <w:bookmarkStart w:id="281" w:name="_Toc17454937"/>
      <w:bookmarkStart w:id="282" w:name="_Toc132193454"/>
      <w:bookmarkStart w:id="283" w:name="_Toc17451593"/>
      <w:bookmarkStart w:id="284" w:name="_Toc17451116"/>
      <w:bookmarkStart w:id="285" w:name="_Toc17556891"/>
      <w:bookmarkStart w:id="286" w:name="_Toc17452679"/>
      <w:bookmarkStart w:id="287" w:name="_Toc17451638"/>
      <w:r>
        <w:rPr>
          <w:rFonts w:hint="eastAsia" w:ascii="宋体" w:hAnsi="宋体" w:cs="宋体"/>
          <w:color w:val="auto"/>
          <w:sz w:val="32"/>
          <w:szCs w:val="27"/>
          <w:highlight w:val="none"/>
        </w:rPr>
        <w:t>第五章 工程量清单</w:t>
      </w:r>
      <w:bookmarkEnd w:id="273"/>
      <w:bookmarkEnd w:id="274"/>
      <w:bookmarkEnd w:id="275"/>
      <w:bookmarkEnd w:id="276"/>
      <w:bookmarkEnd w:id="277"/>
      <w:bookmarkEnd w:id="278"/>
      <w:bookmarkEnd w:id="279"/>
      <w:r>
        <w:rPr>
          <w:rFonts w:hint="eastAsia" w:ascii="宋体" w:hAnsi="宋体" w:cs="宋体"/>
          <w:color w:val="auto"/>
          <w:sz w:val="32"/>
          <w:szCs w:val="27"/>
          <w:highlight w:val="none"/>
        </w:rPr>
        <w:t>（固定单价承包）</w:t>
      </w:r>
      <w:bookmarkEnd w:id="280"/>
      <w:bookmarkEnd w:id="281"/>
      <w:bookmarkEnd w:id="282"/>
      <w:bookmarkEnd w:id="283"/>
      <w:bookmarkEnd w:id="284"/>
      <w:bookmarkEnd w:id="285"/>
      <w:bookmarkEnd w:id="286"/>
      <w:bookmarkEnd w:id="287"/>
    </w:p>
    <w:p>
      <w:pPr>
        <w:spacing w:line="360" w:lineRule="auto"/>
        <w:jc w:val="center"/>
        <w:outlineLvl w:val="2"/>
        <w:rPr>
          <w:rFonts w:ascii="宋体" w:hAnsi="宋体"/>
          <w:b/>
          <w:color w:val="auto"/>
          <w:sz w:val="28"/>
          <w:szCs w:val="27"/>
          <w:highlight w:val="none"/>
        </w:rPr>
      </w:pPr>
      <w:bookmarkStart w:id="288" w:name="_Toc4816"/>
      <w:bookmarkStart w:id="289" w:name="_Toc17454942"/>
      <w:bookmarkStart w:id="290" w:name="_Toc132193455"/>
      <w:bookmarkStart w:id="291" w:name="_Toc17452684"/>
      <w:bookmarkStart w:id="292" w:name="_Toc17451643"/>
      <w:bookmarkStart w:id="293" w:name="_Toc17556896"/>
      <w:bookmarkStart w:id="294" w:name="_Toc17454891"/>
      <w:bookmarkStart w:id="295" w:name="_Toc17451598"/>
      <w:bookmarkStart w:id="296" w:name="_Toc17451121"/>
      <w:bookmarkStart w:id="297" w:name="_Toc221951339"/>
      <w:r>
        <w:rPr>
          <w:rFonts w:hint="eastAsia" w:ascii="宋体" w:hAnsi="宋体"/>
          <w:b/>
          <w:color w:val="auto"/>
          <w:sz w:val="28"/>
          <w:szCs w:val="27"/>
          <w:highlight w:val="none"/>
        </w:rPr>
        <w:t>一、工程量清单说明</w:t>
      </w:r>
      <w:bookmarkEnd w:id="288"/>
      <w:bookmarkEnd w:id="289"/>
      <w:bookmarkEnd w:id="290"/>
      <w:bookmarkEnd w:id="291"/>
      <w:bookmarkEnd w:id="292"/>
      <w:bookmarkEnd w:id="293"/>
      <w:bookmarkEnd w:id="294"/>
      <w:bookmarkEnd w:id="295"/>
      <w:bookmarkEnd w:id="296"/>
    </w:p>
    <w:p>
      <w:pPr>
        <w:spacing w:line="360" w:lineRule="auto"/>
        <w:ind w:firstLine="480" w:firstLineChars="200"/>
        <w:rPr>
          <w:rFonts w:ascii="宋体" w:hAnsi="宋体"/>
          <w:i/>
          <w:color w:val="auto"/>
          <w:sz w:val="24"/>
          <w:highlight w:val="none"/>
        </w:rPr>
      </w:pPr>
      <w:r>
        <w:rPr>
          <w:rFonts w:hint="eastAsia" w:ascii="宋体" w:hAnsi="宋体"/>
          <w:i/>
          <w:color w:val="auto"/>
          <w:sz w:val="24"/>
          <w:highlight w:val="none"/>
        </w:rPr>
        <w:t>（说明：本说明内容仅供参考，招标人可以根据项目情况修改。）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本工程量清单应与招标文件中的投标人须知、通用合同条款、专用合同条款、技术标准和要求及图纸等一起阅读和理解。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 本工程量清单仅是投标报价的共同基础，实际工程计量和工程价款的支付应遵循合同条款的约定和第七章“技术标准和要求”的有关规定。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 补充子目工程量计算规则及子目工作内容说明：</w:t>
      </w:r>
      <w:r>
        <w:rPr>
          <w:rFonts w:hint="eastAsia" w:ascii="宋体" w:hAnsi="宋体"/>
          <w:color w:val="auto"/>
          <w:sz w:val="24"/>
          <w:highlight w:val="none"/>
          <w:u w:val="single"/>
        </w:rPr>
        <w:t>/</w:t>
      </w:r>
      <w:r>
        <w:rPr>
          <w:rFonts w:hint="eastAsia" w:ascii="宋体" w:hAnsi="宋体"/>
          <w:color w:val="auto"/>
          <w:sz w:val="24"/>
          <w:highlight w:val="none"/>
        </w:rPr>
        <w:t>。</w:t>
      </w:r>
    </w:p>
    <w:p>
      <w:pPr>
        <w:spacing w:line="360" w:lineRule="auto"/>
        <w:jc w:val="center"/>
        <w:outlineLvl w:val="2"/>
        <w:rPr>
          <w:rFonts w:ascii="宋体" w:hAnsi="宋体"/>
          <w:b/>
          <w:color w:val="auto"/>
          <w:sz w:val="28"/>
          <w:szCs w:val="27"/>
          <w:highlight w:val="none"/>
        </w:rPr>
      </w:pPr>
      <w:bookmarkStart w:id="298" w:name="_Toc17452685"/>
      <w:bookmarkStart w:id="299" w:name="_Toc17454943"/>
      <w:bookmarkStart w:id="300" w:name="_Toc11526"/>
      <w:bookmarkStart w:id="301" w:name="_Toc17451122"/>
      <w:bookmarkStart w:id="302" w:name="_Toc17556897"/>
      <w:bookmarkStart w:id="303" w:name="_Toc17454892"/>
      <w:bookmarkStart w:id="304" w:name="_Toc296602589"/>
      <w:bookmarkStart w:id="305" w:name="_Toc17451599"/>
      <w:bookmarkStart w:id="306" w:name="_Toc132193456"/>
      <w:bookmarkStart w:id="307" w:name="_Toc17451644"/>
      <w:r>
        <w:rPr>
          <w:rFonts w:hint="eastAsia" w:ascii="宋体" w:hAnsi="宋体"/>
          <w:b/>
          <w:color w:val="auto"/>
          <w:sz w:val="28"/>
          <w:szCs w:val="27"/>
          <w:highlight w:val="none"/>
        </w:rPr>
        <w:t>二、投标报价说明</w:t>
      </w:r>
      <w:bookmarkEnd w:id="298"/>
      <w:bookmarkEnd w:id="299"/>
      <w:bookmarkEnd w:id="300"/>
      <w:bookmarkEnd w:id="301"/>
      <w:bookmarkEnd w:id="302"/>
      <w:bookmarkEnd w:id="303"/>
      <w:bookmarkEnd w:id="304"/>
      <w:bookmarkEnd w:id="305"/>
      <w:bookmarkEnd w:id="306"/>
      <w:bookmarkEnd w:id="30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工程量清单中的每一子目须填入单价或价格，且只允许有一个报价。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 工程量清单中标价的单价或金额，应包括所需的人工费、材料和施工机具使用费和企业管理费、利润以及一定范围内的风险费用等。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2.3 工程量清单中投标人没有填入单价或价格的子目，其费用视为已分摊在工程量清单中其他相关子目的单价或价格之中。</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2.4 暂列金额的数量及拟用子目的说明：</w:t>
      </w:r>
    </w:p>
    <w:p>
      <w:pPr>
        <w:spacing w:line="360" w:lineRule="auto"/>
        <w:ind w:firstLine="480" w:firstLineChars="200"/>
        <w:rPr>
          <w:rFonts w:ascii="宋体" w:hAnsi="宋体"/>
          <w:i/>
          <w:color w:val="auto"/>
          <w:sz w:val="24"/>
          <w:highlight w:val="none"/>
        </w:rPr>
      </w:pPr>
      <w:r>
        <w:rPr>
          <w:rFonts w:hint="eastAsia" w:ascii="宋体" w:hAnsi="宋体"/>
          <w:i/>
          <w:color w:val="auto"/>
          <w:sz w:val="24"/>
          <w:highlight w:val="none"/>
        </w:rPr>
        <w:t>（说明：由招标人根据项目情况拟订，对投标报价采用的定额、取费标准等进行说明）</w:t>
      </w:r>
    </w:p>
    <w:p>
      <w:pPr>
        <w:spacing w:line="360" w:lineRule="auto"/>
        <w:jc w:val="center"/>
        <w:outlineLvl w:val="2"/>
        <w:rPr>
          <w:rFonts w:ascii="宋体" w:hAnsi="宋体" w:cs="宋体"/>
          <w:b/>
          <w:color w:val="auto"/>
          <w:sz w:val="28"/>
          <w:szCs w:val="27"/>
          <w:highlight w:val="none"/>
        </w:rPr>
      </w:pPr>
      <w:bookmarkStart w:id="308" w:name="_Toc179632792"/>
      <w:bookmarkStart w:id="309" w:name="_Toc17452682"/>
      <w:bookmarkStart w:id="310" w:name="_Toc17556894"/>
      <w:bookmarkStart w:id="311" w:name="_Toc17454889"/>
      <w:bookmarkStart w:id="312" w:name="_Toc132193457"/>
      <w:bookmarkStart w:id="313" w:name="_Toc17454940"/>
      <w:bookmarkStart w:id="314" w:name="_Toc17451119"/>
      <w:bookmarkStart w:id="315" w:name="_Toc17451596"/>
      <w:bookmarkStart w:id="316" w:name="_Toc247085858"/>
      <w:bookmarkStart w:id="317" w:name="_Toc246996343"/>
      <w:bookmarkStart w:id="318" w:name="_Toc246997086"/>
      <w:bookmarkStart w:id="319" w:name="_Toc17451641"/>
      <w:bookmarkStart w:id="320" w:name="_Toc152045775"/>
      <w:bookmarkStart w:id="321" w:name="_Toc152042557"/>
      <w:bookmarkStart w:id="322" w:name="_Toc144974837"/>
      <w:bookmarkStart w:id="323" w:name="_Toc332641416"/>
      <w:r>
        <w:rPr>
          <w:rFonts w:hint="eastAsia" w:ascii="宋体" w:hAnsi="宋体" w:cs="宋体"/>
          <w:b/>
          <w:color w:val="auto"/>
          <w:sz w:val="28"/>
          <w:szCs w:val="27"/>
          <w:highlight w:val="none"/>
        </w:rPr>
        <w:t>三、其他说明</w:t>
      </w:r>
      <w:bookmarkEnd w:id="308"/>
      <w:bookmarkEnd w:id="309"/>
      <w:bookmarkEnd w:id="310"/>
      <w:bookmarkEnd w:id="311"/>
      <w:bookmarkEnd w:id="312"/>
      <w:bookmarkEnd w:id="313"/>
      <w:bookmarkEnd w:id="314"/>
      <w:bookmarkEnd w:id="315"/>
      <w:bookmarkEnd w:id="316"/>
      <w:bookmarkEnd w:id="317"/>
      <w:bookmarkEnd w:id="318"/>
      <w:bookmarkEnd w:id="319"/>
    </w:p>
    <w:p>
      <w:pPr>
        <w:spacing w:line="360" w:lineRule="auto"/>
        <w:ind w:firstLine="480" w:firstLineChars="200"/>
        <w:jc w:val="left"/>
        <w:rPr>
          <w:rFonts w:ascii="宋体" w:hAnsi="宋体" w:cs="宋体"/>
          <w:i/>
          <w:color w:val="auto"/>
          <w:sz w:val="24"/>
          <w:highlight w:val="none"/>
        </w:rPr>
      </w:pPr>
      <w:r>
        <w:rPr>
          <w:rFonts w:hint="eastAsia" w:ascii="宋体" w:hAnsi="宋体" w:cs="宋体"/>
          <w:i/>
          <w:color w:val="auto"/>
          <w:sz w:val="24"/>
          <w:highlight w:val="none"/>
        </w:rPr>
        <w:t>（说明：招标人根据实际情况补充）</w:t>
      </w:r>
    </w:p>
    <w:p>
      <w:pPr>
        <w:spacing w:line="360" w:lineRule="auto"/>
        <w:jc w:val="center"/>
        <w:outlineLvl w:val="2"/>
        <w:rPr>
          <w:rFonts w:ascii="宋体" w:hAnsi="宋体" w:cs="宋体"/>
          <w:b/>
          <w:color w:val="auto"/>
          <w:sz w:val="28"/>
          <w:szCs w:val="27"/>
          <w:highlight w:val="none"/>
        </w:rPr>
      </w:pPr>
      <w:bookmarkStart w:id="324" w:name="_Toc17556895"/>
      <w:bookmarkStart w:id="325" w:name="_Toc179632793"/>
      <w:bookmarkStart w:id="326" w:name="_Toc144974838"/>
      <w:bookmarkStart w:id="327" w:name="_Toc332641417"/>
      <w:bookmarkStart w:id="328" w:name="_Toc247085859"/>
      <w:bookmarkStart w:id="329" w:name="_Toc17454941"/>
      <w:bookmarkStart w:id="330" w:name="_Toc17454890"/>
      <w:bookmarkStart w:id="331" w:name="_Toc17451642"/>
      <w:bookmarkStart w:id="332" w:name="_Toc132193458"/>
      <w:bookmarkStart w:id="333" w:name="_Toc152042558"/>
      <w:bookmarkStart w:id="334" w:name="_Toc17451597"/>
      <w:bookmarkStart w:id="335" w:name="_Toc17452683"/>
      <w:bookmarkStart w:id="336" w:name="_Toc246997087"/>
      <w:bookmarkStart w:id="337" w:name="_Toc246996344"/>
      <w:bookmarkStart w:id="338" w:name="_Toc152045776"/>
      <w:bookmarkStart w:id="339" w:name="_Toc17451120"/>
      <w:r>
        <w:rPr>
          <w:rFonts w:hint="eastAsia" w:ascii="宋体" w:hAnsi="宋体" w:cs="宋体"/>
          <w:b/>
          <w:color w:val="auto"/>
          <w:sz w:val="28"/>
          <w:szCs w:val="27"/>
          <w:highlight w:val="none"/>
        </w:rPr>
        <w:t>四、工程量清单</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spacing w:line="360" w:lineRule="auto"/>
        <w:ind w:firstLine="480" w:firstLineChars="200"/>
        <w:jc w:val="left"/>
        <w:rPr>
          <w:rFonts w:ascii="宋体" w:hAnsi="宋体" w:cs="宋体"/>
          <w:i/>
          <w:color w:val="auto"/>
          <w:sz w:val="24"/>
          <w:highlight w:val="none"/>
        </w:rPr>
      </w:pPr>
      <w:r>
        <w:rPr>
          <w:rFonts w:hint="eastAsia" w:ascii="宋体" w:hAnsi="宋体" w:cs="宋体"/>
          <w:i/>
          <w:color w:val="auto"/>
          <w:sz w:val="24"/>
          <w:highlight w:val="none"/>
        </w:rPr>
        <w:t>（说明：由招标人根据项目情况自定）</w:t>
      </w:r>
      <w:bookmarkEnd w:id="297"/>
      <w:bookmarkStart w:id="340" w:name="_Toc221948392"/>
      <w:bookmarkStart w:id="341" w:name="_Toc259524404"/>
      <w:bookmarkStart w:id="342" w:name="_Toc229305436"/>
      <w:bookmarkStart w:id="343" w:name="_Toc222032745"/>
      <w:bookmarkStart w:id="344" w:name="_Toc222029576"/>
      <w:bookmarkStart w:id="345" w:name="_Toc221952224"/>
      <w:bookmarkStart w:id="346" w:name="_Toc222031078"/>
      <w:bookmarkStart w:id="347" w:name="_Toc222033927"/>
    </w:p>
    <w:p>
      <w:pPr>
        <w:spacing w:line="360" w:lineRule="auto"/>
        <w:jc w:val="left"/>
        <w:rPr>
          <w:rFonts w:ascii="宋体" w:hAnsi="宋体" w:cs="宋体"/>
          <w:i/>
          <w:color w:val="auto"/>
          <w:sz w:val="24"/>
          <w:highlight w:val="none"/>
        </w:rPr>
      </w:pPr>
    </w:p>
    <w:p>
      <w:pPr>
        <w:rPr>
          <w:rFonts w:ascii="宋体" w:hAnsi="宋体" w:cs="宋体"/>
          <w:color w:val="auto"/>
          <w:highlight w:val="none"/>
        </w:rPr>
      </w:pPr>
    </w:p>
    <w:p>
      <w:pPr>
        <w:rPr>
          <w:rFonts w:ascii="宋体" w:hAnsi="宋体" w:cs="宋体"/>
          <w:color w:val="auto"/>
          <w:highlight w:val="none"/>
        </w:rPr>
      </w:pPr>
    </w:p>
    <w:p>
      <w:pPr>
        <w:widowControl/>
        <w:jc w:val="left"/>
        <w:rPr>
          <w:rFonts w:ascii="宋体" w:hAnsi="宋体" w:cs="宋体"/>
          <w:color w:val="auto"/>
          <w:highlight w:val="none"/>
        </w:rPr>
      </w:pPr>
      <w:r>
        <w:rPr>
          <w:rFonts w:ascii="宋体" w:hAnsi="宋体" w:cs="宋体"/>
          <w:color w:val="auto"/>
          <w:highlight w:val="none"/>
        </w:rPr>
        <w:br w:type="page"/>
      </w:r>
    </w:p>
    <w:p>
      <w:pPr>
        <w:numPr>
          <w:ilvl w:val="0"/>
          <w:numId w:val="3"/>
        </w:numPr>
        <w:spacing w:line="360" w:lineRule="auto"/>
        <w:jc w:val="center"/>
        <w:outlineLvl w:val="1"/>
        <w:rPr>
          <w:rFonts w:ascii="宋体" w:hAnsi="宋体" w:cs="宋体"/>
          <w:color w:val="auto"/>
          <w:sz w:val="32"/>
          <w:szCs w:val="27"/>
          <w:highlight w:val="none"/>
        </w:rPr>
      </w:pPr>
      <w:bookmarkStart w:id="348" w:name="_Toc17451602"/>
      <w:bookmarkStart w:id="349" w:name="_Toc17451125"/>
      <w:bookmarkStart w:id="350" w:name="_Toc17454946"/>
      <w:bookmarkStart w:id="351" w:name="_Toc132193459"/>
      <w:bookmarkStart w:id="352" w:name="_Toc17451647"/>
      <w:bookmarkStart w:id="353" w:name="_Toc17556900"/>
      <w:bookmarkStart w:id="354" w:name="_Toc17452688"/>
      <w:bookmarkStart w:id="355" w:name="_Toc17454895"/>
      <w:r>
        <w:rPr>
          <w:rFonts w:hint="eastAsia" w:ascii="宋体" w:hAnsi="宋体" w:cs="宋体"/>
          <w:color w:val="auto"/>
          <w:sz w:val="32"/>
          <w:szCs w:val="27"/>
          <w:highlight w:val="none"/>
        </w:rPr>
        <w:t>图纸</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（另册）</w:t>
      </w:r>
    </w:p>
    <w:p>
      <w:pPr>
        <w:widowControl/>
        <w:jc w:val="left"/>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jc w:val="center"/>
        <w:outlineLvl w:val="1"/>
        <w:rPr>
          <w:rFonts w:ascii="宋体" w:hAnsi="宋体" w:cs="宋体"/>
          <w:color w:val="auto"/>
          <w:sz w:val="32"/>
          <w:szCs w:val="27"/>
          <w:highlight w:val="none"/>
        </w:rPr>
      </w:pPr>
      <w:bookmarkStart w:id="356" w:name="_Toc259524409"/>
      <w:bookmarkStart w:id="357" w:name="_Toc132193460"/>
      <w:bookmarkStart w:id="358" w:name="_Toc17451127"/>
      <w:bookmarkStart w:id="359" w:name="_Toc17454897"/>
      <w:bookmarkStart w:id="360" w:name="_Toc17556902"/>
      <w:bookmarkStart w:id="361" w:name="_Toc17454948"/>
      <w:bookmarkStart w:id="362" w:name="_Toc17452690"/>
      <w:bookmarkStart w:id="363" w:name="_Toc17451604"/>
      <w:bookmarkStart w:id="364" w:name="_Toc17451649"/>
      <w:r>
        <w:rPr>
          <w:rFonts w:hint="eastAsia" w:ascii="宋体" w:hAnsi="宋体" w:cs="宋体"/>
          <w:color w:val="auto"/>
          <w:sz w:val="32"/>
          <w:szCs w:val="27"/>
          <w:highlight w:val="none"/>
        </w:rPr>
        <w:t>第七章 技术标准和要求</w:t>
      </w:r>
      <w:bookmarkEnd w:id="356"/>
      <w:r>
        <w:rPr>
          <w:rFonts w:hint="eastAsia" w:ascii="宋体" w:hAnsi="宋体" w:cs="宋体"/>
          <w:color w:val="auto"/>
          <w:sz w:val="32"/>
          <w:szCs w:val="27"/>
          <w:highlight w:val="none"/>
        </w:rPr>
        <w:t>（合同技术条款）</w:t>
      </w:r>
      <w:bookmarkEnd w:id="357"/>
      <w:bookmarkEnd w:id="358"/>
      <w:bookmarkEnd w:id="359"/>
      <w:bookmarkEnd w:id="360"/>
      <w:bookmarkEnd w:id="361"/>
      <w:bookmarkEnd w:id="362"/>
      <w:bookmarkEnd w:id="363"/>
      <w:bookmarkEnd w:id="364"/>
    </w:p>
    <w:p>
      <w:pPr>
        <w:spacing w:line="360" w:lineRule="auto"/>
        <w:rPr>
          <w:rFonts w:ascii="宋体" w:hAnsi="宋体" w:cs="宋体"/>
          <w:color w:val="auto"/>
          <w:szCs w:val="21"/>
          <w:highlight w:val="none"/>
        </w:rPr>
      </w:pPr>
      <w:r>
        <w:rPr>
          <w:rFonts w:hint="eastAsia" w:ascii="宋体" w:hAnsi="宋体" w:cs="宋体"/>
          <w:color w:val="auto"/>
          <w:szCs w:val="21"/>
          <w:highlight w:val="none"/>
        </w:rPr>
        <w:t>1、具体按施工图纸。</w:t>
      </w:r>
    </w:p>
    <w:p>
      <w:pPr>
        <w:widowControl/>
        <w:spacing w:line="360" w:lineRule="auto"/>
        <w:jc w:val="left"/>
        <w:rPr>
          <w:rFonts w:ascii="宋体" w:hAnsi="宋体"/>
          <w:color w:val="auto"/>
          <w:highlight w:val="none"/>
        </w:rPr>
      </w:pPr>
      <w:r>
        <w:rPr>
          <w:rFonts w:hint="eastAsia" w:ascii="宋体" w:hAnsi="宋体" w:cs="宋体"/>
          <w:color w:val="auto"/>
          <w:szCs w:val="21"/>
          <w:highlight w:val="none"/>
        </w:rPr>
        <w:t>2、依据设计文件的要求，本招标工程项目的材料、设备、施工须达到中华人民共和国以及省、市或行业的工程建设标准、规范的要求。</w:t>
      </w:r>
    </w:p>
    <w:p>
      <w:pPr>
        <w:widowControl/>
        <w:jc w:val="left"/>
        <w:rPr>
          <w:rFonts w:ascii="宋体" w:hAnsi="宋体"/>
          <w:b/>
          <w:bCs/>
          <w:color w:val="auto"/>
          <w:kern w:val="44"/>
          <w:sz w:val="44"/>
          <w:szCs w:val="44"/>
          <w:highlight w:val="none"/>
        </w:rPr>
      </w:pPr>
      <w:r>
        <w:rPr>
          <w:rFonts w:ascii="宋体" w:hAnsi="宋体"/>
          <w:color w:val="auto"/>
          <w:highlight w:val="none"/>
        </w:rPr>
        <w:br w:type="page"/>
      </w:r>
    </w:p>
    <w:p>
      <w:pPr>
        <w:spacing w:line="360" w:lineRule="auto"/>
        <w:jc w:val="center"/>
        <w:outlineLvl w:val="1"/>
        <w:rPr>
          <w:rFonts w:ascii="宋体" w:hAnsi="宋体" w:cs="宋体"/>
          <w:color w:val="auto"/>
          <w:sz w:val="32"/>
          <w:szCs w:val="27"/>
          <w:highlight w:val="none"/>
        </w:rPr>
      </w:pPr>
      <w:bookmarkStart w:id="365" w:name="_Toc17454898"/>
      <w:bookmarkStart w:id="366" w:name="_Toc17451128"/>
      <w:bookmarkStart w:id="367" w:name="_Toc132193461"/>
      <w:bookmarkStart w:id="368" w:name="_Toc17556903"/>
      <w:bookmarkStart w:id="369" w:name="_Toc17452691"/>
      <w:bookmarkStart w:id="370" w:name="_Toc259524411"/>
      <w:bookmarkStart w:id="371" w:name="_Toc17451650"/>
      <w:bookmarkStart w:id="372" w:name="_Toc17451605"/>
      <w:bookmarkStart w:id="373" w:name="_Toc17454949"/>
      <w:r>
        <w:rPr>
          <w:rFonts w:hint="eastAsia" w:ascii="宋体" w:hAnsi="宋体" w:cs="宋体"/>
          <w:color w:val="auto"/>
          <w:sz w:val="32"/>
          <w:szCs w:val="27"/>
          <w:highlight w:val="none"/>
        </w:rPr>
        <w:t>第八章 投标文件格式</w:t>
      </w:r>
      <w:bookmarkEnd w:id="365"/>
      <w:bookmarkEnd w:id="366"/>
      <w:bookmarkEnd w:id="367"/>
      <w:bookmarkEnd w:id="368"/>
      <w:bookmarkEnd w:id="369"/>
      <w:bookmarkEnd w:id="370"/>
      <w:bookmarkEnd w:id="371"/>
      <w:bookmarkEnd w:id="372"/>
      <w:bookmarkEnd w:id="37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1.1《投标函附录》是投标文件的重要组成部分，其内容是投标人开标信息的主要来源，投标人应准确填写《投标函附录》的相关内容。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《投标函附录》内容按以下表述填写。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投标总工期：“＿日历天”或“按招标文件的要求”；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工程质量标准：“按招标文件的要求”；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保修期限： “按《建设工程质量管理条例》规定”。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1.3工程量清单报价表</w:t>
      </w:r>
      <w:r>
        <w:rPr>
          <w:rFonts w:hint="eastAsia" w:ascii="宋体" w:hAnsi="宋体" w:cs="宋体"/>
          <w:color w:val="auto"/>
          <w:sz w:val="24"/>
          <w:szCs w:val="24"/>
          <w:highlight w:val="none"/>
        </w:rPr>
        <w:t>工程量清单报价表应使用符合广东省标准《建设工程政府投资项目造价数据标准（DBJ/T15-145-2018）》及后续版本的有关规定的cos文件或者投标文件编制工具要求的文件格式，</w:t>
      </w:r>
      <w:r>
        <w:rPr>
          <w:rFonts w:hint="eastAsia" w:ascii="宋体" w:hAnsi="宋体" w:cs="宋体"/>
          <w:color w:val="auto"/>
          <w:sz w:val="24"/>
          <w:highlight w:val="none"/>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投标人为联合体投标时，应按以下规定填写。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1.4.1投标人在广州公共资源交易中心信息登记时，必须将联合体的所有成员单位的全称填写完整。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1.4.2投标人在编制工程量清单时应只填写主体单位全称，且要求填写的全称与广州公共资源交易中心登记名称完全一致。</w:t>
      </w:r>
    </w:p>
    <w:p>
      <w:pPr>
        <w:spacing w:line="360" w:lineRule="auto"/>
        <w:ind w:firstLine="480" w:firstLineChars="200"/>
        <w:rPr>
          <w:rFonts w:ascii="宋体" w:hAnsi="宋体" w:cs="宋体"/>
          <w:color w:val="auto"/>
          <w:sz w:val="19"/>
          <w:szCs w:val="19"/>
          <w:highlight w:val="none"/>
        </w:rPr>
      </w:pPr>
      <w:r>
        <w:rPr>
          <w:rFonts w:hint="eastAsia" w:ascii="宋体" w:hAnsi="宋体" w:cs="宋体"/>
          <w:color w:val="auto"/>
          <w:sz w:val="24"/>
          <w:highlight w:val="none"/>
        </w:rPr>
        <w:t>1.5投标文件中要求盖单位章的，均以盖电子签章为准。要求</w:t>
      </w:r>
      <w:r>
        <w:rPr>
          <w:rFonts w:hint="eastAsia" w:ascii="宋体" w:hAnsi="宋体" w:cs="宋体"/>
          <w:color w:val="auto"/>
          <w:sz w:val="24"/>
          <w:szCs w:val="24"/>
          <w:highlight w:val="none"/>
        </w:rPr>
        <w:t>规定法定代表人或授权委托人人、项目负责人和技术负责人签字的页面必须签字。签字必须由本人在规定页面手写签名或签章后扫描上传。</w:t>
      </w:r>
    </w:p>
    <w:p>
      <w:pPr>
        <w:spacing w:line="400" w:lineRule="exact"/>
        <w:rPr>
          <w:rFonts w:ascii="宋体" w:hAnsi="宋体" w:cs="宋体"/>
          <w:color w:val="auto"/>
          <w:sz w:val="19"/>
          <w:szCs w:val="19"/>
          <w:highlight w:val="none"/>
        </w:rPr>
      </w:pPr>
    </w:p>
    <w:p>
      <w:pPr>
        <w:widowControl/>
        <w:jc w:val="left"/>
        <w:rPr>
          <w:rFonts w:ascii="宋体" w:hAnsi="宋体" w:cs="宋体"/>
          <w:color w:val="auto"/>
          <w:sz w:val="19"/>
          <w:szCs w:val="19"/>
          <w:highlight w:val="none"/>
        </w:rPr>
      </w:pPr>
      <w:r>
        <w:rPr>
          <w:rFonts w:ascii="宋体" w:hAnsi="宋体" w:cs="宋体"/>
          <w:color w:val="auto"/>
          <w:sz w:val="19"/>
          <w:szCs w:val="19"/>
          <w:highlight w:val="none"/>
        </w:rPr>
        <w:br w:type="page"/>
      </w:r>
    </w:p>
    <w:p>
      <w:pPr>
        <w:widowControl/>
        <w:jc w:val="left"/>
        <w:rPr>
          <w:rFonts w:ascii="宋体" w:hAnsi="宋体" w:cs="宋体"/>
          <w:color w:val="auto"/>
          <w:sz w:val="19"/>
          <w:szCs w:val="19"/>
          <w:highlight w:val="none"/>
        </w:rPr>
      </w:pPr>
    </w:p>
    <w:p>
      <w:pPr>
        <w:rPr>
          <w:rFonts w:ascii="宋体" w:hAnsi="宋体"/>
          <w:color w:val="auto"/>
          <w:highlight w:val="none"/>
        </w:rPr>
      </w:pPr>
    </w:p>
    <w:p>
      <w:pPr>
        <w:pStyle w:val="33"/>
        <w:rPr>
          <w:rFonts w:ascii="宋体" w:hAnsi="宋体" w:eastAsia="宋体"/>
          <w:color w:val="auto"/>
          <w:highlight w:val="none"/>
        </w:rPr>
      </w:pPr>
    </w:p>
    <w:p>
      <w:pPr>
        <w:spacing w:line="400" w:lineRule="exact"/>
        <w:rPr>
          <w:rFonts w:ascii="宋体" w:hAnsi="宋体" w:cs="宋体"/>
          <w:color w:val="auto"/>
          <w:sz w:val="19"/>
          <w:szCs w:val="19"/>
          <w:highlight w:val="none"/>
        </w:rPr>
      </w:pPr>
    </w:p>
    <w:p>
      <w:pPr>
        <w:spacing w:line="400" w:lineRule="exact"/>
        <w:jc w:val="center"/>
        <w:rPr>
          <w:rFonts w:ascii="宋体" w:hAnsi="宋体" w:cs="宋体"/>
          <w:color w:val="auto"/>
          <w:sz w:val="27"/>
          <w:szCs w:val="27"/>
          <w:highlight w:val="none"/>
        </w:rPr>
      </w:pPr>
      <w:bookmarkStart w:id="374" w:name="_Toc221951910"/>
      <w:r>
        <w:rPr>
          <w:rFonts w:hint="eastAsia" w:ascii="宋体" w:hAnsi="宋体" w:cs="宋体"/>
          <w:color w:val="auto"/>
          <w:sz w:val="27"/>
          <w:szCs w:val="27"/>
          <w:highlight w:val="none"/>
        </w:rPr>
        <w:t>（项目名称）</w:t>
      </w:r>
      <w:bookmarkEnd w:id="374"/>
    </w:p>
    <w:p>
      <w:pPr>
        <w:spacing w:line="400" w:lineRule="exact"/>
        <w:rPr>
          <w:rFonts w:ascii="宋体" w:hAnsi="宋体" w:cs="宋体"/>
          <w:color w:val="auto"/>
          <w:sz w:val="19"/>
          <w:szCs w:val="19"/>
          <w:highlight w:val="none"/>
        </w:rPr>
      </w:pPr>
    </w:p>
    <w:p>
      <w:pPr>
        <w:spacing w:line="400" w:lineRule="exact"/>
        <w:rPr>
          <w:rFonts w:ascii="宋体" w:hAnsi="宋体" w:cs="宋体"/>
          <w:color w:val="auto"/>
          <w:sz w:val="19"/>
          <w:szCs w:val="19"/>
          <w:highlight w:val="none"/>
        </w:rPr>
      </w:pPr>
    </w:p>
    <w:p>
      <w:pPr>
        <w:spacing w:line="400" w:lineRule="exact"/>
        <w:jc w:val="center"/>
        <w:rPr>
          <w:rFonts w:ascii="宋体" w:hAnsi="宋体" w:cs="宋体"/>
          <w:color w:val="auto"/>
          <w:sz w:val="42"/>
          <w:szCs w:val="42"/>
          <w:highlight w:val="none"/>
        </w:rPr>
      </w:pPr>
      <w:bookmarkStart w:id="375" w:name="_Toc221951911"/>
      <w:r>
        <w:rPr>
          <w:rFonts w:hint="eastAsia" w:ascii="宋体" w:hAnsi="宋体" w:cs="宋体"/>
          <w:color w:val="auto"/>
          <w:sz w:val="42"/>
          <w:szCs w:val="42"/>
          <w:highlight w:val="none"/>
        </w:rPr>
        <w:t>投  标  文  件</w:t>
      </w:r>
      <w:bookmarkEnd w:id="375"/>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rPr>
          <w:rFonts w:ascii="宋体" w:hAnsi="宋体" w:cs="宋体"/>
          <w:color w:val="auto"/>
          <w:sz w:val="27"/>
          <w:szCs w:val="27"/>
          <w:highlight w:val="none"/>
        </w:rPr>
      </w:pPr>
    </w:p>
    <w:p>
      <w:pPr>
        <w:spacing w:line="400" w:lineRule="exact"/>
        <w:jc w:val="center"/>
        <w:rPr>
          <w:rFonts w:ascii="宋体" w:hAnsi="宋体" w:cs="宋体"/>
          <w:color w:val="auto"/>
          <w:sz w:val="27"/>
          <w:szCs w:val="27"/>
          <w:highlight w:val="none"/>
        </w:rPr>
      </w:pPr>
      <w:bookmarkStart w:id="376" w:name="_Toc221951912"/>
      <w:r>
        <w:rPr>
          <w:rFonts w:hint="eastAsia" w:ascii="宋体" w:hAnsi="宋体" w:cs="宋体"/>
          <w:color w:val="auto"/>
          <w:sz w:val="27"/>
          <w:szCs w:val="27"/>
          <w:highlight w:val="none"/>
        </w:rPr>
        <w:t>投标人：（盖单位章）</w:t>
      </w:r>
      <w:bookmarkEnd w:id="376"/>
    </w:p>
    <w:p>
      <w:pPr>
        <w:spacing w:line="400" w:lineRule="exact"/>
        <w:jc w:val="center"/>
        <w:rPr>
          <w:rFonts w:ascii="宋体" w:hAnsi="宋体" w:cs="宋体"/>
          <w:color w:val="auto"/>
          <w:sz w:val="27"/>
          <w:szCs w:val="27"/>
          <w:highlight w:val="none"/>
          <w:u w:val="single"/>
        </w:rPr>
      </w:pPr>
    </w:p>
    <w:p>
      <w:pPr>
        <w:spacing w:line="400" w:lineRule="exact"/>
        <w:jc w:val="center"/>
        <w:rPr>
          <w:rFonts w:ascii="宋体" w:hAnsi="宋体" w:cs="宋体"/>
          <w:color w:val="auto"/>
          <w:sz w:val="27"/>
          <w:szCs w:val="27"/>
          <w:highlight w:val="none"/>
        </w:rPr>
      </w:pPr>
      <w:bookmarkStart w:id="377" w:name="_Toc221951914"/>
      <w:r>
        <w:rPr>
          <w:rFonts w:hint="eastAsia" w:ascii="宋体" w:hAnsi="宋体" w:cs="宋体"/>
          <w:color w:val="auto"/>
          <w:sz w:val="27"/>
          <w:szCs w:val="27"/>
          <w:highlight w:val="none"/>
        </w:rPr>
        <w:t>年月日</w:t>
      </w:r>
      <w:bookmarkEnd w:id="377"/>
    </w:p>
    <w:p>
      <w:pPr>
        <w:spacing w:line="400" w:lineRule="exact"/>
        <w:rPr>
          <w:rFonts w:ascii="宋体" w:hAnsi="宋体" w:cs="宋体"/>
          <w:color w:val="auto"/>
          <w:sz w:val="20"/>
          <w:szCs w:val="20"/>
          <w:highlight w:val="none"/>
        </w:rPr>
      </w:pPr>
      <w:r>
        <w:rPr>
          <w:rFonts w:hint="eastAsia" w:ascii="宋体" w:hAnsi="宋体" w:cs="宋体"/>
          <w:color w:val="auto"/>
          <w:sz w:val="20"/>
          <w:szCs w:val="20"/>
          <w:highlight w:val="none"/>
        </w:rPr>
        <w:br w:type="page"/>
      </w:r>
    </w:p>
    <w:p>
      <w:pPr>
        <w:spacing w:line="276" w:lineRule="auto"/>
        <w:jc w:val="center"/>
        <w:rPr>
          <w:rFonts w:ascii="宋体" w:hAnsi="宋体"/>
          <w:b/>
          <w:color w:val="auto"/>
          <w:sz w:val="24"/>
          <w:szCs w:val="24"/>
          <w:highlight w:val="none"/>
        </w:rPr>
      </w:pPr>
      <w:bookmarkStart w:id="378" w:name="_Toc259524413"/>
      <w:bookmarkStart w:id="379" w:name="_Toc229305419"/>
      <w:bookmarkStart w:id="380" w:name="_Toc17454899"/>
      <w:bookmarkStart w:id="381" w:name="_Toc17451129"/>
      <w:bookmarkStart w:id="382" w:name="_Toc17556904"/>
      <w:bookmarkStart w:id="383" w:name="_Toc17452692"/>
      <w:bookmarkStart w:id="384" w:name="_Toc17454950"/>
      <w:bookmarkStart w:id="385" w:name="_Toc17451606"/>
      <w:bookmarkStart w:id="386" w:name="_Toc17451651"/>
      <w:r>
        <w:rPr>
          <w:rFonts w:hint="eastAsia" w:ascii="宋体" w:hAnsi="宋体"/>
          <w:b/>
          <w:color w:val="auto"/>
          <w:sz w:val="24"/>
          <w:szCs w:val="24"/>
          <w:highlight w:val="none"/>
        </w:rPr>
        <w:t>目    录</w:t>
      </w:r>
      <w:bookmarkEnd w:id="378"/>
      <w:bookmarkEnd w:id="379"/>
    </w:p>
    <w:p>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（可加上二级目录）</w:t>
      </w:r>
      <w:bookmarkEnd w:id="380"/>
      <w:bookmarkEnd w:id="381"/>
      <w:bookmarkEnd w:id="382"/>
      <w:bookmarkEnd w:id="383"/>
      <w:bookmarkEnd w:id="384"/>
      <w:bookmarkEnd w:id="385"/>
      <w:bookmarkEnd w:id="386"/>
    </w:p>
    <w:p>
      <w:pPr>
        <w:spacing w:line="276" w:lineRule="auto"/>
        <w:rPr>
          <w:rFonts w:ascii="宋体" w:hAnsi="宋体" w:cs="宋体"/>
          <w:color w:val="auto"/>
          <w:sz w:val="24"/>
          <w:szCs w:val="24"/>
          <w:highlight w:val="none"/>
        </w:rPr>
      </w:pPr>
    </w:p>
    <w:p>
      <w:pPr>
        <w:spacing w:line="276" w:lineRule="auto"/>
        <w:rPr>
          <w:rFonts w:ascii="宋体" w:hAnsi="宋体" w:cs="宋体"/>
          <w:color w:val="auto"/>
          <w:sz w:val="24"/>
          <w:szCs w:val="24"/>
          <w:highlight w:val="none"/>
        </w:rPr>
      </w:pPr>
      <w:bookmarkStart w:id="387" w:name="_Toc221951916"/>
      <w:r>
        <w:rPr>
          <w:rFonts w:hint="eastAsia" w:ascii="宋体" w:hAnsi="宋体" w:cs="宋体"/>
          <w:color w:val="auto"/>
          <w:sz w:val="24"/>
          <w:szCs w:val="24"/>
          <w:highlight w:val="none"/>
        </w:rPr>
        <w:t>一、投标函及投标函附录</w:t>
      </w:r>
      <w:bookmarkEnd w:id="387"/>
    </w:p>
    <w:p>
      <w:pPr>
        <w:spacing w:line="276" w:lineRule="auto"/>
        <w:rPr>
          <w:rFonts w:ascii="宋体" w:hAnsi="宋体" w:cs="宋体"/>
          <w:color w:val="auto"/>
          <w:sz w:val="24"/>
          <w:szCs w:val="24"/>
          <w:highlight w:val="none"/>
        </w:rPr>
      </w:pPr>
      <w:bookmarkStart w:id="388" w:name="_Toc221951917"/>
      <w:r>
        <w:rPr>
          <w:rFonts w:hint="eastAsia" w:ascii="宋体" w:hAnsi="宋体" w:cs="宋体"/>
          <w:color w:val="auto"/>
          <w:sz w:val="24"/>
          <w:szCs w:val="24"/>
          <w:highlight w:val="none"/>
        </w:rPr>
        <w:t>二、法定代表人身份证明</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三、授权委托书</w:t>
      </w:r>
      <w:bookmarkEnd w:id="388"/>
    </w:p>
    <w:p>
      <w:pPr>
        <w:spacing w:line="276" w:lineRule="auto"/>
        <w:rPr>
          <w:rFonts w:ascii="宋体" w:hAnsi="宋体" w:cs="宋体"/>
          <w:color w:val="auto"/>
          <w:sz w:val="24"/>
          <w:szCs w:val="24"/>
          <w:highlight w:val="none"/>
        </w:rPr>
      </w:pPr>
      <w:bookmarkStart w:id="389" w:name="_Toc221951918"/>
      <w:r>
        <w:rPr>
          <w:rFonts w:hint="eastAsia" w:ascii="宋体" w:hAnsi="宋体" w:cs="宋体"/>
          <w:color w:val="auto"/>
          <w:sz w:val="24"/>
          <w:szCs w:val="24"/>
          <w:highlight w:val="none"/>
        </w:rPr>
        <w:t>四、联合体协议书（若有）</w:t>
      </w:r>
      <w:bookmarkEnd w:id="389"/>
    </w:p>
    <w:p>
      <w:pPr>
        <w:spacing w:line="276" w:lineRule="auto"/>
        <w:rPr>
          <w:rFonts w:ascii="宋体" w:hAnsi="宋体" w:cs="宋体"/>
          <w:color w:val="auto"/>
          <w:sz w:val="24"/>
          <w:szCs w:val="24"/>
          <w:highlight w:val="none"/>
        </w:rPr>
      </w:pPr>
      <w:bookmarkStart w:id="390" w:name="_Toc221951920"/>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、已标价工程量清单</w:t>
      </w:r>
      <w:bookmarkEnd w:id="390"/>
    </w:p>
    <w:p>
      <w:pPr>
        <w:spacing w:line="276" w:lineRule="auto"/>
        <w:rPr>
          <w:rFonts w:ascii="宋体" w:hAnsi="宋体" w:cs="宋体"/>
          <w:color w:val="auto"/>
          <w:sz w:val="24"/>
          <w:szCs w:val="24"/>
          <w:highlight w:val="none"/>
        </w:rPr>
      </w:pPr>
      <w:bookmarkStart w:id="391" w:name="_Toc221951921"/>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、施工组织设计</w:t>
      </w:r>
      <w:bookmarkEnd w:id="391"/>
    </w:p>
    <w:p>
      <w:pPr>
        <w:spacing w:line="276" w:lineRule="auto"/>
        <w:rPr>
          <w:rFonts w:ascii="宋体" w:hAnsi="宋体" w:cs="宋体"/>
          <w:color w:val="auto"/>
          <w:sz w:val="24"/>
          <w:szCs w:val="24"/>
          <w:highlight w:val="none"/>
        </w:rPr>
      </w:pPr>
      <w:bookmarkStart w:id="392" w:name="_Toc221951922"/>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、项目管理机构</w:t>
      </w:r>
      <w:bookmarkEnd w:id="392"/>
    </w:p>
    <w:p>
      <w:pPr>
        <w:spacing w:line="276" w:lineRule="auto"/>
        <w:rPr>
          <w:rFonts w:ascii="宋体" w:hAnsi="宋体" w:cs="宋体"/>
          <w:color w:val="auto"/>
          <w:sz w:val="24"/>
          <w:szCs w:val="24"/>
          <w:highlight w:val="none"/>
        </w:rPr>
      </w:pPr>
      <w:bookmarkStart w:id="393" w:name="_Toc221951924"/>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、资格审查资料</w:t>
      </w:r>
      <w:bookmarkEnd w:id="393"/>
    </w:p>
    <w:p>
      <w:pPr>
        <w:spacing w:line="276" w:lineRule="auto"/>
        <w:rPr>
          <w:rFonts w:ascii="宋体" w:hAnsi="宋体" w:cs="宋体"/>
          <w:color w:val="auto"/>
          <w:sz w:val="24"/>
          <w:szCs w:val="24"/>
          <w:highlight w:val="none"/>
        </w:rPr>
      </w:pPr>
      <w:bookmarkStart w:id="394" w:name="_Toc221951925"/>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w:t>
      </w:r>
      <w:bookmarkEnd w:id="394"/>
      <w:r>
        <w:rPr>
          <w:rFonts w:hint="eastAsia" w:ascii="宋体" w:hAnsi="宋体" w:cs="宋体"/>
          <w:color w:val="auto"/>
          <w:sz w:val="24"/>
          <w:szCs w:val="24"/>
          <w:highlight w:val="none"/>
        </w:rPr>
        <w:t>投标人须知前附表规定的其他材料</w:t>
      </w:r>
    </w:p>
    <w:p>
      <w:pPr>
        <w:spacing w:line="276" w:lineRule="auto"/>
        <w:rPr>
          <w:rFonts w:ascii="宋体" w:hAnsi="宋体" w:cs="宋体"/>
          <w:color w:val="auto"/>
          <w:sz w:val="19"/>
          <w:szCs w:val="19"/>
          <w:highlight w:val="none"/>
        </w:rPr>
      </w:pPr>
      <w:r>
        <w:rPr>
          <w:rFonts w:hint="eastAsia" w:ascii="宋体" w:hAnsi="宋体" w:cs="宋体"/>
          <w:color w:val="auto"/>
          <w:sz w:val="20"/>
          <w:szCs w:val="20"/>
          <w:highlight w:val="none"/>
        </w:rPr>
        <w:br w:type="page"/>
      </w:r>
    </w:p>
    <w:p>
      <w:pPr>
        <w:spacing w:line="360" w:lineRule="auto"/>
        <w:jc w:val="center"/>
        <w:outlineLvl w:val="2"/>
        <w:rPr>
          <w:rFonts w:ascii="宋体" w:hAnsi="宋体" w:cs="宋体"/>
          <w:color w:val="auto"/>
          <w:sz w:val="28"/>
          <w:szCs w:val="27"/>
          <w:highlight w:val="none"/>
        </w:rPr>
      </w:pPr>
      <w:bookmarkStart w:id="395" w:name="_Toc17451607"/>
      <w:bookmarkStart w:id="396" w:name="_Toc17454951"/>
      <w:bookmarkStart w:id="397" w:name="_Toc222031062"/>
      <w:bookmarkStart w:id="398" w:name="_Toc17451652"/>
      <w:bookmarkStart w:id="399" w:name="_Toc229305420"/>
      <w:bookmarkStart w:id="400" w:name="_Toc168476318"/>
      <w:bookmarkStart w:id="401" w:name="_Toc132193462"/>
      <w:bookmarkStart w:id="402" w:name="_Toc17452693"/>
      <w:bookmarkStart w:id="403" w:name="_Toc17451130"/>
      <w:bookmarkStart w:id="404" w:name="_Toc222033911"/>
      <w:bookmarkStart w:id="405" w:name="_Toc144974857"/>
      <w:bookmarkStart w:id="406" w:name="_Toc17454900"/>
      <w:bookmarkStart w:id="407" w:name="_Toc222032729"/>
      <w:bookmarkStart w:id="408" w:name="_Toc221951926"/>
      <w:bookmarkStart w:id="409" w:name="_Toc17556905"/>
      <w:bookmarkStart w:id="410" w:name="_Toc259524414"/>
      <w:bookmarkStart w:id="411" w:name="_Toc168475915"/>
      <w:bookmarkStart w:id="412" w:name="_Toc222029560"/>
      <w:r>
        <w:rPr>
          <w:rFonts w:hint="eastAsia" w:ascii="宋体" w:hAnsi="宋体" w:cs="宋体"/>
          <w:color w:val="auto"/>
          <w:sz w:val="28"/>
          <w:szCs w:val="27"/>
          <w:highlight w:val="none"/>
        </w:rPr>
        <w:t>一、投标函及投标函附录</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pPr>
        <w:spacing w:line="400" w:lineRule="exact"/>
        <w:outlineLvl w:val="3"/>
        <w:rPr>
          <w:rFonts w:ascii="宋体" w:hAnsi="宋体"/>
          <w:b/>
          <w:sz w:val="24"/>
          <w:szCs w:val="31"/>
        </w:rPr>
      </w:pPr>
      <w:bookmarkStart w:id="413" w:name="_Toc221951927"/>
      <w:bookmarkStart w:id="414" w:name="_Toc144974858"/>
      <w:bookmarkStart w:id="415" w:name="_Toc168476319"/>
      <w:bookmarkStart w:id="416" w:name="_Toc168475916"/>
      <w:r>
        <w:rPr>
          <w:rFonts w:ascii="宋体" w:hAnsi="宋体"/>
          <w:b/>
          <w:sz w:val="24"/>
          <w:szCs w:val="31"/>
        </w:rPr>
        <w:t>（一）投标函</w:t>
      </w:r>
      <w:bookmarkEnd w:id="413"/>
      <w:bookmarkEnd w:id="414"/>
      <w:bookmarkEnd w:id="415"/>
      <w:bookmarkEnd w:id="416"/>
    </w:p>
    <w:p>
      <w:pPr>
        <w:spacing w:line="400" w:lineRule="exact"/>
        <w:rPr>
          <w:sz w:val="19"/>
          <w:szCs w:val="19"/>
        </w:rPr>
      </w:pPr>
    </w:p>
    <w:p>
      <w:pPr>
        <w:spacing w:line="400" w:lineRule="exact"/>
        <w:rPr>
          <w:rFonts w:ascii="宋体" w:hAnsi="宋体"/>
          <w:szCs w:val="21"/>
        </w:rPr>
      </w:pPr>
      <w:r>
        <w:rPr>
          <w:rFonts w:ascii="宋体" w:hAnsi="宋体"/>
          <w:szCs w:val="21"/>
          <w:u w:val="single"/>
        </w:rPr>
        <w:t xml:space="preserve">                        </w:t>
      </w:r>
      <w:bookmarkStart w:id="417" w:name="_Toc221951928"/>
      <w:r>
        <w:rPr>
          <w:rFonts w:ascii="宋体" w:hAnsi="宋体"/>
          <w:szCs w:val="21"/>
        </w:rPr>
        <w:t>（</w:t>
      </w:r>
      <w:r>
        <w:rPr>
          <w:rFonts w:hint="eastAsia" w:ascii="宋体" w:hAnsi="宋体"/>
          <w:szCs w:val="21"/>
        </w:rPr>
        <w:t>招标人名称</w:t>
      </w:r>
      <w:r>
        <w:rPr>
          <w:rFonts w:ascii="宋体" w:hAnsi="宋体"/>
          <w:szCs w:val="21"/>
        </w:rPr>
        <w:t>）：</w:t>
      </w:r>
      <w:bookmarkEnd w:id="417"/>
    </w:p>
    <w:p>
      <w:pPr>
        <w:spacing w:line="400" w:lineRule="exact"/>
        <w:rPr>
          <w:rFonts w:ascii="宋体" w:hAnsi="宋体"/>
          <w:szCs w:val="21"/>
        </w:rPr>
      </w:pPr>
    </w:p>
    <w:p>
      <w:pPr>
        <w:spacing w:line="400" w:lineRule="exact"/>
        <w:ind w:firstLine="420" w:firstLineChars="200"/>
        <w:rPr>
          <w:rFonts w:ascii="宋体" w:hAnsi="宋体"/>
          <w:szCs w:val="21"/>
        </w:rPr>
      </w:pPr>
      <w:bookmarkStart w:id="418" w:name="_Toc221951929"/>
      <w:r>
        <w:rPr>
          <w:rFonts w:ascii="宋体" w:hAnsi="宋体"/>
          <w:szCs w:val="21"/>
        </w:rPr>
        <w:t>1．我方已仔细研究了</w:t>
      </w:r>
      <w:r>
        <w:rPr>
          <w:rFonts w:ascii="宋体" w:hAnsi="宋体"/>
          <w:szCs w:val="21"/>
          <w:u w:val="single"/>
        </w:rPr>
        <w:t xml:space="preserve">          </w:t>
      </w:r>
      <w:r>
        <w:rPr>
          <w:rFonts w:ascii="宋体" w:hAnsi="宋体"/>
          <w:szCs w:val="21"/>
        </w:rPr>
        <w:t>（</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（标段名称）</w:t>
      </w:r>
      <w:r>
        <w:rPr>
          <w:rFonts w:ascii="宋体" w:hAnsi="宋体"/>
          <w:szCs w:val="21"/>
        </w:rPr>
        <w:t>招标文件的全部内容，愿意以人民币（大写）</w:t>
      </w:r>
      <w:r>
        <w:rPr>
          <w:rFonts w:ascii="宋体" w:hAnsi="宋体"/>
          <w:szCs w:val="21"/>
          <w:u w:val="single"/>
        </w:rPr>
        <w:t xml:space="preserve">         </w:t>
      </w:r>
      <w:r>
        <w:rPr>
          <w:rFonts w:ascii="宋体" w:hAnsi="宋体"/>
          <w:szCs w:val="21"/>
        </w:rPr>
        <w:t>元（¥</w:t>
      </w:r>
      <w:r>
        <w:rPr>
          <w:rFonts w:ascii="宋体" w:hAnsi="宋体"/>
          <w:szCs w:val="21"/>
          <w:u w:val="single"/>
        </w:rPr>
        <w:t xml:space="preserve">           </w:t>
      </w:r>
      <w:r>
        <w:rPr>
          <w:rFonts w:ascii="宋体" w:hAnsi="宋体"/>
          <w:szCs w:val="21"/>
        </w:rPr>
        <w:t>）的投标总报价，</w:t>
      </w:r>
      <w:r>
        <w:rPr>
          <w:rFonts w:hint="eastAsia" w:ascii="宋体" w:hAnsi="宋体"/>
          <w:szCs w:val="21"/>
        </w:rPr>
        <w:t>工期</w:t>
      </w:r>
      <w:r>
        <w:rPr>
          <w:rFonts w:hint="eastAsia" w:ascii="宋体" w:hAnsi="宋体"/>
          <w:szCs w:val="21"/>
          <w:u w:val="single"/>
        </w:rPr>
        <w:t xml:space="preserve">          </w:t>
      </w:r>
      <w:r>
        <w:rPr>
          <w:rFonts w:hint="eastAsia" w:ascii="宋体" w:hAnsi="宋体"/>
          <w:szCs w:val="21"/>
        </w:rPr>
        <w:t xml:space="preserve"> 日历天，</w:t>
      </w:r>
      <w:r>
        <w:rPr>
          <w:rFonts w:ascii="宋体" w:hAnsi="宋体"/>
          <w:szCs w:val="21"/>
        </w:rPr>
        <w:t>按合同约定实施和完成承包工程，修补工程中的任何缺陷，工程质量达到</w:t>
      </w:r>
      <w:r>
        <w:rPr>
          <w:rFonts w:ascii="宋体" w:hAnsi="宋体"/>
          <w:szCs w:val="21"/>
          <w:u w:val="single"/>
        </w:rPr>
        <w:t xml:space="preserve">           </w:t>
      </w:r>
      <w:r>
        <w:rPr>
          <w:rFonts w:ascii="宋体" w:hAnsi="宋体"/>
          <w:szCs w:val="21"/>
        </w:rPr>
        <w:t xml:space="preserve"> 。</w:t>
      </w:r>
      <w:bookmarkEnd w:id="418"/>
    </w:p>
    <w:p>
      <w:pPr>
        <w:spacing w:line="400" w:lineRule="exact"/>
        <w:ind w:firstLine="420" w:firstLineChars="200"/>
        <w:jc w:val="left"/>
        <w:rPr>
          <w:rFonts w:ascii="宋体" w:hAnsi="宋体"/>
          <w:szCs w:val="21"/>
        </w:rPr>
      </w:pPr>
      <w:bookmarkStart w:id="419" w:name="_Toc221951930"/>
      <w:r>
        <w:rPr>
          <w:rFonts w:ascii="宋体" w:hAnsi="宋体"/>
          <w:szCs w:val="21"/>
        </w:rPr>
        <w:t>2．我方承诺在投标有效期内不</w:t>
      </w:r>
      <w:r>
        <w:rPr>
          <w:rFonts w:hint="eastAsia" w:ascii="宋体" w:hAnsi="宋体"/>
          <w:szCs w:val="21"/>
        </w:rPr>
        <w:t>补充、</w:t>
      </w:r>
      <w:r>
        <w:rPr>
          <w:rFonts w:ascii="宋体" w:hAnsi="宋体"/>
          <w:szCs w:val="21"/>
        </w:rPr>
        <w:t>修改、</w:t>
      </w:r>
      <w:r>
        <w:rPr>
          <w:rFonts w:hint="eastAsia" w:ascii="宋体" w:hAnsi="宋体"/>
          <w:szCs w:val="21"/>
        </w:rPr>
        <w:t>替代或</w:t>
      </w:r>
      <w:r>
        <w:rPr>
          <w:rFonts w:ascii="宋体" w:hAnsi="宋体"/>
          <w:szCs w:val="21"/>
        </w:rPr>
        <w:t>撤</w:t>
      </w:r>
      <w:r>
        <w:rPr>
          <w:rFonts w:hint="eastAsia" w:ascii="宋体" w:hAnsi="宋体"/>
          <w:szCs w:val="21"/>
        </w:rPr>
        <w:t>回本</w:t>
      </w:r>
      <w:r>
        <w:rPr>
          <w:rFonts w:ascii="宋体" w:hAnsi="宋体"/>
          <w:szCs w:val="21"/>
        </w:rPr>
        <w:t>投标文件。</w:t>
      </w:r>
      <w:bookmarkEnd w:id="419"/>
    </w:p>
    <w:p>
      <w:pPr>
        <w:spacing w:line="400" w:lineRule="exact"/>
        <w:ind w:firstLine="420" w:firstLineChars="200"/>
        <w:rPr>
          <w:rFonts w:ascii="宋体" w:hAnsi="宋体"/>
          <w:szCs w:val="21"/>
        </w:rPr>
      </w:pPr>
      <w:bookmarkStart w:id="420" w:name="_Toc221951931"/>
      <w:r>
        <w:rPr>
          <w:rFonts w:ascii="宋体" w:hAnsi="宋体"/>
          <w:szCs w:val="21"/>
        </w:rPr>
        <w:t>3．</w:t>
      </w:r>
      <w:r>
        <w:rPr>
          <w:rFonts w:hint="eastAsia" w:ascii="宋体" w:hAnsi="宋体"/>
          <w:szCs w:val="21"/>
        </w:rPr>
        <w:t xml:space="preserve"> </w:t>
      </w:r>
      <w:r>
        <w:rPr>
          <w:rFonts w:ascii="宋体" w:hAnsi="宋体"/>
          <w:szCs w:val="21"/>
        </w:rPr>
        <w:t>随同本投标函提交投标保证金一份，金额为人民币（大写）</w:t>
      </w:r>
      <w:r>
        <w:rPr>
          <w:rFonts w:ascii="宋体" w:hAnsi="宋体"/>
          <w:szCs w:val="21"/>
          <w:u w:val="single"/>
        </w:rPr>
        <w:t xml:space="preserve">        </w:t>
      </w:r>
      <w:r>
        <w:rPr>
          <w:rFonts w:ascii="宋体" w:hAnsi="宋体"/>
          <w:szCs w:val="21"/>
        </w:rPr>
        <w:t>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元</w:t>
      </w:r>
      <w:r>
        <w:rPr>
          <w:rFonts w:ascii="宋体" w:hAnsi="宋体"/>
          <w:szCs w:val="21"/>
        </w:rPr>
        <w:t xml:space="preserve"> ）。</w:t>
      </w:r>
      <w:bookmarkEnd w:id="420"/>
    </w:p>
    <w:p>
      <w:pPr>
        <w:spacing w:line="400" w:lineRule="exact"/>
        <w:ind w:firstLine="420" w:firstLineChars="200"/>
        <w:rPr>
          <w:rFonts w:ascii="宋体" w:hAnsi="宋体"/>
          <w:szCs w:val="21"/>
        </w:rPr>
      </w:pPr>
      <w:bookmarkStart w:id="421" w:name="_Toc221951932"/>
      <w:r>
        <w:rPr>
          <w:rFonts w:ascii="宋体" w:hAnsi="宋体"/>
          <w:szCs w:val="21"/>
        </w:rPr>
        <w:t>4．如我方中标：</w:t>
      </w:r>
      <w:bookmarkEnd w:id="421"/>
    </w:p>
    <w:p>
      <w:pPr>
        <w:spacing w:line="400" w:lineRule="exact"/>
        <w:ind w:firstLine="718" w:firstLineChars="342"/>
        <w:rPr>
          <w:rFonts w:ascii="宋体" w:hAnsi="宋体"/>
          <w:szCs w:val="21"/>
        </w:rPr>
      </w:pPr>
      <w:bookmarkStart w:id="422" w:name="_Toc221951933"/>
      <w:r>
        <w:rPr>
          <w:rFonts w:ascii="宋体" w:hAnsi="宋体"/>
          <w:szCs w:val="21"/>
        </w:rPr>
        <w:t>（1）我方承诺在收到中标通知书后，在中标通知书规定的期限内与你方签订合同。</w:t>
      </w:r>
      <w:bookmarkEnd w:id="422"/>
    </w:p>
    <w:p>
      <w:pPr>
        <w:spacing w:line="400" w:lineRule="exact"/>
        <w:ind w:firstLine="718" w:firstLineChars="342"/>
        <w:rPr>
          <w:rFonts w:ascii="宋体" w:hAnsi="宋体"/>
          <w:szCs w:val="21"/>
        </w:rPr>
      </w:pPr>
      <w:bookmarkStart w:id="423" w:name="_Toc221951934"/>
      <w:r>
        <w:rPr>
          <w:rFonts w:ascii="宋体" w:hAnsi="宋体"/>
          <w:szCs w:val="21"/>
        </w:rPr>
        <w:t>（2）随同本投标函递交的投标函附录属于合同文件的组成部分。</w:t>
      </w:r>
      <w:bookmarkEnd w:id="423"/>
    </w:p>
    <w:p>
      <w:pPr>
        <w:spacing w:line="400" w:lineRule="exact"/>
        <w:ind w:firstLine="718" w:firstLineChars="342"/>
        <w:rPr>
          <w:rFonts w:ascii="宋体" w:hAnsi="宋体"/>
          <w:szCs w:val="21"/>
        </w:rPr>
      </w:pPr>
      <w:bookmarkStart w:id="424" w:name="_Toc221951935"/>
      <w:r>
        <w:rPr>
          <w:rFonts w:ascii="宋体" w:hAnsi="宋体"/>
          <w:szCs w:val="21"/>
        </w:rPr>
        <w:t>（3）我方承诺按照招标文件规定向你方递交履约担保。</w:t>
      </w:r>
      <w:bookmarkEnd w:id="424"/>
    </w:p>
    <w:p>
      <w:pPr>
        <w:spacing w:line="400" w:lineRule="exact"/>
        <w:ind w:firstLine="718" w:firstLineChars="342"/>
        <w:rPr>
          <w:rFonts w:ascii="宋体" w:hAnsi="宋体"/>
          <w:szCs w:val="21"/>
        </w:rPr>
      </w:pPr>
      <w:bookmarkStart w:id="425" w:name="_Toc221951936"/>
      <w:r>
        <w:rPr>
          <w:rFonts w:ascii="宋体" w:hAnsi="宋体"/>
          <w:szCs w:val="21"/>
        </w:rPr>
        <w:t>（4）我方承诺在合同约定的期限内完成并移交全部合同工程。</w:t>
      </w:r>
      <w:bookmarkEnd w:id="425"/>
    </w:p>
    <w:p>
      <w:pPr>
        <w:spacing w:line="400" w:lineRule="exact"/>
        <w:ind w:firstLine="420" w:firstLineChars="200"/>
        <w:rPr>
          <w:rFonts w:ascii="宋体" w:hAnsi="宋体"/>
          <w:szCs w:val="21"/>
        </w:rPr>
      </w:pPr>
      <w:bookmarkStart w:id="426" w:name="_Toc221951937"/>
      <w:r>
        <w:rPr>
          <w:rFonts w:hint="eastAsia" w:ascii="宋体" w:hAnsi="宋体"/>
          <w:szCs w:val="21"/>
        </w:rPr>
        <w:t>5．我方在此声明，所递交的投标文件及有关资料内容完整、真实和准确，且不存在第二章“投标人须知”第1.4.2和第1.4.3项规定的任何一种情形。</w:t>
      </w:r>
      <w:bookmarkEnd w:id="426"/>
    </w:p>
    <w:p>
      <w:pPr>
        <w:spacing w:line="400" w:lineRule="exact"/>
        <w:ind w:firstLine="420" w:firstLineChars="200"/>
        <w:rPr>
          <w:rFonts w:ascii="宋体" w:hAnsi="宋体"/>
          <w:szCs w:val="21"/>
        </w:rPr>
      </w:pPr>
      <w:bookmarkStart w:id="427" w:name="_Toc221951938"/>
      <w:r>
        <w:rPr>
          <w:rFonts w:hint="eastAsia" w:ascii="宋体" w:hAnsi="宋体"/>
          <w:szCs w:val="21"/>
        </w:rPr>
        <w:t>6</w:t>
      </w:r>
      <w:r>
        <w:rPr>
          <w:rFonts w:ascii="宋体" w:hAnsi="宋体"/>
          <w:szCs w:val="21"/>
        </w:rPr>
        <w:t>．</w:t>
      </w:r>
      <w:r>
        <w:rPr>
          <w:rFonts w:ascii="宋体" w:hAnsi="宋体"/>
          <w:szCs w:val="21"/>
          <w:u w:val="single"/>
        </w:rPr>
        <w:t xml:space="preserve">                                       </w:t>
      </w:r>
      <w:r>
        <w:rPr>
          <w:rFonts w:ascii="宋体" w:hAnsi="宋体"/>
          <w:szCs w:val="21"/>
        </w:rPr>
        <w:t>（</w:t>
      </w:r>
      <w:r>
        <w:rPr>
          <w:rFonts w:hint="eastAsia" w:ascii="宋体" w:hAnsi="宋体"/>
          <w:szCs w:val="21"/>
        </w:rPr>
        <w:t>其他</w:t>
      </w:r>
      <w:r>
        <w:rPr>
          <w:rFonts w:ascii="宋体" w:hAnsi="宋体"/>
          <w:szCs w:val="21"/>
        </w:rPr>
        <w:t>补充说明）。</w:t>
      </w:r>
      <w:bookmarkEnd w:id="427"/>
    </w:p>
    <w:p>
      <w:pPr>
        <w:spacing w:line="400" w:lineRule="exact"/>
        <w:rPr>
          <w:rFonts w:ascii="宋体" w:hAnsi="宋体"/>
          <w:szCs w:val="21"/>
        </w:rPr>
      </w:pPr>
    </w:p>
    <w:p>
      <w:pPr>
        <w:spacing w:line="400" w:lineRule="exact"/>
        <w:ind w:firstLine="3675" w:firstLineChars="1750"/>
        <w:rPr>
          <w:rFonts w:ascii="宋体" w:hAnsi="宋体"/>
          <w:szCs w:val="21"/>
        </w:rPr>
      </w:pPr>
      <w:bookmarkStart w:id="428" w:name="_Toc221951939"/>
      <w:r>
        <w:rPr>
          <w:rFonts w:ascii="宋体" w:hAnsi="宋体"/>
          <w:szCs w:val="21"/>
        </w:rPr>
        <w:t>投 标 人：</w:t>
      </w:r>
      <w:r>
        <w:rPr>
          <w:rFonts w:ascii="宋体" w:hAnsi="宋体"/>
          <w:szCs w:val="21"/>
          <w:u w:val="single"/>
        </w:rPr>
        <w:t xml:space="preserve">                      </w:t>
      </w:r>
      <w:r>
        <w:rPr>
          <w:rFonts w:ascii="宋体" w:hAnsi="宋体"/>
          <w:szCs w:val="21"/>
        </w:rPr>
        <w:t>（盖单位章）</w:t>
      </w:r>
      <w:bookmarkEnd w:id="428"/>
    </w:p>
    <w:p>
      <w:pPr>
        <w:spacing w:line="400" w:lineRule="exact"/>
        <w:ind w:firstLine="3675" w:firstLineChars="1750"/>
        <w:rPr>
          <w:rFonts w:ascii="宋体" w:hAnsi="宋体"/>
          <w:szCs w:val="21"/>
        </w:rPr>
      </w:pPr>
      <w:bookmarkStart w:id="429" w:name="_Toc221951941"/>
      <w:r>
        <w:rPr>
          <w:rFonts w:ascii="宋体" w:hAnsi="宋体"/>
          <w:szCs w:val="21"/>
        </w:rPr>
        <w:t>地址：</w:t>
      </w:r>
      <w:bookmarkEnd w:id="429"/>
      <w:r>
        <w:rPr>
          <w:rFonts w:ascii="宋体" w:hAnsi="宋体"/>
          <w:szCs w:val="21"/>
          <w:u w:val="single"/>
        </w:rPr>
        <w:t xml:space="preserve">                                     </w:t>
      </w:r>
    </w:p>
    <w:p>
      <w:pPr>
        <w:spacing w:line="400" w:lineRule="exact"/>
        <w:ind w:firstLine="3675" w:firstLineChars="1750"/>
        <w:rPr>
          <w:rFonts w:ascii="宋体" w:hAnsi="宋体"/>
          <w:szCs w:val="21"/>
        </w:rPr>
      </w:pPr>
      <w:bookmarkStart w:id="430" w:name="_Toc221951942"/>
      <w:r>
        <w:rPr>
          <w:rFonts w:ascii="宋体" w:hAnsi="宋体"/>
          <w:szCs w:val="21"/>
        </w:rPr>
        <w:t>网址：</w:t>
      </w:r>
      <w:bookmarkEnd w:id="430"/>
      <w:r>
        <w:rPr>
          <w:rFonts w:ascii="宋体" w:hAnsi="宋体"/>
          <w:szCs w:val="21"/>
          <w:u w:val="single"/>
        </w:rPr>
        <w:t xml:space="preserve">                                     </w:t>
      </w:r>
    </w:p>
    <w:p>
      <w:pPr>
        <w:spacing w:line="400" w:lineRule="exact"/>
        <w:ind w:firstLine="3675" w:firstLineChars="1750"/>
        <w:rPr>
          <w:rFonts w:ascii="宋体" w:hAnsi="宋体"/>
          <w:szCs w:val="21"/>
        </w:rPr>
      </w:pPr>
      <w:bookmarkStart w:id="431" w:name="_Toc221951943"/>
      <w:r>
        <w:rPr>
          <w:rFonts w:ascii="宋体" w:hAnsi="宋体"/>
          <w:szCs w:val="21"/>
        </w:rPr>
        <w:t>电话：</w:t>
      </w:r>
      <w:bookmarkEnd w:id="431"/>
      <w:r>
        <w:rPr>
          <w:rFonts w:ascii="宋体" w:hAnsi="宋体"/>
          <w:szCs w:val="21"/>
          <w:u w:val="single"/>
        </w:rPr>
        <w:t xml:space="preserve">                                     </w:t>
      </w:r>
    </w:p>
    <w:p>
      <w:pPr>
        <w:spacing w:line="400" w:lineRule="exact"/>
        <w:ind w:firstLine="3675" w:firstLineChars="1750"/>
        <w:rPr>
          <w:rFonts w:ascii="宋体" w:hAnsi="宋体"/>
          <w:szCs w:val="21"/>
        </w:rPr>
      </w:pPr>
      <w:bookmarkStart w:id="432" w:name="_Toc221951944"/>
      <w:r>
        <w:rPr>
          <w:rFonts w:ascii="宋体" w:hAnsi="宋体"/>
          <w:szCs w:val="21"/>
        </w:rPr>
        <w:t>传真：</w:t>
      </w:r>
      <w:bookmarkEnd w:id="432"/>
      <w:r>
        <w:rPr>
          <w:rFonts w:ascii="宋体" w:hAnsi="宋体"/>
          <w:szCs w:val="21"/>
          <w:u w:val="single"/>
        </w:rPr>
        <w:t xml:space="preserve">                                     </w:t>
      </w:r>
    </w:p>
    <w:p>
      <w:pPr>
        <w:spacing w:line="400" w:lineRule="exact"/>
        <w:ind w:firstLine="3675" w:firstLineChars="1750"/>
        <w:rPr>
          <w:rFonts w:ascii="宋体" w:hAnsi="宋体"/>
          <w:szCs w:val="21"/>
        </w:rPr>
      </w:pPr>
      <w:bookmarkStart w:id="433" w:name="_Toc221951945"/>
      <w:r>
        <w:rPr>
          <w:rFonts w:ascii="宋体" w:hAnsi="宋体"/>
          <w:szCs w:val="21"/>
        </w:rPr>
        <w:t>邮政编码：</w:t>
      </w:r>
      <w:bookmarkEnd w:id="433"/>
      <w:r>
        <w:rPr>
          <w:rFonts w:ascii="宋体" w:hAnsi="宋体"/>
          <w:szCs w:val="21"/>
          <w:u w:val="single"/>
        </w:rPr>
        <w:t xml:space="preserve">                                 </w:t>
      </w:r>
    </w:p>
    <w:p>
      <w:pPr>
        <w:spacing w:line="400" w:lineRule="exact"/>
        <w:ind w:firstLine="3675" w:firstLineChars="1750"/>
        <w:rPr>
          <w:rFonts w:ascii="宋体" w:hAnsi="宋体"/>
          <w:szCs w:val="21"/>
        </w:rPr>
      </w:pPr>
    </w:p>
    <w:p>
      <w:pPr>
        <w:spacing w:line="400" w:lineRule="exact"/>
        <w:ind w:firstLine="4725" w:firstLineChars="2250"/>
        <w:jc w:val="right"/>
        <w:rPr>
          <w:rFonts w:ascii="宋体" w:hAnsi="宋体"/>
          <w:szCs w:val="21"/>
        </w:rPr>
      </w:pPr>
      <w:bookmarkStart w:id="434" w:name="_Toc221951946"/>
      <w:r>
        <w:rPr>
          <w:rFonts w:hint="eastAsia" w:ascii="宋体" w:hAnsi="宋体"/>
          <w:szCs w:val="21"/>
          <w:u w:val="single"/>
          <w:lang w:val="en-US" w:eastAsia="zh-CN"/>
        </w:rPr>
        <w:t xml:space="preserve">      </w:t>
      </w:r>
      <w:r>
        <w:rPr>
          <w:rFonts w:ascii="宋体" w:hAnsi="宋体"/>
          <w:szCs w:val="21"/>
        </w:rPr>
        <w:t>年</w:t>
      </w:r>
      <w:r>
        <w:rPr>
          <w:rFonts w:hint="eastAsia" w:ascii="宋体" w:hAnsi="宋体"/>
          <w:szCs w:val="21"/>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ascii="宋体" w:hAnsi="宋体"/>
          <w:szCs w:val="21"/>
        </w:rPr>
        <w:t>月</w:t>
      </w:r>
      <w:r>
        <w:rPr>
          <w:rFonts w:hint="eastAsia" w:ascii="宋体" w:hAnsi="宋体"/>
          <w:szCs w:val="21"/>
          <w:lang w:val="en-US" w:eastAsia="zh-CN"/>
        </w:rPr>
        <w:t xml:space="preserve">  </w:t>
      </w:r>
      <w:r>
        <w:rPr>
          <w:rFonts w:hint="eastAsia" w:ascii="宋体" w:hAnsi="宋体"/>
          <w:szCs w:val="21"/>
          <w:u w:val="single"/>
          <w:lang w:val="en-US" w:eastAsia="zh-CN"/>
        </w:rPr>
        <w:t xml:space="preserve">      </w:t>
      </w:r>
      <w:r>
        <w:rPr>
          <w:rFonts w:ascii="宋体" w:hAnsi="宋体"/>
          <w:szCs w:val="21"/>
        </w:rPr>
        <w:t>日</w:t>
      </w:r>
      <w:bookmarkEnd w:id="434"/>
    </w:p>
    <w:p>
      <w:pPr>
        <w:spacing w:line="400" w:lineRule="exact"/>
        <w:ind w:firstLine="4725" w:firstLineChars="2250"/>
        <w:jc w:val="right"/>
        <w:rPr>
          <w:rFonts w:ascii="宋体" w:hAnsi="宋体" w:cs="宋体"/>
          <w:color w:val="auto"/>
          <w:szCs w:val="21"/>
          <w:highlight w:val="none"/>
        </w:rPr>
      </w:pPr>
    </w:p>
    <w:p>
      <w:pPr>
        <w:spacing w:line="400" w:lineRule="exact"/>
        <w:rPr>
          <w:rFonts w:ascii="宋体" w:hAnsi="宋体" w:cs="宋体"/>
          <w:color w:val="auto"/>
          <w:sz w:val="20"/>
          <w:szCs w:val="20"/>
          <w:highlight w:val="none"/>
        </w:rPr>
      </w:pPr>
    </w:p>
    <w:p>
      <w:pPr>
        <w:spacing w:line="400" w:lineRule="exact"/>
        <w:outlineLvl w:val="3"/>
        <w:rPr>
          <w:rFonts w:ascii="宋体" w:hAnsi="宋体" w:cs="宋体"/>
          <w:b/>
          <w:bCs/>
          <w:color w:val="auto"/>
          <w:sz w:val="36"/>
          <w:szCs w:val="36"/>
          <w:highlight w:val="none"/>
          <w:lang w:val="zh-CN"/>
        </w:rPr>
      </w:pPr>
      <w:r>
        <w:rPr>
          <w:rFonts w:hint="eastAsia" w:ascii="宋体" w:hAnsi="宋体" w:cs="宋体"/>
          <w:color w:val="auto"/>
          <w:sz w:val="19"/>
          <w:szCs w:val="19"/>
          <w:highlight w:val="none"/>
        </w:rPr>
        <w:br w:type="page"/>
      </w:r>
      <w:bookmarkStart w:id="435" w:name="_Toc168476320"/>
      <w:bookmarkStart w:id="436" w:name="_Toc221951947"/>
      <w:bookmarkStart w:id="437" w:name="_Toc168475917"/>
      <w:bookmarkStart w:id="438" w:name="_Toc144974859"/>
      <w:r>
        <w:rPr>
          <w:rFonts w:hint="eastAsia" w:ascii="宋体" w:hAnsi="宋体" w:cs="宋体"/>
          <w:b/>
          <w:color w:val="auto"/>
          <w:sz w:val="24"/>
          <w:szCs w:val="31"/>
          <w:highlight w:val="none"/>
        </w:rPr>
        <w:t>（二）投标函附录（适用于不采用综合评估法三的情形）</w:t>
      </w:r>
    </w:p>
    <w:p>
      <w:pPr>
        <w:autoSpaceDE w:val="0"/>
        <w:autoSpaceDN w:val="0"/>
        <w:adjustRightInd w:val="0"/>
        <w:jc w:val="center"/>
        <w:rPr>
          <w:rFonts w:ascii="宋体" w:hAnsi="宋体" w:cs="宋体"/>
          <w:bCs/>
          <w:color w:val="auto"/>
          <w:sz w:val="52"/>
          <w:szCs w:val="52"/>
          <w:highlight w:val="none"/>
        </w:rPr>
      </w:pPr>
      <w:r>
        <w:rPr>
          <w:rFonts w:hint="eastAsia" w:ascii="宋体" w:hAnsi="宋体" w:cs="宋体"/>
          <w:color w:val="auto"/>
          <w:sz w:val="24"/>
          <w:szCs w:val="24"/>
          <w:highlight w:val="none"/>
          <w:lang w:val="zh-CN"/>
        </w:rPr>
        <w:t>投标日期：   年  月  日</w:t>
      </w:r>
    </w:p>
    <w:tbl>
      <w:tblPr>
        <w:tblStyle w:val="34"/>
        <w:tblpPr w:leftFromText="180" w:rightFromText="180" w:vertAnchor="text" w:horzAnchor="margin"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highlight w:val="none"/>
              </w:rPr>
            </w:pPr>
            <w:r>
              <w:rPr>
                <w:rFonts w:hint="eastAsia" w:ascii="宋体" w:hAnsi="宋体" w:cs="宋体"/>
                <w:bCs/>
                <w:color w:val="auto"/>
                <w:sz w:val="24"/>
                <w:szCs w:val="24"/>
                <w:highlight w:val="none"/>
                <w:lang w:val="zh-CN"/>
              </w:rPr>
              <w:t>其中：</w:t>
            </w:r>
            <w:r>
              <w:rPr>
                <w:rFonts w:hint="eastAsia" w:ascii="宋体" w:hAnsi="宋体" w:cs="宋体"/>
                <w:color w:val="auto"/>
                <w:highlight w:val="none"/>
              </w:rPr>
              <w:t>绿色施工安全防护措施费</w:t>
            </w:r>
          </w:p>
          <w:p>
            <w:pPr>
              <w:widowControl/>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 标 总 工 期</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建造师的注册编号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委派的安全员</w:t>
            </w: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rPr>
              <w:t>安全生产考核合格证（C类或C3类）编号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bl>
    <w:p>
      <w:pPr>
        <w:autoSpaceDE w:val="0"/>
        <w:autoSpaceDN w:val="0"/>
        <w:adjustRightInd w:val="0"/>
        <w:ind w:firstLine="424" w:firstLineChars="202"/>
        <w:rPr>
          <w:rFonts w:ascii="宋体" w:hAnsi="宋体" w:cs="宋体"/>
          <w:color w:val="auto"/>
          <w:sz w:val="24"/>
          <w:szCs w:val="24"/>
          <w:highlight w:val="none"/>
          <w:lang w:val="zh-CN"/>
        </w:rPr>
      </w:pPr>
      <w:r>
        <w:rPr>
          <w:rFonts w:hint="eastAsia" w:ascii="宋体" w:hAnsi="宋体" w:cs="宋体"/>
          <w:color w:val="auto"/>
          <w:szCs w:val="21"/>
          <w:highlight w:val="none"/>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ind w:firstLine="424" w:firstLineChars="202"/>
        <w:rPr>
          <w:rFonts w:ascii="宋体" w:hAnsi="宋体" w:cs="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.本投标函附录由投标文件管理软件生成，投标人可直接在上面填写相关内容。</w:t>
      </w:r>
      <w:bookmarkEnd w:id="435"/>
      <w:bookmarkEnd w:id="436"/>
      <w:bookmarkEnd w:id="437"/>
      <w:bookmarkEnd w:id="438"/>
    </w:p>
    <w:p>
      <w:pPr>
        <w:spacing w:line="400" w:lineRule="exact"/>
        <w:jc w:val="center"/>
        <w:rPr>
          <w:rFonts w:ascii="宋体" w:hAnsi="宋体" w:cs="宋体"/>
          <w:color w:val="auto"/>
          <w:sz w:val="19"/>
          <w:szCs w:val="19"/>
          <w:highlight w:val="none"/>
        </w:rPr>
      </w:pPr>
    </w:p>
    <w:p>
      <w:pPr>
        <w:pageBreakBefore/>
        <w:spacing w:line="360" w:lineRule="auto"/>
        <w:jc w:val="center"/>
        <w:outlineLvl w:val="2"/>
        <w:rPr>
          <w:rFonts w:ascii="宋体" w:hAnsi="宋体" w:cs="宋体"/>
          <w:color w:val="auto"/>
          <w:sz w:val="28"/>
          <w:szCs w:val="27"/>
          <w:highlight w:val="none"/>
        </w:rPr>
      </w:pPr>
      <w:bookmarkStart w:id="439" w:name="_Toc132193463"/>
      <w:bookmarkStart w:id="440" w:name="_Toc221952013"/>
      <w:bookmarkStart w:id="441" w:name="_Toc222032730"/>
      <w:bookmarkStart w:id="442" w:name="_Toc222031063"/>
      <w:bookmarkStart w:id="443" w:name="_Toc17454952"/>
      <w:bookmarkStart w:id="444" w:name="_Toc222033912"/>
      <w:bookmarkStart w:id="445" w:name="_Toc17451653"/>
      <w:bookmarkStart w:id="446" w:name="_Toc168476321"/>
      <w:bookmarkStart w:id="447" w:name="_Toc17556906"/>
      <w:bookmarkStart w:id="448" w:name="_Toc17451608"/>
      <w:bookmarkStart w:id="449" w:name="_Toc17452694"/>
      <w:bookmarkStart w:id="450" w:name="_Toc144974860"/>
      <w:bookmarkStart w:id="451" w:name="_Toc229305421"/>
      <w:bookmarkStart w:id="452" w:name="_Toc222029561"/>
      <w:bookmarkStart w:id="453" w:name="_Toc17454901"/>
      <w:bookmarkStart w:id="454" w:name="_Toc168475918"/>
      <w:bookmarkStart w:id="455" w:name="_Toc259524415"/>
      <w:bookmarkStart w:id="456" w:name="_Toc17451131"/>
      <w:r>
        <w:rPr>
          <w:rFonts w:hint="eastAsia" w:ascii="宋体" w:hAnsi="宋体" w:cs="宋体"/>
          <w:color w:val="auto"/>
          <w:sz w:val="28"/>
          <w:szCs w:val="27"/>
          <w:highlight w:val="none"/>
        </w:rPr>
        <w:t>二、法定代表人身份证明</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spacing w:line="400" w:lineRule="exact"/>
        <w:rPr>
          <w:rFonts w:ascii="宋体" w:hAnsi="宋体" w:cs="宋体"/>
          <w:color w:val="auto"/>
          <w:sz w:val="19"/>
          <w:szCs w:val="19"/>
          <w:highlight w:val="none"/>
        </w:rPr>
      </w:pPr>
    </w:p>
    <w:p>
      <w:pPr>
        <w:spacing w:line="400" w:lineRule="exact"/>
        <w:rPr>
          <w:rFonts w:ascii="宋体" w:hAnsi="宋体" w:cs="宋体"/>
          <w:color w:val="auto"/>
          <w:szCs w:val="21"/>
          <w:highlight w:val="none"/>
        </w:rPr>
      </w:pPr>
    </w:p>
    <w:p>
      <w:pPr>
        <w:spacing w:line="400" w:lineRule="exact"/>
        <w:rPr>
          <w:rFonts w:ascii="宋体" w:hAnsi="宋体"/>
          <w:szCs w:val="21"/>
        </w:rPr>
      </w:pPr>
      <w:bookmarkStart w:id="457" w:name="_Toc221952014"/>
      <w:r>
        <w:rPr>
          <w:rFonts w:ascii="宋体" w:hAnsi="宋体"/>
          <w:szCs w:val="21"/>
        </w:rPr>
        <w:t>投标人名称：</w:t>
      </w:r>
      <w:bookmarkEnd w:id="457"/>
      <w:r>
        <w:rPr>
          <w:rFonts w:ascii="宋体" w:hAnsi="宋体"/>
          <w:szCs w:val="21"/>
          <w:u w:val="single"/>
        </w:rPr>
        <w:t xml:space="preserve">                            </w:t>
      </w:r>
      <w:r>
        <w:rPr>
          <w:rFonts w:ascii="宋体" w:hAnsi="宋体"/>
          <w:szCs w:val="21"/>
        </w:rPr>
        <w:t xml:space="preserve"> </w:t>
      </w:r>
    </w:p>
    <w:p>
      <w:pPr>
        <w:spacing w:line="400" w:lineRule="exact"/>
        <w:rPr>
          <w:rFonts w:ascii="宋体" w:hAnsi="宋体"/>
          <w:szCs w:val="21"/>
        </w:rPr>
      </w:pPr>
      <w:bookmarkStart w:id="458" w:name="_Toc221952015"/>
      <w:r>
        <w:rPr>
          <w:rFonts w:ascii="宋体" w:hAnsi="宋体"/>
          <w:szCs w:val="21"/>
        </w:rPr>
        <w:t>单位性质：</w:t>
      </w:r>
      <w:bookmarkEnd w:id="458"/>
      <w:r>
        <w:rPr>
          <w:rFonts w:ascii="宋体" w:hAnsi="宋体"/>
          <w:szCs w:val="21"/>
          <w:u w:val="single"/>
        </w:rPr>
        <w:t xml:space="preserve">                               </w:t>
      </w:r>
      <w:r>
        <w:rPr>
          <w:rFonts w:ascii="宋体" w:hAnsi="宋体"/>
          <w:szCs w:val="21"/>
        </w:rPr>
        <w:t xml:space="preserve"> </w:t>
      </w:r>
    </w:p>
    <w:p>
      <w:pPr>
        <w:spacing w:line="400" w:lineRule="exact"/>
        <w:rPr>
          <w:rFonts w:ascii="宋体" w:hAnsi="宋体"/>
          <w:szCs w:val="21"/>
        </w:rPr>
      </w:pPr>
      <w:bookmarkStart w:id="459" w:name="_Toc221952016"/>
      <w:r>
        <w:rPr>
          <w:rFonts w:ascii="宋体" w:hAnsi="宋体"/>
          <w:szCs w:val="21"/>
        </w:rPr>
        <w:t>地址：</w:t>
      </w:r>
      <w:bookmarkEnd w:id="459"/>
      <w:r>
        <w:rPr>
          <w:rFonts w:ascii="宋体" w:hAnsi="宋体"/>
          <w:szCs w:val="21"/>
          <w:u w:val="single"/>
        </w:rPr>
        <w:t xml:space="preserve">                                   </w:t>
      </w:r>
    </w:p>
    <w:p>
      <w:pPr>
        <w:spacing w:line="400" w:lineRule="exact"/>
        <w:rPr>
          <w:rFonts w:ascii="宋体" w:hAnsi="宋体"/>
          <w:szCs w:val="21"/>
        </w:rPr>
      </w:pPr>
      <w:bookmarkStart w:id="460" w:name="_Toc221952017"/>
      <w:r>
        <w:rPr>
          <w:rFonts w:ascii="宋体" w:hAnsi="宋体"/>
          <w:szCs w:val="21"/>
        </w:rPr>
        <w:t>成立时间：</w:t>
      </w:r>
      <w:r>
        <w:rPr>
          <w:rFonts w:ascii="宋体" w:hAnsi="宋体"/>
          <w:szCs w:val="21"/>
          <w:u w:val="single"/>
        </w:rPr>
        <w:t xml:space="preserve">         </w:t>
      </w:r>
      <w:r>
        <w:rPr>
          <w:rFonts w:ascii="宋体" w:hAnsi="宋体"/>
          <w:szCs w:val="21"/>
        </w:rPr>
        <w:t xml:space="preserve"> 年</w:t>
      </w:r>
      <w:r>
        <w:rPr>
          <w:rFonts w:ascii="宋体" w:hAnsi="宋体"/>
          <w:szCs w:val="21"/>
          <w:u w:val="single"/>
        </w:rPr>
        <w:t xml:space="preserve">       </w:t>
      </w:r>
      <w:r>
        <w:rPr>
          <w:rFonts w:ascii="宋体" w:hAnsi="宋体"/>
          <w:szCs w:val="21"/>
        </w:rPr>
        <w:t xml:space="preserve"> 月</w:t>
      </w:r>
      <w:r>
        <w:rPr>
          <w:rFonts w:ascii="宋体" w:hAnsi="宋体"/>
          <w:szCs w:val="21"/>
          <w:u w:val="single"/>
        </w:rPr>
        <w:t xml:space="preserve">       </w:t>
      </w:r>
      <w:r>
        <w:rPr>
          <w:rFonts w:ascii="宋体" w:hAnsi="宋体"/>
          <w:szCs w:val="21"/>
        </w:rPr>
        <w:t xml:space="preserve"> 日</w:t>
      </w:r>
      <w:bookmarkEnd w:id="460"/>
    </w:p>
    <w:p>
      <w:pPr>
        <w:spacing w:line="400" w:lineRule="exact"/>
        <w:rPr>
          <w:rFonts w:ascii="宋体" w:hAnsi="宋体"/>
          <w:szCs w:val="21"/>
        </w:rPr>
      </w:pPr>
      <w:bookmarkStart w:id="461" w:name="_Toc221952018"/>
      <w:r>
        <w:rPr>
          <w:rFonts w:ascii="宋体" w:hAnsi="宋体"/>
          <w:szCs w:val="21"/>
        </w:rPr>
        <w:t>经营期限：</w:t>
      </w:r>
      <w:bookmarkEnd w:id="461"/>
      <w:r>
        <w:rPr>
          <w:rFonts w:ascii="宋体" w:hAnsi="宋体"/>
          <w:szCs w:val="21"/>
          <w:u w:val="single"/>
        </w:rPr>
        <w:t xml:space="preserve">                               </w:t>
      </w:r>
    </w:p>
    <w:p>
      <w:pPr>
        <w:spacing w:line="400" w:lineRule="exact"/>
        <w:rPr>
          <w:rFonts w:ascii="宋体" w:hAnsi="宋体"/>
          <w:szCs w:val="21"/>
        </w:rPr>
      </w:pPr>
      <w:bookmarkStart w:id="462" w:name="_Toc221952019"/>
      <w:r>
        <w:rPr>
          <w:rFonts w:ascii="宋体" w:hAnsi="宋体"/>
          <w:szCs w:val="21"/>
        </w:rPr>
        <w:t>姓名：</w:t>
      </w:r>
      <w:r>
        <w:rPr>
          <w:rFonts w:ascii="宋体" w:hAnsi="宋体"/>
          <w:szCs w:val="21"/>
          <w:u w:val="single"/>
        </w:rPr>
        <w:t xml:space="preserve">        </w:t>
      </w:r>
      <w:r>
        <w:rPr>
          <w:rFonts w:ascii="宋体" w:hAnsi="宋体"/>
          <w:szCs w:val="21"/>
        </w:rPr>
        <w:t xml:space="preserve"> 性别：</w:t>
      </w:r>
      <w:r>
        <w:rPr>
          <w:rFonts w:ascii="宋体" w:hAnsi="宋体"/>
          <w:szCs w:val="21"/>
          <w:u w:val="single"/>
        </w:rPr>
        <w:t xml:space="preserve">         </w:t>
      </w:r>
      <w:r>
        <w:rPr>
          <w:rFonts w:ascii="宋体" w:hAnsi="宋体"/>
          <w:szCs w:val="21"/>
        </w:rPr>
        <w:t xml:space="preserve"> 年龄：</w:t>
      </w:r>
      <w:r>
        <w:rPr>
          <w:rFonts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ascii="宋体" w:hAnsi="宋体"/>
          <w:szCs w:val="21"/>
        </w:rPr>
        <w:t>职务：</w:t>
      </w:r>
      <w:bookmarkEnd w:id="462"/>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bookmarkStart w:id="463" w:name="_Toc221952020"/>
      <w:r>
        <w:rPr>
          <w:rFonts w:ascii="宋体" w:hAnsi="宋体"/>
          <w:szCs w:val="21"/>
        </w:rPr>
        <w:t>系</w:t>
      </w:r>
      <w:r>
        <w:rPr>
          <w:rFonts w:ascii="宋体" w:hAnsi="宋体"/>
          <w:szCs w:val="21"/>
          <w:u w:val="single"/>
        </w:rPr>
        <w:t xml:space="preserve">                 </w:t>
      </w:r>
      <w:r>
        <w:rPr>
          <w:rFonts w:ascii="宋体" w:hAnsi="宋体"/>
          <w:szCs w:val="21"/>
        </w:rPr>
        <w:t xml:space="preserve"> (投标人名称)的法定代表人。</w:t>
      </w:r>
      <w:bookmarkEnd w:id="463"/>
    </w:p>
    <w:p>
      <w:pPr>
        <w:spacing w:line="400" w:lineRule="exact"/>
        <w:ind w:firstLine="420" w:firstLineChars="200"/>
        <w:rPr>
          <w:rFonts w:ascii="宋体" w:hAnsi="宋体"/>
          <w:szCs w:val="21"/>
        </w:rPr>
      </w:pPr>
      <w:bookmarkStart w:id="464" w:name="_Toc221952021"/>
      <w:r>
        <w:rPr>
          <w:rFonts w:ascii="宋体" w:hAnsi="宋体"/>
          <w:szCs w:val="21"/>
        </w:rPr>
        <w:t>特此证明。</w:t>
      </w:r>
      <w:bookmarkEnd w:id="464"/>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jc w:val="right"/>
        <w:rPr>
          <w:rFonts w:ascii="宋体" w:hAnsi="宋体"/>
          <w:szCs w:val="21"/>
        </w:rPr>
      </w:pPr>
      <w:bookmarkStart w:id="465" w:name="_Toc221952022"/>
      <w:r>
        <w:rPr>
          <w:rFonts w:ascii="宋体" w:hAnsi="宋体"/>
          <w:szCs w:val="21"/>
        </w:rPr>
        <w:t>投标人：</w:t>
      </w:r>
      <w:r>
        <w:rPr>
          <w:rFonts w:ascii="宋体" w:hAnsi="宋体"/>
          <w:szCs w:val="21"/>
          <w:u w:val="single"/>
        </w:rPr>
        <w:t xml:space="preserve">                 </w:t>
      </w:r>
      <w:r>
        <w:rPr>
          <w:rFonts w:ascii="宋体" w:hAnsi="宋体"/>
          <w:szCs w:val="21"/>
        </w:rPr>
        <w:t>（盖单位章）</w:t>
      </w:r>
      <w:bookmarkEnd w:id="465"/>
    </w:p>
    <w:p>
      <w:pPr>
        <w:spacing w:line="400" w:lineRule="exact"/>
        <w:jc w:val="right"/>
        <w:rPr>
          <w:rFonts w:ascii="宋体" w:hAnsi="宋体"/>
          <w:szCs w:val="21"/>
        </w:rPr>
      </w:pPr>
    </w:p>
    <w:p>
      <w:pPr>
        <w:spacing w:line="400" w:lineRule="exact"/>
        <w:jc w:val="right"/>
        <w:rPr>
          <w:rFonts w:ascii="宋体" w:hAnsi="宋体" w:cs="宋体"/>
          <w:color w:val="auto"/>
          <w:sz w:val="19"/>
          <w:szCs w:val="19"/>
          <w:highlight w:val="none"/>
        </w:rPr>
      </w:pPr>
      <w:r>
        <w:rPr>
          <w:rFonts w:ascii="宋体" w:hAnsi="宋体"/>
          <w:szCs w:val="21"/>
          <w:u w:val="single"/>
        </w:rPr>
        <w:t xml:space="preserve">         </w:t>
      </w:r>
      <w:bookmarkStart w:id="466" w:name="_Toc221952023"/>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 xml:space="preserve"> 日</w:t>
      </w:r>
      <w:bookmarkEnd w:id="466"/>
      <w:r>
        <w:rPr>
          <w:rFonts w:ascii="宋体" w:hAnsi="宋体"/>
          <w:szCs w:val="21"/>
        </w:rPr>
        <w:t xml:space="preserve"> </w:t>
      </w:r>
      <w:r>
        <w:rPr>
          <w:rFonts w:hint="eastAsia" w:ascii="宋体" w:hAnsi="宋体" w:cs="宋体"/>
          <w:color w:val="auto"/>
          <w:szCs w:val="21"/>
          <w:highlight w:val="none"/>
        </w:rPr>
        <w:br w:type="page"/>
      </w:r>
    </w:p>
    <w:p>
      <w:pPr>
        <w:spacing w:line="360" w:lineRule="auto"/>
        <w:jc w:val="center"/>
        <w:outlineLvl w:val="2"/>
        <w:rPr>
          <w:rFonts w:ascii="宋体" w:hAnsi="宋体" w:cs="宋体"/>
          <w:color w:val="auto"/>
          <w:sz w:val="28"/>
          <w:szCs w:val="27"/>
          <w:highlight w:val="none"/>
        </w:rPr>
      </w:pPr>
      <w:bookmarkStart w:id="467" w:name="_Toc17454953"/>
      <w:bookmarkStart w:id="468" w:name="_Toc259524416"/>
      <w:bookmarkStart w:id="469" w:name="_Toc17452695"/>
      <w:bookmarkStart w:id="470" w:name="_Toc17556907"/>
      <w:bookmarkStart w:id="471" w:name="_Toc168475919"/>
      <w:bookmarkStart w:id="472" w:name="_Toc222029562"/>
      <w:bookmarkStart w:id="473" w:name="_Toc222033913"/>
      <w:bookmarkStart w:id="474" w:name="_Toc221952024"/>
      <w:bookmarkStart w:id="475" w:name="_Toc17451132"/>
      <w:bookmarkStart w:id="476" w:name="_Toc168476322"/>
      <w:bookmarkStart w:id="477" w:name="_Toc132193464"/>
      <w:bookmarkStart w:id="478" w:name="_Toc17451609"/>
      <w:bookmarkStart w:id="479" w:name="_Toc144974861"/>
      <w:bookmarkStart w:id="480" w:name="_Toc222032731"/>
      <w:bookmarkStart w:id="481" w:name="_Toc222031064"/>
      <w:bookmarkStart w:id="482" w:name="_Toc17451654"/>
      <w:bookmarkStart w:id="483" w:name="_Toc229305422"/>
      <w:bookmarkStart w:id="484" w:name="_Toc17454902"/>
      <w:r>
        <w:rPr>
          <w:rFonts w:hint="eastAsia" w:ascii="宋体" w:hAnsi="宋体" w:cs="宋体"/>
          <w:color w:val="auto"/>
          <w:sz w:val="28"/>
          <w:szCs w:val="27"/>
          <w:highlight w:val="none"/>
        </w:rPr>
        <w:t>三、授权委托书</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spacing w:line="400" w:lineRule="exact"/>
        <w:rPr>
          <w:rFonts w:ascii="宋体" w:hAnsi="宋体" w:cs="宋体"/>
          <w:color w:val="auto"/>
          <w:sz w:val="20"/>
          <w:szCs w:val="20"/>
          <w:highlight w:val="none"/>
        </w:rPr>
      </w:pPr>
    </w:p>
    <w:p>
      <w:pPr>
        <w:topLinePunct/>
        <w:spacing w:line="400" w:lineRule="exact"/>
        <w:ind w:firstLine="420" w:firstLineChars="200"/>
        <w:rPr>
          <w:szCs w:val="21"/>
        </w:rPr>
      </w:pPr>
      <w:bookmarkStart w:id="485" w:name="_Toc221952025"/>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w:t>
      </w:r>
      <w:r>
        <w:rPr>
          <w:szCs w:val="21"/>
          <w:u w:val="single"/>
        </w:rPr>
        <w:t xml:space="preserve">           </w:t>
      </w:r>
      <w:r>
        <w:rPr>
          <w:rFonts w:hint="eastAsia"/>
          <w:szCs w:val="21"/>
        </w:rPr>
        <w:t>（标段名称）</w:t>
      </w:r>
      <w:r>
        <w:rPr>
          <w:szCs w:val="21"/>
        </w:rPr>
        <w:t>投标文件、签订合同和处理有关事宜，其法律后果由我方承担。</w:t>
      </w:r>
      <w:bookmarkEnd w:id="485"/>
    </w:p>
    <w:p>
      <w:pPr>
        <w:spacing w:line="400" w:lineRule="exact"/>
        <w:rPr>
          <w:szCs w:val="21"/>
        </w:rPr>
      </w:pPr>
      <w:r>
        <w:rPr>
          <w:szCs w:val="21"/>
        </w:rPr>
        <w:t xml:space="preserve">    </w:t>
      </w:r>
      <w:bookmarkStart w:id="486" w:name="_Toc221952026"/>
      <w:r>
        <w:rPr>
          <w:szCs w:val="21"/>
        </w:rPr>
        <w:t>委托期限：</w:t>
      </w:r>
      <w:r>
        <w:rPr>
          <w:szCs w:val="21"/>
          <w:u w:val="single"/>
        </w:rPr>
        <w:t xml:space="preserve">             </w:t>
      </w:r>
      <w:r>
        <w:rPr>
          <w:rFonts w:hint="eastAsia"/>
          <w:szCs w:val="21"/>
        </w:rPr>
        <w:t>。</w:t>
      </w:r>
      <w:bookmarkEnd w:id="486"/>
    </w:p>
    <w:p>
      <w:pPr>
        <w:spacing w:line="400" w:lineRule="exact"/>
        <w:ind w:firstLine="420" w:firstLineChars="200"/>
        <w:rPr>
          <w:szCs w:val="21"/>
        </w:rPr>
      </w:pPr>
      <w:r>
        <w:rPr>
          <w:rFonts w:hint="eastAsia"/>
          <w:szCs w:val="21"/>
        </w:rPr>
        <w:t>代理人无转委托权。代理人为投标人正式职工（提供最近1个月的社保证明）</w:t>
      </w:r>
    </w:p>
    <w:p>
      <w:pPr>
        <w:spacing w:line="400" w:lineRule="exact"/>
        <w:ind w:firstLine="420" w:firstLineChars="200"/>
        <w:rPr>
          <w:szCs w:val="21"/>
        </w:rPr>
      </w:pPr>
      <w:r>
        <w:rPr>
          <w:rFonts w:hint="eastAsia"/>
          <w:szCs w:val="21"/>
        </w:rPr>
        <w:t>附：法定代表人身份证明和社保证明</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400" w:lineRule="exact"/>
        <w:ind w:left="0" w:leftChars="0" w:right="420" w:firstLine="3158" w:firstLineChars="1504"/>
        <w:rPr>
          <w:rFonts w:ascii="宋体" w:hAnsi="宋体" w:cs="宋体"/>
          <w:color w:val="auto"/>
          <w:szCs w:val="21"/>
          <w:highlight w:val="none"/>
        </w:rPr>
      </w:pPr>
      <w:bookmarkStart w:id="487" w:name="_Toc221952029"/>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（盖单位章）</w:t>
      </w:r>
      <w:bookmarkEnd w:id="487"/>
    </w:p>
    <w:p>
      <w:pPr>
        <w:spacing w:line="400" w:lineRule="exact"/>
        <w:ind w:left="0" w:leftChars="0" w:firstLine="3158" w:firstLineChars="1504"/>
        <w:jc w:val="right"/>
        <w:rPr>
          <w:rFonts w:ascii="宋体" w:hAnsi="宋体" w:cs="宋体"/>
          <w:color w:val="auto"/>
          <w:szCs w:val="21"/>
          <w:highlight w:val="none"/>
        </w:rPr>
      </w:pPr>
    </w:p>
    <w:p>
      <w:pPr>
        <w:spacing w:line="400" w:lineRule="exact"/>
        <w:ind w:left="0" w:leftChars="0" w:right="420" w:firstLine="3158" w:firstLineChars="1504"/>
        <w:rPr>
          <w:rFonts w:ascii="宋体" w:hAnsi="宋体" w:cs="宋体"/>
          <w:color w:val="auto"/>
          <w:szCs w:val="21"/>
          <w:highlight w:val="none"/>
        </w:rPr>
      </w:pPr>
      <w:bookmarkStart w:id="488" w:name="_Toc221952030"/>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bookmarkEnd w:id="488"/>
    </w:p>
    <w:p>
      <w:pPr>
        <w:spacing w:line="400" w:lineRule="exact"/>
        <w:ind w:left="0" w:leftChars="0" w:firstLine="3158" w:firstLineChars="1504"/>
        <w:jc w:val="right"/>
        <w:rPr>
          <w:rFonts w:ascii="宋体" w:hAnsi="宋体" w:cs="宋体"/>
          <w:color w:val="auto"/>
          <w:szCs w:val="21"/>
          <w:highlight w:val="none"/>
        </w:rPr>
      </w:pPr>
    </w:p>
    <w:p>
      <w:pPr>
        <w:spacing w:line="400" w:lineRule="exact"/>
        <w:ind w:left="0" w:leftChars="0" w:right="420" w:firstLine="3158" w:firstLineChars="1504"/>
        <w:rPr>
          <w:rFonts w:ascii="宋体" w:hAnsi="宋体" w:cs="宋体"/>
          <w:color w:val="auto"/>
          <w:szCs w:val="21"/>
          <w:highlight w:val="none"/>
        </w:rPr>
      </w:pPr>
      <w:bookmarkStart w:id="489" w:name="_Toc221952031"/>
      <w:r>
        <w:rPr>
          <w:rFonts w:hint="eastAsia" w:ascii="宋体" w:hAnsi="宋体" w:cs="宋体"/>
          <w:color w:val="auto"/>
          <w:szCs w:val="21"/>
          <w:highlight w:val="none"/>
        </w:rPr>
        <w:t>身份证号码：</w:t>
      </w:r>
      <w:bookmarkEnd w:id="489"/>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left="0" w:leftChars="0" w:firstLine="3158" w:firstLineChars="1504"/>
        <w:jc w:val="right"/>
        <w:rPr>
          <w:rFonts w:ascii="宋体" w:hAnsi="宋体" w:cs="宋体"/>
          <w:color w:val="auto"/>
          <w:szCs w:val="21"/>
          <w:highlight w:val="none"/>
        </w:rPr>
      </w:pPr>
    </w:p>
    <w:p>
      <w:pPr>
        <w:wordWrap w:val="0"/>
        <w:spacing w:line="400" w:lineRule="exact"/>
        <w:ind w:left="0" w:leftChars="0" w:firstLine="3158" w:firstLineChars="1504"/>
        <w:jc w:val="both"/>
        <w:rPr>
          <w:rFonts w:ascii="宋体" w:hAnsi="宋体" w:cs="宋体"/>
          <w:color w:val="auto"/>
          <w:szCs w:val="21"/>
          <w:highlight w:val="none"/>
        </w:rPr>
      </w:pPr>
      <w:bookmarkStart w:id="490" w:name="_Toc221952032"/>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bookmarkEnd w:id="490"/>
    </w:p>
    <w:p>
      <w:pPr>
        <w:wordWrap w:val="0"/>
        <w:spacing w:line="400" w:lineRule="exact"/>
        <w:ind w:left="0" w:leftChars="0" w:firstLine="3158" w:firstLineChars="1504"/>
        <w:jc w:val="right"/>
        <w:rPr>
          <w:rFonts w:ascii="宋体" w:hAnsi="宋体" w:cs="宋体"/>
          <w:color w:val="auto"/>
          <w:szCs w:val="21"/>
          <w:highlight w:val="none"/>
        </w:rPr>
      </w:pPr>
    </w:p>
    <w:p>
      <w:pPr>
        <w:spacing w:line="400" w:lineRule="exact"/>
        <w:ind w:left="0" w:leftChars="0" w:right="420" w:firstLine="3158" w:firstLineChars="1504"/>
        <w:rPr>
          <w:rFonts w:ascii="宋体" w:hAnsi="宋体" w:cs="宋体"/>
          <w:color w:val="auto"/>
          <w:szCs w:val="21"/>
          <w:highlight w:val="none"/>
        </w:rPr>
      </w:pPr>
      <w:bookmarkStart w:id="491" w:name="_Toc221952033"/>
      <w:r>
        <w:rPr>
          <w:rFonts w:hint="eastAsia" w:ascii="宋体" w:hAnsi="宋体" w:cs="宋体"/>
          <w:color w:val="auto"/>
          <w:szCs w:val="21"/>
          <w:highlight w:val="none"/>
        </w:rPr>
        <w:t>身份证号码：</w:t>
      </w:r>
      <w:bookmarkEnd w:id="491"/>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jc w:val="right"/>
        <w:rPr>
          <w:rFonts w:ascii="宋体" w:hAnsi="宋体" w:cs="宋体"/>
          <w:color w:val="auto"/>
          <w:szCs w:val="21"/>
          <w:highlight w:val="none"/>
        </w:rPr>
      </w:pPr>
    </w:p>
    <w:p>
      <w:pPr>
        <w:spacing w:line="400" w:lineRule="exact"/>
        <w:ind w:firstLine="1575" w:firstLineChars="750"/>
        <w:jc w:val="right"/>
        <w:rPr>
          <w:rFonts w:ascii="宋体" w:hAnsi="宋体" w:cs="宋体"/>
          <w:color w:val="auto"/>
          <w:szCs w:val="21"/>
          <w:highlight w:val="none"/>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 xml:space="preserve"> 日</w:t>
      </w:r>
    </w:p>
    <w:p>
      <w:pPr>
        <w:spacing w:line="360" w:lineRule="auto"/>
        <w:jc w:val="center"/>
        <w:outlineLvl w:val="2"/>
        <w:rPr>
          <w:rFonts w:hint="eastAsia" w:ascii="宋体" w:hAnsi="宋体" w:cs="宋体"/>
          <w:color w:val="auto"/>
          <w:sz w:val="28"/>
          <w:szCs w:val="27"/>
          <w:highlight w:val="none"/>
        </w:rPr>
      </w:pPr>
      <w:bookmarkStart w:id="492" w:name="_Toc144974862"/>
      <w:bookmarkStart w:id="493" w:name="_Toc222029563"/>
      <w:bookmarkStart w:id="494" w:name="_Toc17454954"/>
      <w:bookmarkStart w:id="495" w:name="_Toc132193465"/>
      <w:bookmarkStart w:id="496" w:name="_Toc17454903"/>
      <w:bookmarkStart w:id="497" w:name="_Toc222032732"/>
      <w:bookmarkStart w:id="498" w:name="_Toc259524417"/>
      <w:bookmarkStart w:id="499" w:name="_Toc17451133"/>
      <w:bookmarkStart w:id="500" w:name="_Toc17451655"/>
      <w:bookmarkStart w:id="501" w:name="_Toc17452696"/>
      <w:bookmarkStart w:id="502" w:name="_Toc222031065"/>
      <w:bookmarkStart w:id="503" w:name="_Toc168475920"/>
      <w:bookmarkStart w:id="504" w:name="_Toc17556908"/>
      <w:bookmarkStart w:id="505" w:name="_Toc168476323"/>
      <w:bookmarkStart w:id="506" w:name="_Toc222033914"/>
      <w:bookmarkStart w:id="507" w:name="_Toc229305423"/>
      <w:bookmarkStart w:id="508" w:name="_Toc221952035"/>
      <w:bookmarkStart w:id="509" w:name="_Toc17451610"/>
    </w:p>
    <w:p>
      <w:pPr>
        <w:spacing w:line="360" w:lineRule="auto"/>
        <w:jc w:val="center"/>
        <w:outlineLvl w:val="2"/>
        <w:rPr>
          <w:rFonts w:hint="eastAsia" w:ascii="宋体" w:hAnsi="宋体" w:cs="宋体"/>
          <w:color w:val="auto"/>
          <w:sz w:val="28"/>
          <w:szCs w:val="27"/>
          <w:highlight w:val="none"/>
        </w:rPr>
      </w:pPr>
    </w:p>
    <w:p>
      <w:pPr>
        <w:spacing w:line="360" w:lineRule="auto"/>
        <w:jc w:val="center"/>
        <w:outlineLvl w:val="2"/>
        <w:rPr>
          <w:rFonts w:hint="eastAsia" w:ascii="宋体" w:hAnsi="宋体" w:cs="宋体"/>
          <w:color w:val="auto"/>
          <w:sz w:val="28"/>
          <w:szCs w:val="27"/>
          <w:highlight w:val="none"/>
        </w:rPr>
      </w:pPr>
    </w:p>
    <w:p>
      <w:pPr>
        <w:rPr>
          <w:rFonts w:hint="eastAsia" w:ascii="宋体" w:hAnsi="宋体" w:cs="宋体"/>
          <w:color w:val="auto"/>
          <w:sz w:val="28"/>
          <w:szCs w:val="27"/>
          <w:highlight w:val="none"/>
        </w:rPr>
      </w:pPr>
      <w:r>
        <w:rPr>
          <w:rFonts w:hint="eastAsia" w:ascii="宋体" w:hAnsi="宋体" w:cs="宋体"/>
          <w:color w:val="auto"/>
          <w:sz w:val="28"/>
          <w:szCs w:val="27"/>
          <w:highlight w:val="none"/>
        </w:rPr>
        <w:br w:type="page"/>
      </w:r>
    </w:p>
    <w:p>
      <w:pPr>
        <w:spacing w:line="360" w:lineRule="auto"/>
        <w:jc w:val="center"/>
        <w:outlineLvl w:val="2"/>
        <w:rPr>
          <w:rFonts w:ascii="宋体" w:hAnsi="宋体" w:cs="宋体"/>
          <w:color w:val="auto"/>
          <w:sz w:val="28"/>
          <w:szCs w:val="27"/>
          <w:highlight w:val="none"/>
        </w:rPr>
      </w:pPr>
      <w:r>
        <w:rPr>
          <w:rFonts w:hint="eastAsia" w:ascii="宋体" w:hAnsi="宋体" w:cs="宋体"/>
          <w:color w:val="auto"/>
          <w:sz w:val="28"/>
          <w:szCs w:val="27"/>
          <w:highlight w:val="none"/>
        </w:rPr>
        <w:t>四、</w:t>
      </w:r>
      <w:bookmarkEnd w:id="492"/>
      <w:r>
        <w:rPr>
          <w:rFonts w:hint="eastAsia" w:ascii="宋体" w:hAnsi="宋体" w:cs="宋体"/>
          <w:color w:val="auto"/>
          <w:sz w:val="28"/>
          <w:szCs w:val="27"/>
          <w:highlight w:val="none"/>
        </w:rPr>
        <w:t>联合体协议书</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spacing w:line="276" w:lineRule="auto"/>
        <w:jc w:val="left"/>
        <w:rPr>
          <w:rFonts w:ascii="宋体" w:hAnsi="宋体" w:cs="宋体"/>
          <w:color w:val="auto"/>
          <w:szCs w:val="21"/>
          <w:highlight w:val="none"/>
        </w:rPr>
      </w:pPr>
    </w:p>
    <w:p>
      <w:pPr>
        <w:spacing w:line="27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ab/>
      </w:r>
      <w:bookmarkStart w:id="510" w:name="_Toc221952036"/>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（联合体名称），共同参加</w:t>
      </w:r>
      <w:r>
        <w:rPr>
          <w:rFonts w:hint="eastAsia"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（项目名称）投标。现就联合体投标事宜订立如下协议。</w:t>
      </w:r>
      <w:bookmarkEnd w:id="510"/>
    </w:p>
    <w:p>
      <w:pPr>
        <w:spacing w:line="276" w:lineRule="auto"/>
        <w:ind w:firstLine="420" w:firstLineChars="200"/>
        <w:jc w:val="left"/>
        <w:rPr>
          <w:rFonts w:ascii="宋体" w:hAnsi="宋体" w:cs="宋体"/>
          <w:color w:val="auto"/>
          <w:szCs w:val="21"/>
          <w:highlight w:val="none"/>
        </w:rPr>
      </w:pPr>
      <w:bookmarkStart w:id="511" w:name="_Toc221952037"/>
      <w:r>
        <w:rPr>
          <w:rFonts w:hint="eastAsia" w:ascii="宋体" w:hAnsi="宋体" w:cs="宋体"/>
          <w:color w:val="auto"/>
          <w:szCs w:val="21"/>
          <w:highlight w:val="none"/>
        </w:rPr>
        <w:t>1.</w:t>
      </w:r>
      <w:r>
        <w:rPr>
          <w:rFonts w:hint="eastAsia"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（联合体名称）牵头人。</w:t>
      </w:r>
      <w:bookmarkEnd w:id="511"/>
    </w:p>
    <w:p>
      <w:pPr>
        <w:spacing w:line="276" w:lineRule="auto"/>
        <w:ind w:firstLine="420" w:firstLineChars="200"/>
        <w:jc w:val="left"/>
        <w:rPr>
          <w:rFonts w:ascii="宋体" w:hAnsi="宋体" w:cs="宋体"/>
          <w:color w:val="auto"/>
          <w:szCs w:val="21"/>
          <w:highlight w:val="none"/>
        </w:rPr>
      </w:pPr>
      <w:bookmarkStart w:id="512" w:name="_Toc221952038"/>
      <w:r>
        <w:rPr>
          <w:rFonts w:hint="eastAsia" w:ascii="宋体" w:hAnsi="宋体" w:cs="宋体"/>
          <w:color w:val="auto"/>
          <w:szCs w:val="21"/>
          <w:highlight w:val="none"/>
        </w:rPr>
        <w:t>2.联合体牵头人合法代表联合体各成员负责本招标项目投标文件编制和合同谈判活动， 并代表联合体提交和接受相关的资料。信息及指示，并处理与之有关的一切事务，负责合同实施阶段的主办、组织和协调工作。</w:t>
      </w:r>
      <w:bookmarkEnd w:id="512"/>
    </w:p>
    <w:p>
      <w:pPr>
        <w:spacing w:line="276" w:lineRule="auto"/>
        <w:ind w:firstLine="420" w:firstLineChars="200"/>
        <w:jc w:val="left"/>
        <w:rPr>
          <w:rFonts w:ascii="宋体" w:hAnsi="宋体" w:cs="宋体"/>
          <w:color w:val="auto"/>
          <w:szCs w:val="21"/>
          <w:highlight w:val="none"/>
        </w:rPr>
      </w:pPr>
      <w:bookmarkStart w:id="513" w:name="_Toc221952039"/>
      <w:r>
        <w:rPr>
          <w:rFonts w:hint="eastAsia" w:ascii="宋体" w:hAnsi="宋体" w:cs="宋体"/>
          <w:color w:val="auto"/>
          <w:szCs w:val="21"/>
          <w:highlight w:val="none"/>
        </w:rPr>
        <w:t>3.联合体将严格按照招标文件的各项要求，递交投标文件，履行合同，并对外承担连带责任。</w:t>
      </w:r>
      <w:bookmarkEnd w:id="513"/>
    </w:p>
    <w:p>
      <w:pPr>
        <w:spacing w:line="276" w:lineRule="auto"/>
        <w:ind w:firstLine="420" w:firstLineChars="200"/>
        <w:jc w:val="left"/>
        <w:rPr>
          <w:rFonts w:ascii="宋体" w:hAnsi="宋体" w:cs="宋体"/>
          <w:color w:val="auto"/>
          <w:szCs w:val="21"/>
          <w:highlight w:val="none"/>
        </w:rPr>
      </w:pPr>
      <w:bookmarkStart w:id="514" w:name="_Toc221952040"/>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w:t>
      </w:r>
      <w:bookmarkEnd w:id="514"/>
    </w:p>
    <w:p>
      <w:pPr>
        <w:spacing w:line="276" w:lineRule="auto"/>
        <w:ind w:firstLine="420" w:firstLineChars="200"/>
        <w:jc w:val="left"/>
        <w:rPr>
          <w:rFonts w:ascii="宋体" w:hAnsi="宋体" w:cs="宋体"/>
          <w:color w:val="auto"/>
          <w:szCs w:val="21"/>
          <w:highlight w:val="none"/>
        </w:rPr>
      </w:pPr>
      <w:bookmarkStart w:id="515" w:name="_Toc221952041"/>
      <w:r>
        <w:rPr>
          <w:rFonts w:hint="eastAsia" w:ascii="宋体" w:hAnsi="宋体" w:cs="宋体"/>
          <w:color w:val="auto"/>
          <w:szCs w:val="21"/>
          <w:highlight w:val="none"/>
        </w:rPr>
        <w:t>5.本协议书自签署之日起生效，合同履行完毕后自动失效。</w:t>
      </w:r>
      <w:bookmarkEnd w:id="515"/>
    </w:p>
    <w:p>
      <w:pPr>
        <w:spacing w:line="276" w:lineRule="auto"/>
        <w:ind w:firstLine="420" w:firstLineChars="200"/>
        <w:jc w:val="left"/>
        <w:rPr>
          <w:rFonts w:ascii="宋体" w:hAnsi="宋体" w:cs="宋体"/>
          <w:color w:val="auto"/>
          <w:szCs w:val="21"/>
          <w:highlight w:val="none"/>
        </w:rPr>
      </w:pPr>
      <w:bookmarkStart w:id="516" w:name="_Toc221952042"/>
      <w:r>
        <w:rPr>
          <w:rFonts w:hint="eastAsia" w:ascii="宋体" w:hAnsi="宋体" w:cs="宋体"/>
          <w:color w:val="auto"/>
          <w:szCs w:val="21"/>
          <w:highlight w:val="none"/>
        </w:rPr>
        <w:t>6</w:t>
      </w:r>
      <w:bookmarkEnd w:id="516"/>
      <w:r>
        <w:rPr>
          <w:rFonts w:hint="eastAsia" w:ascii="宋体" w:hAnsi="宋体" w:cs="宋体"/>
          <w:color w:val="auto"/>
          <w:szCs w:val="21"/>
          <w:highlight w:val="none"/>
        </w:rPr>
        <w:t>.本协议书一式份，联合体成员和招标人各执一份。</w:t>
      </w:r>
    </w:p>
    <w:p>
      <w:pPr>
        <w:spacing w:line="400" w:lineRule="exact"/>
        <w:jc w:val="left"/>
        <w:rPr>
          <w:rFonts w:ascii="宋体" w:hAnsi="宋体" w:cs="宋体"/>
          <w:color w:val="auto"/>
          <w:szCs w:val="21"/>
          <w:highlight w:val="none"/>
        </w:rPr>
      </w:pPr>
      <w:bookmarkStart w:id="517" w:name="_Toc221952044"/>
    </w:p>
    <w:p>
      <w:pPr>
        <w:spacing w:line="400" w:lineRule="exact"/>
        <w:jc w:val="left"/>
        <w:rPr>
          <w:rFonts w:ascii="宋体" w:hAnsi="宋体" w:cs="宋体"/>
          <w:color w:val="auto"/>
          <w:szCs w:val="21"/>
          <w:highlight w:val="none"/>
        </w:rPr>
      </w:pPr>
    </w:p>
    <w:p>
      <w:pPr>
        <w:spacing w:line="400" w:lineRule="exact"/>
        <w:jc w:val="right"/>
        <w:rPr>
          <w:rFonts w:ascii="宋体" w:hAnsi="宋体" w:cs="宋体"/>
          <w:color w:val="auto"/>
          <w:szCs w:val="21"/>
          <w:highlight w:val="none"/>
        </w:rPr>
      </w:pPr>
      <w:r>
        <w:rPr>
          <w:rFonts w:hint="eastAsia" w:ascii="宋体" w:hAnsi="宋体" w:cs="宋体"/>
          <w:color w:val="auto"/>
          <w:szCs w:val="21"/>
          <w:highlight w:val="none"/>
        </w:rPr>
        <w:t>牵头人名称：</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（盖单位章）</w:t>
      </w:r>
      <w:bookmarkEnd w:id="517"/>
    </w:p>
    <w:p>
      <w:pPr>
        <w:wordWrap w:val="0"/>
        <w:spacing w:line="400" w:lineRule="exact"/>
        <w:jc w:val="right"/>
        <w:rPr>
          <w:rFonts w:ascii="宋体" w:hAnsi="宋体" w:cs="宋体"/>
          <w:color w:val="auto"/>
          <w:szCs w:val="21"/>
          <w:highlight w:val="none"/>
        </w:rPr>
      </w:pPr>
      <w:bookmarkStart w:id="518" w:name="_Toc221952045"/>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（签字）</w:t>
      </w:r>
      <w:bookmarkEnd w:id="518"/>
    </w:p>
    <w:p>
      <w:pPr>
        <w:spacing w:line="400" w:lineRule="exact"/>
        <w:jc w:val="right"/>
        <w:rPr>
          <w:rFonts w:ascii="宋体" w:hAnsi="宋体" w:cs="宋体"/>
          <w:color w:val="auto"/>
          <w:szCs w:val="21"/>
          <w:highlight w:val="none"/>
        </w:rPr>
      </w:pPr>
    </w:p>
    <w:p>
      <w:pPr>
        <w:spacing w:line="400" w:lineRule="exact"/>
        <w:jc w:val="right"/>
        <w:rPr>
          <w:rFonts w:ascii="宋体" w:hAnsi="宋体" w:cs="宋体"/>
          <w:color w:val="auto"/>
          <w:szCs w:val="21"/>
          <w:highlight w:val="none"/>
        </w:rPr>
      </w:pPr>
      <w:bookmarkStart w:id="519" w:name="_Toc221952046"/>
      <w:r>
        <w:rPr>
          <w:rFonts w:hint="eastAsia" w:ascii="宋体" w:hAnsi="宋体" w:cs="宋体"/>
          <w:color w:val="auto"/>
          <w:szCs w:val="21"/>
          <w:highlight w:val="none"/>
        </w:rPr>
        <w:t>成员一名称：</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（盖单位章）</w:t>
      </w:r>
      <w:bookmarkEnd w:id="519"/>
    </w:p>
    <w:p>
      <w:pPr>
        <w:spacing w:line="400" w:lineRule="exact"/>
        <w:jc w:val="right"/>
        <w:rPr>
          <w:rFonts w:ascii="宋体" w:hAnsi="宋体" w:cs="宋体"/>
          <w:color w:val="auto"/>
          <w:szCs w:val="21"/>
          <w:highlight w:val="none"/>
        </w:rPr>
      </w:pPr>
      <w:bookmarkStart w:id="520" w:name="_Toc221952047"/>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（签字）</w:t>
      </w:r>
      <w:bookmarkEnd w:id="520"/>
    </w:p>
    <w:p>
      <w:pPr>
        <w:spacing w:line="400" w:lineRule="exact"/>
        <w:jc w:val="right"/>
        <w:rPr>
          <w:rFonts w:ascii="宋体" w:hAnsi="宋体" w:cs="宋体"/>
          <w:color w:val="auto"/>
          <w:szCs w:val="21"/>
          <w:highlight w:val="none"/>
        </w:rPr>
      </w:pPr>
    </w:p>
    <w:p>
      <w:pPr>
        <w:spacing w:line="400" w:lineRule="exact"/>
        <w:jc w:val="right"/>
        <w:rPr>
          <w:rFonts w:ascii="宋体" w:hAnsi="宋体" w:cs="宋体"/>
          <w:color w:val="auto"/>
          <w:szCs w:val="21"/>
          <w:highlight w:val="none"/>
        </w:rPr>
      </w:pPr>
    </w:p>
    <w:p>
      <w:pPr>
        <w:spacing w:line="400" w:lineRule="exact"/>
        <w:ind w:firstLine="3360" w:firstLineChars="1600"/>
        <w:jc w:val="right"/>
        <w:rPr>
          <w:rFonts w:ascii="宋体" w:hAnsi="宋体" w:cs="宋体"/>
          <w:color w:val="auto"/>
          <w:szCs w:val="21"/>
          <w:highlight w:val="none"/>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 xml:space="preserve"> 日</w:t>
      </w:r>
    </w:p>
    <w:p>
      <w:pPr>
        <w:spacing w:line="400" w:lineRule="exact"/>
        <w:ind w:firstLine="435"/>
        <w:jc w:val="left"/>
        <w:rPr>
          <w:rFonts w:ascii="宋体" w:hAnsi="宋体" w:cs="宋体"/>
          <w:color w:val="auto"/>
          <w:szCs w:val="21"/>
          <w:highlight w:val="none"/>
        </w:rPr>
      </w:pPr>
      <w:bookmarkStart w:id="521" w:name="_Toc221952043"/>
    </w:p>
    <w:p>
      <w:pPr>
        <w:spacing w:line="400" w:lineRule="exact"/>
        <w:ind w:firstLine="435"/>
        <w:jc w:val="left"/>
        <w:rPr>
          <w:rFonts w:ascii="宋体" w:hAnsi="宋体" w:cs="宋体"/>
          <w:color w:val="auto"/>
          <w:szCs w:val="21"/>
          <w:highlight w:val="none"/>
        </w:rPr>
      </w:pPr>
    </w:p>
    <w:p>
      <w:pPr>
        <w:spacing w:line="400" w:lineRule="exact"/>
        <w:ind w:firstLine="435"/>
        <w:jc w:val="left"/>
        <w:rPr>
          <w:rFonts w:ascii="宋体" w:hAnsi="宋体" w:cs="宋体"/>
          <w:color w:val="auto"/>
          <w:szCs w:val="21"/>
          <w:highlight w:val="none"/>
        </w:rPr>
      </w:pPr>
    </w:p>
    <w:p>
      <w:pPr>
        <w:spacing w:line="400" w:lineRule="exact"/>
        <w:ind w:firstLine="435"/>
        <w:jc w:val="left"/>
        <w:rPr>
          <w:rFonts w:ascii="宋体" w:hAnsi="宋体" w:cs="宋体"/>
          <w:color w:val="auto"/>
          <w:szCs w:val="21"/>
          <w:highlight w:val="none"/>
        </w:rPr>
      </w:pPr>
      <w:r>
        <w:rPr>
          <w:rFonts w:hint="eastAsia" w:ascii="宋体" w:hAnsi="宋体" w:cs="宋体"/>
          <w:color w:val="auto"/>
          <w:szCs w:val="21"/>
          <w:highlight w:val="none"/>
        </w:rPr>
        <w:t>注：本协议书由委托代理人签字的，应附法定代表人签字的授权委托书</w:t>
      </w:r>
      <w:bookmarkEnd w:id="521"/>
      <w:r>
        <w:rPr>
          <w:rFonts w:hint="eastAsia" w:ascii="宋体" w:hAnsi="宋体" w:cs="宋体"/>
          <w:color w:val="auto"/>
          <w:szCs w:val="21"/>
          <w:highlight w:val="none"/>
        </w:rPr>
        <w:t>。</w:t>
      </w:r>
    </w:p>
    <w:p>
      <w:pPr>
        <w:spacing w:line="400" w:lineRule="exact"/>
        <w:ind w:firstLine="3360" w:firstLineChars="1600"/>
        <w:jc w:val="left"/>
        <w:rPr>
          <w:rFonts w:ascii="宋体" w:hAnsi="宋体" w:cs="宋体"/>
          <w:color w:val="auto"/>
          <w:szCs w:val="21"/>
          <w:highlight w:val="none"/>
          <w:u w:val="single"/>
        </w:rPr>
      </w:pPr>
    </w:p>
    <w:p>
      <w:pPr>
        <w:spacing w:line="400" w:lineRule="exact"/>
        <w:jc w:val="left"/>
        <w:rPr>
          <w:rFonts w:ascii="宋体" w:hAnsi="宋体" w:cs="宋体"/>
          <w:strike/>
          <w:color w:val="auto"/>
          <w:sz w:val="20"/>
          <w:szCs w:val="20"/>
          <w:highlight w:val="none"/>
        </w:rPr>
      </w:pPr>
      <w:r>
        <w:rPr>
          <w:rFonts w:hint="eastAsia" w:ascii="宋体" w:hAnsi="宋体" w:cs="宋体"/>
          <w:strike/>
          <w:color w:val="auto"/>
          <w:szCs w:val="21"/>
          <w:highlight w:val="none"/>
        </w:rPr>
        <w:br w:type="page"/>
      </w:r>
      <w:bookmarkStart w:id="522" w:name="_Toc144974863"/>
      <w:bookmarkStart w:id="523" w:name="_Toc168475922"/>
      <w:bookmarkStart w:id="524" w:name="_Toc222029565"/>
      <w:bookmarkStart w:id="525" w:name="_Toc222031067"/>
      <w:bookmarkStart w:id="526" w:name="_Toc168476325"/>
      <w:bookmarkStart w:id="527" w:name="_Toc221952063"/>
    </w:p>
    <w:p>
      <w:pPr>
        <w:spacing w:line="360" w:lineRule="auto"/>
        <w:jc w:val="center"/>
        <w:outlineLvl w:val="2"/>
        <w:rPr>
          <w:rFonts w:ascii="宋体" w:hAnsi="宋体" w:cs="宋体"/>
          <w:color w:val="auto"/>
          <w:sz w:val="28"/>
          <w:szCs w:val="27"/>
          <w:highlight w:val="none"/>
        </w:rPr>
      </w:pPr>
      <w:bookmarkStart w:id="528" w:name="_Toc259524419"/>
      <w:bookmarkStart w:id="529" w:name="_Toc17451657"/>
      <w:bookmarkStart w:id="530" w:name="_Toc17452698"/>
      <w:bookmarkStart w:id="531" w:name="_Toc222032734"/>
      <w:bookmarkStart w:id="532" w:name="_Toc17556910"/>
      <w:bookmarkStart w:id="533" w:name="_Toc132193467"/>
      <w:bookmarkStart w:id="534" w:name="_Toc17454956"/>
      <w:bookmarkStart w:id="535" w:name="_Toc229305425"/>
      <w:bookmarkStart w:id="536" w:name="_Toc222033916"/>
      <w:bookmarkStart w:id="537" w:name="_Toc17454905"/>
      <w:bookmarkStart w:id="538" w:name="_Toc17451135"/>
      <w:bookmarkStart w:id="539" w:name="_Toc17451612"/>
      <w:r>
        <w:rPr>
          <w:rFonts w:hint="eastAsia" w:ascii="宋体" w:hAnsi="宋体" w:cs="宋体"/>
          <w:color w:val="auto"/>
          <w:sz w:val="28"/>
          <w:szCs w:val="27"/>
          <w:highlight w:val="none"/>
          <w:lang w:val="en-US" w:eastAsia="zh-CN"/>
        </w:rPr>
        <w:t>五</w:t>
      </w:r>
      <w:r>
        <w:rPr>
          <w:rFonts w:hint="eastAsia" w:ascii="宋体" w:hAnsi="宋体" w:cs="宋体"/>
          <w:color w:val="auto"/>
          <w:sz w:val="28"/>
          <w:szCs w:val="27"/>
          <w:highlight w:val="none"/>
        </w:rPr>
        <w:t>、已标价工程量清单</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rPr>
          <w:rFonts w:ascii="宋体" w:hAnsi="宋体"/>
          <w:color w:val="auto"/>
          <w:highlight w:val="none"/>
        </w:rPr>
      </w:pPr>
      <w:bookmarkStart w:id="540" w:name="_Toc17451658"/>
      <w:bookmarkStart w:id="541" w:name="_Toc17452699"/>
      <w:bookmarkStart w:id="542" w:name="_Toc17556966"/>
      <w:bookmarkStart w:id="543" w:name="_Toc17451136"/>
      <w:bookmarkStart w:id="544" w:name="_Toc8397269"/>
      <w:bookmarkStart w:id="545" w:name="_Toc17451613"/>
      <w:bookmarkStart w:id="546" w:name="_Toc17454957"/>
      <w:bookmarkStart w:id="547" w:name="_Toc17556911"/>
      <w:bookmarkStart w:id="548" w:name="_Toc17454906"/>
      <w:r>
        <w:rPr>
          <w:rFonts w:hint="eastAsia" w:ascii="宋体" w:hAnsi="宋体"/>
          <w:color w:val="auto"/>
          <w:highlight w:val="none"/>
        </w:rPr>
        <w:t>（注：采用综合评估法三的，不用提交，招标人须在招标文件中提供已标价的工程量清单）</w:t>
      </w:r>
      <w:bookmarkEnd w:id="540"/>
      <w:bookmarkEnd w:id="541"/>
      <w:bookmarkEnd w:id="542"/>
      <w:bookmarkEnd w:id="543"/>
      <w:bookmarkEnd w:id="544"/>
      <w:bookmarkEnd w:id="545"/>
      <w:bookmarkEnd w:id="546"/>
      <w:bookmarkEnd w:id="547"/>
      <w:bookmarkEnd w:id="548"/>
    </w:p>
    <w:p>
      <w:pPr>
        <w:spacing w:line="360" w:lineRule="auto"/>
        <w:rPr>
          <w:rFonts w:ascii="宋体" w:hAnsi="宋体" w:cs="宋体"/>
          <w:color w:val="auto"/>
          <w:sz w:val="28"/>
          <w:szCs w:val="27"/>
          <w:highlight w:val="none"/>
        </w:rPr>
      </w:pPr>
    </w:p>
    <w:p>
      <w:pPr>
        <w:widowControl/>
        <w:jc w:val="left"/>
        <w:rPr>
          <w:rFonts w:ascii="宋体" w:hAnsi="宋体" w:cs="宋体"/>
          <w:strike/>
          <w:color w:val="auto"/>
          <w:sz w:val="28"/>
          <w:szCs w:val="27"/>
          <w:highlight w:val="none"/>
        </w:rPr>
      </w:pPr>
      <w:r>
        <w:rPr>
          <w:rFonts w:hint="eastAsia" w:ascii="宋体" w:hAnsi="宋体" w:cs="宋体"/>
          <w:color w:val="auto"/>
          <w:sz w:val="28"/>
          <w:szCs w:val="27"/>
          <w:highlight w:val="none"/>
        </w:rPr>
        <w:br w:type="page"/>
      </w:r>
    </w:p>
    <w:p>
      <w:pPr>
        <w:pageBreakBefore/>
        <w:spacing w:line="360" w:lineRule="auto"/>
        <w:jc w:val="center"/>
        <w:outlineLvl w:val="2"/>
        <w:rPr>
          <w:rFonts w:ascii="宋体" w:hAnsi="宋体" w:cs="宋体"/>
          <w:color w:val="auto"/>
          <w:sz w:val="28"/>
          <w:szCs w:val="27"/>
          <w:highlight w:val="none"/>
        </w:rPr>
      </w:pPr>
      <w:bookmarkStart w:id="549" w:name="_Toc17454907"/>
      <w:bookmarkStart w:id="550" w:name="_Toc259524420"/>
      <w:bookmarkStart w:id="551" w:name="_Toc17452700"/>
      <w:bookmarkStart w:id="552" w:name="_Toc132193468"/>
      <w:bookmarkStart w:id="553" w:name="_Toc222032735"/>
      <w:bookmarkStart w:id="554" w:name="_Toc168476326"/>
      <w:bookmarkStart w:id="555" w:name="_Toc17556912"/>
      <w:bookmarkStart w:id="556" w:name="_Toc222031068"/>
      <w:bookmarkStart w:id="557" w:name="_Toc168475923"/>
      <w:bookmarkStart w:id="558" w:name="_Toc17454958"/>
      <w:bookmarkStart w:id="559" w:name="_Toc17451614"/>
      <w:bookmarkStart w:id="560" w:name="_Toc229305426"/>
      <w:bookmarkStart w:id="561" w:name="_Toc221952064"/>
      <w:bookmarkStart w:id="562" w:name="_Toc17451659"/>
      <w:bookmarkStart w:id="563" w:name="_Toc17451137"/>
      <w:bookmarkStart w:id="564" w:name="_Toc222033917"/>
      <w:bookmarkStart w:id="565" w:name="_Toc222029566"/>
      <w:bookmarkStart w:id="566" w:name="_Toc144974864"/>
      <w:r>
        <w:rPr>
          <w:rFonts w:hint="eastAsia" w:ascii="宋体" w:hAnsi="宋体" w:cs="宋体"/>
          <w:color w:val="auto"/>
          <w:sz w:val="28"/>
          <w:szCs w:val="27"/>
          <w:highlight w:val="none"/>
          <w:lang w:val="en-US" w:eastAsia="zh-CN"/>
        </w:rPr>
        <w:t>六</w:t>
      </w:r>
      <w:r>
        <w:rPr>
          <w:rFonts w:hint="eastAsia" w:ascii="宋体" w:hAnsi="宋体" w:cs="宋体"/>
          <w:color w:val="auto"/>
          <w:sz w:val="28"/>
          <w:szCs w:val="27"/>
          <w:highlight w:val="none"/>
        </w:rPr>
        <w:t>、施工组织设计</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投标人编制施工组织设计的要求：根据评标办法前附表的评分因素编制。</w:t>
      </w:r>
    </w:p>
    <w:p>
      <w:pPr>
        <w:topLinePunct/>
        <w:spacing w:line="400" w:lineRule="exact"/>
        <w:rPr>
          <w:rFonts w:ascii="宋体" w:hAnsi="宋体" w:cs="宋体"/>
          <w:color w:val="auto"/>
          <w:sz w:val="20"/>
          <w:szCs w:val="20"/>
          <w:highlight w:val="none"/>
        </w:rPr>
      </w:pPr>
    </w:p>
    <w:p>
      <w:pPr>
        <w:topLinePunct/>
        <w:spacing w:line="400" w:lineRule="exact"/>
        <w:rPr>
          <w:rFonts w:ascii="宋体" w:hAnsi="宋体" w:cs="宋体"/>
          <w:color w:val="auto"/>
          <w:sz w:val="20"/>
          <w:szCs w:val="20"/>
          <w:highlight w:val="none"/>
        </w:rPr>
      </w:pPr>
    </w:p>
    <w:p>
      <w:pPr>
        <w:topLinePunct/>
        <w:spacing w:line="400" w:lineRule="exact"/>
        <w:rPr>
          <w:rFonts w:ascii="宋体" w:hAnsi="宋体" w:cs="宋体"/>
          <w:color w:val="auto"/>
          <w:sz w:val="20"/>
          <w:szCs w:val="20"/>
          <w:highlight w:val="none"/>
        </w:rPr>
      </w:pPr>
    </w:p>
    <w:p>
      <w:pPr>
        <w:rPr>
          <w:rFonts w:ascii="宋体" w:hAnsi="宋体" w:cs="宋体"/>
          <w:i/>
          <w:color w:val="auto"/>
          <w:szCs w:val="21"/>
          <w:highlight w:val="none"/>
        </w:rPr>
      </w:pPr>
      <w:bookmarkStart w:id="567" w:name="_Toc229305427"/>
      <w:bookmarkStart w:id="568" w:name="_Toc168476333"/>
      <w:bookmarkStart w:id="569" w:name="_Toc144974871"/>
      <w:bookmarkStart w:id="570" w:name="_Toc222033918"/>
      <w:bookmarkStart w:id="571" w:name="_Toc222029567"/>
      <w:bookmarkStart w:id="572" w:name="_Toc222031069"/>
      <w:bookmarkStart w:id="573" w:name="_Toc222032736"/>
      <w:bookmarkStart w:id="574" w:name="_Toc259524421"/>
      <w:bookmarkStart w:id="575" w:name="_Toc168475930"/>
      <w:bookmarkStart w:id="576" w:name="_Toc221952115"/>
    </w:p>
    <w:p>
      <w:pPr>
        <w:spacing w:line="400" w:lineRule="exact"/>
        <w:ind w:firstLine="480" w:firstLineChars="200"/>
        <w:rPr>
          <w:rFonts w:ascii="宋体" w:hAnsi="宋体" w:cs="宋体"/>
          <w:color w:val="auto"/>
          <w:sz w:val="24"/>
          <w:highlight w:val="none"/>
        </w:rPr>
      </w:pPr>
    </w:p>
    <w:p>
      <w:pPr>
        <w:spacing w:line="400" w:lineRule="exact"/>
        <w:ind w:firstLine="4060" w:firstLineChars="1450"/>
        <w:rPr>
          <w:rFonts w:ascii="宋体" w:hAnsi="宋体" w:cs="宋体"/>
          <w:color w:val="auto"/>
          <w:sz w:val="28"/>
          <w:szCs w:val="27"/>
          <w:highlight w:val="none"/>
        </w:rPr>
      </w:pPr>
      <w:r>
        <w:rPr>
          <w:rFonts w:hint="eastAsia" w:ascii="宋体" w:hAnsi="宋体"/>
          <w:color w:val="auto"/>
          <w:sz w:val="28"/>
          <w:szCs w:val="28"/>
          <w:highlight w:val="none"/>
        </w:rPr>
        <w:br w:type="page"/>
      </w:r>
    </w:p>
    <w:p>
      <w:pPr>
        <w:spacing w:line="360" w:lineRule="auto"/>
        <w:jc w:val="center"/>
        <w:outlineLvl w:val="2"/>
        <w:rPr>
          <w:rFonts w:ascii="宋体" w:hAnsi="宋体" w:cs="宋体"/>
          <w:color w:val="auto"/>
          <w:sz w:val="28"/>
          <w:szCs w:val="27"/>
          <w:highlight w:val="none"/>
        </w:rPr>
      </w:pPr>
      <w:bookmarkStart w:id="577" w:name="_Toc17556913"/>
      <w:bookmarkStart w:id="578" w:name="_Toc17451615"/>
      <w:bookmarkStart w:id="579" w:name="_Toc17451138"/>
      <w:bookmarkStart w:id="580" w:name="_Toc17454959"/>
      <w:bookmarkStart w:id="581" w:name="_Toc17454908"/>
      <w:bookmarkStart w:id="582" w:name="_Toc132193469"/>
      <w:bookmarkStart w:id="583" w:name="_Toc17452701"/>
      <w:bookmarkStart w:id="584" w:name="_Toc17451660"/>
      <w:r>
        <w:rPr>
          <w:rFonts w:hint="eastAsia" w:ascii="宋体" w:hAnsi="宋体" w:cs="宋体"/>
          <w:color w:val="auto"/>
          <w:sz w:val="28"/>
          <w:szCs w:val="27"/>
          <w:highlight w:val="none"/>
          <w:lang w:val="en-US" w:eastAsia="zh-CN"/>
        </w:rPr>
        <w:t>七</w:t>
      </w:r>
      <w:r>
        <w:rPr>
          <w:rFonts w:hint="eastAsia" w:ascii="宋体" w:hAnsi="宋体" w:cs="宋体"/>
          <w:color w:val="auto"/>
          <w:sz w:val="28"/>
          <w:szCs w:val="27"/>
          <w:highlight w:val="none"/>
        </w:rPr>
        <w:t>、项目管理机构</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jc w:val="center"/>
        <w:rPr>
          <w:rFonts w:ascii="宋体" w:hAnsi="宋体"/>
          <w:b/>
          <w:color w:val="auto"/>
          <w:highlight w:val="none"/>
        </w:rPr>
      </w:pPr>
      <w:r>
        <w:rPr>
          <w:rFonts w:hint="eastAsia" w:ascii="宋体" w:hAnsi="宋体"/>
          <w:b/>
          <w:color w:val="auto"/>
          <w:highlight w:val="none"/>
        </w:rPr>
        <w:t>项目管理架构人员最低配置承诺书</w:t>
      </w:r>
    </w:p>
    <w:p>
      <w:pPr>
        <w:spacing w:before="120" w:line="520" w:lineRule="exact"/>
        <w:ind w:left="960" w:hanging="960"/>
        <w:rPr>
          <w:rFonts w:ascii="宋体" w:hAnsi="宋体" w:cs="宋体"/>
          <w:color w:val="auto"/>
          <w:szCs w:val="32"/>
          <w:highlight w:val="none"/>
        </w:rPr>
      </w:pPr>
      <w:r>
        <w:rPr>
          <w:rFonts w:hint="eastAsia" w:ascii="宋体" w:hAnsi="宋体" w:cs="宋体"/>
          <w:color w:val="auto"/>
          <w:szCs w:val="32"/>
          <w:highlight w:val="none"/>
        </w:rPr>
        <w:t>致（招标人）：</w:t>
      </w:r>
    </w:p>
    <w:p>
      <w:pPr>
        <w:spacing w:before="120" w:line="520" w:lineRule="exact"/>
        <w:ind w:left="6" w:leftChars="3" w:firstLine="420" w:firstLineChars="200"/>
        <w:rPr>
          <w:rFonts w:ascii="宋体" w:hAnsi="宋体" w:cs="宋体"/>
          <w:b/>
          <w:bCs/>
          <w:color w:val="auto"/>
          <w:szCs w:val="32"/>
          <w:highlight w:val="none"/>
        </w:rPr>
      </w:pPr>
      <w:r>
        <w:rPr>
          <w:rFonts w:hint="eastAsia" w:ascii="宋体" w:hAnsi="宋体" w:cs="宋体"/>
          <w:color w:val="auto"/>
          <w:szCs w:val="32"/>
          <w:highlight w:val="none"/>
        </w:rPr>
        <w:t>我公司参与</w:t>
      </w:r>
      <w:r>
        <w:rPr>
          <w:rFonts w:hint="eastAsia" w:ascii="宋体" w:hAnsi="宋体" w:cs="宋体"/>
          <w:color w:val="auto"/>
          <w:szCs w:val="32"/>
          <w:highlight w:val="none"/>
          <w:u w:val="single"/>
        </w:rPr>
        <w:t xml:space="preserve">                （项目）</w:t>
      </w:r>
      <w:r>
        <w:rPr>
          <w:rFonts w:hint="eastAsia" w:ascii="宋体" w:hAnsi="宋体" w:cs="宋体"/>
          <w:color w:val="auto"/>
          <w:szCs w:val="32"/>
          <w:highlight w:val="none"/>
        </w:rPr>
        <w:t>投标，郑重承诺如下：</w:t>
      </w:r>
    </w:p>
    <w:p>
      <w:pPr>
        <w:pStyle w:val="19"/>
        <w:rPr>
          <w:rFonts w:hAnsi="宋体" w:eastAsia="宋体" w:cs="宋体"/>
          <w:color w:val="auto"/>
          <w:szCs w:val="32"/>
          <w:highlight w:val="none"/>
        </w:rPr>
      </w:pPr>
    </w:p>
    <w:p>
      <w:pPr>
        <w:pStyle w:val="19"/>
        <w:rPr>
          <w:rFonts w:hAnsi="宋体" w:eastAsia="宋体" w:cs="宋体"/>
          <w:color w:val="auto"/>
          <w:szCs w:val="32"/>
          <w:highlight w:val="none"/>
        </w:rPr>
      </w:pPr>
    </w:p>
    <w:tbl>
      <w:tblPr>
        <w:tblStyle w:val="34"/>
        <w:tblpPr w:leftFromText="180" w:rightFromText="180" w:vertAnchor="page" w:horzAnchor="page" w:tblpX="1042" w:tblpY="4442"/>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color w:val="auto"/>
                <w:szCs w:val="21"/>
                <w:highlight w:val="none"/>
              </w:rPr>
            </w:pPr>
            <w:r>
              <w:rPr>
                <w:rFonts w:hint="eastAsia" w:ascii="宋体" w:hAnsi="宋体" w:cs="宋体"/>
                <w:color w:val="auto"/>
                <w:szCs w:val="21"/>
                <w:highlight w:val="none"/>
              </w:rPr>
              <w:t>岗位</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color w:val="auto"/>
                <w:szCs w:val="21"/>
                <w:highlight w:val="none"/>
              </w:rPr>
            </w:pPr>
            <w:r>
              <w:rPr>
                <w:rFonts w:hint="eastAsia" w:ascii="宋体" w:hAnsi="宋体" w:cs="宋体"/>
                <w:color w:val="auto"/>
                <w:szCs w:val="21"/>
                <w:highlight w:val="none"/>
              </w:rPr>
              <w:t>资格要求</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rPr>
                <w:rFonts w:ascii="宋体" w:hAnsi="宋体" w:cs="宋体"/>
                <w:color w:val="auto"/>
                <w:szCs w:val="21"/>
                <w:highlight w:val="none"/>
              </w:rPr>
            </w:pPr>
            <w:r>
              <w:rPr>
                <w:rFonts w:hint="eastAsia" w:ascii="宋体" w:hAnsi="宋体" w:cs="宋体"/>
                <w:color w:val="auto"/>
                <w:szCs w:val="21"/>
                <w:highlight w:val="none"/>
              </w:rPr>
              <w:t>数量</w:t>
            </w:r>
          </w:p>
        </w:tc>
        <w:tc>
          <w:tcPr>
            <w:tcW w:w="3543"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1</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项目负责人</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color w:val="auto"/>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33"/>
              <w:rPr>
                <w:rFonts w:ascii="宋体" w:hAnsi="宋体" w:cs="宋体"/>
                <w:color w:val="auto"/>
                <w:sz w:val="24"/>
                <w:szCs w:val="24"/>
                <w:highlight w:val="none"/>
              </w:rPr>
            </w:pPr>
            <w:r>
              <w:rPr>
                <w:rFonts w:hint="eastAsia" w:ascii="宋体" w:hAnsi="宋体" w:cs="宋体"/>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2</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技术负责人</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工程类</w:t>
            </w:r>
            <w:r>
              <w:rPr>
                <w:rFonts w:hint="eastAsia" w:ascii="宋体" w:hAnsi="宋体" w:cs="宋体"/>
                <w:color w:val="auto"/>
                <w:sz w:val="24"/>
                <w:highlight w:val="none"/>
                <w:u w:val="single"/>
              </w:rPr>
              <w:t xml:space="preserve">  中  </w:t>
            </w:r>
            <w:r>
              <w:rPr>
                <w:rFonts w:hint="eastAsia" w:ascii="宋体" w:hAnsi="宋体" w:cs="宋体"/>
                <w:color w:val="auto"/>
                <w:sz w:val="24"/>
                <w:highlight w:val="none"/>
              </w:rPr>
              <w:t>级工程师</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color w:val="auto"/>
                <w:sz w:val="24"/>
                <w:szCs w:val="24"/>
                <w:highlight w:val="none"/>
              </w:rPr>
            </w:pPr>
            <w:r>
              <w:rPr>
                <w:rFonts w:hint="eastAsia" w:ascii="宋体" w:hAnsi="宋体" w:cs="宋体"/>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firstLine="34"/>
              <w:rPr>
                <w:rFonts w:ascii="宋体" w:hAnsi="宋体" w:cs="宋体"/>
                <w:color w:val="auto"/>
                <w:sz w:val="24"/>
                <w:szCs w:val="24"/>
                <w:highlight w:val="none"/>
              </w:rPr>
            </w:pPr>
            <w:r>
              <w:rPr>
                <w:rFonts w:hint="eastAsia" w:ascii="宋体" w:hAnsi="宋体" w:cs="宋体"/>
                <w:color w:val="auto"/>
                <w:sz w:val="24"/>
                <w:highlight w:val="none"/>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3</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专职安全员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color w:val="auto"/>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33"/>
              <w:rPr>
                <w:rFonts w:ascii="宋体" w:hAnsi="宋体" w:cs="宋体"/>
                <w:color w:val="auto"/>
                <w:sz w:val="24"/>
                <w:szCs w:val="24"/>
                <w:highlight w:val="none"/>
              </w:rPr>
            </w:pPr>
            <w:r>
              <w:rPr>
                <w:rFonts w:hint="eastAsia" w:ascii="宋体" w:hAnsi="宋体" w:cs="宋体"/>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ascii="宋体" w:hAnsi="宋体" w:cs="宋体"/>
                <w:color w:val="auto"/>
                <w:sz w:val="24"/>
                <w:highlight w:val="none"/>
              </w:rPr>
              <w:t>4</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资料员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highlight w:val="none"/>
              </w:rPr>
            </w:pPr>
            <w:r>
              <w:rPr>
                <w:rFonts w:hint="eastAsia" w:ascii="宋体" w:hAnsi="宋体" w:cs="宋体"/>
                <w:color w:val="auto"/>
                <w:sz w:val="24"/>
                <w:highlight w:val="none"/>
              </w:rPr>
              <w:t>具备资料员从业资格</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color w:val="auto"/>
                <w:sz w:val="24"/>
                <w:szCs w:val="24"/>
                <w:highlight w:val="none"/>
              </w:rPr>
            </w:pPr>
            <w:r>
              <w:rPr>
                <w:rFonts w:hint="eastAsia" w:ascii="宋体" w:hAnsi="宋体" w:cs="宋体"/>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ascii="宋体" w:hAnsi="宋体" w:cs="宋体"/>
                <w:color w:val="auto"/>
                <w:sz w:val="24"/>
                <w:highlight w:val="none"/>
              </w:rPr>
              <w:t>5</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施工员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highlight w:val="none"/>
              </w:rPr>
            </w:pPr>
            <w:r>
              <w:rPr>
                <w:rFonts w:hint="eastAsia" w:ascii="宋体" w:hAnsi="宋体" w:cs="宋体"/>
                <w:color w:val="auto"/>
                <w:sz w:val="24"/>
                <w:highlight w:val="none"/>
              </w:rPr>
              <w:t>具备施工员从业资格</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1个以上</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color w:val="auto"/>
                <w:sz w:val="24"/>
                <w:szCs w:val="24"/>
                <w:highlight w:val="none"/>
              </w:rPr>
            </w:pPr>
            <w:r>
              <w:rPr>
                <w:rFonts w:hint="eastAsia" w:ascii="宋体" w:hAnsi="宋体" w:cs="宋体"/>
                <w:color w:val="auto"/>
                <w:sz w:val="24"/>
                <w:highlight w:val="none"/>
              </w:rPr>
              <w:t>根据项目规模确定</w:t>
            </w:r>
          </w:p>
        </w:tc>
      </w:tr>
    </w:tbl>
    <w:p>
      <w:pPr>
        <w:spacing w:before="120" w:line="400" w:lineRule="exact"/>
        <w:ind w:right="42" w:rightChars="20" w:firstLine="480" w:firstLineChars="200"/>
        <w:rPr>
          <w:rFonts w:ascii="宋体" w:hAnsi="宋体" w:cs="宋体"/>
          <w:color w:val="auto"/>
          <w:sz w:val="24"/>
          <w:szCs w:val="24"/>
          <w:highlight w:val="none"/>
        </w:rPr>
      </w:pPr>
      <w:r>
        <w:rPr>
          <w:rFonts w:hint="eastAsia" w:ascii="宋体" w:hAnsi="宋体" w:cs="宋体"/>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ascii="宋体" w:hAnsi="宋体" w:cs="宋体"/>
          <w:color w:val="auto"/>
          <w:sz w:val="24"/>
          <w:highlight w:val="none"/>
        </w:rPr>
      </w:pPr>
      <w:r>
        <w:rPr>
          <w:rFonts w:hint="eastAsia" w:ascii="宋体" w:hAnsi="宋体" w:cs="宋体"/>
          <w:color w:val="auto"/>
          <w:sz w:val="24"/>
          <w:highlight w:val="none"/>
        </w:rPr>
        <w:t>如我公司违反上述承诺，我公司自愿放弃本项目中标资格。</w:t>
      </w:r>
    </w:p>
    <w:p>
      <w:pPr>
        <w:spacing w:before="120" w:line="400" w:lineRule="exact"/>
        <w:ind w:right="42" w:rightChars="20" w:firstLine="480" w:firstLineChars="200"/>
        <w:rPr>
          <w:rFonts w:ascii="宋体" w:hAnsi="宋体" w:cs="宋体"/>
          <w:color w:val="auto"/>
          <w:sz w:val="24"/>
          <w:highlight w:val="none"/>
        </w:rPr>
      </w:pPr>
      <w:r>
        <w:rPr>
          <w:rFonts w:hint="eastAsia" w:ascii="宋体" w:hAnsi="宋体" w:cs="宋体"/>
          <w:color w:val="auto"/>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rFonts w:ascii="宋体" w:hAnsi="宋体" w:cs="宋体"/>
          <w:color w:val="auto"/>
          <w:sz w:val="24"/>
          <w:highlight w:val="none"/>
        </w:rPr>
      </w:pPr>
    </w:p>
    <w:p>
      <w:pPr>
        <w:wordWrap w:val="0"/>
        <w:spacing w:before="120" w:line="400" w:lineRule="exact"/>
        <w:ind w:left="720" w:hanging="720"/>
        <w:jc w:val="right"/>
        <w:rPr>
          <w:rFonts w:ascii="宋体" w:hAnsi="宋体" w:cs="宋体"/>
          <w:color w:val="auto"/>
          <w:sz w:val="24"/>
          <w:highlight w:val="none"/>
        </w:rPr>
      </w:pPr>
      <w:r>
        <w:rPr>
          <w:rFonts w:hint="eastAsia" w:ascii="宋体" w:hAnsi="宋体" w:cs="宋体"/>
          <w:color w:val="auto"/>
          <w:sz w:val="24"/>
          <w:highlight w:val="none"/>
        </w:rPr>
        <w:t>法定代表人或其委托代理人：（签字）</w:t>
      </w:r>
    </w:p>
    <w:p>
      <w:pPr>
        <w:spacing w:line="400" w:lineRule="exact"/>
        <w:jc w:val="right"/>
        <w:rPr>
          <w:rFonts w:ascii="宋体" w:hAnsi="宋体" w:cs="宋体"/>
          <w:color w:val="auto"/>
          <w:sz w:val="19"/>
          <w:szCs w:val="19"/>
          <w:highlight w:val="none"/>
        </w:rPr>
      </w:pPr>
      <w:r>
        <w:rPr>
          <w:rFonts w:hint="eastAsia" w:ascii="宋体" w:hAnsi="宋体" w:cs="宋体"/>
          <w:color w:val="auto"/>
          <w:sz w:val="24"/>
          <w:highlight w:val="none"/>
        </w:rPr>
        <w:t xml:space="preserve">                           单位名称：（盖单位章）</w:t>
      </w:r>
    </w:p>
    <w:p>
      <w:pPr>
        <w:topLinePunct/>
        <w:spacing w:line="40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br w:type="page"/>
      </w:r>
    </w:p>
    <w:p>
      <w:pPr>
        <w:spacing w:line="360" w:lineRule="auto"/>
        <w:jc w:val="center"/>
        <w:outlineLvl w:val="2"/>
        <w:rPr>
          <w:rFonts w:ascii="宋体" w:hAnsi="宋体" w:cs="宋体"/>
          <w:color w:val="auto"/>
          <w:sz w:val="28"/>
          <w:szCs w:val="27"/>
          <w:highlight w:val="none"/>
        </w:rPr>
      </w:pPr>
      <w:bookmarkStart w:id="585" w:name="_Toc17452702"/>
      <w:bookmarkStart w:id="586" w:name="_Toc221952153"/>
      <w:bookmarkStart w:id="587" w:name="_Toc222033920"/>
      <w:bookmarkStart w:id="588" w:name="_Toc229305429"/>
      <w:bookmarkStart w:id="589" w:name="_Toc17451616"/>
      <w:bookmarkStart w:id="590" w:name="_Toc17451139"/>
      <w:bookmarkStart w:id="591" w:name="_Toc17454909"/>
      <w:bookmarkStart w:id="592" w:name="_Toc222032738"/>
      <w:bookmarkStart w:id="593" w:name="_Toc132193470"/>
      <w:bookmarkStart w:id="594" w:name="_Toc222029569"/>
      <w:bookmarkStart w:id="595" w:name="_Toc17451661"/>
      <w:bookmarkStart w:id="596" w:name="_Toc222031071"/>
      <w:bookmarkStart w:id="597" w:name="_Toc221948389"/>
      <w:bookmarkStart w:id="598" w:name="_Toc17454960"/>
      <w:bookmarkStart w:id="599" w:name="_Toc17556914"/>
      <w:bookmarkStart w:id="600" w:name="_Toc259524423"/>
      <w:r>
        <w:rPr>
          <w:rFonts w:hint="eastAsia" w:ascii="宋体" w:hAnsi="宋体" w:cs="宋体"/>
          <w:color w:val="auto"/>
          <w:sz w:val="28"/>
          <w:szCs w:val="27"/>
          <w:highlight w:val="none"/>
          <w:lang w:val="en-US" w:eastAsia="zh-CN"/>
        </w:rPr>
        <w:t>八</w:t>
      </w:r>
      <w:r>
        <w:rPr>
          <w:rFonts w:hint="eastAsia" w:ascii="宋体" w:hAnsi="宋体" w:cs="宋体"/>
          <w:color w:val="auto"/>
          <w:sz w:val="28"/>
          <w:szCs w:val="27"/>
          <w:highlight w:val="none"/>
        </w:rPr>
        <w:t>、资格审查资料</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spacing w:line="400" w:lineRule="exact"/>
        <w:jc w:val="left"/>
        <w:outlineLvl w:val="3"/>
        <w:rPr>
          <w:rFonts w:ascii="宋体" w:hAnsi="宋体" w:cs="宋体"/>
          <w:b/>
          <w:color w:val="auto"/>
          <w:sz w:val="24"/>
          <w:szCs w:val="31"/>
          <w:highlight w:val="none"/>
        </w:rPr>
      </w:pPr>
      <w:bookmarkStart w:id="601" w:name="_Toc221952154"/>
      <w:bookmarkStart w:id="602" w:name="_Toc179715759"/>
      <w:bookmarkStart w:id="603" w:name="_Toc259524424"/>
      <w:bookmarkStart w:id="604" w:name="_Toc152047266"/>
      <w:r>
        <w:rPr>
          <w:rFonts w:hint="eastAsia" w:ascii="宋体" w:hAnsi="宋体" w:cs="宋体"/>
          <w:b/>
          <w:color w:val="auto"/>
          <w:sz w:val="24"/>
          <w:szCs w:val="31"/>
          <w:highlight w:val="none"/>
        </w:rPr>
        <w:t>（一）投标人基本情况表</w:t>
      </w:r>
      <w:bookmarkEnd w:id="601"/>
      <w:bookmarkEnd w:id="602"/>
      <w:bookmarkEnd w:id="603"/>
      <w:bookmarkEnd w:id="604"/>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05" w:name="_Toc221952155"/>
            <w:r>
              <w:rPr>
                <w:rFonts w:hint="eastAsia" w:ascii="宋体" w:hAnsi="宋体" w:cs="宋体"/>
                <w:color w:val="auto"/>
                <w:szCs w:val="20"/>
                <w:highlight w:val="none"/>
              </w:rPr>
              <w:t>投标人名称</w:t>
            </w:r>
            <w:bookmarkEnd w:id="605"/>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06" w:name="_Toc221952156"/>
            <w:r>
              <w:rPr>
                <w:rFonts w:hint="eastAsia" w:ascii="宋体" w:hAnsi="宋体" w:cs="宋体"/>
                <w:color w:val="auto"/>
                <w:szCs w:val="20"/>
                <w:highlight w:val="none"/>
              </w:rPr>
              <w:t>注册地址</w:t>
            </w:r>
            <w:bookmarkEnd w:id="606"/>
          </w:p>
        </w:tc>
        <w:tc>
          <w:tcPr>
            <w:tcW w:w="3233"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07" w:name="_Toc221952157"/>
            <w:r>
              <w:rPr>
                <w:rFonts w:hint="eastAsia" w:ascii="宋体" w:hAnsi="宋体" w:cs="宋体"/>
                <w:color w:val="auto"/>
                <w:szCs w:val="20"/>
                <w:highlight w:val="none"/>
              </w:rPr>
              <w:t>邮政编码</w:t>
            </w:r>
            <w:bookmarkEnd w:id="607"/>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08" w:name="_Toc221952158"/>
            <w:r>
              <w:rPr>
                <w:rFonts w:hint="eastAsia" w:ascii="宋体" w:hAnsi="宋体" w:cs="宋体"/>
                <w:color w:val="auto"/>
                <w:szCs w:val="20"/>
                <w:highlight w:val="none"/>
              </w:rPr>
              <w:t>联系方式</w:t>
            </w:r>
            <w:bookmarkEnd w:id="608"/>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09" w:name="_Toc221952159"/>
            <w:r>
              <w:rPr>
                <w:rFonts w:hint="eastAsia" w:ascii="宋体" w:hAnsi="宋体" w:cs="宋体"/>
                <w:color w:val="auto"/>
                <w:szCs w:val="20"/>
                <w:highlight w:val="none"/>
              </w:rPr>
              <w:t>联系人</w:t>
            </w:r>
            <w:bookmarkEnd w:id="609"/>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0" w:name="_Toc221952160"/>
            <w:r>
              <w:rPr>
                <w:rFonts w:hint="eastAsia" w:ascii="宋体" w:hAnsi="宋体" w:cs="宋体"/>
                <w:color w:val="auto"/>
                <w:szCs w:val="20"/>
                <w:highlight w:val="none"/>
              </w:rPr>
              <w:t>电 话</w:t>
            </w:r>
            <w:bookmarkEnd w:id="610"/>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1" w:name="_Toc221952161"/>
            <w:r>
              <w:rPr>
                <w:rFonts w:hint="eastAsia" w:ascii="宋体" w:hAnsi="宋体" w:cs="宋体"/>
                <w:color w:val="auto"/>
                <w:szCs w:val="20"/>
                <w:highlight w:val="none"/>
              </w:rPr>
              <w:t>传  真</w:t>
            </w:r>
            <w:bookmarkEnd w:id="611"/>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2" w:name="_Toc221952162"/>
            <w:r>
              <w:rPr>
                <w:rFonts w:hint="eastAsia" w:ascii="宋体" w:hAnsi="宋体" w:cs="宋体"/>
                <w:color w:val="auto"/>
                <w:szCs w:val="20"/>
                <w:highlight w:val="none"/>
              </w:rPr>
              <w:t>网 址</w:t>
            </w:r>
            <w:bookmarkEnd w:id="612"/>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3" w:name="_Toc221952163"/>
            <w:r>
              <w:rPr>
                <w:rFonts w:hint="eastAsia" w:ascii="宋体" w:hAnsi="宋体" w:cs="宋体"/>
                <w:color w:val="auto"/>
                <w:szCs w:val="20"/>
                <w:highlight w:val="none"/>
              </w:rPr>
              <w:t>组织结构</w:t>
            </w:r>
            <w:bookmarkEnd w:id="613"/>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4" w:name="_Toc221952164"/>
            <w:r>
              <w:rPr>
                <w:rFonts w:hint="eastAsia" w:ascii="宋体" w:hAnsi="宋体" w:cs="宋体"/>
                <w:color w:val="auto"/>
                <w:szCs w:val="20"/>
                <w:highlight w:val="none"/>
              </w:rPr>
              <w:t>法定代表人</w:t>
            </w:r>
            <w:bookmarkEnd w:id="614"/>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5" w:name="_Toc221952165"/>
            <w:r>
              <w:rPr>
                <w:rFonts w:hint="eastAsia" w:ascii="宋体" w:hAnsi="宋体" w:cs="宋体"/>
                <w:color w:val="auto"/>
                <w:szCs w:val="20"/>
                <w:highlight w:val="none"/>
              </w:rPr>
              <w:t>姓名</w:t>
            </w:r>
            <w:bookmarkEnd w:id="615"/>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6" w:name="_Toc221952166"/>
            <w:r>
              <w:rPr>
                <w:rFonts w:hint="eastAsia" w:ascii="宋体" w:hAnsi="宋体" w:cs="宋体"/>
                <w:color w:val="auto"/>
                <w:szCs w:val="20"/>
                <w:highlight w:val="none"/>
              </w:rPr>
              <w:t>技术职称</w:t>
            </w:r>
            <w:bookmarkEnd w:id="616"/>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7" w:name="_Toc221952167"/>
            <w:r>
              <w:rPr>
                <w:rFonts w:hint="eastAsia" w:ascii="宋体" w:hAnsi="宋体" w:cs="宋体"/>
                <w:color w:val="auto"/>
                <w:szCs w:val="20"/>
                <w:highlight w:val="none"/>
              </w:rPr>
              <w:t>电话</w:t>
            </w:r>
            <w:bookmarkEnd w:id="617"/>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8" w:name="_Toc221952168"/>
            <w:r>
              <w:rPr>
                <w:rFonts w:hint="eastAsia" w:ascii="宋体" w:hAnsi="宋体" w:cs="宋体"/>
                <w:color w:val="auto"/>
                <w:szCs w:val="20"/>
                <w:highlight w:val="none"/>
              </w:rPr>
              <w:t>技术负责人</w:t>
            </w:r>
            <w:bookmarkEnd w:id="618"/>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19" w:name="_Toc221952169"/>
            <w:r>
              <w:rPr>
                <w:rFonts w:hint="eastAsia" w:ascii="宋体" w:hAnsi="宋体" w:cs="宋体"/>
                <w:color w:val="auto"/>
                <w:szCs w:val="20"/>
                <w:highlight w:val="none"/>
              </w:rPr>
              <w:t>姓名</w:t>
            </w:r>
            <w:bookmarkEnd w:id="619"/>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0" w:name="_Toc221952170"/>
            <w:r>
              <w:rPr>
                <w:rFonts w:hint="eastAsia" w:ascii="宋体" w:hAnsi="宋体" w:cs="宋体"/>
                <w:color w:val="auto"/>
                <w:szCs w:val="20"/>
                <w:highlight w:val="none"/>
              </w:rPr>
              <w:t>技术职称</w:t>
            </w:r>
            <w:bookmarkEnd w:id="620"/>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1" w:name="_Toc221952171"/>
            <w:r>
              <w:rPr>
                <w:rFonts w:hint="eastAsia" w:ascii="宋体" w:hAnsi="宋体" w:cs="宋体"/>
                <w:color w:val="auto"/>
                <w:szCs w:val="20"/>
                <w:highlight w:val="none"/>
              </w:rPr>
              <w:t>电话</w:t>
            </w:r>
            <w:bookmarkEnd w:id="621"/>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2" w:name="_Toc221952172"/>
            <w:r>
              <w:rPr>
                <w:rFonts w:hint="eastAsia" w:ascii="宋体" w:hAnsi="宋体" w:cs="宋体"/>
                <w:color w:val="auto"/>
                <w:szCs w:val="20"/>
                <w:highlight w:val="none"/>
              </w:rPr>
              <w:t>成立时间</w:t>
            </w:r>
            <w:bookmarkEnd w:id="622"/>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3" w:name="_Toc221952173"/>
            <w:r>
              <w:rPr>
                <w:rFonts w:hint="eastAsia" w:ascii="宋体" w:hAnsi="宋体" w:cs="宋体"/>
                <w:color w:val="auto"/>
                <w:szCs w:val="20"/>
                <w:highlight w:val="none"/>
              </w:rPr>
              <w:t>员工总人数：</w:t>
            </w:r>
            <w:bookmarkEnd w:id="623"/>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1050" w:firstLineChars="500"/>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4" w:name="_Toc221952174"/>
            <w:r>
              <w:rPr>
                <w:rFonts w:hint="eastAsia" w:ascii="宋体" w:hAnsi="宋体" w:cs="宋体"/>
                <w:color w:val="auto"/>
                <w:szCs w:val="20"/>
                <w:highlight w:val="none"/>
              </w:rPr>
              <w:t>企业资质等级</w:t>
            </w:r>
            <w:bookmarkEnd w:id="624"/>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5" w:name="_Toc221952175"/>
            <w:r>
              <w:rPr>
                <w:rFonts w:hint="eastAsia" w:ascii="宋体" w:hAnsi="宋体" w:cs="宋体"/>
                <w:color w:val="auto"/>
                <w:szCs w:val="20"/>
                <w:highlight w:val="none"/>
              </w:rPr>
              <w:t>其中</w:t>
            </w:r>
            <w:bookmarkEnd w:id="625"/>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r>
              <w:rPr>
                <w:rFonts w:hint="eastAsia" w:ascii="宋体" w:hAnsi="宋体" w:cs="宋体"/>
                <w:color w:val="auto"/>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6" w:name="_Toc221952177"/>
            <w:r>
              <w:rPr>
                <w:rFonts w:hint="eastAsia" w:ascii="宋体" w:hAnsi="宋体" w:cs="宋体"/>
                <w:color w:val="auto"/>
                <w:szCs w:val="20"/>
                <w:highlight w:val="none"/>
              </w:rPr>
              <w:t>营业执照号</w:t>
            </w:r>
            <w:bookmarkEnd w:id="626"/>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7" w:name="_Toc221952178"/>
            <w:r>
              <w:rPr>
                <w:rFonts w:hint="eastAsia" w:ascii="宋体" w:hAnsi="宋体" w:cs="宋体"/>
                <w:color w:val="auto"/>
                <w:szCs w:val="20"/>
                <w:highlight w:val="none"/>
              </w:rPr>
              <w:t>高级职称人员</w:t>
            </w:r>
            <w:bookmarkEnd w:id="627"/>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8" w:name="_Toc221952179"/>
            <w:r>
              <w:rPr>
                <w:rFonts w:hint="eastAsia" w:ascii="宋体" w:hAnsi="宋体" w:cs="宋体"/>
                <w:color w:val="auto"/>
                <w:szCs w:val="20"/>
                <w:highlight w:val="none"/>
              </w:rPr>
              <w:t>注册资金</w:t>
            </w:r>
            <w:bookmarkEnd w:id="628"/>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29" w:name="_Toc221952180"/>
            <w:r>
              <w:rPr>
                <w:rFonts w:hint="eastAsia" w:ascii="宋体" w:hAnsi="宋体" w:cs="宋体"/>
                <w:color w:val="auto"/>
                <w:szCs w:val="20"/>
                <w:highlight w:val="none"/>
              </w:rPr>
              <w:t>中级职称人员</w:t>
            </w:r>
            <w:bookmarkEnd w:id="629"/>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30" w:name="_Toc221952181"/>
            <w:r>
              <w:rPr>
                <w:rFonts w:hint="eastAsia" w:ascii="宋体" w:hAnsi="宋体" w:cs="宋体"/>
                <w:color w:val="auto"/>
                <w:szCs w:val="20"/>
                <w:highlight w:val="none"/>
              </w:rPr>
              <w:t>开户银行</w:t>
            </w:r>
            <w:bookmarkEnd w:id="630"/>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31" w:name="_Toc221952182"/>
            <w:r>
              <w:rPr>
                <w:rFonts w:hint="eastAsia" w:ascii="宋体" w:hAnsi="宋体" w:cs="宋体"/>
                <w:color w:val="auto"/>
                <w:szCs w:val="20"/>
                <w:highlight w:val="none"/>
              </w:rPr>
              <w:t>初级职称人员</w:t>
            </w:r>
            <w:bookmarkEnd w:id="631"/>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32" w:name="_Toc221952183"/>
            <w:r>
              <w:rPr>
                <w:rFonts w:hint="eastAsia" w:ascii="宋体" w:hAnsi="宋体" w:cs="宋体"/>
                <w:color w:val="auto"/>
                <w:szCs w:val="20"/>
                <w:highlight w:val="none"/>
              </w:rPr>
              <w:t>账号</w:t>
            </w:r>
            <w:bookmarkEnd w:id="632"/>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0"/>
                <w:highlight w:val="none"/>
              </w:rPr>
            </w:pPr>
            <w:bookmarkStart w:id="633" w:name="_Toc221952184"/>
            <w:r>
              <w:rPr>
                <w:rFonts w:hint="eastAsia" w:ascii="宋体" w:hAnsi="宋体" w:cs="宋体"/>
                <w:color w:val="auto"/>
                <w:szCs w:val="20"/>
                <w:highlight w:val="none"/>
              </w:rPr>
              <w:t>技  工</w:t>
            </w:r>
            <w:bookmarkEnd w:id="633"/>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vAlign w:val="center"/>
          </w:tcPr>
          <w:p>
            <w:pPr>
              <w:topLinePunct/>
              <w:spacing w:line="400" w:lineRule="exact"/>
              <w:ind w:firstLine="210" w:firstLineChars="100"/>
              <w:jc w:val="center"/>
              <w:rPr>
                <w:rFonts w:ascii="宋体" w:hAnsi="宋体" w:cs="宋体"/>
                <w:color w:val="auto"/>
                <w:szCs w:val="20"/>
                <w:highlight w:val="none"/>
              </w:rPr>
            </w:pPr>
            <w:bookmarkStart w:id="634" w:name="_Toc221952185"/>
            <w:r>
              <w:rPr>
                <w:rFonts w:hint="eastAsia" w:ascii="宋体" w:hAnsi="宋体" w:cs="宋体"/>
                <w:color w:val="auto"/>
                <w:szCs w:val="20"/>
                <w:highlight w:val="none"/>
              </w:rPr>
              <w:t>经营范围</w:t>
            </w:r>
            <w:bookmarkEnd w:id="634"/>
          </w:p>
        </w:tc>
        <w:tc>
          <w:tcPr>
            <w:tcW w:w="6811" w:type="dxa"/>
            <w:gridSpan w:val="9"/>
            <w:tcBorders>
              <w:top w:val="single" w:color="auto" w:sz="4" w:space="0"/>
              <w:left w:val="single" w:color="auto" w:sz="4" w:space="0"/>
              <w:right w:val="single" w:color="auto" w:sz="4" w:space="0"/>
            </w:tcBorders>
            <w:vAlign w:val="center"/>
          </w:tcPr>
          <w:p>
            <w:pPr>
              <w:topLinePunct/>
              <w:spacing w:line="400" w:lineRule="exact"/>
              <w:rPr>
                <w:rFonts w:ascii="宋体" w:hAnsi="宋体" w:cs="宋体"/>
                <w:color w:val="auto"/>
                <w:szCs w:val="20"/>
                <w:highlight w:val="none"/>
              </w:rPr>
            </w:pPr>
          </w:p>
          <w:p>
            <w:pPr>
              <w:topLinePunct/>
              <w:spacing w:line="400" w:lineRule="exact"/>
              <w:jc w:val="center"/>
              <w:rPr>
                <w:rFonts w:ascii="宋体" w:hAnsi="宋体" w:cs="宋体"/>
                <w:color w:val="auto"/>
                <w:szCs w:val="20"/>
                <w:highlight w:val="none"/>
              </w:rPr>
            </w:pPr>
          </w:p>
          <w:p>
            <w:pPr>
              <w:topLinePunct/>
              <w:spacing w:line="400" w:lineRule="exact"/>
              <w:jc w:val="center"/>
              <w:rPr>
                <w:rFonts w:ascii="宋体" w:hAnsi="宋体" w:cs="宋体"/>
                <w:color w:val="auto"/>
                <w:szCs w:val="20"/>
                <w:highlight w:val="none"/>
              </w:rPr>
            </w:pPr>
          </w:p>
          <w:p>
            <w:pPr>
              <w:topLinePunct/>
              <w:spacing w:line="400" w:lineRule="exact"/>
              <w:jc w:val="center"/>
              <w:rPr>
                <w:rFonts w:ascii="宋体" w:hAnsi="宋体" w:cs="宋体"/>
                <w:color w:val="auto"/>
                <w:szCs w:val="20"/>
                <w:highlight w:val="none"/>
              </w:rPr>
            </w:pPr>
          </w:p>
          <w:p>
            <w:pPr>
              <w:topLinePunct/>
              <w:spacing w:line="400" w:lineRule="exact"/>
              <w:jc w:val="center"/>
              <w:rPr>
                <w:rFonts w:ascii="宋体" w:hAnsi="宋体" w:cs="宋体"/>
                <w:color w:val="auto"/>
                <w:szCs w:val="20"/>
                <w:highlight w:val="none"/>
              </w:rPr>
            </w:pPr>
          </w:p>
          <w:p>
            <w:pPr>
              <w:topLinePunct/>
              <w:spacing w:line="400" w:lineRule="exact"/>
              <w:jc w:val="center"/>
              <w:rPr>
                <w:rFonts w:ascii="宋体" w:hAnsi="宋体" w:cs="宋体"/>
                <w:color w:val="auto"/>
                <w:szCs w:val="20"/>
                <w:highlight w:val="none"/>
              </w:rPr>
            </w:pPr>
          </w:p>
          <w:p>
            <w:pPr>
              <w:topLinePunct/>
              <w:spacing w:line="400" w:lineRule="exact"/>
              <w:jc w:val="center"/>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bookmarkStart w:id="635" w:name="_Toc221952186"/>
            <w:r>
              <w:rPr>
                <w:rFonts w:hint="eastAsia" w:ascii="宋体" w:hAnsi="宋体" w:cs="宋体"/>
                <w:color w:val="auto"/>
                <w:szCs w:val="20"/>
                <w:highlight w:val="none"/>
              </w:rPr>
              <w:t>备注</w:t>
            </w:r>
            <w:bookmarkEnd w:id="635"/>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auto"/>
                <w:szCs w:val="20"/>
                <w:highlight w:val="none"/>
              </w:rPr>
            </w:pPr>
          </w:p>
        </w:tc>
      </w:tr>
    </w:tbl>
    <w:p>
      <w:pPr>
        <w:spacing w:line="400" w:lineRule="exact"/>
        <w:rPr>
          <w:rFonts w:ascii="宋体" w:hAnsi="宋体" w:cs="宋体"/>
          <w:color w:val="auto"/>
          <w:highlight w:val="none"/>
        </w:rPr>
      </w:pPr>
      <w:r>
        <w:rPr>
          <w:rFonts w:hint="eastAsia" w:ascii="宋体" w:hAnsi="宋体" w:cs="宋体"/>
          <w:strike/>
          <w:color w:val="auto"/>
          <w:highlight w:val="none"/>
        </w:rPr>
        <w:t>注 相关材料复印件在“十、原件的复印件”中提供。</w:t>
      </w:r>
      <w:r>
        <w:rPr>
          <w:rFonts w:hint="eastAsia" w:ascii="宋体" w:hAnsi="宋体" w:cs="宋体"/>
          <w:color w:val="auto"/>
          <w:highlight w:val="none"/>
        </w:rPr>
        <w:br w:type="page"/>
      </w:r>
      <w:bookmarkStart w:id="636" w:name="_Toc222033921"/>
      <w:bookmarkStart w:id="637" w:name="_Toc179715760"/>
      <w:bookmarkStart w:id="638" w:name="_Toc221952187"/>
      <w:bookmarkStart w:id="639" w:name="_Toc152047267"/>
      <w:bookmarkStart w:id="640" w:name="_Toc222031072"/>
      <w:bookmarkStart w:id="641" w:name="_Toc259524425"/>
      <w:bookmarkStart w:id="642" w:name="_Toc222029570"/>
      <w:bookmarkStart w:id="643" w:name="_Toc222032739"/>
      <w:bookmarkStart w:id="644" w:name="_Toc229305430"/>
    </w:p>
    <w:p>
      <w:pPr>
        <w:spacing w:line="400" w:lineRule="exact"/>
        <w:jc w:val="left"/>
        <w:outlineLvl w:val="3"/>
        <w:rPr>
          <w:rFonts w:ascii="宋体" w:hAnsi="宋体" w:cs="宋体"/>
          <w:b/>
          <w:color w:val="auto"/>
          <w:sz w:val="24"/>
          <w:szCs w:val="31"/>
          <w:highlight w:val="none"/>
        </w:rPr>
      </w:pPr>
      <w:bookmarkStart w:id="645" w:name="_Toc247527849"/>
      <w:bookmarkStart w:id="646" w:name="_Toc152042598"/>
      <w:bookmarkStart w:id="647" w:name="_Toc152045809"/>
      <w:bookmarkStart w:id="648" w:name="_Toc247514301"/>
      <w:bookmarkStart w:id="649" w:name="_Toc265953295"/>
      <w:bookmarkStart w:id="650" w:name="_Toc332641444"/>
      <w:bookmarkStart w:id="651" w:name="_Toc144974877"/>
      <w:r>
        <w:rPr>
          <w:rFonts w:hint="eastAsia" w:ascii="宋体" w:hAnsi="宋体" w:cs="宋体"/>
          <w:b/>
          <w:color w:val="auto"/>
          <w:sz w:val="24"/>
          <w:szCs w:val="31"/>
          <w:highlight w:val="none"/>
        </w:rPr>
        <w:t>（二）拟投入</w:t>
      </w:r>
      <w:bookmarkEnd w:id="645"/>
      <w:bookmarkEnd w:id="646"/>
      <w:bookmarkEnd w:id="647"/>
      <w:bookmarkEnd w:id="648"/>
      <w:bookmarkEnd w:id="649"/>
      <w:bookmarkEnd w:id="650"/>
      <w:bookmarkEnd w:id="651"/>
      <w:r>
        <w:rPr>
          <w:rFonts w:hint="eastAsia" w:ascii="宋体" w:hAnsi="宋体" w:cs="宋体"/>
          <w:b/>
          <w:color w:val="auto"/>
          <w:sz w:val="24"/>
          <w:szCs w:val="31"/>
          <w:highlight w:val="none"/>
        </w:rPr>
        <w:t>项目负责人</w:t>
      </w:r>
    </w:p>
    <w:p>
      <w:pPr>
        <w:spacing w:before="260" w:after="260" w:line="415"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项目负责人简历表</w:t>
      </w:r>
    </w:p>
    <w:tbl>
      <w:tblPr>
        <w:tblStyle w:val="34"/>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079" w:type="dxa"/>
            <w:gridSpan w:val="2"/>
            <w:vAlign w:val="center"/>
          </w:tcPr>
          <w:p>
            <w:pPr>
              <w:spacing w:line="440" w:lineRule="exact"/>
              <w:jc w:val="center"/>
              <w:rPr>
                <w:rFonts w:ascii="宋体" w:hAnsi="宋体" w:cs="宋体"/>
                <w:color w:val="auto"/>
                <w:szCs w:val="21"/>
                <w:highlight w:val="none"/>
              </w:rPr>
            </w:pPr>
          </w:p>
        </w:tc>
        <w:tc>
          <w:tcPr>
            <w:tcW w:w="928"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龄</w:t>
            </w:r>
          </w:p>
        </w:tc>
        <w:tc>
          <w:tcPr>
            <w:tcW w:w="1066" w:type="dxa"/>
            <w:vAlign w:val="center"/>
          </w:tcPr>
          <w:p>
            <w:pPr>
              <w:spacing w:line="440" w:lineRule="exact"/>
              <w:jc w:val="center"/>
              <w:rPr>
                <w:rFonts w:ascii="宋体" w:hAnsi="宋体" w:cs="宋体"/>
                <w:color w:val="auto"/>
                <w:szCs w:val="21"/>
                <w:highlight w:val="none"/>
              </w:rPr>
            </w:pPr>
          </w:p>
        </w:tc>
        <w:tc>
          <w:tcPr>
            <w:tcW w:w="2132" w:type="dxa"/>
            <w:gridSpan w:val="3"/>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2134" w:type="dxa"/>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1079" w:type="dxa"/>
            <w:gridSpan w:val="2"/>
            <w:vAlign w:val="center"/>
          </w:tcPr>
          <w:p>
            <w:pPr>
              <w:spacing w:line="440" w:lineRule="exact"/>
              <w:jc w:val="center"/>
              <w:rPr>
                <w:rFonts w:ascii="宋体" w:hAnsi="宋体" w:cs="宋体"/>
                <w:color w:val="auto"/>
                <w:szCs w:val="21"/>
                <w:highlight w:val="none"/>
              </w:rPr>
            </w:pPr>
          </w:p>
        </w:tc>
        <w:tc>
          <w:tcPr>
            <w:tcW w:w="928"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1066" w:type="dxa"/>
            <w:vAlign w:val="center"/>
          </w:tcPr>
          <w:p>
            <w:pPr>
              <w:spacing w:line="440" w:lineRule="exact"/>
              <w:jc w:val="center"/>
              <w:rPr>
                <w:rFonts w:ascii="宋体" w:hAnsi="宋体" w:cs="宋体"/>
                <w:color w:val="auto"/>
                <w:szCs w:val="21"/>
                <w:highlight w:val="none"/>
              </w:rPr>
            </w:pPr>
          </w:p>
        </w:tc>
        <w:tc>
          <w:tcPr>
            <w:tcW w:w="2132" w:type="dxa"/>
            <w:gridSpan w:val="3"/>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2134" w:type="dxa"/>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毕业学校</w:t>
            </w:r>
          </w:p>
        </w:tc>
        <w:tc>
          <w:tcPr>
            <w:tcW w:w="7339" w:type="dxa"/>
            <w:gridSpan w:val="8"/>
          </w:tcPr>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时  间</w:t>
            </w:r>
          </w:p>
        </w:tc>
        <w:tc>
          <w:tcPr>
            <w:tcW w:w="3423" w:type="dxa"/>
            <w:gridSpan w:val="4"/>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262"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担任职务</w:t>
            </w:r>
          </w:p>
        </w:tc>
        <w:tc>
          <w:tcPr>
            <w:tcW w:w="2298" w:type="dxa"/>
            <w:gridSpan w:val="2"/>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bl>
    <w:p>
      <w:pPr>
        <w:spacing w:line="400" w:lineRule="exact"/>
        <w:ind w:firstLine="420"/>
        <w:rPr>
          <w:rFonts w:ascii="宋体" w:hAnsi="宋体" w:cs="宋体"/>
          <w:color w:val="auto"/>
          <w:highlight w:val="none"/>
        </w:rPr>
      </w:pPr>
      <w:r>
        <w:rPr>
          <w:rFonts w:hint="eastAsia" w:ascii="宋体" w:hAnsi="宋体" w:cs="宋体"/>
          <w:color w:val="auto"/>
          <w:highlight w:val="none"/>
        </w:rPr>
        <w:t>应附注册建造师执业资格证书、投标截止时间最近一个月（时间为：2023年4月）在本单位交纳的社保证明文件复印件、安全培训考核合格证（B类）复印件。</w:t>
      </w:r>
    </w:p>
    <w:p>
      <w:pPr>
        <w:spacing w:before="260" w:after="260" w:line="415" w:lineRule="auto"/>
        <w:jc w:val="center"/>
        <w:rPr>
          <w:rFonts w:ascii="宋体" w:hAnsi="宋体" w:cs="宋体"/>
          <w:b/>
          <w:color w:val="auto"/>
          <w:sz w:val="32"/>
          <w:szCs w:val="32"/>
          <w:highlight w:val="none"/>
        </w:rPr>
      </w:pPr>
      <w:bookmarkStart w:id="652" w:name="_Toc246997117"/>
      <w:bookmarkStart w:id="653" w:name="_Toc246996374"/>
      <w:bookmarkStart w:id="654" w:name="_Toc247085892"/>
      <w:bookmarkStart w:id="655" w:name="_Toc332641447"/>
      <w:r>
        <w:rPr>
          <w:rFonts w:hint="eastAsia" w:ascii="宋体" w:hAnsi="宋体" w:cs="宋体"/>
          <w:b/>
          <w:color w:val="auto"/>
          <w:sz w:val="24"/>
          <w:szCs w:val="31"/>
          <w:highlight w:val="none"/>
        </w:rPr>
        <w:br w:type="page"/>
      </w:r>
      <w:r>
        <w:rPr>
          <w:rFonts w:hint="eastAsia" w:ascii="宋体" w:hAnsi="宋体" w:cs="宋体"/>
          <w:b/>
          <w:color w:val="auto"/>
          <w:sz w:val="32"/>
          <w:szCs w:val="32"/>
          <w:highlight w:val="none"/>
        </w:rPr>
        <w:t>技术负责人简历表</w:t>
      </w:r>
    </w:p>
    <w:tbl>
      <w:tblPr>
        <w:tblStyle w:val="34"/>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079" w:type="dxa"/>
            <w:gridSpan w:val="2"/>
            <w:vAlign w:val="center"/>
          </w:tcPr>
          <w:p>
            <w:pPr>
              <w:spacing w:line="440" w:lineRule="exact"/>
              <w:jc w:val="center"/>
              <w:rPr>
                <w:rFonts w:ascii="宋体" w:hAnsi="宋体" w:cs="宋体"/>
                <w:color w:val="auto"/>
                <w:szCs w:val="21"/>
                <w:highlight w:val="none"/>
              </w:rPr>
            </w:pPr>
          </w:p>
        </w:tc>
        <w:tc>
          <w:tcPr>
            <w:tcW w:w="928"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龄</w:t>
            </w:r>
          </w:p>
        </w:tc>
        <w:tc>
          <w:tcPr>
            <w:tcW w:w="1066" w:type="dxa"/>
            <w:vAlign w:val="center"/>
          </w:tcPr>
          <w:p>
            <w:pPr>
              <w:spacing w:line="440" w:lineRule="exact"/>
              <w:jc w:val="center"/>
              <w:rPr>
                <w:rFonts w:ascii="宋体" w:hAnsi="宋体" w:cs="宋体"/>
                <w:color w:val="auto"/>
                <w:szCs w:val="21"/>
                <w:highlight w:val="none"/>
              </w:rPr>
            </w:pPr>
          </w:p>
        </w:tc>
        <w:tc>
          <w:tcPr>
            <w:tcW w:w="2132" w:type="dxa"/>
            <w:gridSpan w:val="3"/>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2134" w:type="dxa"/>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1079" w:type="dxa"/>
            <w:gridSpan w:val="2"/>
            <w:vAlign w:val="center"/>
          </w:tcPr>
          <w:p>
            <w:pPr>
              <w:spacing w:line="440" w:lineRule="exact"/>
              <w:jc w:val="center"/>
              <w:rPr>
                <w:rFonts w:ascii="宋体" w:hAnsi="宋体" w:cs="宋体"/>
                <w:color w:val="auto"/>
                <w:szCs w:val="21"/>
                <w:highlight w:val="none"/>
              </w:rPr>
            </w:pPr>
          </w:p>
        </w:tc>
        <w:tc>
          <w:tcPr>
            <w:tcW w:w="928"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1066" w:type="dxa"/>
            <w:vAlign w:val="center"/>
          </w:tcPr>
          <w:p>
            <w:pPr>
              <w:spacing w:line="440" w:lineRule="exact"/>
              <w:jc w:val="center"/>
              <w:rPr>
                <w:rFonts w:ascii="宋体" w:hAnsi="宋体" w:cs="宋体"/>
                <w:color w:val="auto"/>
                <w:szCs w:val="21"/>
                <w:highlight w:val="none"/>
              </w:rPr>
            </w:pPr>
          </w:p>
        </w:tc>
        <w:tc>
          <w:tcPr>
            <w:tcW w:w="2132" w:type="dxa"/>
            <w:gridSpan w:val="3"/>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2134" w:type="dxa"/>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毕业学校</w:t>
            </w:r>
          </w:p>
        </w:tc>
        <w:tc>
          <w:tcPr>
            <w:tcW w:w="7339" w:type="dxa"/>
            <w:gridSpan w:val="8"/>
          </w:tcPr>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时  间</w:t>
            </w:r>
          </w:p>
        </w:tc>
        <w:tc>
          <w:tcPr>
            <w:tcW w:w="3423" w:type="dxa"/>
            <w:gridSpan w:val="4"/>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262"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担任职务</w:t>
            </w:r>
          </w:p>
        </w:tc>
        <w:tc>
          <w:tcPr>
            <w:tcW w:w="2298" w:type="dxa"/>
            <w:gridSpan w:val="2"/>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auto"/>
                <w:szCs w:val="21"/>
                <w:highlight w:val="none"/>
              </w:rPr>
            </w:pPr>
          </w:p>
        </w:tc>
        <w:tc>
          <w:tcPr>
            <w:tcW w:w="3423" w:type="dxa"/>
            <w:gridSpan w:val="4"/>
          </w:tcPr>
          <w:p>
            <w:pPr>
              <w:spacing w:line="440" w:lineRule="exact"/>
              <w:rPr>
                <w:rFonts w:ascii="宋体" w:hAnsi="宋体" w:cs="宋体"/>
                <w:color w:val="auto"/>
                <w:szCs w:val="21"/>
                <w:highlight w:val="none"/>
              </w:rPr>
            </w:pPr>
          </w:p>
        </w:tc>
        <w:tc>
          <w:tcPr>
            <w:tcW w:w="1262" w:type="dxa"/>
          </w:tcPr>
          <w:p>
            <w:pPr>
              <w:spacing w:line="440" w:lineRule="exact"/>
              <w:rPr>
                <w:rFonts w:ascii="宋体" w:hAnsi="宋体" w:cs="宋体"/>
                <w:color w:val="auto"/>
                <w:szCs w:val="21"/>
                <w:highlight w:val="none"/>
              </w:rPr>
            </w:pPr>
          </w:p>
        </w:tc>
        <w:tc>
          <w:tcPr>
            <w:tcW w:w="2298" w:type="dxa"/>
            <w:gridSpan w:val="2"/>
          </w:tcPr>
          <w:p>
            <w:pPr>
              <w:spacing w:line="440" w:lineRule="exact"/>
              <w:rPr>
                <w:rFonts w:ascii="宋体" w:hAnsi="宋体" w:cs="宋体"/>
                <w:color w:val="auto"/>
                <w:szCs w:val="21"/>
                <w:highlight w:val="none"/>
              </w:rPr>
            </w:pPr>
          </w:p>
        </w:tc>
      </w:tr>
    </w:tbl>
    <w:p>
      <w:pPr>
        <w:spacing w:before="260" w:after="260" w:line="415" w:lineRule="auto"/>
        <w:jc w:val="left"/>
        <w:rPr>
          <w:rFonts w:ascii="宋体" w:hAnsi="宋体" w:cs="宋体"/>
          <w:color w:val="auto"/>
          <w:szCs w:val="21"/>
          <w:highlight w:val="none"/>
        </w:rPr>
      </w:pPr>
      <w:r>
        <w:rPr>
          <w:rFonts w:hint="eastAsia" w:ascii="宋体" w:hAnsi="宋体" w:cs="宋体"/>
          <w:color w:val="auto"/>
          <w:szCs w:val="21"/>
          <w:highlight w:val="none"/>
        </w:rPr>
        <w:t>应附职称证书复印件、投标截止时间最近一个月（时间为：2023年4月）在本单位交纳的社保证明文件复印件。</w:t>
      </w:r>
    </w:p>
    <w:p>
      <w:pPr>
        <w:widowControl/>
        <w:jc w:val="left"/>
        <w:rPr>
          <w:rFonts w:ascii="宋体" w:hAnsi="宋体"/>
          <w:color w:val="auto"/>
          <w:highlight w:val="none"/>
        </w:rPr>
      </w:pPr>
      <w:r>
        <w:rPr>
          <w:rFonts w:ascii="宋体" w:hAnsi="宋体"/>
          <w:color w:val="auto"/>
          <w:highlight w:val="none"/>
        </w:rPr>
        <w:br w:type="page"/>
      </w:r>
    </w:p>
    <w:p>
      <w:pPr>
        <w:spacing w:line="400" w:lineRule="exact"/>
        <w:jc w:val="left"/>
        <w:outlineLvl w:val="3"/>
        <w:rPr>
          <w:rFonts w:ascii="宋体" w:hAnsi="宋体" w:cs="宋体"/>
          <w:b/>
          <w:color w:val="auto"/>
          <w:sz w:val="24"/>
          <w:szCs w:val="31"/>
          <w:highlight w:val="none"/>
        </w:rPr>
      </w:pPr>
      <w:r>
        <w:rPr>
          <w:rFonts w:hint="eastAsia" w:ascii="宋体" w:hAnsi="宋体" w:cs="宋体"/>
          <w:b/>
          <w:color w:val="auto"/>
          <w:sz w:val="24"/>
          <w:szCs w:val="31"/>
          <w:highlight w:val="none"/>
        </w:rPr>
        <w:t>（三）专职安全管理员</w:t>
      </w:r>
      <w:bookmarkEnd w:id="652"/>
      <w:bookmarkEnd w:id="653"/>
      <w:bookmarkEnd w:id="654"/>
      <w:bookmarkEnd w:id="655"/>
    </w:p>
    <w:p>
      <w:pPr>
        <w:spacing w:before="260" w:after="260" w:line="415"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专职安全员简历表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应附安全培训考核合格证（C类或C3类）复印件、</w:t>
      </w:r>
      <w:r>
        <w:rPr>
          <w:rFonts w:hint="eastAsia" w:ascii="宋体" w:hAnsi="宋体" w:cs="宋体"/>
          <w:color w:val="auto"/>
          <w:szCs w:val="21"/>
          <w:highlight w:val="none"/>
        </w:rPr>
        <w:t>投标截止时间最近一个月（时间为：2023年4月）在本单位交纳的社保证明文件</w:t>
      </w:r>
      <w:r>
        <w:rPr>
          <w:rFonts w:hint="eastAsia" w:ascii="宋体" w:hAnsi="宋体" w:cs="宋体"/>
          <w:color w:val="auto"/>
          <w:highlight w:val="none"/>
        </w:rPr>
        <w:t>复印件。</w:t>
      </w:r>
    </w:p>
    <w:p>
      <w:pPr>
        <w:spacing w:line="400" w:lineRule="exact"/>
        <w:ind w:firstLine="420" w:firstLineChars="200"/>
        <w:rPr>
          <w:rFonts w:ascii="宋体" w:hAnsi="宋体" w:cs="宋体"/>
          <w:color w:val="auto"/>
          <w:highlight w:val="none"/>
        </w:rPr>
      </w:pP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vAlign w:val="center"/>
          </w:tcPr>
          <w:p>
            <w:pPr>
              <w:pStyle w:val="92"/>
              <w:adjustRightInd w:val="0"/>
              <w:snapToGrid w:val="0"/>
              <w:spacing w:before="0"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917" w:type="dxa"/>
            <w:vAlign w:val="center"/>
          </w:tcPr>
          <w:p>
            <w:pPr>
              <w:pStyle w:val="92"/>
              <w:adjustRightInd w:val="0"/>
              <w:snapToGrid w:val="0"/>
              <w:spacing w:before="0" w:after="0"/>
              <w:jc w:val="center"/>
              <w:rPr>
                <w:rFonts w:ascii="宋体" w:hAnsi="宋体" w:eastAsia="宋体" w:cs="宋体"/>
                <w:color w:val="auto"/>
                <w:sz w:val="21"/>
                <w:szCs w:val="21"/>
                <w:highlight w:val="none"/>
              </w:rPr>
            </w:pPr>
          </w:p>
        </w:tc>
        <w:tc>
          <w:tcPr>
            <w:tcW w:w="1329" w:type="dxa"/>
            <w:vAlign w:val="center"/>
          </w:tcPr>
          <w:p>
            <w:pPr>
              <w:pStyle w:val="92"/>
              <w:adjustRightInd w:val="0"/>
              <w:snapToGrid w:val="0"/>
              <w:spacing w:before="0"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312" w:type="dxa"/>
            <w:vAlign w:val="center"/>
          </w:tcPr>
          <w:p>
            <w:pPr>
              <w:pStyle w:val="92"/>
              <w:adjustRightInd w:val="0"/>
              <w:snapToGrid w:val="0"/>
              <w:spacing w:before="0" w:after="0"/>
              <w:jc w:val="center"/>
              <w:rPr>
                <w:rFonts w:ascii="宋体" w:hAnsi="宋体" w:eastAsia="宋体" w:cs="宋体"/>
                <w:color w:val="auto"/>
                <w:sz w:val="21"/>
                <w:szCs w:val="21"/>
                <w:highlight w:val="none"/>
              </w:rPr>
            </w:pPr>
          </w:p>
        </w:tc>
        <w:tc>
          <w:tcPr>
            <w:tcW w:w="1264" w:type="dxa"/>
            <w:vAlign w:val="center"/>
          </w:tcPr>
          <w:p>
            <w:pPr>
              <w:pStyle w:val="92"/>
              <w:adjustRightInd w:val="0"/>
              <w:snapToGrid w:val="0"/>
              <w:spacing w:before="0"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378" w:type="dxa"/>
            <w:vAlign w:val="center"/>
          </w:tcPr>
          <w:p>
            <w:pPr>
              <w:pStyle w:val="92"/>
              <w:adjustRightInd w:val="0"/>
              <w:snapToGrid w:val="0"/>
              <w:spacing w:before="0" w:after="0"/>
              <w:jc w:val="center"/>
              <w:rPr>
                <w:rFonts w:ascii="宋体" w:hAnsi="宋体" w:eastAsia="宋体" w:cs="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vAlign w:val="center"/>
          </w:tcPr>
          <w:p>
            <w:pPr>
              <w:pStyle w:val="92"/>
              <w:adjustRightInd w:val="0"/>
              <w:snapToGrid w:val="0"/>
              <w:spacing w:before="0"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从事本工作时间</w:t>
            </w:r>
          </w:p>
        </w:tc>
        <w:tc>
          <w:tcPr>
            <w:tcW w:w="1917" w:type="dxa"/>
            <w:vAlign w:val="center"/>
          </w:tcPr>
          <w:p>
            <w:pPr>
              <w:pStyle w:val="92"/>
              <w:adjustRightInd w:val="0"/>
              <w:snapToGrid w:val="0"/>
              <w:spacing w:before="0" w:after="0"/>
              <w:jc w:val="center"/>
              <w:rPr>
                <w:rFonts w:ascii="宋体" w:hAnsi="宋体" w:eastAsia="宋体" w:cs="宋体"/>
                <w:color w:val="auto"/>
                <w:sz w:val="21"/>
                <w:szCs w:val="21"/>
                <w:highlight w:val="none"/>
              </w:rPr>
            </w:pPr>
          </w:p>
        </w:tc>
        <w:tc>
          <w:tcPr>
            <w:tcW w:w="1329" w:type="dxa"/>
            <w:vAlign w:val="center"/>
          </w:tcPr>
          <w:p>
            <w:pPr>
              <w:pStyle w:val="92"/>
              <w:adjustRightInd w:val="0"/>
              <w:snapToGrid w:val="0"/>
              <w:spacing w:before="0"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312" w:type="dxa"/>
            <w:vAlign w:val="center"/>
          </w:tcPr>
          <w:p>
            <w:pPr>
              <w:pStyle w:val="92"/>
              <w:adjustRightInd w:val="0"/>
              <w:snapToGrid w:val="0"/>
              <w:spacing w:before="0" w:after="0"/>
              <w:jc w:val="center"/>
              <w:rPr>
                <w:rFonts w:ascii="宋体" w:hAnsi="宋体" w:eastAsia="宋体" w:cs="宋体"/>
                <w:color w:val="auto"/>
                <w:sz w:val="21"/>
                <w:szCs w:val="21"/>
                <w:highlight w:val="none"/>
              </w:rPr>
            </w:pPr>
          </w:p>
        </w:tc>
        <w:tc>
          <w:tcPr>
            <w:tcW w:w="1264" w:type="dxa"/>
            <w:vAlign w:val="center"/>
          </w:tcPr>
          <w:p>
            <w:pPr>
              <w:pStyle w:val="92"/>
              <w:adjustRightInd w:val="0"/>
              <w:snapToGrid w:val="0"/>
              <w:spacing w:before="0"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378" w:type="dxa"/>
            <w:vAlign w:val="center"/>
          </w:tcPr>
          <w:p>
            <w:pPr>
              <w:pStyle w:val="92"/>
              <w:adjustRightInd w:val="0"/>
              <w:snapToGrid w:val="0"/>
              <w:spacing w:before="0" w:after="0"/>
              <w:jc w:val="center"/>
              <w:rPr>
                <w:rFonts w:ascii="宋体" w:hAnsi="宋体" w:eastAsia="宋体" w:cs="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vAlign w:val="center"/>
          </w:tcPr>
          <w:p>
            <w:pPr>
              <w:pStyle w:val="92"/>
              <w:adjustRightInd w:val="0"/>
              <w:snapToGrid w:val="0"/>
              <w:spacing w:before="0"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毕业院校</w:t>
            </w:r>
          </w:p>
        </w:tc>
        <w:tc>
          <w:tcPr>
            <w:tcW w:w="4558" w:type="dxa"/>
            <w:gridSpan w:val="3"/>
            <w:vAlign w:val="center"/>
          </w:tcPr>
          <w:p>
            <w:pPr>
              <w:pStyle w:val="92"/>
              <w:adjustRightInd w:val="0"/>
              <w:snapToGrid w:val="0"/>
              <w:spacing w:before="0" w:after="0"/>
              <w:jc w:val="center"/>
              <w:rPr>
                <w:rFonts w:ascii="宋体" w:hAnsi="宋体" w:eastAsia="宋体" w:cs="宋体"/>
                <w:color w:val="auto"/>
                <w:sz w:val="21"/>
                <w:szCs w:val="21"/>
                <w:highlight w:val="none"/>
              </w:rPr>
            </w:pPr>
          </w:p>
        </w:tc>
        <w:tc>
          <w:tcPr>
            <w:tcW w:w="1264" w:type="dxa"/>
            <w:vAlign w:val="center"/>
          </w:tcPr>
          <w:p>
            <w:pPr>
              <w:pStyle w:val="92"/>
              <w:adjustRightInd w:val="0"/>
              <w:snapToGrid w:val="0"/>
              <w:spacing w:before="0"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1378" w:type="dxa"/>
            <w:vAlign w:val="center"/>
          </w:tcPr>
          <w:p>
            <w:pPr>
              <w:pStyle w:val="92"/>
              <w:adjustRightInd w:val="0"/>
              <w:snapToGrid w:val="0"/>
              <w:spacing w:before="0" w:after="0"/>
              <w:jc w:val="center"/>
              <w:rPr>
                <w:rFonts w:ascii="宋体" w:hAnsi="宋体" w:eastAsia="宋体" w:cs="宋体"/>
                <w:color w:val="auto"/>
                <w:sz w:val="21"/>
                <w:szCs w:val="21"/>
                <w:highlight w:val="none"/>
              </w:rPr>
            </w:pPr>
          </w:p>
        </w:tc>
      </w:tr>
    </w:tbl>
    <w:p>
      <w:pPr>
        <w:widowControl/>
        <w:jc w:val="left"/>
        <w:rPr>
          <w:rFonts w:ascii="宋体" w:hAnsi="宋体" w:cs="宋体"/>
          <w:color w:val="auto"/>
          <w:highlight w:val="none"/>
        </w:rPr>
      </w:pPr>
      <w:r>
        <w:rPr>
          <w:rFonts w:hint="eastAsia" w:ascii="宋体" w:hAnsi="宋体" w:cs="宋体"/>
          <w:b/>
          <w:color w:val="auto"/>
          <w:sz w:val="24"/>
          <w:szCs w:val="31"/>
          <w:highlight w:val="none"/>
        </w:rPr>
        <w:br w:type="page"/>
      </w:r>
      <w:bookmarkEnd w:id="636"/>
      <w:bookmarkEnd w:id="637"/>
      <w:bookmarkEnd w:id="638"/>
      <w:bookmarkEnd w:id="639"/>
      <w:bookmarkEnd w:id="640"/>
      <w:bookmarkEnd w:id="641"/>
      <w:bookmarkEnd w:id="642"/>
      <w:bookmarkEnd w:id="643"/>
      <w:bookmarkEnd w:id="644"/>
    </w:p>
    <w:p>
      <w:pPr>
        <w:spacing w:line="360" w:lineRule="auto"/>
        <w:jc w:val="left"/>
        <w:outlineLvl w:val="3"/>
        <w:rPr>
          <w:rFonts w:ascii="宋体" w:hAnsi="宋体" w:cs="宋体"/>
          <w:b/>
          <w:color w:val="auto"/>
          <w:sz w:val="24"/>
          <w:szCs w:val="31"/>
          <w:highlight w:val="none"/>
        </w:rPr>
      </w:pPr>
      <w:bookmarkStart w:id="656" w:name="_Toc229474018"/>
      <w:bookmarkStart w:id="657" w:name="_Toc222029457"/>
      <w:bookmarkStart w:id="658" w:name="_Toc221949861"/>
      <w:bookmarkStart w:id="659" w:name="_Toc227133884"/>
      <w:r>
        <w:rPr>
          <w:rFonts w:hint="eastAsia" w:ascii="宋体" w:hAnsi="宋体" w:cs="宋体"/>
          <w:b/>
          <w:color w:val="auto"/>
          <w:sz w:val="24"/>
          <w:szCs w:val="31"/>
          <w:highlight w:val="none"/>
        </w:rPr>
        <w:t>（四）近3年完成的类似项目情况表</w:t>
      </w:r>
      <w:bookmarkEnd w:id="656"/>
      <w:bookmarkEnd w:id="657"/>
      <w:bookmarkEnd w:id="658"/>
      <w:bookmarkEnd w:id="659"/>
    </w:p>
    <w:p>
      <w:pPr>
        <w:topLinePunct/>
        <w:spacing w:line="360" w:lineRule="auto"/>
        <w:jc w:val="center"/>
        <w:rPr>
          <w:rFonts w:ascii="宋体" w:hAnsi="宋体" w:cs="宋体"/>
          <w:color w:val="auto"/>
          <w:szCs w:val="21"/>
          <w:highlight w:val="none"/>
        </w:rPr>
      </w:pPr>
      <w:r>
        <w:rPr>
          <w:rFonts w:hint="eastAsia"/>
          <w:szCs w:val="21"/>
        </w:rPr>
        <w:t>（近3年指</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月至</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6"/>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0" w:name="_Toc221949862"/>
            <w:r>
              <w:rPr>
                <w:rFonts w:hint="eastAsia" w:ascii="宋体" w:hAnsi="宋体" w:cs="宋体"/>
                <w:color w:val="auto"/>
                <w:szCs w:val="21"/>
                <w:highlight w:val="none"/>
              </w:rPr>
              <w:t>合同名称</w:t>
            </w:r>
            <w:bookmarkEnd w:id="660"/>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1" w:name="_Toc221949863"/>
            <w:r>
              <w:rPr>
                <w:rFonts w:hint="eastAsia" w:ascii="宋体" w:hAnsi="宋体" w:cs="宋体"/>
                <w:color w:val="auto"/>
                <w:szCs w:val="21"/>
                <w:highlight w:val="none"/>
              </w:rPr>
              <w:t>合同项目所在地</w:t>
            </w:r>
            <w:bookmarkEnd w:id="661"/>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2" w:name="_Toc221949864"/>
            <w:r>
              <w:rPr>
                <w:rFonts w:hint="eastAsia" w:ascii="宋体" w:hAnsi="宋体" w:cs="宋体"/>
                <w:color w:val="auto"/>
                <w:szCs w:val="21"/>
                <w:highlight w:val="none"/>
              </w:rPr>
              <w:t>发包人名称</w:t>
            </w:r>
            <w:bookmarkEnd w:id="662"/>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3" w:name="_Toc221949865"/>
            <w:r>
              <w:rPr>
                <w:rFonts w:hint="eastAsia" w:ascii="宋体" w:hAnsi="宋体" w:cs="宋体"/>
                <w:color w:val="auto"/>
                <w:szCs w:val="21"/>
                <w:highlight w:val="none"/>
              </w:rPr>
              <w:t>发包人地址</w:t>
            </w:r>
            <w:bookmarkEnd w:id="663"/>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4" w:name="_Toc221949866"/>
            <w:r>
              <w:rPr>
                <w:rFonts w:hint="eastAsia" w:ascii="宋体" w:hAnsi="宋体" w:cs="宋体"/>
                <w:color w:val="auto"/>
                <w:szCs w:val="21"/>
                <w:highlight w:val="none"/>
              </w:rPr>
              <w:t>发包人电话</w:t>
            </w:r>
            <w:bookmarkEnd w:id="664"/>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5" w:name="_Toc221949867"/>
            <w:r>
              <w:rPr>
                <w:rFonts w:hint="eastAsia" w:ascii="宋体" w:hAnsi="宋体" w:cs="宋体"/>
                <w:color w:val="auto"/>
                <w:szCs w:val="21"/>
                <w:highlight w:val="none"/>
              </w:rPr>
              <w:t>签约合同价</w:t>
            </w:r>
            <w:bookmarkEnd w:id="665"/>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6" w:name="_Toc221949868"/>
            <w:r>
              <w:rPr>
                <w:rFonts w:hint="eastAsia" w:ascii="宋体" w:hAnsi="宋体" w:cs="宋体"/>
                <w:color w:val="auto"/>
                <w:szCs w:val="21"/>
                <w:highlight w:val="none"/>
              </w:rPr>
              <w:t>开工日期</w:t>
            </w:r>
            <w:bookmarkEnd w:id="666"/>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7" w:name="_Toc221949869"/>
            <w:r>
              <w:rPr>
                <w:rFonts w:hint="eastAsia" w:ascii="宋体" w:hAnsi="宋体" w:cs="宋体"/>
                <w:color w:val="auto"/>
                <w:szCs w:val="21"/>
                <w:highlight w:val="none"/>
              </w:rPr>
              <w:t>完工日期</w:t>
            </w:r>
            <w:bookmarkEnd w:id="667"/>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8" w:name="_Toc221949870"/>
            <w:r>
              <w:rPr>
                <w:rFonts w:hint="eastAsia" w:ascii="宋体" w:hAnsi="宋体" w:cs="宋体"/>
                <w:color w:val="auto"/>
                <w:szCs w:val="21"/>
                <w:highlight w:val="none"/>
              </w:rPr>
              <w:t>承担的工作</w:t>
            </w:r>
            <w:bookmarkEnd w:id="668"/>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69" w:name="_Toc221949871"/>
            <w:r>
              <w:rPr>
                <w:rFonts w:hint="eastAsia" w:ascii="宋体" w:hAnsi="宋体" w:cs="宋体"/>
                <w:color w:val="auto"/>
                <w:szCs w:val="21"/>
                <w:highlight w:val="none"/>
              </w:rPr>
              <w:t>工程质量</w:t>
            </w:r>
            <w:bookmarkEnd w:id="669"/>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70" w:name="_Toc221949873"/>
            <w:r>
              <w:rPr>
                <w:rFonts w:hint="eastAsia" w:ascii="宋体" w:hAnsi="宋体" w:cs="宋体"/>
                <w:color w:val="auto"/>
                <w:szCs w:val="21"/>
                <w:highlight w:val="none"/>
              </w:rPr>
              <w:t>技术负责人</w:t>
            </w:r>
            <w:bookmarkEnd w:id="670"/>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71" w:name="_Toc221949874"/>
            <w:r>
              <w:rPr>
                <w:rFonts w:hint="eastAsia" w:ascii="宋体" w:hAnsi="宋体" w:cs="宋体"/>
                <w:color w:val="auto"/>
                <w:szCs w:val="21"/>
                <w:highlight w:val="none"/>
              </w:rPr>
              <w:t>监理人以及电话</w:t>
            </w:r>
            <w:bookmarkEnd w:id="671"/>
          </w:p>
        </w:tc>
        <w:tc>
          <w:tcPr>
            <w:tcW w:w="5182" w:type="dxa"/>
            <w:vAlign w:val="center"/>
          </w:tcPr>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72" w:name="_Toc221949875"/>
            <w:r>
              <w:rPr>
                <w:rFonts w:hint="eastAsia" w:ascii="宋体" w:hAnsi="宋体" w:cs="宋体"/>
                <w:color w:val="auto"/>
                <w:szCs w:val="21"/>
                <w:highlight w:val="none"/>
              </w:rPr>
              <w:t>合同项目描述</w:t>
            </w:r>
            <w:bookmarkEnd w:id="672"/>
          </w:p>
        </w:tc>
        <w:tc>
          <w:tcPr>
            <w:tcW w:w="5182" w:type="dxa"/>
            <w:vAlign w:val="center"/>
          </w:tcPr>
          <w:p>
            <w:pPr>
              <w:topLinePunct/>
              <w:spacing w:line="360" w:lineRule="auto"/>
              <w:jc w:val="center"/>
              <w:rPr>
                <w:rFonts w:ascii="宋体" w:hAnsi="宋体" w:cs="宋体"/>
                <w:color w:val="auto"/>
                <w:szCs w:val="21"/>
                <w:highlight w:val="none"/>
              </w:rPr>
            </w:pPr>
          </w:p>
          <w:p>
            <w:pPr>
              <w:topLinePunct/>
              <w:spacing w:line="360" w:lineRule="auto"/>
              <w:jc w:val="center"/>
              <w:rPr>
                <w:rFonts w:ascii="宋体" w:hAnsi="宋体" w:cs="宋体"/>
                <w:color w:val="auto"/>
                <w:szCs w:val="21"/>
                <w:highlight w:val="none"/>
              </w:rPr>
            </w:pPr>
          </w:p>
          <w:p>
            <w:pPr>
              <w:topLinePunct/>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color w:val="auto"/>
                <w:szCs w:val="21"/>
                <w:highlight w:val="none"/>
              </w:rPr>
            </w:pPr>
            <w:bookmarkStart w:id="673" w:name="_Toc221949876"/>
            <w:r>
              <w:rPr>
                <w:rFonts w:hint="eastAsia" w:ascii="宋体" w:hAnsi="宋体" w:cs="宋体"/>
                <w:color w:val="auto"/>
                <w:szCs w:val="21"/>
                <w:highlight w:val="none"/>
              </w:rPr>
              <w:t>备注</w:t>
            </w:r>
            <w:bookmarkEnd w:id="673"/>
          </w:p>
        </w:tc>
        <w:tc>
          <w:tcPr>
            <w:tcW w:w="5182" w:type="dxa"/>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合同项目描述内容至少包括项目概况、本合同在项目中的地位（部位、合同价格所占比例）和合同工程完工验收鉴定书有关验收结论</w:t>
            </w:r>
          </w:p>
        </w:tc>
      </w:tr>
    </w:tbl>
    <w:p>
      <w:pPr>
        <w:spacing w:line="400" w:lineRule="exact"/>
        <w:rPr>
          <w:rFonts w:ascii="宋体" w:hAnsi="宋体" w:cs="宋体"/>
          <w:strike/>
          <w:color w:val="auto"/>
          <w:highlight w:val="none"/>
        </w:rPr>
      </w:pPr>
      <w:r>
        <w:rPr>
          <w:rFonts w:hint="eastAsia" w:ascii="宋体" w:hAnsi="宋体" w:cs="宋体"/>
          <w:strike/>
          <w:color w:val="auto"/>
          <w:highlight w:val="none"/>
        </w:rPr>
        <w:t>注：相关材料复印件在本章“十、原件的复印件”中提供。</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widowControl/>
        <w:jc w:val="left"/>
        <w:rPr>
          <w:rFonts w:ascii="宋体" w:hAnsi="宋体" w:cs="宋体"/>
          <w:color w:val="auto"/>
          <w:highlight w:val="none"/>
        </w:rPr>
      </w:pPr>
      <w:r>
        <w:rPr>
          <w:rFonts w:ascii="宋体" w:hAnsi="宋体" w:cs="宋体"/>
          <w:color w:val="auto"/>
          <w:highlight w:val="none"/>
        </w:rPr>
        <w:br w:type="page"/>
      </w:r>
    </w:p>
    <w:p>
      <w:pPr>
        <w:spacing w:line="360" w:lineRule="auto"/>
        <w:jc w:val="left"/>
        <w:outlineLvl w:val="3"/>
        <w:rPr>
          <w:rFonts w:ascii="宋体" w:hAnsi="宋体" w:cs="宋体"/>
          <w:b/>
          <w:color w:val="auto"/>
          <w:sz w:val="24"/>
          <w:szCs w:val="31"/>
          <w:highlight w:val="none"/>
        </w:rPr>
      </w:pPr>
      <w:bookmarkStart w:id="674" w:name="_Toc229474023"/>
      <w:bookmarkStart w:id="675" w:name="_Toc152047271"/>
      <w:bookmarkStart w:id="676" w:name="_Toc227133887"/>
      <w:bookmarkStart w:id="677" w:name="_Toc179715764"/>
      <w:bookmarkStart w:id="678" w:name="_Toc222029460"/>
      <w:bookmarkStart w:id="679" w:name="_Toc221949894"/>
      <w:r>
        <w:rPr>
          <w:rFonts w:hint="eastAsia" w:ascii="宋体" w:hAnsi="宋体" w:cs="宋体"/>
          <w:b/>
          <w:color w:val="auto"/>
          <w:sz w:val="24"/>
          <w:szCs w:val="31"/>
          <w:highlight w:val="none"/>
        </w:rPr>
        <w:t>（五）投标人声明</w:t>
      </w:r>
    </w:p>
    <w:p>
      <w:pPr>
        <w:spacing w:line="600" w:lineRule="exact"/>
        <w:ind w:firstLine="602" w:firstLineChars="200"/>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投标人声明</w:t>
      </w:r>
    </w:p>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广州市花都区水务局、本招标项目招标人及招标监管机构：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本公司就参加投标工作，作出郑重声明：</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一、本公司保证投标登记</w:t>
      </w:r>
      <w:r>
        <w:rPr>
          <w:rFonts w:hint="eastAsia" w:ascii="宋体" w:hAnsi="宋体" w:cs="宋体"/>
          <w:color w:val="auto"/>
          <w:szCs w:val="21"/>
          <w:highlight w:val="none"/>
        </w:rPr>
        <w:t>登记</w:t>
      </w:r>
      <w:r>
        <w:rPr>
          <w:rFonts w:hint="eastAsia" w:ascii="宋体" w:hAnsi="宋体" w:cs="宋体"/>
          <w:color w:val="auto"/>
          <w:kern w:val="0"/>
          <w:sz w:val="24"/>
          <w:szCs w:val="24"/>
          <w:highlight w:val="none"/>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二、本公司保证在本项目投标中不与其他单位围标、串标，不出让投标资格，不向招标人或评标委员会成员行贿。</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三、本公司不存在下列情形：</w:t>
      </w:r>
    </w:p>
    <w:p>
      <w:pPr>
        <w:pStyle w:val="88"/>
        <w:spacing w:before="0" w:after="0" w:line="360" w:lineRule="auto"/>
        <w:ind w:firstLine="537" w:firstLineChars="224"/>
        <w:rPr>
          <w:color w:val="auto"/>
          <w:highlight w:val="none"/>
        </w:rPr>
      </w:pPr>
      <w:r>
        <w:rPr>
          <w:rFonts w:hint="eastAsia"/>
          <w:color w:val="auto"/>
          <w:highlight w:val="none"/>
        </w:rPr>
        <w:t>（1）为招标人不具有独立法人资格的附属机构（单位）；</w:t>
      </w:r>
    </w:p>
    <w:p>
      <w:pPr>
        <w:pStyle w:val="88"/>
        <w:spacing w:before="0" w:after="0" w:line="360" w:lineRule="auto"/>
        <w:ind w:firstLine="537" w:firstLineChars="224"/>
        <w:rPr>
          <w:color w:val="auto"/>
          <w:highlight w:val="none"/>
        </w:rPr>
      </w:pPr>
      <w:r>
        <w:rPr>
          <w:rFonts w:hint="eastAsia"/>
          <w:color w:val="auto"/>
          <w:highlight w:val="none"/>
        </w:rPr>
        <w:t>（2）为本次招标项目前期准备提供设计或咨询服务的；</w:t>
      </w:r>
    </w:p>
    <w:p>
      <w:pPr>
        <w:pStyle w:val="88"/>
        <w:spacing w:before="0" w:after="0" w:line="360" w:lineRule="auto"/>
        <w:ind w:firstLine="537" w:firstLineChars="224"/>
        <w:rPr>
          <w:color w:val="auto"/>
          <w:highlight w:val="none"/>
        </w:rPr>
      </w:pPr>
      <w:r>
        <w:rPr>
          <w:rFonts w:hint="eastAsia"/>
          <w:color w:val="auto"/>
          <w:highlight w:val="none"/>
        </w:rPr>
        <w:t>（3）为本次招标项目的监理人；</w:t>
      </w:r>
    </w:p>
    <w:p>
      <w:pPr>
        <w:pStyle w:val="88"/>
        <w:spacing w:before="0" w:after="0" w:line="360" w:lineRule="auto"/>
        <w:ind w:firstLine="537" w:firstLineChars="224"/>
        <w:rPr>
          <w:color w:val="auto"/>
          <w:highlight w:val="none"/>
        </w:rPr>
      </w:pPr>
      <w:r>
        <w:rPr>
          <w:rFonts w:hint="eastAsia"/>
          <w:color w:val="auto"/>
          <w:highlight w:val="none"/>
        </w:rPr>
        <w:t>（4）为本次招标项目的代建人；</w:t>
      </w:r>
    </w:p>
    <w:p>
      <w:pPr>
        <w:pStyle w:val="88"/>
        <w:spacing w:before="0" w:after="0" w:line="360" w:lineRule="auto"/>
        <w:ind w:firstLine="537" w:firstLineChars="224"/>
        <w:rPr>
          <w:color w:val="auto"/>
          <w:highlight w:val="none"/>
        </w:rPr>
      </w:pPr>
      <w:r>
        <w:rPr>
          <w:rFonts w:hint="eastAsia"/>
          <w:color w:val="auto"/>
          <w:highlight w:val="none"/>
        </w:rPr>
        <w:t>（5）为本次招标项目提供招标代理服务的； </w:t>
      </w:r>
    </w:p>
    <w:p>
      <w:pPr>
        <w:pStyle w:val="88"/>
        <w:spacing w:before="0" w:after="0" w:line="360" w:lineRule="auto"/>
        <w:ind w:firstLine="537" w:firstLineChars="224"/>
        <w:rPr>
          <w:color w:val="auto"/>
          <w:highlight w:val="none"/>
        </w:rPr>
      </w:pPr>
      <w:r>
        <w:rPr>
          <w:rFonts w:hint="eastAsia"/>
          <w:color w:val="auto"/>
          <w:highlight w:val="none"/>
        </w:rPr>
        <w:t>（6）与本次招标项目的监理人或代建人或招标代理机构同为一个法定代表人的；</w:t>
      </w:r>
    </w:p>
    <w:p>
      <w:pPr>
        <w:pStyle w:val="88"/>
        <w:spacing w:before="0" w:after="0" w:line="360" w:lineRule="auto"/>
        <w:ind w:firstLine="537" w:firstLineChars="224"/>
        <w:rPr>
          <w:color w:val="auto"/>
          <w:highlight w:val="none"/>
        </w:rPr>
      </w:pPr>
      <w:r>
        <w:rPr>
          <w:rFonts w:hint="eastAsia"/>
          <w:color w:val="auto"/>
          <w:highlight w:val="none"/>
        </w:rPr>
        <w:t>（7）与本次招标项目的监理人或代建人或招标代理机构相互控股或参股的；</w:t>
      </w:r>
    </w:p>
    <w:p>
      <w:pPr>
        <w:pStyle w:val="88"/>
        <w:spacing w:before="0" w:after="0" w:line="360" w:lineRule="auto"/>
        <w:ind w:firstLine="537" w:firstLineChars="224"/>
        <w:rPr>
          <w:color w:val="auto"/>
          <w:highlight w:val="none"/>
        </w:rPr>
      </w:pPr>
      <w:r>
        <w:rPr>
          <w:rFonts w:hint="eastAsia"/>
          <w:color w:val="auto"/>
          <w:highlight w:val="none"/>
        </w:rPr>
        <w:t>（8）与本次招标项目的监理人或代建人或招标代理机构相互任职或工作的；</w:t>
      </w:r>
    </w:p>
    <w:p>
      <w:pPr>
        <w:pStyle w:val="88"/>
        <w:spacing w:before="0" w:after="0" w:line="360" w:lineRule="auto"/>
        <w:ind w:firstLine="537" w:firstLineChars="224"/>
        <w:rPr>
          <w:color w:val="auto"/>
          <w:highlight w:val="none"/>
        </w:rPr>
      </w:pPr>
      <w:r>
        <w:rPr>
          <w:rFonts w:hint="eastAsia"/>
          <w:color w:val="auto"/>
          <w:highlight w:val="none"/>
        </w:rPr>
        <w:t>（9）被责令停业的；</w:t>
      </w:r>
    </w:p>
    <w:p>
      <w:pPr>
        <w:pStyle w:val="88"/>
        <w:spacing w:before="0" w:after="0" w:line="360" w:lineRule="auto"/>
        <w:ind w:firstLine="537" w:firstLineChars="224"/>
        <w:rPr>
          <w:color w:val="auto"/>
          <w:highlight w:val="none"/>
        </w:rPr>
      </w:pPr>
      <w:r>
        <w:rPr>
          <w:rFonts w:hint="eastAsia"/>
          <w:color w:val="auto"/>
          <w:highlight w:val="none"/>
        </w:rPr>
        <w:t>（10）财产被接管或冻结的；</w:t>
      </w:r>
    </w:p>
    <w:p>
      <w:pPr>
        <w:pStyle w:val="88"/>
        <w:spacing w:before="0" w:after="0" w:line="360" w:lineRule="auto"/>
        <w:ind w:firstLine="537" w:firstLineChars="224"/>
        <w:rPr>
          <w:rFonts w:ascii="宋体" w:hAnsi="宋体" w:cs="宋体"/>
          <w:color w:val="auto"/>
          <w:kern w:val="0"/>
          <w:sz w:val="24"/>
          <w:szCs w:val="24"/>
          <w:highlight w:val="none"/>
        </w:rPr>
      </w:pPr>
      <w:r>
        <w:rPr>
          <w:rFonts w:hint="eastAsia"/>
          <w:color w:val="auto"/>
          <w:highlight w:val="none"/>
        </w:rPr>
        <w:t>（11）单位负责人为同一人或者存在控股、管理关系的不同单位，同时参加本招标项目投标。</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四、本公司保证本项目拟派的项目负责人和安全员没有在其他在建项目中任职。</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七、与本公司单位负责人为同一人或者与本公司存在控股、管理关系的其他单位包括：</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s="宋体"/>
          <w:color w:val="auto"/>
          <w:kern w:val="0"/>
          <w:sz w:val="24"/>
          <w:szCs w:val="24"/>
          <w:highlight w:val="none"/>
        </w:rPr>
      </w:pP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pStyle w:val="83"/>
        <w:spacing w:line="600" w:lineRule="exact"/>
        <w:ind w:left="629" w:right="1449"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p>
    <w:p>
      <w:pPr>
        <w:pStyle w:val="82"/>
        <w:spacing w:line="600" w:lineRule="exact"/>
        <w:ind w:right="1779"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pPr>
        <w:pStyle w:val="82"/>
        <w:spacing w:line="600" w:lineRule="exact"/>
        <w:ind w:right="1779"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项目负责人（签字）：</w:t>
      </w:r>
    </w:p>
    <w:p>
      <w:pPr>
        <w:pStyle w:val="82"/>
        <w:spacing w:line="600" w:lineRule="exact"/>
        <w:ind w:right="1779"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技术负责人（签字）：</w:t>
      </w:r>
    </w:p>
    <w:p>
      <w:pPr>
        <w:pStyle w:val="82"/>
        <w:spacing w:line="600" w:lineRule="exact"/>
        <w:ind w:right="879"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（盖单位章）</w:t>
      </w:r>
    </w:p>
    <w:p>
      <w:pPr>
        <w:spacing w:line="360" w:lineRule="auto"/>
        <w:ind w:right="1179" w:firstLine="480" w:firstLineChars="200"/>
        <w:jc w:val="right"/>
        <w:rPr>
          <w:rFonts w:ascii="宋体" w:hAnsi="宋体" w:cs="宋体"/>
          <w:color w:val="auto"/>
          <w:kern w:val="0"/>
          <w:sz w:val="24"/>
          <w:szCs w:val="24"/>
          <w:highlight w:val="none"/>
        </w:rPr>
      </w:pPr>
      <w:r>
        <w:rPr>
          <w:rFonts w:hint="eastAsia" w:ascii="宋体" w:hAnsi="宋体" w:cs="宋体"/>
          <w:color w:val="auto"/>
          <w:sz w:val="24"/>
          <w:szCs w:val="24"/>
          <w:highlight w:val="none"/>
        </w:rPr>
        <w:t>年  月  日</w:t>
      </w:r>
    </w:p>
    <w:p>
      <w:pPr>
        <w:rPr>
          <w:rFonts w:ascii="宋体" w:hAnsi="宋体" w:cs="宋体"/>
          <w:color w:val="auto"/>
          <w:highlight w:val="none"/>
        </w:rPr>
      </w:pPr>
    </w:p>
    <w:p>
      <w:pPr>
        <w:rPr>
          <w:rFonts w:ascii="宋体" w:hAnsi="宋体" w:cs="宋体"/>
          <w:color w:val="auto"/>
          <w:highlight w:val="none"/>
        </w:rPr>
      </w:pPr>
    </w:p>
    <w:p>
      <w:pPr>
        <w:widowControl/>
        <w:jc w:val="left"/>
        <w:rPr>
          <w:rFonts w:ascii="宋体" w:hAnsi="宋体" w:cs="宋体"/>
          <w:color w:val="auto"/>
          <w:highlight w:val="none"/>
        </w:rPr>
      </w:pPr>
      <w:r>
        <w:rPr>
          <w:rFonts w:ascii="宋体" w:hAnsi="宋体" w:cs="宋体"/>
          <w:color w:val="auto"/>
          <w:highlight w:val="none"/>
        </w:rPr>
        <w:br w:type="page"/>
      </w:r>
    </w:p>
    <w:p>
      <w:pPr>
        <w:spacing w:line="360" w:lineRule="auto"/>
        <w:jc w:val="left"/>
        <w:outlineLvl w:val="3"/>
        <w:rPr>
          <w:rFonts w:ascii="宋体" w:hAnsi="宋体" w:cs="宋体"/>
          <w:b/>
          <w:color w:val="auto"/>
          <w:sz w:val="24"/>
          <w:szCs w:val="31"/>
          <w:highlight w:val="none"/>
        </w:rPr>
      </w:pPr>
      <w:r>
        <w:rPr>
          <w:rFonts w:hint="eastAsia" w:ascii="宋体" w:hAnsi="宋体" w:cs="宋体"/>
          <w:b/>
          <w:color w:val="auto"/>
          <w:sz w:val="24"/>
          <w:szCs w:val="31"/>
          <w:highlight w:val="none"/>
        </w:rPr>
        <w:t>（六）投标人廉洁承诺书</w:t>
      </w:r>
    </w:p>
    <w:p>
      <w:pPr>
        <w:pStyle w:val="29"/>
        <w:spacing w:before="0" w:beforeAutospacing="0" w:after="0" w:afterAutospacing="0" w:line="360" w:lineRule="auto"/>
        <w:ind w:firstLine="480"/>
        <w:jc w:val="center"/>
        <w:rPr>
          <w:rFonts w:ascii="宋体" w:hAnsi="宋体"/>
          <w:color w:val="auto"/>
          <w:highlight w:val="none"/>
        </w:rPr>
      </w:pPr>
      <w:r>
        <w:rPr>
          <w:rFonts w:hint="eastAsia" w:ascii="宋体" w:hAnsi="宋体"/>
          <w:color w:val="auto"/>
          <w:highlight w:val="none"/>
        </w:rPr>
        <w:t>投标人廉洁承诺书</w:t>
      </w:r>
    </w:p>
    <w:p>
      <w:pPr>
        <w:pStyle w:val="29"/>
        <w:shd w:val="clear" w:color="auto" w:fill="FFFFFF"/>
        <w:spacing w:before="0" w:beforeAutospacing="0" w:after="0" w:afterAutospacing="0" w:line="360" w:lineRule="auto"/>
        <w:rPr>
          <w:rFonts w:ascii="宋体" w:hAnsi="宋体"/>
          <w:color w:val="auto"/>
          <w:highlight w:val="none"/>
        </w:rPr>
      </w:pPr>
      <w:r>
        <w:rPr>
          <w:rFonts w:hint="eastAsia" w:ascii="宋体" w:hAnsi="宋体"/>
          <w:color w:val="auto"/>
          <w:highlight w:val="none"/>
        </w:rPr>
        <w:t>广州市水务局、本招标项目招标人及招标监管机构：</w:t>
      </w:r>
    </w:p>
    <w:p>
      <w:pPr>
        <w:pStyle w:val="19"/>
        <w:spacing w:line="360" w:lineRule="auto"/>
        <w:ind w:right="420" w:firstLine="645"/>
        <w:rPr>
          <w:rFonts w:hAnsi="宋体" w:eastAsia="宋体"/>
          <w:color w:val="auto"/>
          <w:sz w:val="24"/>
          <w:highlight w:val="none"/>
        </w:rPr>
      </w:pPr>
      <w:r>
        <w:rPr>
          <w:rFonts w:hint="eastAsia" w:hAnsi="宋体" w:eastAsia="宋体"/>
          <w:color w:val="auto"/>
          <w:sz w:val="24"/>
          <w:highlight w:val="none"/>
        </w:rPr>
        <w:t>本公司参加了</w:t>
      </w:r>
      <w:r>
        <w:rPr>
          <w:rFonts w:hint="eastAsia" w:hAnsi="宋体" w:eastAsia="宋体"/>
          <w:color w:val="auto"/>
          <w:sz w:val="24"/>
          <w:highlight w:val="none"/>
          <w:u w:val="single"/>
        </w:rPr>
        <w:t xml:space="preserve">  （项目名称/标段名称）  </w:t>
      </w:r>
      <w:r>
        <w:rPr>
          <w:rFonts w:hint="eastAsia" w:hAnsi="宋体" w:eastAsia="宋体"/>
          <w:color w:val="auto"/>
          <w:sz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9"/>
        <w:spacing w:line="360" w:lineRule="auto"/>
        <w:ind w:right="420" w:firstLine="645"/>
        <w:rPr>
          <w:rFonts w:hAnsi="宋体" w:eastAsia="宋体"/>
          <w:color w:val="auto"/>
          <w:sz w:val="24"/>
          <w:highlight w:val="none"/>
        </w:rPr>
      </w:pPr>
      <w:r>
        <w:rPr>
          <w:rFonts w:hint="eastAsia" w:hAnsi="宋体" w:eastAsia="宋体"/>
          <w:color w:val="auto"/>
          <w:sz w:val="24"/>
          <w:highlight w:val="none"/>
        </w:rPr>
        <w:t>一、自觉遵守国家有关法律法规及廉洁规定。</w:t>
      </w:r>
    </w:p>
    <w:p>
      <w:pPr>
        <w:pStyle w:val="19"/>
        <w:spacing w:line="360" w:lineRule="auto"/>
        <w:ind w:right="420" w:firstLine="645"/>
        <w:rPr>
          <w:rFonts w:hAnsi="宋体" w:eastAsia="宋体"/>
          <w:color w:val="auto"/>
          <w:sz w:val="24"/>
          <w:highlight w:val="none"/>
        </w:rPr>
      </w:pPr>
      <w:r>
        <w:rPr>
          <w:rFonts w:hint="eastAsia" w:hAnsi="宋体" w:eastAsia="宋体"/>
          <w:color w:val="auto"/>
          <w:sz w:val="24"/>
          <w:highlight w:val="none"/>
        </w:rPr>
        <w:t>二、不与招标单位工作人员串通投标，损害国家利益、企业利益以及他人的合法利益；</w:t>
      </w:r>
    </w:p>
    <w:p>
      <w:pPr>
        <w:pStyle w:val="19"/>
        <w:spacing w:line="360" w:lineRule="auto"/>
        <w:ind w:right="420" w:firstLine="645"/>
        <w:rPr>
          <w:rFonts w:hAnsi="宋体" w:eastAsia="宋体"/>
          <w:color w:val="auto"/>
          <w:sz w:val="24"/>
          <w:highlight w:val="none"/>
        </w:rPr>
      </w:pPr>
      <w:r>
        <w:rPr>
          <w:rFonts w:hint="eastAsia" w:hAnsi="宋体" w:eastAsia="宋体"/>
          <w:color w:val="auto"/>
          <w:sz w:val="24"/>
          <w:highlight w:val="none"/>
        </w:rPr>
        <w:t>三、不与其他单位围标、串标，不出让投标资格，不向招标人或评标委员会成员行贿。</w:t>
      </w:r>
    </w:p>
    <w:p>
      <w:pPr>
        <w:pStyle w:val="19"/>
        <w:spacing w:line="360" w:lineRule="auto"/>
        <w:ind w:right="420" w:firstLine="645"/>
        <w:rPr>
          <w:rFonts w:hAnsi="宋体" w:eastAsia="宋体"/>
          <w:color w:val="auto"/>
          <w:sz w:val="24"/>
          <w:highlight w:val="none"/>
        </w:rPr>
      </w:pPr>
      <w:r>
        <w:rPr>
          <w:rFonts w:hint="eastAsia" w:hAnsi="宋体" w:eastAsia="宋体"/>
          <w:color w:val="auto"/>
          <w:sz w:val="24"/>
          <w:highlight w:val="none"/>
        </w:rPr>
        <w:t xml:space="preserve">四、不以任何名义向参与招标、评标工作的有关人员提供高消费宴请及娱乐活动和赠送回扣、红包、礼金、购物卡、有价证券、贵重物品和好处费、感谢费等； </w:t>
      </w:r>
    </w:p>
    <w:p>
      <w:pPr>
        <w:pStyle w:val="19"/>
        <w:spacing w:line="360" w:lineRule="auto"/>
        <w:ind w:right="420" w:firstLine="645"/>
        <w:rPr>
          <w:rFonts w:hAnsi="宋体" w:eastAsia="宋体"/>
          <w:color w:val="auto"/>
          <w:sz w:val="24"/>
          <w:highlight w:val="none"/>
        </w:rPr>
      </w:pPr>
      <w:r>
        <w:rPr>
          <w:rFonts w:hint="eastAsia" w:hAnsi="宋体" w:eastAsia="宋体"/>
          <w:color w:val="auto"/>
          <w:sz w:val="24"/>
          <w:highlight w:val="none"/>
        </w:rPr>
        <w:t>五、不以任何名义为参与招标、评标工作的有关人员装修住房、婚丧嫁取、配偶子女的工作安排以及境内外旅游等提供方便；</w:t>
      </w:r>
    </w:p>
    <w:p>
      <w:pPr>
        <w:pStyle w:val="19"/>
        <w:spacing w:line="360" w:lineRule="auto"/>
        <w:ind w:right="420" w:firstLine="645"/>
        <w:rPr>
          <w:rFonts w:hAnsi="宋体" w:eastAsia="宋体"/>
          <w:color w:val="auto"/>
          <w:sz w:val="24"/>
          <w:highlight w:val="none"/>
        </w:rPr>
      </w:pPr>
      <w:r>
        <w:rPr>
          <w:rFonts w:hint="eastAsia" w:hAnsi="宋体" w:eastAsia="宋体"/>
          <w:color w:val="auto"/>
          <w:sz w:val="24"/>
          <w:highlight w:val="none"/>
        </w:rPr>
        <w:t>六、不以谋取非正当利益为目的，擅自与参与招标、评标工作的有关人员就业务问题进行私下商谈或者达成利益默契；</w:t>
      </w:r>
    </w:p>
    <w:p>
      <w:pPr>
        <w:pStyle w:val="29"/>
        <w:shd w:val="clear" w:color="auto" w:fill="FFFFFF"/>
        <w:spacing w:before="0" w:beforeAutospacing="0" w:after="0" w:afterAutospacing="0" w:line="360" w:lineRule="auto"/>
        <w:ind w:firstLine="645"/>
        <w:rPr>
          <w:rFonts w:ascii="宋体" w:hAnsi="宋体"/>
          <w:color w:val="auto"/>
          <w:highlight w:val="none"/>
        </w:rPr>
      </w:pPr>
      <w:r>
        <w:rPr>
          <w:rFonts w:hint="eastAsia" w:ascii="宋体" w:hAnsi="宋体"/>
          <w:color w:val="auto"/>
          <w:highlight w:val="none"/>
        </w:rPr>
        <w:t>本公司违反上述承诺，或本承诺陈述与事实不符，经查实，本公司愿意接受公开通报，承担由此带来的法律后果，并自愿停止参加广州市行政辖区内的招标投标活动三个月。</w:t>
      </w:r>
    </w:p>
    <w:p>
      <w:pPr>
        <w:pStyle w:val="29"/>
        <w:shd w:val="clear" w:color="auto" w:fill="FFFFFF"/>
        <w:spacing w:before="0" w:beforeAutospacing="0" w:after="0" w:afterAutospacing="0" w:line="360" w:lineRule="auto"/>
        <w:ind w:firstLine="645"/>
        <w:rPr>
          <w:rFonts w:ascii="宋体" w:hAnsi="宋体"/>
          <w:color w:val="auto"/>
          <w:highlight w:val="none"/>
        </w:rPr>
      </w:pPr>
      <w:r>
        <w:rPr>
          <w:rFonts w:hint="eastAsia" w:ascii="宋体" w:hAnsi="宋体"/>
          <w:color w:val="auto"/>
          <w:highlight w:val="none"/>
        </w:rPr>
        <w:t>特此承诺</w:t>
      </w:r>
    </w:p>
    <w:p>
      <w:pPr>
        <w:pStyle w:val="29"/>
        <w:shd w:val="clear" w:color="auto" w:fill="FFFFFF"/>
        <w:wordWrap w:val="0"/>
        <w:spacing w:before="0" w:beforeAutospacing="0" w:after="0" w:afterAutospacing="0" w:line="360" w:lineRule="auto"/>
        <w:ind w:right="1455" w:firstLine="2880"/>
        <w:jc w:val="right"/>
        <w:rPr>
          <w:rFonts w:ascii="宋体" w:hAnsi="宋体"/>
          <w:color w:val="auto"/>
          <w:highlight w:val="none"/>
        </w:rPr>
      </w:pPr>
      <w:r>
        <w:rPr>
          <w:rFonts w:hint="eastAsia" w:ascii="宋体" w:hAnsi="宋体"/>
          <w:color w:val="auto"/>
          <w:highlight w:val="none"/>
        </w:rPr>
        <w:t xml:space="preserve">承诺企业（该单位章）： </w:t>
      </w:r>
    </w:p>
    <w:p>
      <w:pPr>
        <w:pStyle w:val="29"/>
        <w:shd w:val="clear" w:color="auto" w:fill="FFFFFF"/>
        <w:spacing w:before="0" w:beforeAutospacing="0" w:after="0" w:afterAutospacing="0" w:line="360" w:lineRule="auto"/>
        <w:ind w:right="960" w:firstLine="480"/>
        <w:jc w:val="center"/>
        <w:rPr>
          <w:rFonts w:ascii="宋体" w:hAnsi="宋体"/>
          <w:color w:val="auto"/>
          <w:highlight w:val="none"/>
        </w:rPr>
      </w:pPr>
      <w:r>
        <w:rPr>
          <w:rFonts w:hint="eastAsia" w:ascii="宋体" w:hAnsi="宋体"/>
          <w:color w:val="auto"/>
          <w:highlight w:val="none"/>
        </w:rPr>
        <w:t>法定代表人签字：</w:t>
      </w:r>
    </w:p>
    <w:p>
      <w:pPr>
        <w:pStyle w:val="29"/>
        <w:shd w:val="clear" w:color="auto" w:fill="FFFFFF"/>
        <w:spacing w:before="0" w:beforeAutospacing="0" w:after="0" w:afterAutospacing="0" w:line="360" w:lineRule="auto"/>
        <w:ind w:firstLine="480"/>
        <w:jc w:val="right"/>
        <w:rPr>
          <w:rFonts w:ascii="宋体" w:hAnsi="宋体"/>
          <w:color w:val="auto"/>
          <w:highlight w:val="none"/>
        </w:rPr>
      </w:pPr>
      <w:r>
        <w:rPr>
          <w:rFonts w:hint="eastAsia" w:ascii="宋体" w:hAnsi="宋体"/>
          <w:color w:val="auto"/>
          <w:highlight w:val="none"/>
        </w:rPr>
        <w:t>年 月日</w:t>
      </w:r>
    </w:p>
    <w:p>
      <w:pPr>
        <w:rPr>
          <w:rFonts w:ascii="宋体" w:hAnsi="宋体"/>
          <w:color w:val="auto"/>
          <w:highlight w:val="none"/>
        </w:rPr>
      </w:pPr>
      <w:r>
        <w:rPr>
          <w:rFonts w:hint="eastAsia" w:ascii="宋体" w:hAnsi="宋体"/>
          <w:color w:val="auto"/>
          <w:highlight w:val="none"/>
        </w:rPr>
        <w:br w:type="page"/>
      </w:r>
      <w:bookmarkEnd w:id="674"/>
      <w:bookmarkStart w:id="680" w:name="_Toc229474024"/>
    </w:p>
    <w:p>
      <w:pPr>
        <w:spacing w:line="360" w:lineRule="auto"/>
        <w:jc w:val="center"/>
        <w:outlineLvl w:val="2"/>
        <w:rPr>
          <w:rFonts w:ascii="宋体" w:hAnsi="宋体" w:cs="宋体"/>
          <w:color w:val="auto"/>
          <w:sz w:val="28"/>
          <w:szCs w:val="27"/>
          <w:highlight w:val="none"/>
        </w:rPr>
      </w:pPr>
      <w:bookmarkStart w:id="681" w:name="_Toc17454961"/>
      <w:bookmarkStart w:id="682" w:name="_Toc17556915"/>
      <w:bookmarkStart w:id="683" w:name="_Toc17451140"/>
      <w:bookmarkStart w:id="684" w:name="_Toc17452703"/>
      <w:bookmarkStart w:id="685" w:name="_Toc17451617"/>
      <w:bookmarkStart w:id="686" w:name="_Toc17451662"/>
      <w:bookmarkStart w:id="687" w:name="_Toc17454910"/>
      <w:bookmarkStart w:id="688" w:name="_Toc132193471"/>
      <w:r>
        <w:rPr>
          <w:rFonts w:hint="eastAsia" w:ascii="宋体" w:hAnsi="宋体" w:cs="宋体"/>
          <w:color w:val="auto"/>
          <w:sz w:val="28"/>
          <w:szCs w:val="27"/>
          <w:highlight w:val="none"/>
          <w:lang w:val="en-US" w:eastAsia="zh-CN"/>
        </w:rPr>
        <w:t>九</w:t>
      </w:r>
      <w:r>
        <w:rPr>
          <w:rFonts w:hint="eastAsia" w:ascii="宋体" w:hAnsi="宋体" w:cs="宋体"/>
          <w:color w:val="auto"/>
          <w:sz w:val="28"/>
          <w:szCs w:val="27"/>
          <w:highlight w:val="none"/>
        </w:rPr>
        <w:t>、</w:t>
      </w:r>
      <w:bookmarkEnd w:id="675"/>
      <w:bookmarkEnd w:id="676"/>
      <w:bookmarkEnd w:id="677"/>
      <w:bookmarkEnd w:id="678"/>
      <w:bookmarkEnd w:id="679"/>
      <w:bookmarkEnd w:id="680"/>
      <w:r>
        <w:rPr>
          <w:rFonts w:hint="eastAsia" w:ascii="宋体" w:hAnsi="宋体" w:cs="宋体"/>
          <w:color w:val="auto"/>
          <w:sz w:val="28"/>
          <w:szCs w:val="27"/>
          <w:highlight w:val="none"/>
        </w:rPr>
        <w:t>投标人须知前附表规定的其他材料</w:t>
      </w:r>
      <w:bookmarkEnd w:id="681"/>
      <w:bookmarkEnd w:id="682"/>
      <w:bookmarkEnd w:id="683"/>
      <w:bookmarkEnd w:id="684"/>
      <w:bookmarkEnd w:id="685"/>
      <w:bookmarkEnd w:id="686"/>
      <w:bookmarkEnd w:id="687"/>
      <w:bookmarkEnd w:id="688"/>
    </w:p>
    <w:p>
      <w:pPr>
        <w:spacing w:line="360" w:lineRule="auto"/>
        <w:rPr>
          <w:rFonts w:ascii="宋体" w:hAnsi="宋体" w:cs="宋体"/>
          <w:color w:val="auto"/>
          <w:sz w:val="24"/>
          <w:highlight w:val="none"/>
        </w:rPr>
      </w:pPr>
      <w:r>
        <w:rPr>
          <w:rFonts w:hint="eastAsia" w:ascii="宋体" w:hAnsi="宋体" w:cs="宋体"/>
          <w:color w:val="auto"/>
          <w:sz w:val="24"/>
          <w:highlight w:val="none"/>
        </w:rPr>
        <w:t>（如投标报价低于工程成本警示价的，提供投标报价不低于成本价的证明材料。）</w:t>
      </w:r>
    </w:p>
    <w:p>
      <w:pPr>
        <w:spacing w:line="400" w:lineRule="exact"/>
        <w:jc w:val="left"/>
        <w:outlineLvl w:val="3"/>
        <w:rPr>
          <w:rFonts w:ascii="宋体" w:hAnsi="宋体" w:cs="宋体"/>
          <w:b/>
          <w:color w:val="auto"/>
          <w:sz w:val="24"/>
          <w:szCs w:val="31"/>
          <w:highlight w:val="none"/>
        </w:rPr>
      </w:pPr>
      <w:bookmarkStart w:id="689" w:name="_Toc416357992"/>
      <w:bookmarkStart w:id="690" w:name="_Toc266881405"/>
      <w:bookmarkStart w:id="691" w:name="_Toc416358163"/>
      <w:bookmarkStart w:id="692" w:name="_Toc249845977"/>
      <w:bookmarkStart w:id="693" w:name="_Toc266093553"/>
      <w:bookmarkStart w:id="694" w:name="_Toc245024005"/>
      <w:bookmarkStart w:id="695" w:name="_Toc253143224"/>
      <w:bookmarkStart w:id="696" w:name="_Toc249846232"/>
      <w:r>
        <w:rPr>
          <w:rFonts w:hint="eastAsia" w:ascii="宋体" w:hAnsi="宋体" w:cs="宋体"/>
          <w:b/>
          <w:color w:val="auto"/>
          <w:sz w:val="24"/>
          <w:szCs w:val="31"/>
          <w:highlight w:val="none"/>
        </w:rPr>
        <w:t>附件1</w:t>
      </w:r>
      <w:bookmarkEnd w:id="689"/>
      <w:bookmarkEnd w:id="690"/>
      <w:bookmarkEnd w:id="691"/>
      <w:bookmarkEnd w:id="692"/>
      <w:bookmarkEnd w:id="693"/>
      <w:bookmarkEnd w:id="694"/>
      <w:bookmarkEnd w:id="695"/>
      <w:bookmarkEnd w:id="696"/>
    </w:p>
    <w:p>
      <w:pPr>
        <w:tabs>
          <w:tab w:val="left" w:pos="720"/>
        </w:tabs>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投标文件编制人员名单</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bl>
    <w:p>
      <w:pPr>
        <w:tabs>
          <w:tab w:val="left" w:pos="720"/>
        </w:tabs>
        <w:snapToGrid w:val="0"/>
        <w:spacing w:line="360" w:lineRule="auto"/>
        <w:rPr>
          <w:rFonts w:ascii="宋体" w:hAnsi="宋体" w:cs="宋体"/>
          <w:color w:val="auto"/>
          <w:sz w:val="24"/>
          <w:szCs w:val="24"/>
          <w:highlight w:val="none"/>
        </w:rPr>
      </w:pPr>
    </w:p>
    <w:p>
      <w:pPr>
        <w:pStyle w:val="33"/>
        <w:spacing w:after="0" w:line="360" w:lineRule="auto"/>
        <w:ind w:left="-2" w:leftChars="-1" w:firstLine="350" w:firstLineChars="175"/>
        <w:jc w:val="left"/>
        <w:rPr>
          <w:rFonts w:ascii="宋体" w:hAnsi="宋体" w:eastAsia="宋体" w:cs="宋体"/>
          <w:color w:val="auto"/>
          <w:szCs w:val="21"/>
          <w:highlight w:val="none"/>
        </w:rPr>
      </w:pPr>
      <w:r>
        <w:rPr>
          <w:rFonts w:hint="eastAsia" w:ascii="宋体" w:hAnsi="宋体" w:eastAsia="宋体" w:cs="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33"/>
        <w:spacing w:after="0" w:line="360" w:lineRule="auto"/>
        <w:ind w:left="-2" w:leftChars="-1" w:firstLineChars="175"/>
        <w:jc w:val="center"/>
        <w:rPr>
          <w:rFonts w:ascii="宋体" w:hAnsi="宋体" w:eastAsia="宋体" w:cs="宋体"/>
          <w:color w:val="auto"/>
          <w:sz w:val="24"/>
          <w:szCs w:val="24"/>
          <w:highlight w:val="none"/>
        </w:rPr>
      </w:pPr>
    </w:p>
    <w:p>
      <w:pPr>
        <w:spacing w:line="400" w:lineRule="exact"/>
        <w:jc w:val="left"/>
        <w:outlineLvl w:val="3"/>
        <w:rPr>
          <w:rFonts w:ascii="宋体" w:hAnsi="宋体" w:cs="宋体"/>
          <w:color w:val="auto"/>
          <w:szCs w:val="21"/>
          <w:highlight w:val="none"/>
        </w:rPr>
      </w:pPr>
      <w:r>
        <w:rPr>
          <w:rFonts w:hint="eastAsia" w:ascii="宋体" w:hAnsi="宋体" w:cs="宋体"/>
          <w:color w:val="auto"/>
          <w:sz w:val="24"/>
          <w:szCs w:val="24"/>
          <w:highlight w:val="none"/>
        </w:rPr>
        <w:br w:type="page"/>
      </w:r>
      <w:r>
        <w:rPr>
          <w:rFonts w:hint="eastAsia" w:ascii="宋体" w:hAnsi="宋体" w:cs="宋体"/>
          <w:b/>
          <w:color w:val="auto"/>
          <w:sz w:val="24"/>
          <w:szCs w:val="31"/>
          <w:highlight w:val="none"/>
        </w:rPr>
        <w:t>附件2</w:t>
      </w:r>
    </w:p>
    <w:p>
      <w:pPr>
        <w:pStyle w:val="33"/>
        <w:spacing w:after="0" w:line="360" w:lineRule="auto"/>
        <w:ind w:firstLine="0"/>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pPr>
        <w:pStyle w:val="33"/>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 xml:space="preserve">         （身份证号：               ）</w:t>
      </w:r>
      <w:r>
        <w:rPr>
          <w:rFonts w:hint="eastAsia" w:ascii="宋体" w:hAnsi="宋体" w:eastAsia="宋体" w:cs="宋体"/>
          <w:color w:val="auto"/>
          <w:sz w:val="24"/>
          <w:szCs w:val="24"/>
          <w:highlight w:val="none"/>
        </w:rPr>
        <w:t>负责对投标文件的编制及内容进行解释、说明，并承诺以下事项：</w:t>
      </w:r>
    </w:p>
    <w:p>
      <w:pPr>
        <w:pStyle w:val="33"/>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pPr>
        <w:pStyle w:val="33"/>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33"/>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33"/>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如由于未遵守上述承诺内容之一导致无法进行澄清的，我公司认可和接受评标委员会作出的评审结论。                                 </w:t>
      </w:r>
    </w:p>
    <w:p>
      <w:pPr>
        <w:pStyle w:val="33"/>
        <w:spacing w:after="0" w:line="360" w:lineRule="auto"/>
        <w:ind w:firstLine="360" w:firstLineChars="150"/>
        <w:rPr>
          <w:rFonts w:ascii="宋体" w:hAnsi="宋体" w:eastAsia="宋体" w:cs="宋体"/>
          <w:color w:val="auto"/>
          <w:sz w:val="24"/>
          <w:szCs w:val="24"/>
          <w:highlight w:val="none"/>
        </w:rPr>
      </w:pPr>
    </w:p>
    <w:p>
      <w:pPr>
        <w:pStyle w:val="33"/>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投标人名称（盖单位章）：</w:t>
      </w:r>
    </w:p>
    <w:p>
      <w:pPr>
        <w:spacing w:line="360" w:lineRule="auto"/>
        <w:ind w:firstLine="2880" w:firstLineChars="12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p>
    <w:p>
      <w:pPr>
        <w:spacing w:line="400" w:lineRule="exact"/>
        <w:jc w:val="left"/>
        <w:outlineLvl w:val="3"/>
        <w:rPr>
          <w:rFonts w:ascii="宋体" w:hAnsi="宋体" w:cs="宋体"/>
          <w:b/>
          <w:color w:val="auto"/>
          <w:sz w:val="32"/>
          <w:szCs w:val="32"/>
          <w:highlight w:val="none"/>
        </w:rPr>
      </w:pPr>
      <w:r>
        <w:rPr>
          <w:rFonts w:hint="eastAsia" w:ascii="宋体" w:hAnsi="宋体" w:cs="宋体"/>
          <w:color w:val="auto"/>
          <w:sz w:val="24"/>
          <w:szCs w:val="24"/>
          <w:highlight w:val="none"/>
        </w:rPr>
        <w:br w:type="page"/>
      </w:r>
      <w:r>
        <w:rPr>
          <w:rFonts w:hint="eastAsia" w:ascii="宋体" w:hAnsi="宋体" w:cs="宋体"/>
          <w:b/>
          <w:color w:val="auto"/>
          <w:sz w:val="24"/>
          <w:szCs w:val="31"/>
          <w:highlight w:val="none"/>
        </w:rPr>
        <w:t>附件3</w:t>
      </w:r>
    </w:p>
    <w:p>
      <w:pPr>
        <w:pStyle w:val="33"/>
        <w:spacing w:after="0" w:line="360" w:lineRule="auto"/>
        <w:ind w:firstLine="643" w:firstLineChars="200"/>
        <w:jc w:val="center"/>
        <w:rPr>
          <w:rFonts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pPr>
        <w:pStyle w:val="33"/>
        <w:spacing w:after="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sz w:val="24"/>
          <w:szCs w:val="24"/>
          <w:highlight w:val="none"/>
        </w:rPr>
        <w:t>。</w:t>
      </w:r>
    </w:p>
    <w:p>
      <w:pPr>
        <w:pStyle w:val="33"/>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34"/>
        <w:tblW w:w="0" w:type="auto"/>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19" w:hRule="atLeast"/>
        </w:trPr>
        <w:tc>
          <w:tcPr>
            <w:tcW w:w="8528" w:type="dxa"/>
          </w:tcPr>
          <w:p>
            <w:pPr>
              <w:pStyle w:val="33"/>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pPr>
              <w:pStyle w:val="33"/>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33"/>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33"/>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widowControl/>
        <w:jc w:val="left"/>
        <w:rPr>
          <w:rFonts w:ascii="宋体" w:hAnsi="宋体" w:cs="宋体"/>
          <w:color w:val="auto"/>
          <w:sz w:val="24"/>
          <w:highlight w:val="none"/>
        </w:rPr>
      </w:pPr>
      <w:r>
        <w:rPr>
          <w:rFonts w:ascii="宋体" w:hAnsi="宋体" w:cs="宋体"/>
          <w:color w:val="auto"/>
          <w:sz w:val="24"/>
          <w:highlight w:val="none"/>
        </w:rPr>
        <w:br w:type="page"/>
      </w:r>
    </w:p>
    <w:p>
      <w:pPr>
        <w:spacing w:line="360" w:lineRule="auto"/>
        <w:jc w:val="center"/>
        <w:outlineLvl w:val="1"/>
        <w:rPr>
          <w:rFonts w:ascii="宋体" w:hAnsi="宋体" w:cs="宋体"/>
          <w:color w:val="auto"/>
          <w:sz w:val="32"/>
          <w:szCs w:val="32"/>
          <w:highlight w:val="none"/>
        </w:rPr>
      </w:pPr>
      <w:bookmarkStart w:id="697" w:name="_Toc132193472"/>
      <w:bookmarkStart w:id="698" w:name="_Toc17454962"/>
      <w:bookmarkStart w:id="699" w:name="_Toc17556916"/>
      <w:bookmarkStart w:id="700" w:name="_Toc17454911"/>
      <w:bookmarkStart w:id="701" w:name="_Toc17451141"/>
      <w:bookmarkStart w:id="702" w:name="_Toc17451663"/>
      <w:bookmarkStart w:id="703" w:name="_Toc17452704"/>
      <w:bookmarkStart w:id="704" w:name="_Toc17451618"/>
      <w:r>
        <w:rPr>
          <w:rFonts w:hint="eastAsia" w:ascii="宋体" w:hAnsi="宋体" w:cs="宋体"/>
          <w:color w:val="auto"/>
          <w:sz w:val="32"/>
          <w:szCs w:val="32"/>
          <w:highlight w:val="none"/>
        </w:rPr>
        <w:t>第九章 否决性条款汇总</w:t>
      </w:r>
      <w:bookmarkEnd w:id="697"/>
      <w:bookmarkEnd w:id="698"/>
      <w:bookmarkEnd w:id="699"/>
      <w:bookmarkEnd w:id="700"/>
      <w:bookmarkEnd w:id="701"/>
      <w:bookmarkEnd w:id="702"/>
      <w:bookmarkEnd w:id="703"/>
      <w:bookmarkEnd w:id="704"/>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一、若出现以下情况，招标人将拒绝接收投标文件：</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（1）电子投标文件未在投标截止时间前完整上传并保存在广州公共资源交易中心电子评标系统且取得回执的； </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（2）投标文件未按招标文件要求进行电子签章，并进行加密的；</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（3）电子投标文件中投标人电子签章不完整的；</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（4）电子投标文件损坏或格式不正确的；</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（5）电子投标文件未加密的。</w:t>
      </w:r>
    </w:p>
    <w:p>
      <w:pPr>
        <w:spacing w:line="360" w:lineRule="auto"/>
        <w:ind w:firstLine="523" w:firstLineChars="218"/>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二、开标时，出现下列情形之一的，不参与资格审查和评标：</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（1）未成功递交投标文件的；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（2）因投标人原因造成投标文件未解密的；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（3）未按招标文件要求提供投标保证金的；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（4）两个（含两个）以上的投标人加密打包投标文件电脑机器码一致的；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（5）项目负责人和安全员为同一人的；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（6）投标文件中的投标人、项目负责人、安全员与投标登记时的信息不一致的。</w:t>
      </w:r>
    </w:p>
    <w:p>
      <w:pPr>
        <w:spacing w:line="360" w:lineRule="auto"/>
        <w:rPr>
          <w:rFonts w:ascii="宋体" w:hAnsi="宋体" w:cs="宋体"/>
          <w:color w:val="auto"/>
          <w:sz w:val="24"/>
          <w:szCs w:val="24"/>
          <w:highlight w:val="none"/>
        </w:rPr>
      </w:pPr>
    </w:p>
    <w:p>
      <w:pPr>
        <w:numPr>
          <w:ilvl w:val="0"/>
          <w:numId w:val="4"/>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作无效投标的情形：</w:t>
      </w:r>
    </w:p>
    <w:p>
      <w:pPr>
        <w:numPr>
          <w:ilvl w:val="0"/>
          <w:numId w:val="5"/>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投标文件不符合招标文件评标办法中《资格评审标准》的要求：</w:t>
      </w:r>
    </w:p>
    <w:p>
      <w:pPr>
        <w:pStyle w:val="85"/>
        <w:numPr>
          <w:ilvl w:val="0"/>
          <w:numId w:val="6"/>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营业执照：具备有效的营业执照；</w:t>
      </w:r>
    </w:p>
    <w:p>
      <w:pPr>
        <w:pStyle w:val="85"/>
        <w:numPr>
          <w:ilvl w:val="0"/>
          <w:numId w:val="6"/>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安全生产许可证：具有有效的建设行政主管部门颁发的安全生产许可证；</w:t>
      </w:r>
    </w:p>
    <w:p>
      <w:pPr>
        <w:pStyle w:val="85"/>
        <w:numPr>
          <w:ilvl w:val="0"/>
          <w:numId w:val="6"/>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资质等级：符合第二章“投标人须知”第1.4.1项规定；</w:t>
      </w:r>
    </w:p>
    <w:p>
      <w:pPr>
        <w:pStyle w:val="85"/>
        <w:numPr>
          <w:ilvl w:val="0"/>
          <w:numId w:val="6"/>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项目负责人资格：符合第二章“投标人须知”第1.4.1项规定，且未被广州公共资源交易中心锁定；</w:t>
      </w:r>
    </w:p>
    <w:p>
      <w:pPr>
        <w:pStyle w:val="85"/>
        <w:numPr>
          <w:ilvl w:val="0"/>
          <w:numId w:val="6"/>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安全培训考核合格证：项目负责人及专职安全员具备有效的符合符合第二章“投标人须知”第1.4.1项规定的行政主管部门颁发的安全培训考核合格证；</w:t>
      </w:r>
    </w:p>
    <w:p>
      <w:pPr>
        <w:pStyle w:val="85"/>
        <w:numPr>
          <w:ilvl w:val="0"/>
          <w:numId w:val="6"/>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社保要求：符合第二章“投标人须知”第1.4.1项规定；</w:t>
      </w:r>
    </w:p>
    <w:p>
      <w:pPr>
        <w:pStyle w:val="85"/>
        <w:numPr>
          <w:ilvl w:val="0"/>
          <w:numId w:val="6"/>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项目负责人、技术负责人签字：投标人声明有项目负责人、技术负责人签名。</w:t>
      </w:r>
    </w:p>
    <w:p>
      <w:pPr>
        <w:pStyle w:val="85"/>
        <w:numPr>
          <w:ilvl w:val="0"/>
          <w:numId w:val="6"/>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落实失信联合惩戒措施： 未被纳入失信联合惩戒名单，失信联合惩戒名单以 “信用广州”网站公布的“失信联合惩戒黑名单”为准。</w:t>
      </w:r>
    </w:p>
    <w:p>
      <w:pPr>
        <w:numPr>
          <w:ilvl w:val="0"/>
          <w:numId w:val="5"/>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投标文件不符合招标文件评标办法中《形式评审标准》的要求：</w:t>
      </w:r>
    </w:p>
    <w:p>
      <w:pPr>
        <w:pStyle w:val="85"/>
        <w:numPr>
          <w:ilvl w:val="0"/>
          <w:numId w:val="7"/>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投标文件格式：符合第八章“投标文件格式”的要求；</w:t>
      </w:r>
    </w:p>
    <w:p>
      <w:pPr>
        <w:pStyle w:val="85"/>
        <w:numPr>
          <w:ilvl w:val="0"/>
          <w:numId w:val="7"/>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投标函盖章：有加盖单位公章； </w:t>
      </w:r>
    </w:p>
    <w:p>
      <w:pPr>
        <w:pStyle w:val="85"/>
        <w:numPr>
          <w:ilvl w:val="0"/>
          <w:numId w:val="7"/>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报价唯一：只能有一个有效报价（指符合第三章“评标办法”2.2.2规定的有效投标报价）。</w:t>
      </w:r>
    </w:p>
    <w:p>
      <w:pPr>
        <w:numPr>
          <w:ilvl w:val="0"/>
          <w:numId w:val="5"/>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投标文件不符合招标文件评标办法中《响应性评审标准》的要求：</w:t>
      </w:r>
    </w:p>
    <w:p>
      <w:pPr>
        <w:pStyle w:val="85"/>
        <w:numPr>
          <w:ilvl w:val="0"/>
          <w:numId w:val="8"/>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投标报价：符合第二章“投标人须知”第3.2.3项规定；</w:t>
      </w:r>
    </w:p>
    <w:p>
      <w:pPr>
        <w:pStyle w:val="85"/>
        <w:numPr>
          <w:ilvl w:val="0"/>
          <w:numId w:val="8"/>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计划工期：符合第二章“投标人须知”第1.3.2项规定；</w:t>
      </w:r>
    </w:p>
    <w:p>
      <w:pPr>
        <w:pStyle w:val="85"/>
        <w:numPr>
          <w:ilvl w:val="0"/>
          <w:numId w:val="8"/>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工程质量：符合第二章“投标人须知”第1.3.3项规定；</w:t>
      </w:r>
    </w:p>
    <w:p>
      <w:pPr>
        <w:pStyle w:val="85"/>
        <w:numPr>
          <w:ilvl w:val="0"/>
          <w:numId w:val="8"/>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投标保证金：符合第二章“投标人须知”第3.4.1项规定；</w:t>
      </w:r>
    </w:p>
    <w:p>
      <w:pPr>
        <w:pStyle w:val="85"/>
        <w:numPr>
          <w:ilvl w:val="0"/>
          <w:numId w:val="8"/>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已标价工程量清单：符合第五章“工程量清单”给出的范围及数量；</w:t>
      </w:r>
    </w:p>
    <w:p>
      <w:pPr>
        <w:pStyle w:val="85"/>
        <w:numPr>
          <w:ilvl w:val="0"/>
          <w:numId w:val="8"/>
        </w:numPr>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机器码唯一</w:t>
      </w:r>
    </w:p>
    <w:p>
      <w:pPr>
        <w:pStyle w:val="85"/>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不存在以下情形之一：</w:t>
      </w:r>
    </w:p>
    <w:p>
      <w:pPr>
        <w:pStyle w:val="85"/>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①投标人与本项目其他投标人加密打包投标文件电脑机器特征码一致的(以交易平台评标系统的检索信息为准)；</w:t>
      </w:r>
    </w:p>
    <w:p>
      <w:pPr>
        <w:pStyle w:val="85"/>
        <w:spacing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②投标人与本项目其他投标人的投标文件工程量清单编制机器硬件信息一致的（以交易平台评标系统的检索信息为准）。  </w:t>
      </w:r>
    </w:p>
    <w:p>
      <w:pPr>
        <w:pStyle w:val="85"/>
        <w:rPr>
          <w:rFonts w:ascii="宋体" w:hAnsi="宋体" w:cs="宋体"/>
          <w:color w:val="auto"/>
          <w:sz w:val="32"/>
          <w:szCs w:val="27"/>
          <w:highlight w:val="none"/>
        </w:rPr>
      </w:pPr>
    </w:p>
    <w:p>
      <w:pPr>
        <w:pStyle w:val="85"/>
        <w:rPr>
          <w:rFonts w:ascii="宋体" w:hAnsi="宋体" w:cs="宋体"/>
          <w:color w:val="auto"/>
          <w:sz w:val="32"/>
          <w:szCs w:val="27"/>
          <w:highlight w:val="none"/>
        </w:rPr>
      </w:pPr>
    </w:p>
    <w:p>
      <w:pPr>
        <w:widowControl/>
        <w:jc w:val="left"/>
        <w:rPr>
          <w:rFonts w:ascii="宋体" w:hAnsi="宋体" w:cs="宋体"/>
          <w:b/>
          <w:color w:val="auto"/>
          <w:sz w:val="32"/>
          <w:szCs w:val="27"/>
          <w:highlight w:val="none"/>
        </w:rPr>
      </w:pPr>
      <w:r>
        <w:rPr>
          <w:rFonts w:ascii="宋体" w:hAnsi="宋体" w:cs="宋体"/>
          <w:color w:val="auto"/>
          <w:sz w:val="32"/>
          <w:szCs w:val="27"/>
          <w:highlight w:val="none"/>
        </w:rPr>
        <w:br w:type="page"/>
      </w:r>
    </w:p>
    <w:p>
      <w:pPr>
        <w:pStyle w:val="4"/>
        <w:spacing w:before="0" w:after="0" w:line="360" w:lineRule="auto"/>
        <w:rPr>
          <w:rFonts w:ascii="宋体" w:hAnsi="宋体" w:eastAsia="宋体" w:cs="宋体"/>
          <w:color w:val="auto"/>
          <w:sz w:val="24"/>
          <w:highlight w:val="none"/>
        </w:rPr>
      </w:pPr>
      <w:bookmarkStart w:id="705" w:name="_Toc132193473"/>
      <w:bookmarkStart w:id="706" w:name="_Toc17472014"/>
      <w:bookmarkStart w:id="707" w:name="_Toc17556918"/>
      <w:r>
        <w:rPr>
          <w:rFonts w:hint="eastAsia" w:ascii="宋体" w:hAnsi="宋体" w:eastAsia="宋体" w:cs="宋体"/>
          <w:color w:val="auto"/>
          <w:sz w:val="32"/>
          <w:szCs w:val="27"/>
          <w:highlight w:val="none"/>
        </w:rPr>
        <w:t>第十章 最高投标限价（招标控制价）</w:t>
      </w:r>
      <w:bookmarkEnd w:id="705"/>
      <w:bookmarkEnd w:id="706"/>
      <w:bookmarkEnd w:id="707"/>
    </w:p>
    <w:p>
      <w:pPr>
        <w:jc w:val="center"/>
        <w:rPr>
          <w:rFonts w:hint="eastAsia" w:ascii="宋体" w:hAnsi="宋体" w:eastAsia="宋体"/>
          <w:color w:val="auto"/>
          <w:highlight w:val="none"/>
          <w:lang w:eastAsia="zh-CN"/>
        </w:rPr>
      </w:pPr>
      <w:r>
        <w:rPr>
          <w:rFonts w:hint="eastAsia" w:ascii="宋体" w:hAnsi="宋体" w:cs="宋体"/>
          <w:color w:val="auto"/>
          <w:szCs w:val="21"/>
          <w:highlight w:val="none"/>
        </w:rPr>
        <w:t>（另册）</w:t>
      </w:r>
    </w:p>
    <w:p>
      <w:pPr>
        <w:rPr>
          <w:rFonts w:ascii="宋体" w:hAnsi="宋体"/>
          <w:color w:val="auto"/>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Calisto MT">
    <w:altName w:val="Segoe Print"/>
    <w:panose1 w:val="02040603050505030304"/>
    <w:charset w:val="00"/>
    <w:family w:val="roman"/>
    <w:pitch w:val="default"/>
    <w:sig w:usb0="00000000"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31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808A6"/>
    <w:multiLevelType w:val="singleLevel"/>
    <w:tmpl w:val="83C808A6"/>
    <w:lvl w:ilvl="0" w:tentative="0">
      <w:start w:val="1"/>
      <w:numFmt w:val="decimal"/>
      <w:suff w:val="nothing"/>
      <w:lvlText w:val="%1、"/>
      <w:lvlJc w:val="left"/>
    </w:lvl>
  </w:abstractNum>
  <w:abstractNum w:abstractNumId="1">
    <w:nsid w:val="E3C407D0"/>
    <w:multiLevelType w:val="singleLevel"/>
    <w:tmpl w:val="E3C407D0"/>
    <w:lvl w:ilvl="0" w:tentative="0">
      <w:start w:val="3"/>
      <w:numFmt w:val="chineseCounting"/>
      <w:suff w:val="nothing"/>
      <w:lvlText w:val="%1、"/>
      <w:lvlJc w:val="left"/>
      <w:rPr>
        <w:rFonts w:hint="eastAsia"/>
      </w:rPr>
    </w:lvl>
  </w:abstractNum>
  <w:abstractNum w:abstractNumId="2">
    <w:nsid w:val="EBE4C1D7"/>
    <w:multiLevelType w:val="singleLevel"/>
    <w:tmpl w:val="EBE4C1D7"/>
    <w:lvl w:ilvl="0" w:tentative="0">
      <w:start w:val="1"/>
      <w:numFmt w:val="decimal"/>
      <w:suff w:val="nothing"/>
      <w:lvlText w:val="%1、"/>
      <w:lvlJc w:val="left"/>
    </w:lvl>
  </w:abstractNum>
  <w:abstractNum w:abstractNumId="3">
    <w:nsid w:val="EC9AE18B"/>
    <w:multiLevelType w:val="singleLevel"/>
    <w:tmpl w:val="EC9AE18B"/>
    <w:lvl w:ilvl="0" w:tentative="0">
      <w:start w:val="6"/>
      <w:numFmt w:val="chineseCounting"/>
      <w:suff w:val="space"/>
      <w:lvlText w:val="第%1章"/>
      <w:lvlJc w:val="left"/>
      <w:rPr>
        <w:rFonts w:hint="eastAsia"/>
      </w:rPr>
    </w:lvl>
  </w:abstractNum>
  <w:abstractNum w:abstractNumId="4">
    <w:nsid w:val="21F9D1F2"/>
    <w:multiLevelType w:val="singleLevel"/>
    <w:tmpl w:val="21F9D1F2"/>
    <w:lvl w:ilvl="0" w:tentative="0">
      <w:start w:val="1"/>
      <w:numFmt w:val="decimal"/>
      <w:suff w:val="nothing"/>
      <w:lvlText w:val="%1、"/>
      <w:lvlJc w:val="left"/>
      <w:pPr>
        <w:ind w:left="120" w:firstLine="0"/>
      </w:pPr>
    </w:lvl>
  </w:abstractNum>
  <w:abstractNum w:abstractNumId="5">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37934594"/>
    <w:multiLevelType w:val="multilevel"/>
    <w:tmpl w:val="37934594"/>
    <w:lvl w:ilvl="0" w:tentative="0">
      <w:start w:val="1"/>
      <w:numFmt w:val="bullet"/>
      <w:pStyle w:val="87"/>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7">
    <w:nsid w:val="72E36885"/>
    <w:multiLevelType w:val="singleLevel"/>
    <w:tmpl w:val="72E36885"/>
    <w:lvl w:ilvl="0" w:tentative="0">
      <w:start w:val="1"/>
      <w:numFmt w:val="decimal"/>
      <w:suff w:val="nothing"/>
      <w:lvlText w:val="（%1）"/>
      <w:lvlJc w:val="left"/>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YjhkYWM5NTg4MzJkZGVhMjEzZGYwNmExYjNiYmUifQ=="/>
  </w:docVars>
  <w:rsids>
    <w:rsidRoot w:val="00160F09"/>
    <w:rsid w:val="0000012A"/>
    <w:rsid w:val="000167A0"/>
    <w:rsid w:val="0002021D"/>
    <w:rsid w:val="000254FC"/>
    <w:rsid w:val="00031243"/>
    <w:rsid w:val="000361A9"/>
    <w:rsid w:val="000C6C7A"/>
    <w:rsid w:val="001143CE"/>
    <w:rsid w:val="00160F09"/>
    <w:rsid w:val="0016212E"/>
    <w:rsid w:val="001634D2"/>
    <w:rsid w:val="001A5991"/>
    <w:rsid w:val="001C3EA0"/>
    <w:rsid w:val="0021076F"/>
    <w:rsid w:val="00221BA7"/>
    <w:rsid w:val="0031218F"/>
    <w:rsid w:val="0031487E"/>
    <w:rsid w:val="00315CDF"/>
    <w:rsid w:val="0032343E"/>
    <w:rsid w:val="003871F4"/>
    <w:rsid w:val="003A5BF3"/>
    <w:rsid w:val="003E5BD3"/>
    <w:rsid w:val="00450F52"/>
    <w:rsid w:val="00464DAE"/>
    <w:rsid w:val="004950E9"/>
    <w:rsid w:val="004A49E4"/>
    <w:rsid w:val="00526556"/>
    <w:rsid w:val="005D7101"/>
    <w:rsid w:val="005E68FB"/>
    <w:rsid w:val="006246AB"/>
    <w:rsid w:val="00662FBC"/>
    <w:rsid w:val="006A618D"/>
    <w:rsid w:val="006C7C6F"/>
    <w:rsid w:val="007259CA"/>
    <w:rsid w:val="007A274E"/>
    <w:rsid w:val="00801302"/>
    <w:rsid w:val="00843808"/>
    <w:rsid w:val="008568B2"/>
    <w:rsid w:val="00881A68"/>
    <w:rsid w:val="00890C79"/>
    <w:rsid w:val="008A09D9"/>
    <w:rsid w:val="00997CEF"/>
    <w:rsid w:val="009B3905"/>
    <w:rsid w:val="009D3E98"/>
    <w:rsid w:val="009F2258"/>
    <w:rsid w:val="009F6B1E"/>
    <w:rsid w:val="00A1121E"/>
    <w:rsid w:val="00A9473E"/>
    <w:rsid w:val="00A94B60"/>
    <w:rsid w:val="00AB4881"/>
    <w:rsid w:val="00AD3A70"/>
    <w:rsid w:val="00AF5243"/>
    <w:rsid w:val="00AF656B"/>
    <w:rsid w:val="00B420F2"/>
    <w:rsid w:val="00B50AA9"/>
    <w:rsid w:val="00B63D38"/>
    <w:rsid w:val="00B761F8"/>
    <w:rsid w:val="00C30EBA"/>
    <w:rsid w:val="00C44BA1"/>
    <w:rsid w:val="00C879A5"/>
    <w:rsid w:val="00CA2783"/>
    <w:rsid w:val="00CC0970"/>
    <w:rsid w:val="00CD75DC"/>
    <w:rsid w:val="00D07063"/>
    <w:rsid w:val="00D12730"/>
    <w:rsid w:val="00D35D77"/>
    <w:rsid w:val="00D53795"/>
    <w:rsid w:val="00D742C8"/>
    <w:rsid w:val="00E20F84"/>
    <w:rsid w:val="00E22AC2"/>
    <w:rsid w:val="00ED1DD9"/>
    <w:rsid w:val="00ED466D"/>
    <w:rsid w:val="00F15DAC"/>
    <w:rsid w:val="00F2358A"/>
    <w:rsid w:val="00F71307"/>
    <w:rsid w:val="00F76805"/>
    <w:rsid w:val="00F82599"/>
    <w:rsid w:val="00F90D17"/>
    <w:rsid w:val="00F93756"/>
    <w:rsid w:val="00FC3827"/>
    <w:rsid w:val="01311D17"/>
    <w:rsid w:val="01610122"/>
    <w:rsid w:val="017716F4"/>
    <w:rsid w:val="02B82ED1"/>
    <w:rsid w:val="04AC1785"/>
    <w:rsid w:val="052B02D5"/>
    <w:rsid w:val="063D3415"/>
    <w:rsid w:val="06515254"/>
    <w:rsid w:val="070E3817"/>
    <w:rsid w:val="0BB53545"/>
    <w:rsid w:val="0D8145D3"/>
    <w:rsid w:val="0ED977AD"/>
    <w:rsid w:val="100B7F68"/>
    <w:rsid w:val="11847F09"/>
    <w:rsid w:val="121F53A9"/>
    <w:rsid w:val="12BE1C7D"/>
    <w:rsid w:val="14FB6F76"/>
    <w:rsid w:val="1577181E"/>
    <w:rsid w:val="16534115"/>
    <w:rsid w:val="1B9260BF"/>
    <w:rsid w:val="1C4F550A"/>
    <w:rsid w:val="1DED3012"/>
    <w:rsid w:val="1F685E79"/>
    <w:rsid w:val="2129610F"/>
    <w:rsid w:val="21954DE1"/>
    <w:rsid w:val="21C676C3"/>
    <w:rsid w:val="2212586A"/>
    <w:rsid w:val="233D40F4"/>
    <w:rsid w:val="23AA196F"/>
    <w:rsid w:val="25662082"/>
    <w:rsid w:val="25E941B6"/>
    <w:rsid w:val="26030AE0"/>
    <w:rsid w:val="269D1B92"/>
    <w:rsid w:val="298962E5"/>
    <w:rsid w:val="2A213702"/>
    <w:rsid w:val="2D294739"/>
    <w:rsid w:val="2E190374"/>
    <w:rsid w:val="2E4722CA"/>
    <w:rsid w:val="2E765BDD"/>
    <w:rsid w:val="2FB507CD"/>
    <w:rsid w:val="3192385D"/>
    <w:rsid w:val="31D434C0"/>
    <w:rsid w:val="32D411B7"/>
    <w:rsid w:val="33F078F0"/>
    <w:rsid w:val="3646727E"/>
    <w:rsid w:val="385F22A8"/>
    <w:rsid w:val="387D5F09"/>
    <w:rsid w:val="38906CE8"/>
    <w:rsid w:val="389D5322"/>
    <w:rsid w:val="39E31E8C"/>
    <w:rsid w:val="3B585FAA"/>
    <w:rsid w:val="3C031ABF"/>
    <w:rsid w:val="3C5457C0"/>
    <w:rsid w:val="3C851B30"/>
    <w:rsid w:val="3CEA4454"/>
    <w:rsid w:val="3D4E28D4"/>
    <w:rsid w:val="3D7046D6"/>
    <w:rsid w:val="3DBC6665"/>
    <w:rsid w:val="3EBF1EAF"/>
    <w:rsid w:val="3FCD7223"/>
    <w:rsid w:val="3FD91506"/>
    <w:rsid w:val="3FF1639F"/>
    <w:rsid w:val="403D4AEA"/>
    <w:rsid w:val="452E70B8"/>
    <w:rsid w:val="45B87E8E"/>
    <w:rsid w:val="47C64348"/>
    <w:rsid w:val="4A7E4E2A"/>
    <w:rsid w:val="4B8E2DC1"/>
    <w:rsid w:val="4D24438D"/>
    <w:rsid w:val="4DC96400"/>
    <w:rsid w:val="4FDD5FEF"/>
    <w:rsid w:val="510D2A73"/>
    <w:rsid w:val="52313DE6"/>
    <w:rsid w:val="5323261D"/>
    <w:rsid w:val="55BD3B21"/>
    <w:rsid w:val="583848AE"/>
    <w:rsid w:val="58EF2548"/>
    <w:rsid w:val="5CDA4186"/>
    <w:rsid w:val="5D8B69B4"/>
    <w:rsid w:val="5F755226"/>
    <w:rsid w:val="604F6C39"/>
    <w:rsid w:val="616F36C2"/>
    <w:rsid w:val="621D251D"/>
    <w:rsid w:val="62F87EE8"/>
    <w:rsid w:val="63EE30B6"/>
    <w:rsid w:val="64413813"/>
    <w:rsid w:val="67342F5C"/>
    <w:rsid w:val="67F8301C"/>
    <w:rsid w:val="6C895281"/>
    <w:rsid w:val="6ED70525"/>
    <w:rsid w:val="71852264"/>
    <w:rsid w:val="723A71F6"/>
    <w:rsid w:val="772E3C80"/>
    <w:rsid w:val="7891715A"/>
    <w:rsid w:val="78AE51A2"/>
    <w:rsid w:val="7E834DEE"/>
    <w:rsid w:val="7F9E0ADD"/>
    <w:rsid w:val="7FAA409D"/>
    <w:rsid w:val="7FDA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link w:val="4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qFormat/>
    <w:uiPriority w:val="0"/>
    <w:pPr>
      <w:keepNext/>
      <w:keepLines/>
      <w:spacing w:before="260" w:after="260" w:line="415" w:lineRule="auto"/>
      <w:jc w:val="center"/>
      <w:outlineLvl w:val="1"/>
    </w:pPr>
    <w:rPr>
      <w:rFonts w:ascii="黑体" w:hAnsi="黑体" w:eastAsia="黑体"/>
      <w:sz w:val="30"/>
      <w:szCs w:val="30"/>
    </w:rPr>
  </w:style>
  <w:style w:type="paragraph" w:styleId="5">
    <w:name w:val="heading 3"/>
    <w:basedOn w:val="1"/>
    <w:next w:val="1"/>
    <w:link w:val="51"/>
    <w:qFormat/>
    <w:uiPriority w:val="9"/>
    <w:pPr>
      <w:keepNext/>
      <w:keepLines/>
      <w:spacing w:before="260" w:after="260" w:line="416" w:lineRule="auto"/>
      <w:outlineLvl w:val="2"/>
    </w:pPr>
    <w:rPr>
      <w:b/>
      <w:bCs/>
      <w:kern w:val="0"/>
      <w:sz w:val="32"/>
      <w:szCs w:val="32"/>
    </w:rPr>
  </w:style>
  <w:style w:type="paragraph" w:styleId="6">
    <w:name w:val="heading 4"/>
    <w:basedOn w:val="5"/>
    <w:next w:val="7"/>
    <w:link w:val="52"/>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8">
    <w:name w:val="heading 5"/>
    <w:basedOn w:val="6"/>
    <w:next w:val="7"/>
    <w:link w:val="53"/>
    <w:qFormat/>
    <w:uiPriority w:val="0"/>
    <w:pPr>
      <w:numPr>
        <w:ilvl w:val="4"/>
      </w:numPr>
      <w:spacing w:line="240" w:lineRule="exact"/>
      <w:outlineLvl w:val="4"/>
    </w:pPr>
  </w:style>
  <w:style w:type="paragraph" w:styleId="9">
    <w:name w:val="heading 6"/>
    <w:basedOn w:val="1"/>
    <w:next w:val="1"/>
    <w:link w:val="5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7"/>
    <w:link w:val="55"/>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11">
    <w:name w:val="heading 8"/>
    <w:basedOn w:val="1"/>
    <w:next w:val="7"/>
    <w:link w:val="56"/>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2">
    <w:name w:val="heading 9"/>
    <w:basedOn w:val="1"/>
    <w:next w:val="7"/>
    <w:link w:val="57"/>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8">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302"/>
      </w:tabs>
      <w:ind w:left="210"/>
      <w:jc w:val="left"/>
    </w:pPr>
    <w:rPr>
      <w:rFonts w:ascii="Times New Roman" w:hAnsi="Times New Roman"/>
      <w:smallCaps/>
      <w:sz w:val="20"/>
      <w:szCs w:val="20"/>
    </w:rPr>
  </w:style>
  <w:style w:type="paragraph" w:styleId="7">
    <w:name w:val="Normal Indent"/>
    <w:basedOn w:val="1"/>
    <w:unhideWhenUsed/>
    <w:qFormat/>
    <w:uiPriority w:val="0"/>
    <w:pPr>
      <w:ind w:firstLine="420" w:firstLineChars="200"/>
    </w:pPr>
  </w:style>
  <w:style w:type="paragraph" w:styleId="13">
    <w:name w:val="Document Map"/>
    <w:basedOn w:val="1"/>
    <w:link w:val="60"/>
    <w:semiHidden/>
    <w:qFormat/>
    <w:uiPriority w:val="0"/>
    <w:pPr>
      <w:shd w:val="clear" w:color="auto" w:fill="000080"/>
    </w:pPr>
    <w:rPr>
      <w:rFonts w:ascii="Times New Roman" w:hAnsi="Times New Roman"/>
      <w:kern w:val="0"/>
      <w:sz w:val="20"/>
      <w:szCs w:val="24"/>
    </w:rPr>
  </w:style>
  <w:style w:type="paragraph" w:styleId="14">
    <w:name w:val="annotation text"/>
    <w:basedOn w:val="1"/>
    <w:link w:val="61"/>
    <w:unhideWhenUsed/>
    <w:qFormat/>
    <w:uiPriority w:val="99"/>
    <w:pPr>
      <w:jc w:val="left"/>
    </w:pPr>
  </w:style>
  <w:style w:type="paragraph" w:styleId="15">
    <w:name w:val="Body Text 3"/>
    <w:basedOn w:val="1"/>
    <w:link w:val="62"/>
    <w:unhideWhenUsed/>
    <w:qFormat/>
    <w:uiPriority w:val="99"/>
    <w:pPr>
      <w:spacing w:after="120"/>
    </w:pPr>
    <w:rPr>
      <w:kern w:val="0"/>
      <w:sz w:val="16"/>
      <w:szCs w:val="16"/>
    </w:rPr>
  </w:style>
  <w:style w:type="paragraph" w:styleId="16">
    <w:name w:val="Body Text"/>
    <w:basedOn w:val="1"/>
    <w:link w:val="63"/>
    <w:unhideWhenUsed/>
    <w:qFormat/>
    <w:uiPriority w:val="0"/>
    <w:pPr>
      <w:spacing w:after="120"/>
    </w:pPr>
  </w:style>
  <w:style w:type="paragraph" w:styleId="17">
    <w:name w:val="Body Text Indent"/>
    <w:basedOn w:val="1"/>
    <w:link w:val="64"/>
    <w:qFormat/>
    <w:uiPriority w:val="0"/>
    <w:pPr>
      <w:spacing w:after="120"/>
      <w:ind w:left="420" w:leftChars="200"/>
    </w:pPr>
    <w:rPr>
      <w:rFonts w:ascii="Times New Roman" w:hAnsi="Times New Roman"/>
      <w:kern w:val="0"/>
      <w:sz w:val="20"/>
      <w:szCs w:val="24"/>
    </w:rPr>
  </w:style>
  <w:style w:type="paragraph" w:styleId="18">
    <w:name w:val="toc 3"/>
    <w:basedOn w:val="1"/>
    <w:next w:val="1"/>
    <w:unhideWhenUsed/>
    <w:qFormat/>
    <w:uiPriority w:val="39"/>
    <w:pPr>
      <w:ind w:left="840" w:leftChars="400"/>
    </w:pPr>
  </w:style>
  <w:style w:type="paragraph" w:styleId="19">
    <w:name w:val="Plain Text"/>
    <w:basedOn w:val="1"/>
    <w:link w:val="65"/>
    <w:qFormat/>
    <w:uiPriority w:val="99"/>
    <w:rPr>
      <w:rFonts w:ascii="宋体" w:hAnsi="Courier New" w:eastAsia="楷体_GB2312"/>
      <w:kern w:val="0"/>
      <w:sz w:val="20"/>
      <w:szCs w:val="24"/>
    </w:rPr>
  </w:style>
  <w:style w:type="paragraph" w:styleId="20">
    <w:name w:val="Date"/>
    <w:basedOn w:val="1"/>
    <w:next w:val="1"/>
    <w:link w:val="66"/>
    <w:qFormat/>
    <w:uiPriority w:val="0"/>
    <w:rPr>
      <w:rFonts w:ascii="Times New Roman" w:hAnsi="Times New Roman"/>
      <w:kern w:val="0"/>
      <w:sz w:val="24"/>
      <w:szCs w:val="20"/>
    </w:rPr>
  </w:style>
  <w:style w:type="paragraph" w:styleId="21">
    <w:name w:val="Body Text Indent 2"/>
    <w:basedOn w:val="1"/>
    <w:link w:val="67"/>
    <w:qFormat/>
    <w:uiPriority w:val="0"/>
    <w:pPr>
      <w:spacing w:after="120" w:line="480" w:lineRule="auto"/>
      <w:ind w:left="420" w:leftChars="200"/>
    </w:pPr>
    <w:rPr>
      <w:rFonts w:ascii="Times New Roman" w:hAnsi="Times New Roman"/>
      <w:kern w:val="0"/>
      <w:sz w:val="20"/>
      <w:szCs w:val="24"/>
    </w:rPr>
  </w:style>
  <w:style w:type="paragraph" w:styleId="22">
    <w:name w:val="endnote text"/>
    <w:basedOn w:val="1"/>
    <w:link w:val="68"/>
    <w:unhideWhenUsed/>
    <w:qFormat/>
    <w:uiPriority w:val="99"/>
    <w:pPr>
      <w:snapToGrid w:val="0"/>
      <w:jc w:val="left"/>
    </w:pPr>
  </w:style>
  <w:style w:type="paragraph" w:styleId="23">
    <w:name w:val="Balloon Text"/>
    <w:basedOn w:val="1"/>
    <w:link w:val="69"/>
    <w:unhideWhenUsed/>
    <w:qFormat/>
    <w:uiPriority w:val="99"/>
    <w:rPr>
      <w:kern w:val="0"/>
      <w:sz w:val="18"/>
      <w:szCs w:val="18"/>
    </w:rPr>
  </w:style>
  <w:style w:type="paragraph" w:styleId="24">
    <w:name w:val="footer"/>
    <w:basedOn w:val="1"/>
    <w:link w:val="59"/>
    <w:unhideWhenUsed/>
    <w:qFormat/>
    <w:uiPriority w:val="99"/>
    <w:pPr>
      <w:tabs>
        <w:tab w:val="center" w:pos="4153"/>
        <w:tab w:val="right" w:pos="8306"/>
      </w:tabs>
      <w:snapToGrid w:val="0"/>
      <w:jc w:val="left"/>
    </w:pPr>
    <w:rPr>
      <w:sz w:val="18"/>
      <w:szCs w:val="18"/>
    </w:rPr>
  </w:style>
  <w:style w:type="paragraph" w:styleId="25">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spacing w:before="120" w:after="120"/>
      <w:jc w:val="center"/>
    </w:pPr>
    <w:rPr>
      <w:rFonts w:ascii="Times New Roman" w:hAnsi="Times New Roman"/>
      <w:b/>
      <w:bCs/>
      <w:caps/>
      <w:sz w:val="24"/>
      <w:szCs w:val="24"/>
    </w:rPr>
  </w:style>
  <w:style w:type="paragraph" w:styleId="27">
    <w:name w:val="Body Text Indent 3"/>
    <w:basedOn w:val="1"/>
    <w:link w:val="70"/>
    <w:qFormat/>
    <w:uiPriority w:val="0"/>
    <w:pPr>
      <w:spacing w:after="120"/>
      <w:ind w:left="420" w:leftChars="200"/>
    </w:pPr>
    <w:rPr>
      <w:rFonts w:ascii="Times New Roman" w:hAnsi="Times New Roman"/>
      <w:kern w:val="0"/>
      <w:sz w:val="16"/>
      <w:szCs w:val="16"/>
    </w:rPr>
  </w:style>
  <w:style w:type="paragraph" w:styleId="28">
    <w:name w:val="Body Text 2"/>
    <w:basedOn w:val="1"/>
    <w:link w:val="71"/>
    <w:unhideWhenUsed/>
    <w:qFormat/>
    <w:uiPriority w:val="0"/>
    <w:rPr>
      <w:rFonts w:ascii="宋体" w:hAnsi="宋体" w:eastAsia="楷体_GB2312"/>
      <w:kern w:val="0"/>
      <w:sz w:val="20"/>
      <w:szCs w:val="24"/>
      <w:u w:val="single"/>
    </w:rPr>
  </w:style>
  <w:style w:type="paragraph" w:styleId="29">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30">
    <w:name w:val="index 1"/>
    <w:basedOn w:val="1"/>
    <w:next w:val="1"/>
    <w:semiHidden/>
    <w:qFormat/>
    <w:uiPriority w:val="0"/>
    <w:pPr>
      <w:spacing w:line="220" w:lineRule="exact"/>
      <w:jc w:val="center"/>
    </w:pPr>
    <w:rPr>
      <w:rFonts w:ascii="仿宋_GB2312" w:hAnsi="Times New Roman" w:eastAsia="仿宋_GB2312"/>
      <w:szCs w:val="21"/>
    </w:rPr>
  </w:style>
  <w:style w:type="paragraph" w:styleId="31">
    <w:name w:val="Title"/>
    <w:basedOn w:val="1"/>
    <w:link w:val="72"/>
    <w:qFormat/>
    <w:uiPriority w:val="0"/>
    <w:pPr>
      <w:spacing w:before="120" w:after="60"/>
      <w:jc w:val="center"/>
    </w:pPr>
    <w:rPr>
      <w:rFonts w:ascii="Arial" w:hAnsi="Arial" w:eastAsia="楷体_GB2312"/>
      <w:b/>
      <w:kern w:val="0"/>
      <w:sz w:val="44"/>
      <w:szCs w:val="20"/>
    </w:rPr>
  </w:style>
  <w:style w:type="paragraph" w:styleId="32">
    <w:name w:val="annotation subject"/>
    <w:basedOn w:val="14"/>
    <w:next w:val="14"/>
    <w:link w:val="73"/>
    <w:unhideWhenUsed/>
    <w:qFormat/>
    <w:uiPriority w:val="99"/>
    <w:rPr>
      <w:b/>
      <w:bCs/>
      <w:kern w:val="0"/>
      <w:sz w:val="20"/>
      <w:szCs w:val="20"/>
    </w:rPr>
  </w:style>
  <w:style w:type="paragraph" w:styleId="33">
    <w:name w:val="Body Text First Indent"/>
    <w:basedOn w:val="16"/>
    <w:link w:val="74"/>
    <w:qFormat/>
    <w:uiPriority w:val="0"/>
    <w:pPr>
      <w:ind w:firstLine="420"/>
    </w:pPr>
    <w:rPr>
      <w:rFonts w:ascii="Times New Roman" w:hAnsi="Times New Roman" w:eastAsia="楷体_GB2312"/>
      <w:kern w:val="0"/>
      <w:sz w:val="20"/>
      <w:szCs w:val="20"/>
    </w:rPr>
  </w:style>
  <w:style w:type="table" w:styleId="35">
    <w:name w:val="Table Grid"/>
    <w:basedOn w:val="3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Table Theme"/>
    <w:basedOn w:val="3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Professional"/>
    <w:basedOn w:val="34"/>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9">
    <w:name w:val="Strong"/>
    <w:qFormat/>
    <w:uiPriority w:val="22"/>
    <w:rPr>
      <w:rFonts w:eastAsia="宋体"/>
      <w:b/>
      <w:bCs/>
      <w:kern w:val="2"/>
      <w:sz w:val="24"/>
      <w:szCs w:val="24"/>
      <w:lang w:val="en-US" w:eastAsia="zh-CN" w:bidi="ar-SA"/>
    </w:rPr>
  </w:style>
  <w:style w:type="character" w:styleId="40">
    <w:name w:val="endnote reference"/>
    <w:semiHidden/>
    <w:qFormat/>
    <w:uiPriority w:val="0"/>
    <w:rPr>
      <w:rFonts w:eastAsia="宋体"/>
      <w:kern w:val="2"/>
      <w:sz w:val="24"/>
      <w:szCs w:val="24"/>
      <w:vertAlign w:val="superscript"/>
      <w:lang w:val="en-US" w:eastAsia="zh-CN" w:bidi="ar-SA"/>
    </w:rPr>
  </w:style>
  <w:style w:type="character" w:styleId="41">
    <w:name w:val="page number"/>
    <w:qFormat/>
    <w:uiPriority w:val="0"/>
    <w:rPr>
      <w:rFonts w:ascii="Arial" w:hAnsi="Arial" w:eastAsia="黑体"/>
      <w:kern w:val="2"/>
      <w:sz w:val="21"/>
      <w:szCs w:val="21"/>
      <w:lang w:val="en-US" w:eastAsia="zh-CN" w:bidi="ar-SA"/>
    </w:rPr>
  </w:style>
  <w:style w:type="character" w:styleId="42">
    <w:name w:val="FollowedHyperlink"/>
    <w:qFormat/>
    <w:uiPriority w:val="0"/>
    <w:rPr>
      <w:rFonts w:ascii="Arial" w:hAnsi="Arial" w:eastAsia="黑体"/>
      <w:color w:val="800080"/>
      <w:kern w:val="2"/>
      <w:sz w:val="21"/>
      <w:szCs w:val="21"/>
      <w:u w:val="single"/>
      <w:lang w:val="en-US" w:eastAsia="zh-CN" w:bidi="ar-SA"/>
    </w:rPr>
  </w:style>
  <w:style w:type="character" w:styleId="43">
    <w:name w:val="HTML Definition"/>
    <w:basedOn w:val="38"/>
    <w:unhideWhenUsed/>
    <w:qFormat/>
    <w:uiPriority w:val="99"/>
    <w:rPr>
      <w:i/>
    </w:rPr>
  </w:style>
  <w:style w:type="character" w:styleId="44">
    <w:name w:val="Hyperlink"/>
    <w:qFormat/>
    <w:uiPriority w:val="99"/>
    <w:rPr>
      <w:rFonts w:ascii="Arial" w:hAnsi="Arial" w:eastAsia="黑体"/>
      <w:color w:val="0000FF"/>
      <w:kern w:val="2"/>
      <w:sz w:val="21"/>
      <w:szCs w:val="21"/>
      <w:u w:val="single"/>
      <w:lang w:val="en-US" w:eastAsia="zh-CN" w:bidi="ar-SA"/>
    </w:rPr>
  </w:style>
  <w:style w:type="character" w:styleId="45">
    <w:name w:val="HTML Code"/>
    <w:basedOn w:val="38"/>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46">
    <w:name w:val="annotation reference"/>
    <w:unhideWhenUsed/>
    <w:qFormat/>
    <w:uiPriority w:val="99"/>
    <w:rPr>
      <w:sz w:val="21"/>
      <w:szCs w:val="21"/>
    </w:rPr>
  </w:style>
  <w:style w:type="character" w:styleId="47">
    <w:name w:val="HTML Keyboard"/>
    <w:basedOn w:val="38"/>
    <w:unhideWhenUsed/>
    <w:qFormat/>
    <w:uiPriority w:val="99"/>
    <w:rPr>
      <w:rFonts w:hint="default" w:ascii="Consolas" w:hAnsi="Consolas" w:eastAsia="Consolas" w:cs="Consolas"/>
      <w:color w:val="FFFFFF"/>
      <w:sz w:val="21"/>
      <w:szCs w:val="21"/>
      <w:shd w:val="clear" w:color="auto" w:fill="333333"/>
    </w:rPr>
  </w:style>
  <w:style w:type="character" w:styleId="48">
    <w:name w:val="HTML Sample"/>
    <w:basedOn w:val="38"/>
    <w:unhideWhenUsed/>
    <w:qFormat/>
    <w:uiPriority w:val="99"/>
    <w:rPr>
      <w:rFonts w:hint="default" w:ascii="Consolas" w:hAnsi="Consolas" w:eastAsia="Consolas" w:cs="Consolas"/>
      <w:sz w:val="21"/>
      <w:szCs w:val="21"/>
    </w:rPr>
  </w:style>
  <w:style w:type="character" w:customStyle="1" w:styleId="49">
    <w:name w:val="标题 1 Char"/>
    <w:basedOn w:val="38"/>
    <w:link w:val="3"/>
    <w:qFormat/>
    <w:uiPriority w:val="0"/>
    <w:rPr>
      <w:rFonts w:ascii="Calibri" w:hAnsi="Calibri" w:eastAsia="宋体" w:cs="Times New Roman"/>
      <w:b/>
      <w:bCs/>
      <w:kern w:val="44"/>
      <w:sz w:val="44"/>
      <w:szCs w:val="44"/>
    </w:rPr>
  </w:style>
  <w:style w:type="character" w:customStyle="1" w:styleId="50">
    <w:name w:val="标题 2 Char"/>
    <w:basedOn w:val="38"/>
    <w:link w:val="4"/>
    <w:qFormat/>
    <w:uiPriority w:val="0"/>
    <w:rPr>
      <w:rFonts w:ascii="黑体" w:hAnsi="黑体" w:eastAsia="黑体" w:cs="Times New Roman"/>
      <w:sz w:val="30"/>
      <w:szCs w:val="30"/>
    </w:rPr>
  </w:style>
  <w:style w:type="character" w:customStyle="1" w:styleId="51">
    <w:name w:val="标题 3 Char"/>
    <w:basedOn w:val="38"/>
    <w:link w:val="5"/>
    <w:qFormat/>
    <w:uiPriority w:val="9"/>
    <w:rPr>
      <w:rFonts w:ascii="Calibri" w:hAnsi="Calibri" w:eastAsia="宋体" w:cs="Times New Roman"/>
      <w:b/>
      <w:bCs/>
      <w:kern w:val="0"/>
      <w:sz w:val="32"/>
      <w:szCs w:val="32"/>
    </w:rPr>
  </w:style>
  <w:style w:type="character" w:customStyle="1" w:styleId="52">
    <w:name w:val="标题 4 Char"/>
    <w:basedOn w:val="38"/>
    <w:link w:val="6"/>
    <w:qFormat/>
    <w:uiPriority w:val="0"/>
    <w:rPr>
      <w:rFonts w:ascii="Arial" w:hAnsi="Arial" w:eastAsia="宋体" w:cs="Times New Roman"/>
      <w:color w:val="000000"/>
      <w:kern w:val="0"/>
      <w:sz w:val="24"/>
      <w:szCs w:val="24"/>
    </w:rPr>
  </w:style>
  <w:style w:type="character" w:customStyle="1" w:styleId="53">
    <w:name w:val="标题 5 Char"/>
    <w:basedOn w:val="38"/>
    <w:link w:val="8"/>
    <w:qFormat/>
    <w:uiPriority w:val="0"/>
    <w:rPr>
      <w:rFonts w:ascii="Arial" w:hAnsi="Arial" w:eastAsia="宋体" w:cs="Times New Roman"/>
      <w:color w:val="000000"/>
      <w:kern w:val="0"/>
      <w:sz w:val="24"/>
      <w:szCs w:val="24"/>
    </w:rPr>
  </w:style>
  <w:style w:type="character" w:customStyle="1" w:styleId="54">
    <w:name w:val="标题 6 Char"/>
    <w:basedOn w:val="38"/>
    <w:link w:val="9"/>
    <w:qFormat/>
    <w:uiPriority w:val="0"/>
    <w:rPr>
      <w:rFonts w:ascii="Arial" w:hAnsi="Arial" w:eastAsia="黑体" w:cs="Times New Roman"/>
      <w:b/>
      <w:bCs/>
      <w:kern w:val="0"/>
      <w:sz w:val="24"/>
      <w:szCs w:val="24"/>
    </w:rPr>
  </w:style>
  <w:style w:type="character" w:customStyle="1" w:styleId="55">
    <w:name w:val="标题 7 Char"/>
    <w:basedOn w:val="38"/>
    <w:link w:val="10"/>
    <w:qFormat/>
    <w:uiPriority w:val="0"/>
    <w:rPr>
      <w:rFonts w:ascii="Times New Roman" w:hAnsi="Times New Roman" w:eastAsia="宋体" w:cs="Times New Roman"/>
      <w:b/>
      <w:kern w:val="0"/>
      <w:sz w:val="24"/>
      <w:szCs w:val="20"/>
    </w:rPr>
  </w:style>
  <w:style w:type="character" w:customStyle="1" w:styleId="56">
    <w:name w:val="标题 8 Char"/>
    <w:basedOn w:val="38"/>
    <w:link w:val="11"/>
    <w:qFormat/>
    <w:uiPriority w:val="0"/>
    <w:rPr>
      <w:rFonts w:ascii="Arial" w:hAnsi="Arial" w:eastAsia="黑体" w:cs="Times New Roman"/>
      <w:kern w:val="0"/>
      <w:sz w:val="24"/>
      <w:szCs w:val="20"/>
    </w:rPr>
  </w:style>
  <w:style w:type="character" w:customStyle="1" w:styleId="57">
    <w:name w:val="标题 9 Char"/>
    <w:basedOn w:val="38"/>
    <w:link w:val="12"/>
    <w:qFormat/>
    <w:uiPriority w:val="0"/>
    <w:rPr>
      <w:rFonts w:ascii="Arial" w:hAnsi="Arial" w:eastAsia="黑体" w:cs="Times New Roman"/>
      <w:kern w:val="0"/>
      <w:sz w:val="20"/>
      <w:szCs w:val="20"/>
    </w:rPr>
  </w:style>
  <w:style w:type="character" w:customStyle="1" w:styleId="58">
    <w:name w:val="页眉 Char"/>
    <w:basedOn w:val="38"/>
    <w:link w:val="25"/>
    <w:qFormat/>
    <w:uiPriority w:val="99"/>
    <w:rPr>
      <w:rFonts w:ascii="Calibri" w:hAnsi="Calibri" w:eastAsia="宋体" w:cs="Times New Roman"/>
      <w:sz w:val="18"/>
      <w:szCs w:val="18"/>
    </w:rPr>
  </w:style>
  <w:style w:type="character" w:customStyle="1" w:styleId="59">
    <w:name w:val="页脚 Char"/>
    <w:basedOn w:val="38"/>
    <w:link w:val="24"/>
    <w:qFormat/>
    <w:uiPriority w:val="99"/>
    <w:rPr>
      <w:rFonts w:ascii="Calibri" w:hAnsi="Calibri" w:eastAsia="宋体" w:cs="Times New Roman"/>
      <w:sz w:val="18"/>
      <w:szCs w:val="18"/>
    </w:rPr>
  </w:style>
  <w:style w:type="character" w:customStyle="1" w:styleId="60">
    <w:name w:val="文档结构图 Char"/>
    <w:basedOn w:val="38"/>
    <w:link w:val="13"/>
    <w:semiHidden/>
    <w:qFormat/>
    <w:uiPriority w:val="0"/>
    <w:rPr>
      <w:rFonts w:ascii="Times New Roman" w:hAnsi="Times New Roman" w:eastAsia="宋体" w:cs="Times New Roman"/>
      <w:kern w:val="0"/>
      <w:sz w:val="20"/>
      <w:szCs w:val="24"/>
      <w:shd w:val="clear" w:color="auto" w:fill="000080"/>
    </w:rPr>
  </w:style>
  <w:style w:type="character" w:customStyle="1" w:styleId="61">
    <w:name w:val="批注文字 Char"/>
    <w:basedOn w:val="38"/>
    <w:link w:val="14"/>
    <w:qFormat/>
    <w:uiPriority w:val="99"/>
    <w:rPr>
      <w:rFonts w:ascii="Calibri" w:hAnsi="Calibri" w:eastAsia="宋体" w:cs="Times New Roman"/>
    </w:rPr>
  </w:style>
  <w:style w:type="character" w:customStyle="1" w:styleId="62">
    <w:name w:val="正文文本 3 Char"/>
    <w:basedOn w:val="38"/>
    <w:link w:val="15"/>
    <w:qFormat/>
    <w:uiPriority w:val="99"/>
    <w:rPr>
      <w:rFonts w:ascii="Calibri" w:hAnsi="Calibri" w:eastAsia="宋体" w:cs="Times New Roman"/>
      <w:kern w:val="0"/>
      <w:sz w:val="16"/>
      <w:szCs w:val="16"/>
    </w:rPr>
  </w:style>
  <w:style w:type="character" w:customStyle="1" w:styleId="63">
    <w:name w:val="正文文本 Char"/>
    <w:basedOn w:val="38"/>
    <w:link w:val="16"/>
    <w:qFormat/>
    <w:uiPriority w:val="0"/>
    <w:rPr>
      <w:rFonts w:ascii="Calibri" w:hAnsi="Calibri" w:eastAsia="宋体" w:cs="Times New Roman"/>
    </w:rPr>
  </w:style>
  <w:style w:type="character" w:customStyle="1" w:styleId="64">
    <w:name w:val="正文文本缩进 Char"/>
    <w:basedOn w:val="38"/>
    <w:link w:val="17"/>
    <w:qFormat/>
    <w:uiPriority w:val="0"/>
    <w:rPr>
      <w:rFonts w:ascii="Times New Roman" w:hAnsi="Times New Roman" w:eastAsia="宋体" w:cs="Times New Roman"/>
      <w:kern w:val="0"/>
      <w:sz w:val="20"/>
      <w:szCs w:val="24"/>
    </w:rPr>
  </w:style>
  <w:style w:type="character" w:customStyle="1" w:styleId="65">
    <w:name w:val="纯文本 Char"/>
    <w:basedOn w:val="38"/>
    <w:link w:val="19"/>
    <w:qFormat/>
    <w:uiPriority w:val="99"/>
    <w:rPr>
      <w:rFonts w:ascii="宋体" w:hAnsi="Courier New" w:eastAsia="楷体_GB2312" w:cs="Times New Roman"/>
      <w:kern w:val="0"/>
      <w:sz w:val="20"/>
      <w:szCs w:val="24"/>
    </w:rPr>
  </w:style>
  <w:style w:type="character" w:customStyle="1" w:styleId="66">
    <w:name w:val="日期 Char"/>
    <w:basedOn w:val="38"/>
    <w:link w:val="20"/>
    <w:qFormat/>
    <w:uiPriority w:val="0"/>
    <w:rPr>
      <w:rFonts w:ascii="Times New Roman" w:hAnsi="Times New Roman" w:eastAsia="宋体" w:cs="Times New Roman"/>
      <w:kern w:val="0"/>
      <w:sz w:val="24"/>
      <w:szCs w:val="20"/>
    </w:rPr>
  </w:style>
  <w:style w:type="character" w:customStyle="1" w:styleId="67">
    <w:name w:val="正文文本缩进 2 Char"/>
    <w:basedOn w:val="38"/>
    <w:link w:val="21"/>
    <w:qFormat/>
    <w:uiPriority w:val="0"/>
    <w:rPr>
      <w:rFonts w:ascii="Times New Roman" w:hAnsi="Times New Roman" w:eastAsia="宋体" w:cs="Times New Roman"/>
      <w:kern w:val="0"/>
      <w:sz w:val="20"/>
      <w:szCs w:val="24"/>
    </w:rPr>
  </w:style>
  <w:style w:type="character" w:customStyle="1" w:styleId="68">
    <w:name w:val="尾注文本 Char"/>
    <w:basedOn w:val="38"/>
    <w:link w:val="22"/>
    <w:qFormat/>
    <w:uiPriority w:val="99"/>
    <w:rPr>
      <w:rFonts w:ascii="Calibri" w:hAnsi="Calibri" w:eastAsia="宋体" w:cs="Times New Roman"/>
    </w:rPr>
  </w:style>
  <w:style w:type="character" w:customStyle="1" w:styleId="69">
    <w:name w:val="批注框文本 Char"/>
    <w:basedOn w:val="38"/>
    <w:link w:val="23"/>
    <w:qFormat/>
    <w:uiPriority w:val="99"/>
    <w:rPr>
      <w:rFonts w:ascii="Calibri" w:hAnsi="Calibri" w:eastAsia="宋体" w:cs="Times New Roman"/>
      <w:kern w:val="0"/>
      <w:sz w:val="18"/>
      <w:szCs w:val="18"/>
    </w:rPr>
  </w:style>
  <w:style w:type="character" w:customStyle="1" w:styleId="70">
    <w:name w:val="正文文本缩进 3 Char"/>
    <w:basedOn w:val="38"/>
    <w:link w:val="27"/>
    <w:qFormat/>
    <w:uiPriority w:val="0"/>
    <w:rPr>
      <w:rFonts w:ascii="Times New Roman" w:hAnsi="Times New Roman" w:eastAsia="宋体" w:cs="Times New Roman"/>
      <w:kern w:val="0"/>
      <w:sz w:val="16"/>
      <w:szCs w:val="16"/>
    </w:rPr>
  </w:style>
  <w:style w:type="character" w:customStyle="1" w:styleId="71">
    <w:name w:val="正文文本 2 Char"/>
    <w:basedOn w:val="38"/>
    <w:link w:val="28"/>
    <w:qFormat/>
    <w:uiPriority w:val="0"/>
    <w:rPr>
      <w:rFonts w:ascii="宋体" w:hAnsi="宋体" w:eastAsia="楷体_GB2312" w:cs="Times New Roman"/>
      <w:kern w:val="0"/>
      <w:sz w:val="20"/>
      <w:szCs w:val="24"/>
      <w:u w:val="single"/>
    </w:rPr>
  </w:style>
  <w:style w:type="character" w:customStyle="1" w:styleId="72">
    <w:name w:val="标题 Char"/>
    <w:basedOn w:val="38"/>
    <w:link w:val="31"/>
    <w:qFormat/>
    <w:uiPriority w:val="0"/>
    <w:rPr>
      <w:rFonts w:ascii="Arial" w:hAnsi="Arial" w:eastAsia="楷体_GB2312" w:cs="Times New Roman"/>
      <w:b/>
      <w:kern w:val="0"/>
      <w:sz w:val="44"/>
      <w:szCs w:val="20"/>
    </w:rPr>
  </w:style>
  <w:style w:type="character" w:customStyle="1" w:styleId="73">
    <w:name w:val="批注主题 Char"/>
    <w:basedOn w:val="61"/>
    <w:link w:val="32"/>
    <w:qFormat/>
    <w:uiPriority w:val="99"/>
    <w:rPr>
      <w:rFonts w:ascii="Calibri" w:hAnsi="Calibri" w:eastAsia="宋体" w:cs="Times New Roman"/>
      <w:b/>
      <w:bCs/>
      <w:kern w:val="0"/>
      <w:sz w:val="20"/>
      <w:szCs w:val="20"/>
    </w:rPr>
  </w:style>
  <w:style w:type="character" w:customStyle="1" w:styleId="74">
    <w:name w:val="正文首行缩进 Char"/>
    <w:basedOn w:val="63"/>
    <w:link w:val="33"/>
    <w:qFormat/>
    <w:uiPriority w:val="0"/>
    <w:rPr>
      <w:rFonts w:ascii="Times New Roman" w:hAnsi="Times New Roman" w:eastAsia="楷体_GB2312" w:cs="Times New Roman"/>
      <w:kern w:val="0"/>
      <w:sz w:val="20"/>
      <w:szCs w:val="20"/>
    </w:rPr>
  </w:style>
  <w:style w:type="character" w:customStyle="1" w:styleId="75">
    <w:name w:val="username"/>
    <w:basedOn w:val="38"/>
    <w:qFormat/>
    <w:uiPriority w:val="0"/>
  </w:style>
  <w:style w:type="character" w:customStyle="1" w:styleId="76">
    <w:name w:val="title26"/>
    <w:basedOn w:val="38"/>
    <w:qFormat/>
    <w:uiPriority w:val="0"/>
  </w:style>
  <w:style w:type="character" w:customStyle="1" w:styleId="77">
    <w:name w:val="font5 Char"/>
    <w:link w:val="78"/>
    <w:qFormat/>
    <w:uiPriority w:val="0"/>
    <w:rPr>
      <w:rFonts w:ascii="宋体" w:hAnsi="宋体" w:eastAsia="宋体" w:cs="Times New Roman"/>
      <w:kern w:val="0"/>
      <w:sz w:val="24"/>
      <w:szCs w:val="24"/>
    </w:rPr>
  </w:style>
  <w:style w:type="paragraph" w:customStyle="1" w:styleId="78">
    <w:name w:val="font5"/>
    <w:basedOn w:val="1"/>
    <w:link w:val="77"/>
    <w:qFormat/>
    <w:uiPriority w:val="0"/>
    <w:pPr>
      <w:widowControl/>
      <w:spacing w:before="100" w:beforeAutospacing="1" w:after="100" w:afterAutospacing="1"/>
      <w:jc w:val="left"/>
    </w:pPr>
    <w:rPr>
      <w:rFonts w:ascii="宋体" w:hAnsi="宋体"/>
      <w:kern w:val="0"/>
      <w:sz w:val="24"/>
      <w:szCs w:val="24"/>
    </w:rPr>
  </w:style>
  <w:style w:type="character" w:customStyle="1" w:styleId="79">
    <w:name w:val="font161"/>
    <w:qFormat/>
    <w:uiPriority w:val="0"/>
    <w:rPr>
      <w:rFonts w:ascii="Arial" w:hAnsi="Arial" w:eastAsia="黑体"/>
      <w:b/>
      <w:bCs/>
      <w:kern w:val="2"/>
      <w:sz w:val="32"/>
      <w:szCs w:val="32"/>
      <w:lang w:val="en-US" w:eastAsia="zh-CN" w:bidi="ar-SA"/>
    </w:rPr>
  </w:style>
  <w:style w:type="character" w:customStyle="1" w:styleId="80">
    <w:name w:val="纯文本 Char1"/>
    <w:semiHidden/>
    <w:qFormat/>
    <w:uiPriority w:val="99"/>
    <w:rPr>
      <w:rFonts w:ascii="宋体" w:hAnsi="Courier New" w:eastAsia="宋体" w:cs="Courier New"/>
      <w:szCs w:val="21"/>
    </w:rPr>
  </w:style>
  <w:style w:type="paragraph" w:customStyle="1" w:styleId="81">
    <w:name w:val="修订1"/>
    <w:semiHidden/>
    <w:qFormat/>
    <w:uiPriority w:val="99"/>
    <w:rPr>
      <w:rFonts w:ascii="Calibri" w:hAnsi="Calibri" w:eastAsia="宋体" w:cs="Times New Roman"/>
      <w:kern w:val="2"/>
      <w:sz w:val="21"/>
      <w:szCs w:val="22"/>
      <w:lang w:val="en-US" w:eastAsia="zh-CN" w:bidi="ar-SA"/>
    </w:rPr>
  </w:style>
  <w:style w:type="paragraph" w:customStyle="1" w:styleId="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3">
    <w:name w:val="发文落款"/>
    <w:basedOn w:val="82"/>
    <w:qFormat/>
    <w:uiPriority w:val="99"/>
    <w:pPr>
      <w:ind w:left="4094" w:right="607" w:firstLine="0"/>
      <w:jc w:val="center"/>
    </w:pPr>
    <w:rPr>
      <w:rFonts w:cs="仿宋_GB2312"/>
      <w:szCs w:val="32"/>
    </w:rPr>
  </w:style>
  <w:style w:type="paragraph" w:customStyle="1" w:styleId="8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5">
    <w:name w:val="样式 宋体 行距: 1.5 倍行距"/>
    <w:basedOn w:val="1"/>
    <w:qFormat/>
    <w:uiPriority w:val="0"/>
    <w:pPr>
      <w:jc w:val="center"/>
    </w:pPr>
    <w:rPr>
      <w:b/>
    </w:rPr>
  </w:style>
  <w:style w:type="paragraph" w:customStyle="1" w:styleId="86">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87">
    <w:name w:val="Char"/>
    <w:basedOn w:val="1"/>
    <w:qFormat/>
    <w:uiPriority w:val="0"/>
    <w:pPr>
      <w:numPr>
        <w:ilvl w:val="0"/>
        <w:numId w:val="2"/>
      </w:numPr>
    </w:pPr>
    <w:rPr>
      <w:rFonts w:ascii="Times New Roman" w:hAnsi="Times New Roman"/>
      <w:sz w:val="24"/>
      <w:szCs w:val="24"/>
    </w:rPr>
  </w:style>
  <w:style w:type="paragraph" w:customStyle="1" w:styleId="88">
    <w:name w:val="p0"/>
    <w:basedOn w:val="1"/>
    <w:qFormat/>
    <w:uiPriority w:val="0"/>
    <w:pPr>
      <w:widowControl/>
      <w:spacing w:before="75" w:after="75"/>
      <w:jc w:val="left"/>
    </w:pPr>
    <w:rPr>
      <w:rFonts w:ascii="宋体" w:hAnsi="宋体" w:cs="宋体"/>
      <w:kern w:val="0"/>
      <w:sz w:val="24"/>
      <w:szCs w:val="24"/>
    </w:rPr>
  </w:style>
  <w:style w:type="paragraph" w:customStyle="1" w:styleId="89">
    <w:name w:val="表格"/>
    <w:basedOn w:val="1"/>
    <w:qFormat/>
    <w:uiPriority w:val="0"/>
    <w:pPr>
      <w:jc w:val="center"/>
      <w:textAlignment w:val="center"/>
    </w:pPr>
    <w:rPr>
      <w:rFonts w:ascii="华文细黑" w:hAnsi="华文细黑"/>
      <w:kern w:val="0"/>
      <w:szCs w:val="20"/>
    </w:rPr>
  </w:style>
  <w:style w:type="paragraph" w:customStyle="1" w:styleId="90">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1">
    <w:name w:val="样式 标题 3 + (中文) 黑体 小四 非加粗 段前: 7.8 磅 段后: 0 磅 行距: 固定值 20 磅"/>
    <w:basedOn w:val="5"/>
    <w:qFormat/>
    <w:uiPriority w:val="0"/>
    <w:pPr>
      <w:spacing w:before="0" w:after="0" w:line="400" w:lineRule="exact"/>
      <w:jc w:val="left"/>
    </w:pPr>
    <w:rPr>
      <w:rFonts w:ascii="宋体" w:hAnsi="宋体" w:eastAsia="黑体" w:cs="宋体"/>
      <w:b w:val="0"/>
      <w:bCs w:val="0"/>
      <w:sz w:val="24"/>
      <w:szCs w:val="20"/>
    </w:rPr>
  </w:style>
  <w:style w:type="paragraph" w:customStyle="1" w:styleId="92">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93">
    <w:name w:val="1"/>
    <w:basedOn w:val="1"/>
    <w:qFormat/>
    <w:uiPriority w:val="0"/>
    <w:rPr>
      <w:rFonts w:ascii="Times New Roman" w:hAnsi="Times New Roman"/>
      <w:szCs w:val="24"/>
    </w:rPr>
  </w:style>
  <w:style w:type="paragraph" w:customStyle="1" w:styleId="94">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95">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9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97">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98">
    <w:name w:val="标题2"/>
    <w:basedOn w:val="4"/>
    <w:next w:val="1"/>
    <w:qFormat/>
    <w:uiPriority w:val="0"/>
    <w:pPr>
      <w:snapToGrid w:val="0"/>
      <w:spacing w:before="120" w:line="240" w:lineRule="auto"/>
      <w:jc w:val="left"/>
    </w:pPr>
    <w:rPr>
      <w:rFonts w:ascii="Arial" w:hAnsi="Arial"/>
      <w:sz w:val="21"/>
      <w:szCs w:val="21"/>
    </w:rPr>
  </w:style>
  <w:style w:type="paragraph" w:styleId="99">
    <w:name w:val="List Paragraph"/>
    <w:basedOn w:val="1"/>
    <w:qFormat/>
    <w:uiPriority w:val="34"/>
    <w:pPr>
      <w:ind w:firstLine="420" w:firstLineChars="200"/>
    </w:pPr>
  </w:style>
  <w:style w:type="paragraph" w:customStyle="1" w:styleId="100">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1">
    <w:name w:val="样式 标题 2 + Times New Roman 四号 非加粗 段前: 5 磅 段后: 0 磅 行距: 固定值 20..."/>
    <w:basedOn w:val="4"/>
    <w:qFormat/>
    <w:uiPriority w:val="0"/>
    <w:pPr>
      <w:spacing w:before="100" w:after="0"/>
    </w:pPr>
    <w:rPr>
      <w:rFonts w:ascii="Times New Roman" w:hAnsi="Times New Roman"/>
      <w:sz w:val="28"/>
      <w:szCs w:val="20"/>
    </w:rPr>
  </w:style>
  <w:style w:type="paragraph" w:customStyle="1" w:styleId="102">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4">
    <w:name w:val="BodyText"/>
    <w:basedOn w:val="1"/>
    <w:qFormat/>
    <w:uiPriority w:val="0"/>
    <w:pPr>
      <w:spacing w:after="120"/>
    </w:pPr>
    <w:rPr>
      <w:rFonts w:ascii="Times New Roman" w:hAnsi="Times New Roman"/>
      <w:kern w:val="0"/>
      <w:sz w:val="20"/>
      <w:szCs w:val="20"/>
    </w:rPr>
  </w:style>
  <w:style w:type="character" w:customStyle="1" w:styleId="105">
    <w:name w:val="s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69</Pages>
  <Words>28831</Words>
  <Characters>30658</Characters>
  <Lines>260</Lines>
  <Paragraphs>73</Paragraphs>
  <TotalTime>0</TotalTime>
  <ScaleCrop>false</ScaleCrop>
  <LinksUpToDate>false</LinksUpToDate>
  <CharactersWithSpaces>32568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2023-05-17T08:27:00Z</dcterms:created>
  <dc:creator>Admin</dc:creator>
  <cp:lastModifiedBy>徐</cp:lastModifiedBy>
  <dcterms:modified xsi:type="dcterms:W3CDTF">2023-05-26T06:58:52Z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5B3E897BAEDA48808BE0A6F409F11BC5_13</vt:lpwstr>
  </property>
</Properties>
</file>