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600" w:afterAutospacing="0" w:line="360" w:lineRule="auto"/>
        <w:ind w:left="0" w:right="0"/>
        <w:jc w:val="center"/>
        <w:rPr>
          <w:rFonts w:hint="eastAsia" w:ascii="微软雅黑" w:hAnsi="微软雅黑" w:eastAsia="微软雅黑" w:cs="微软雅黑"/>
        </w:rPr>
      </w:pPr>
      <w:r>
        <w:rPr>
          <w:rStyle w:val="8"/>
          <w:rFonts w:hint="eastAsia" w:ascii="宋体" w:hAnsi="宋体" w:eastAsia="宋体" w:cs="宋体"/>
          <w:b/>
          <w:color w:val="333333"/>
          <w:kern w:val="2"/>
          <w:sz w:val="36"/>
          <w:szCs w:val="36"/>
          <w:lang w:val="en-US" w:eastAsia="zh-CN" w:bidi="ar"/>
        </w:rPr>
        <w:t>花都区农村供水“三同五化”改造提升项目-乌石村、联星村供水改造工程市政部分施工总承包补充公告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微软雅黑" w:hAnsi="微软雅黑" w:eastAsia="微软雅黑" w:cs="微软雅黑"/>
        </w:rPr>
      </w:pPr>
      <w:r>
        <w:rPr>
          <w:rFonts w:hint="eastAsia" w:ascii="宋体" w:hAnsi="宋体" w:eastAsia="宋体" w:cs="宋体"/>
          <w:color w:val="333333"/>
          <w:kern w:val="2"/>
          <w:sz w:val="24"/>
          <w:szCs w:val="24"/>
        </w:rPr>
        <w:t>花都区农村供水“三同五化”改造提升项目-乌石村、联星村供水改造工程市政部分施工总承包（项目编号：JG2023-2641）已于2023年5月</w:t>
      </w:r>
      <w:r>
        <w:rPr>
          <w:rFonts w:hint="eastAsia" w:ascii="宋体" w:hAnsi="宋体" w:eastAsia="宋体" w:cs="宋体"/>
          <w:color w:val="333333"/>
          <w:kern w:val="2"/>
          <w:sz w:val="24"/>
          <w:szCs w:val="24"/>
          <w:lang w:val="en-US" w:eastAsia="zh-CN"/>
        </w:rPr>
        <w:t>20</w:t>
      </w:r>
      <w:r>
        <w:rPr>
          <w:rFonts w:hint="eastAsia" w:ascii="宋体" w:hAnsi="宋体" w:eastAsia="宋体" w:cs="宋体"/>
          <w:color w:val="333333"/>
          <w:kern w:val="2"/>
          <w:sz w:val="24"/>
          <w:szCs w:val="24"/>
        </w:rPr>
        <w:t>日在广州公共资源交易中心网站等媒介发布招标公告。现对原招标公告、招标文件的相关内容作修改和澄清，若原招标公告、招标文件与本重新启动招标的通知有不一致之处，以本补充公告为准。本补充公告为招标文件的一部分，请各投标单位仔细阅读，认真编制投标文件。具体如下：</w:t>
      </w:r>
    </w:p>
    <w:p>
      <w:pPr>
        <w:pStyle w:val="2"/>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宋体" w:hAnsi="宋体" w:eastAsia="宋体" w:cs="宋体"/>
          <w:color w:val="333333"/>
          <w:kern w:val="2"/>
          <w:sz w:val="24"/>
          <w:szCs w:val="24"/>
          <w:lang w:val="en-US" w:eastAsia="zh-CN"/>
        </w:rPr>
      </w:pPr>
      <w:r>
        <w:rPr>
          <w:rFonts w:hint="eastAsia" w:ascii="宋体" w:hAnsi="宋体" w:eastAsia="宋体" w:cs="宋体"/>
          <w:color w:val="333333"/>
          <w:kern w:val="2"/>
          <w:sz w:val="24"/>
          <w:szCs w:val="24"/>
          <w:lang w:val="en-US" w:eastAsia="zh-CN"/>
        </w:rPr>
        <w:t xml:space="preserve">   一、招标澄清：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eastAsiaTheme="minorEastAsia"/>
          <w:lang w:val="en-US" w:eastAsia="zh-CN"/>
        </w:rPr>
      </w:pPr>
      <w:r>
        <w:rPr>
          <w:rFonts w:hint="eastAsia" w:ascii="宋体" w:hAnsi="宋体" w:eastAsia="宋体" w:cs="宋体"/>
          <w:smallCaps w:val="0"/>
          <w:color w:val="333333"/>
          <w:kern w:val="2"/>
          <w:sz w:val="24"/>
          <w:szCs w:val="24"/>
          <w:lang w:val="en-US" w:eastAsia="zh-CN" w:bidi="ar-SA"/>
        </w:rPr>
        <w:t>1、本招标项目最高投标限价有调整，重新发布修改后最高投标限价公布函、修改后的COS文件工程量清单、修改后的施工图及GZZB电子招标文件，详见补充公告附件。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default" w:ascii="宋体" w:hAnsi="宋体" w:eastAsia="宋体" w:cs="宋体"/>
          <w:smallCaps w:val="0"/>
          <w:color w:val="333333"/>
          <w:kern w:val="2"/>
          <w:sz w:val="24"/>
          <w:szCs w:val="24"/>
          <w:lang w:val="en-US" w:eastAsia="zh-CN" w:bidi="ar-SA"/>
        </w:rPr>
      </w:pPr>
      <w:r>
        <w:rPr>
          <w:rFonts w:hint="eastAsia" w:ascii="宋体" w:hAnsi="宋体" w:eastAsia="宋体" w:cs="宋体"/>
          <w:smallCaps w:val="0"/>
          <w:color w:val="333333"/>
          <w:kern w:val="2"/>
          <w:sz w:val="24"/>
          <w:szCs w:val="24"/>
          <w:lang w:val="en-US" w:eastAsia="zh-CN" w:bidi="ar-SA"/>
        </w:rPr>
        <w:t>2、补充本招标项目的供水相关标识、仪器参考、智能水表技术要求等资料，详见补充公告附件。</w:t>
      </w:r>
    </w:p>
    <w:p>
      <w:pPr>
        <w:pStyle w:val="2"/>
        <w:keepNext w:val="0"/>
        <w:keepLines w:val="0"/>
        <w:pageBreakBefore w:val="0"/>
        <w:widowControl w:val="0"/>
        <w:kinsoku/>
        <w:wordWrap/>
        <w:overflowPunct/>
        <w:topLinePunct w:val="0"/>
        <w:autoSpaceDE/>
        <w:autoSpaceDN/>
        <w:bidi w:val="0"/>
        <w:adjustRightInd/>
        <w:snapToGrid/>
        <w:spacing w:line="360" w:lineRule="auto"/>
        <w:ind w:left="210" w:firstLine="240" w:firstLineChars="100"/>
        <w:textAlignment w:val="auto"/>
        <w:rPr>
          <w:rFonts w:hint="eastAsia" w:ascii="宋体" w:hAnsi="宋体" w:eastAsia="宋体" w:cs="宋体"/>
          <w:smallCaps w:val="0"/>
          <w:color w:val="333333"/>
          <w:kern w:val="2"/>
          <w:sz w:val="24"/>
          <w:szCs w:val="24"/>
          <w:lang w:val="en-US" w:eastAsia="zh-CN" w:bidi="ar-SA"/>
        </w:rPr>
      </w:pPr>
      <w:r>
        <w:rPr>
          <w:rFonts w:hint="eastAsia" w:ascii="宋体" w:hAnsi="宋体" w:eastAsia="宋体" w:cs="宋体"/>
          <w:smallCaps w:val="0"/>
          <w:color w:val="333333"/>
          <w:kern w:val="2"/>
          <w:sz w:val="24"/>
          <w:szCs w:val="24"/>
          <w:lang w:val="en-US" w:eastAsia="zh-CN" w:bidi="ar-SA"/>
        </w:rPr>
        <w:t>二、招标公告部分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mallCaps w:val="0"/>
          <w:color w:val="333333"/>
          <w:kern w:val="2"/>
          <w:sz w:val="24"/>
          <w:szCs w:val="24"/>
          <w:lang w:val="en-US" w:eastAsia="zh-CN" w:bidi="ar-SA"/>
        </w:rPr>
      </w:pPr>
      <w:r>
        <w:rPr>
          <w:rFonts w:hint="eastAsia" w:ascii="宋体" w:hAnsi="宋体" w:eastAsia="宋体" w:cs="宋体"/>
          <w:smallCaps w:val="0"/>
          <w:color w:val="333333"/>
          <w:kern w:val="2"/>
          <w:sz w:val="24"/>
          <w:szCs w:val="24"/>
          <w:lang w:val="en-US" w:eastAsia="zh-CN" w:bidi="ar-SA"/>
        </w:rPr>
        <w:t xml:space="preserve"> 1、第2.3条修改如下：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333333"/>
          <w:kern w:val="2"/>
          <w:sz w:val="24"/>
          <w:szCs w:val="24"/>
          <w:lang w:val="en-US" w:eastAsia="zh-CN" w:bidi="ar-SA"/>
        </w:rPr>
      </w:pPr>
      <w:r>
        <w:rPr>
          <w:rFonts w:hint="eastAsia" w:ascii="宋体" w:hAnsi="宋体" w:eastAsia="宋体" w:cs="宋体"/>
          <w:smallCaps w:val="0"/>
          <w:color w:val="333333"/>
          <w:kern w:val="2"/>
          <w:sz w:val="24"/>
          <w:szCs w:val="24"/>
          <w:lang w:val="en-US" w:eastAsia="zh-CN" w:bidi="ar-SA"/>
        </w:rPr>
        <w:t>原文：2.3本次最高投标限价（招标控制价）：10934.54万元。其中，乌石村供水改造工程市政部分最高投标限价为：8340.28万元，联星村供水改造工程市政部分最高投标限价为：2594.26万元。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宋体" w:hAnsi="宋体" w:eastAsia="宋体" w:cs="宋体"/>
          <w:smallCaps w:val="0"/>
          <w:color w:val="333333"/>
          <w:kern w:val="2"/>
          <w:sz w:val="24"/>
          <w:szCs w:val="24"/>
          <w:lang w:val="en-US" w:eastAsia="zh-CN" w:bidi="ar-SA"/>
        </w:rPr>
        <w:t>现文：2.3本次最高投标限价（招标控制价）：</w:t>
      </w:r>
      <w:r>
        <w:rPr>
          <w:rFonts w:hint="eastAsia" w:ascii="宋体" w:hAnsi="宋体" w:eastAsia="宋体" w:cs="宋体"/>
          <w:smallCaps w:val="0"/>
          <w:color w:val="333333"/>
          <w:kern w:val="2"/>
          <w:sz w:val="24"/>
          <w:szCs w:val="24"/>
          <w:u w:val="single"/>
          <w:lang w:val="en-US" w:eastAsia="zh-CN" w:bidi="ar-SA"/>
        </w:rPr>
        <w:t>102,657,076.76</w:t>
      </w:r>
      <w:r>
        <w:rPr>
          <w:rFonts w:hint="eastAsia" w:ascii="宋体" w:hAnsi="宋体" w:eastAsia="宋体" w:cs="宋体"/>
          <w:smallCaps w:val="0"/>
          <w:color w:val="333333"/>
          <w:kern w:val="2"/>
          <w:sz w:val="24"/>
          <w:szCs w:val="24"/>
          <w:lang w:val="en-US" w:eastAsia="zh-CN" w:bidi="ar-SA"/>
        </w:rPr>
        <w:t>元。其中，乌石村供水改造工程市政部分最高投标限价为：</w:t>
      </w:r>
      <w:r>
        <w:rPr>
          <w:rFonts w:hint="eastAsia" w:ascii="宋体" w:hAnsi="宋体" w:eastAsia="宋体" w:cs="宋体"/>
          <w:smallCaps w:val="0"/>
          <w:color w:val="333333"/>
          <w:kern w:val="2"/>
          <w:sz w:val="24"/>
          <w:szCs w:val="24"/>
          <w:u w:val="single"/>
          <w:lang w:val="en-US" w:eastAsia="zh-CN" w:bidi="ar-SA"/>
        </w:rPr>
        <w:t>77,430,585.08</w:t>
      </w:r>
      <w:r>
        <w:rPr>
          <w:rFonts w:hint="eastAsia" w:ascii="宋体" w:hAnsi="宋体" w:eastAsia="宋体" w:cs="宋体"/>
          <w:smallCaps w:val="0"/>
          <w:color w:val="333333"/>
          <w:kern w:val="2"/>
          <w:sz w:val="24"/>
          <w:szCs w:val="24"/>
          <w:lang w:val="en-US" w:eastAsia="zh-CN" w:bidi="ar-SA"/>
        </w:rPr>
        <w:t>元，联星村供水改造工程市政部分最高投标限价为：</w:t>
      </w:r>
      <w:r>
        <w:rPr>
          <w:rFonts w:hint="eastAsia" w:ascii="宋体" w:hAnsi="宋体" w:eastAsia="宋体" w:cs="宋体"/>
          <w:smallCaps w:val="0"/>
          <w:color w:val="333333"/>
          <w:kern w:val="2"/>
          <w:sz w:val="24"/>
          <w:szCs w:val="24"/>
          <w:u w:val="single"/>
          <w:lang w:val="en-US" w:eastAsia="zh-CN" w:bidi="ar-SA"/>
        </w:rPr>
        <w:t>25,226,491.68</w:t>
      </w:r>
      <w:r>
        <w:rPr>
          <w:rFonts w:hint="eastAsia" w:ascii="宋体" w:hAnsi="宋体" w:eastAsia="宋体" w:cs="宋体"/>
          <w:smallCaps w:val="0"/>
          <w:color w:val="333333"/>
          <w:kern w:val="2"/>
          <w:sz w:val="24"/>
          <w:szCs w:val="24"/>
          <w:lang w:val="en-US" w:eastAsia="zh-CN" w:bidi="ar-SA"/>
        </w:rPr>
        <w:t>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333333"/>
          <w:kern w:val="2"/>
          <w:sz w:val="24"/>
          <w:szCs w:val="24"/>
          <w:lang w:val="en-US" w:eastAsia="zh-CN"/>
        </w:rPr>
      </w:pPr>
      <w:r>
        <w:rPr>
          <w:rFonts w:hint="eastAsia" w:ascii="宋体" w:hAnsi="宋体" w:eastAsia="宋体" w:cs="宋体"/>
          <w:color w:val="333333"/>
          <w:kern w:val="2"/>
          <w:sz w:val="24"/>
          <w:szCs w:val="24"/>
          <w:lang w:val="en-US" w:eastAsia="zh-CN"/>
        </w:rPr>
        <w:t>三、招标文件部分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333333"/>
          <w:kern w:val="2"/>
          <w:sz w:val="24"/>
          <w:szCs w:val="24"/>
        </w:rPr>
      </w:pPr>
      <w:r>
        <w:rPr>
          <w:rFonts w:hint="eastAsia" w:ascii="宋体" w:hAnsi="宋体" w:eastAsia="宋体" w:cs="宋体"/>
          <w:color w:val="333333"/>
          <w:kern w:val="2"/>
          <w:sz w:val="24"/>
          <w:szCs w:val="24"/>
          <w:lang w:val="en-US" w:eastAsia="zh-CN"/>
        </w:rPr>
        <w:t>1、第二章投标人须知前附表3.2.3、3.2.4进行修改如下：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bCs/>
          <w:color w:val="333333"/>
          <w:kern w:val="2"/>
          <w:sz w:val="24"/>
          <w:szCs w:val="24"/>
          <w:lang w:val="en-US" w:eastAsia="zh-CN" w:bidi="ar"/>
        </w:rPr>
      </w:pPr>
      <w:r>
        <w:rPr>
          <w:rFonts w:hint="eastAsia" w:ascii="宋体" w:hAnsi="宋体" w:eastAsia="宋体" w:cs="宋体"/>
          <w:bCs/>
          <w:color w:val="333333"/>
          <w:kern w:val="2"/>
          <w:sz w:val="24"/>
          <w:szCs w:val="24"/>
          <w:lang w:val="en-US" w:eastAsia="zh-CN" w:bidi="ar"/>
        </w:rPr>
        <w:t>原文：</w:t>
      </w:r>
    </w:p>
    <w:tbl>
      <w:tblPr>
        <w:tblStyle w:val="6"/>
        <w:tblW w:w="0" w:type="auto"/>
        <w:tblInd w:w="0" w:type="dxa"/>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contextualSpacing/>
              <w:rPr>
                <w:rFonts w:ascii="宋体" w:hAnsi="宋体" w:cs="宋体"/>
                <w:color w:val="auto"/>
                <w:szCs w:val="21"/>
                <w:highlight w:val="none"/>
              </w:rPr>
            </w:pPr>
            <w:r>
              <w:rPr>
                <w:rFonts w:hint="eastAsia" w:ascii="宋体" w:hAnsi="宋体"/>
                <w:color w:val="auto"/>
                <w:szCs w:val="21"/>
                <w:highlight w:val="none"/>
              </w:rPr>
              <w:t>本</w:t>
            </w:r>
            <w:r>
              <w:rPr>
                <w:rFonts w:hint="eastAsia" w:ascii="宋体" w:hAnsi="宋体" w:cs="宋体"/>
                <w:color w:val="auto"/>
                <w:szCs w:val="21"/>
                <w:highlight w:val="none"/>
              </w:rPr>
              <w:t>工程最高投标限价为人民币</w:t>
            </w:r>
            <w:r>
              <w:rPr>
                <w:rFonts w:hint="eastAsia" w:ascii="宋体" w:hAnsi="宋体" w:cs="宋体"/>
                <w:color w:val="auto"/>
                <w:szCs w:val="21"/>
                <w:highlight w:val="none"/>
                <w:u w:val="single"/>
              </w:rPr>
              <w:t>10934.54</w:t>
            </w:r>
            <w:r>
              <w:rPr>
                <w:rFonts w:hint="eastAsia" w:ascii="宋体" w:hAnsi="宋体" w:cs="宋体"/>
                <w:color w:val="auto"/>
                <w:szCs w:val="21"/>
                <w:highlight w:val="none"/>
              </w:rPr>
              <w:t>万元</w:t>
            </w:r>
          </w:p>
          <w:p>
            <w:pPr>
              <w:spacing w:beforeLines="50"/>
              <w:contextualSpacing/>
              <w:rPr>
                <w:color w:val="auto"/>
                <w:highlight w:val="none"/>
              </w:rPr>
            </w:pPr>
            <w:r>
              <w:rPr>
                <w:rFonts w:hint="eastAsia" w:ascii="宋体" w:hAnsi="宋体" w:cs="宋体"/>
                <w:color w:val="auto"/>
                <w:szCs w:val="21"/>
                <w:highlight w:val="none"/>
              </w:rPr>
              <w:t>其他详见招标控制价公布函，投标总价超过最高投标限价的投标文件将被拒绝。</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rPr>
            </w:pPr>
            <w:r>
              <w:rPr>
                <w:rFonts w:hint="eastAsia" w:ascii="宋体" w:hAnsi="宋体" w:cs="宋体"/>
                <w:color w:val="auto"/>
                <w:szCs w:val="21"/>
                <w:highlight w:val="none"/>
              </w:rPr>
              <w:t>成本警示价为</w:t>
            </w:r>
            <w:r>
              <w:rPr>
                <w:rFonts w:hint="eastAsia" w:ascii="宋体" w:hAnsi="宋体" w:cs="宋体"/>
                <w:color w:val="auto"/>
                <w:szCs w:val="21"/>
                <w:highlight w:val="none"/>
                <w:u w:val="single"/>
              </w:rPr>
              <w:t>9841.086万</w:t>
            </w:r>
            <w:r>
              <w:rPr>
                <w:rFonts w:hint="eastAsia" w:ascii="宋体" w:hAnsi="宋体" w:cs="宋体"/>
                <w:color w:val="auto"/>
                <w:szCs w:val="21"/>
                <w:highlight w:val="none"/>
              </w:rPr>
              <w:t>元。</w:t>
            </w:r>
          </w:p>
          <w:p>
            <w:pPr>
              <w:contextualSpacing/>
              <w:rPr>
                <w:rFonts w:ascii="宋体" w:hAnsi="宋体" w:cs="宋体"/>
                <w:color w:val="auto"/>
                <w:szCs w:val="21"/>
                <w:highlight w:val="none"/>
              </w:rPr>
            </w:pPr>
            <w:r>
              <w:rPr>
                <w:rFonts w:hint="eastAsia" w:ascii="宋体" w:hAnsi="宋体" w:cs="宋体"/>
                <w:color w:val="auto"/>
                <w:szCs w:val="21"/>
                <w:highlight w:val="none"/>
                <w:u w:val="single"/>
              </w:rPr>
              <w:t>（最高投标限价的 90% 设置为成本警示价）</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bCs/>
          <w:color w:val="333333"/>
          <w:kern w:val="2"/>
          <w:sz w:val="24"/>
          <w:szCs w:val="24"/>
          <w:lang w:val="en-US" w:eastAsia="zh-CN" w:bidi="ar"/>
        </w:rPr>
      </w:pPr>
      <w:r>
        <w:rPr>
          <w:rFonts w:hint="eastAsia" w:ascii="宋体" w:hAnsi="宋体" w:eastAsia="宋体" w:cs="宋体"/>
          <w:bCs/>
          <w:color w:val="333333"/>
          <w:kern w:val="2"/>
          <w:sz w:val="24"/>
          <w:szCs w:val="24"/>
          <w:lang w:val="en-US" w:eastAsia="zh-CN" w:bidi="ar"/>
        </w:rPr>
        <w:t>现文：</w:t>
      </w:r>
    </w:p>
    <w:tbl>
      <w:tblPr>
        <w:tblStyle w:val="6"/>
        <w:tblW w:w="0" w:type="auto"/>
        <w:tblInd w:w="0" w:type="dxa"/>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hint="eastAsia" w:ascii="宋体" w:hAnsi="宋体" w:cs="宋体"/>
                <w:color w:val="000000" w:themeColor="text1"/>
                <w:szCs w:val="21"/>
                <w14:textFill>
                  <w14:solidFill>
                    <w14:schemeClr w14:val="tx1"/>
                  </w14:solidFill>
                </w14:textFill>
              </w:rPr>
              <w:t>工程最高投标限价为人民币</w:t>
            </w:r>
            <w:r>
              <w:rPr>
                <w:rFonts w:hint="eastAsia" w:ascii="宋体" w:hAnsi="宋体" w:cs="宋体"/>
                <w:color w:val="000000" w:themeColor="text1"/>
                <w:szCs w:val="21"/>
                <w:u w:val="single"/>
                <w:lang w:val="en-US" w:eastAsia="zh-CN"/>
                <w14:textFill>
                  <w14:solidFill>
                    <w14:schemeClr w14:val="tx1"/>
                  </w14:solidFill>
                </w14:textFill>
              </w:rPr>
              <w:t>102,657,076.76</w:t>
            </w:r>
            <w:r>
              <w:rPr>
                <w:rFonts w:hint="eastAsia" w:ascii="宋体" w:hAnsi="宋体" w:cs="宋体"/>
                <w:color w:val="000000" w:themeColor="text1"/>
                <w:szCs w:val="21"/>
                <w14:textFill>
                  <w14:solidFill>
                    <w14:schemeClr w14:val="tx1"/>
                  </w14:solidFill>
                </w14:textFill>
              </w:rPr>
              <w:t>元</w:t>
            </w:r>
          </w:p>
          <w:p>
            <w:pPr>
              <w:spacing w:before="120" w:beforeLines="50"/>
              <w:contextualSpacing/>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本工程投标总价应包含按费率计算的绿色施工安全防护措施费、余泥渣土场外运输</w:t>
            </w:r>
            <w:r>
              <w:rPr>
                <w:rFonts w:hint="eastAsia" w:ascii="宋体" w:hAnsi="宋体" w:cs="宋体"/>
                <w:color w:val="000000" w:themeColor="text1"/>
                <w:szCs w:val="21"/>
                <w:u w:val="single"/>
                <w:lang w:val="en-US" w:eastAsia="zh-CN"/>
                <w14:textFill>
                  <w14:solidFill>
                    <w14:schemeClr w14:val="tx1"/>
                  </w14:solidFill>
                </w14:textFill>
              </w:rPr>
              <w:t>费、</w:t>
            </w:r>
            <w:r>
              <w:rPr>
                <w:rFonts w:hint="eastAsia" w:ascii="宋体" w:hAnsi="宋体" w:cs="宋体"/>
                <w:color w:val="000000" w:themeColor="text1"/>
                <w:szCs w:val="21"/>
                <w:u w:val="single"/>
                <w14:textFill>
                  <w14:solidFill>
                    <w14:schemeClr w14:val="tx1"/>
                  </w14:solidFill>
                </w14:textFill>
              </w:rPr>
              <w:t>余泥渣土消纳费、暂列金额等非竞争性费用。本工程非竞争性费用总额为</w:t>
            </w:r>
            <w:r>
              <w:rPr>
                <w:rFonts w:hint="eastAsia" w:ascii="宋体" w:hAnsi="宋体" w:cs="宋体"/>
                <w:color w:val="000000" w:themeColor="text1"/>
                <w:szCs w:val="21"/>
                <w:u w:val="single"/>
                <w:lang w:val="en-US" w:eastAsia="zh-CN"/>
                <w14:textFill>
                  <w14:solidFill>
                    <w14:schemeClr w14:val="tx1"/>
                  </w14:solidFill>
                </w14:textFill>
              </w:rPr>
              <w:t xml:space="preserve"> 18,054,703.09</w:t>
            </w:r>
            <w:r>
              <w:rPr>
                <w:rFonts w:hint="eastAsia" w:ascii="宋体" w:hAnsi="宋体" w:cs="宋体"/>
                <w:color w:val="000000" w:themeColor="text1"/>
                <w:szCs w:val="21"/>
                <w:u w:val="single"/>
                <w14:textFill>
                  <w14:solidFill>
                    <w14:schemeClr w14:val="tx1"/>
                  </w14:solidFill>
                </w14:textFill>
              </w:rPr>
              <w:t>元，其中按费率计算的绿色施工安全防护措施费</w:t>
            </w:r>
            <w:r>
              <w:rPr>
                <w:rFonts w:hint="eastAsia" w:ascii="宋体" w:hAnsi="宋体" w:cs="宋体"/>
                <w:color w:val="000000" w:themeColor="text1"/>
                <w:szCs w:val="21"/>
                <w:u w:val="single"/>
                <w:lang w:val="en-US" w:eastAsia="zh-CN"/>
                <w14:textFill>
                  <w14:solidFill>
                    <w14:schemeClr w14:val="tx1"/>
                  </w14:solidFill>
                </w14:textFill>
              </w:rPr>
              <w:t>3,215,998.56</w:t>
            </w:r>
            <w:r>
              <w:rPr>
                <w:rFonts w:hint="eastAsia" w:ascii="宋体" w:hAnsi="宋体" w:cs="宋体"/>
                <w:color w:val="000000" w:themeColor="text1"/>
                <w:szCs w:val="21"/>
                <w:u w:val="single"/>
                <w14:textFill>
                  <w14:solidFill>
                    <w14:schemeClr w14:val="tx1"/>
                  </w14:solidFill>
                </w14:textFill>
              </w:rPr>
              <w:t>元，余泥渣土场外运输费</w:t>
            </w:r>
            <w:r>
              <w:rPr>
                <w:rFonts w:hint="eastAsia" w:ascii="宋体" w:hAnsi="宋体" w:cs="宋体"/>
                <w:color w:val="000000" w:themeColor="text1"/>
                <w:szCs w:val="21"/>
                <w:u w:val="single"/>
                <w:lang w:val="en-US" w:eastAsia="zh-CN"/>
                <w14:textFill>
                  <w14:solidFill>
                    <w14:schemeClr w14:val="tx1"/>
                  </w14:solidFill>
                </w14:textFill>
              </w:rPr>
              <w:t>3,495,327.98</w:t>
            </w:r>
            <w:r>
              <w:rPr>
                <w:rFonts w:hint="eastAsia" w:ascii="宋体" w:hAnsi="宋体" w:cs="宋体"/>
                <w:color w:val="000000" w:themeColor="text1"/>
                <w:szCs w:val="21"/>
                <w:u w:val="single"/>
                <w14:textFill>
                  <w14:solidFill>
                    <w14:schemeClr w14:val="tx1"/>
                  </w14:solidFill>
                </w14:textFill>
              </w:rPr>
              <w:t>元，余泥渣土消纳费</w:t>
            </w:r>
            <w:r>
              <w:rPr>
                <w:rFonts w:hint="eastAsia" w:ascii="宋体" w:hAnsi="宋体" w:cs="宋体"/>
                <w:color w:val="000000" w:themeColor="text1"/>
                <w:szCs w:val="21"/>
                <w:u w:val="single"/>
                <w:lang w:val="en-US" w:eastAsia="zh-CN"/>
                <w14:textFill>
                  <w14:solidFill>
                    <w14:schemeClr w14:val="tx1"/>
                  </w14:solidFill>
                </w14:textFill>
              </w:rPr>
              <w:t>1,142,350.49</w:t>
            </w:r>
            <w:r>
              <w:rPr>
                <w:rFonts w:hint="eastAsia" w:ascii="宋体" w:hAnsi="宋体" w:cs="宋体"/>
                <w:color w:val="000000" w:themeColor="text1"/>
                <w:szCs w:val="21"/>
                <w:u w:val="single"/>
                <w14:textFill>
                  <w14:solidFill>
                    <w14:schemeClr w14:val="tx1"/>
                  </w14:solidFill>
                </w14:textFill>
              </w:rPr>
              <w:t>元，暂列金额</w:t>
            </w:r>
            <w:r>
              <w:rPr>
                <w:rFonts w:hint="eastAsia" w:ascii="宋体" w:hAnsi="宋体" w:cs="宋体"/>
                <w:color w:val="000000" w:themeColor="text1"/>
                <w:szCs w:val="21"/>
                <w:u w:val="single"/>
                <w:lang w:val="en-US" w:eastAsia="zh-CN"/>
                <w14:textFill>
                  <w14:solidFill>
                    <w14:schemeClr w14:val="tx1"/>
                  </w14:solidFill>
                </w14:textFill>
              </w:rPr>
              <w:t>7,451,026.06</w:t>
            </w:r>
            <w:r>
              <w:rPr>
                <w:rFonts w:hint="eastAsia" w:ascii="宋体" w:hAnsi="宋体" w:cs="宋体"/>
                <w:color w:val="000000" w:themeColor="text1"/>
                <w:szCs w:val="21"/>
                <w:u w:val="single"/>
                <w14:textFill>
                  <w14:solidFill>
                    <w14:schemeClr w14:val="tx1"/>
                  </w14:solidFill>
                </w14:textFill>
              </w:rPr>
              <w:t>元</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专业暂估价2,750,000.00元</w:t>
            </w:r>
            <w:r>
              <w:rPr>
                <w:rFonts w:hint="eastAsia" w:ascii="宋体" w:hAnsi="宋体" w:cs="宋体"/>
                <w:color w:val="000000" w:themeColor="text1"/>
                <w:szCs w:val="21"/>
                <w:u w:val="single"/>
                <w14:textFill>
                  <w14:solidFill>
                    <w14:schemeClr w14:val="tx1"/>
                  </w14:solidFill>
                </w14:textFill>
              </w:rPr>
              <w:t>。</w:t>
            </w:r>
          </w:p>
          <w:p>
            <w:pPr>
              <w:spacing w:beforeLines="50"/>
              <w:contextualSpacing/>
              <w:rPr>
                <w:color w:val="auto"/>
                <w:highlight w:val="none"/>
              </w:rPr>
            </w:pPr>
            <w:r>
              <w:rPr>
                <w:rFonts w:hint="eastAsia" w:ascii="宋体" w:hAnsi="宋体" w:cs="宋体"/>
                <w:color w:val="000000" w:themeColor="text1"/>
                <w:szCs w:val="21"/>
                <w14:textFill>
                  <w14:solidFill>
                    <w14:schemeClr w14:val="tx1"/>
                  </w14:solidFill>
                </w14:textFill>
              </w:rPr>
              <w:t>其他详见招标控制价公布函，投标总价超过最高投标限价的投标文件将被拒绝。</w:t>
            </w:r>
          </w:p>
        </w:tc>
      </w:tr>
      <w:tr>
        <w:tblPrEx>
          <w:tblCellMar>
            <w:top w:w="0" w:type="dxa"/>
            <w:left w:w="108" w:type="dxa"/>
            <w:bottom w:w="0" w:type="dxa"/>
            <w:right w:w="108" w:type="dxa"/>
          </w:tblCellMar>
        </w:tblPrEx>
        <w:trPr>
          <w:trHeight w:val="56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contextualSpacing/>
              <w:jc w:val="left"/>
              <w:rPr>
                <w:rFonts w:ascii="宋体" w:hAnsi="宋体" w:cs="宋体"/>
                <w:color w:val="auto"/>
                <w:szCs w:val="21"/>
                <w:highlight w:val="none"/>
              </w:rPr>
            </w:pPr>
            <w:r>
              <w:rPr>
                <w:rFonts w:hint="eastAsia" w:ascii="宋体" w:hAnsi="宋体" w:cs="宋体"/>
                <w:color w:val="auto"/>
                <w:szCs w:val="21"/>
                <w:highlight w:val="none"/>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contextualSpacing/>
              <w:rPr>
                <w:rFonts w:ascii="宋体" w:hAnsi="宋体" w:cs="宋体"/>
                <w:color w:val="auto"/>
                <w:szCs w:val="21"/>
                <w:highlight w:val="none"/>
              </w:rPr>
            </w:pPr>
            <w:r>
              <w:rPr>
                <w:rFonts w:hint="eastAsia" w:ascii="宋体" w:hAnsi="宋体" w:cs="宋体"/>
                <w:color w:val="auto"/>
                <w:szCs w:val="21"/>
                <w:highlight w:val="none"/>
              </w:rPr>
              <w:t>成本警示价为</w:t>
            </w:r>
            <w:r>
              <w:rPr>
                <w:rFonts w:hint="eastAsia" w:ascii="宋体" w:hAnsi="宋体" w:cs="宋体"/>
                <w:color w:val="auto"/>
                <w:szCs w:val="21"/>
                <w:highlight w:val="none"/>
                <w:u w:val="single"/>
                <w:lang w:val="en-US" w:eastAsia="zh-CN"/>
              </w:rPr>
              <w:t>92,391,369.08</w:t>
            </w:r>
            <w:r>
              <w:rPr>
                <w:rFonts w:hint="eastAsia" w:ascii="宋体" w:hAnsi="宋体" w:cs="宋体"/>
                <w:color w:val="auto"/>
                <w:szCs w:val="21"/>
                <w:highlight w:val="none"/>
              </w:rPr>
              <w:t>元。</w:t>
            </w:r>
          </w:p>
          <w:p>
            <w:pPr>
              <w:contextualSpacing/>
              <w:rPr>
                <w:rFonts w:ascii="宋体" w:hAnsi="宋体" w:cs="宋体"/>
                <w:color w:val="auto"/>
                <w:szCs w:val="21"/>
                <w:highlight w:val="none"/>
              </w:rPr>
            </w:pPr>
            <w:r>
              <w:rPr>
                <w:rFonts w:hint="eastAsia" w:ascii="宋体" w:hAnsi="宋体" w:cs="宋体"/>
                <w:color w:val="auto"/>
                <w:szCs w:val="21"/>
                <w:highlight w:val="none"/>
                <w:u w:val="single"/>
              </w:rPr>
              <w:t>（最高投标限价的 90% 设置为成本警示价）</w:t>
            </w:r>
          </w:p>
        </w:tc>
      </w:tr>
    </w:tbl>
    <w:p>
      <w:pPr>
        <w:pStyle w:val="2"/>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jc w:val="both"/>
        <w:textAlignment w:val="auto"/>
        <w:rPr>
          <w:rFonts w:hint="eastAsia" w:ascii="宋体" w:hAnsi="宋体" w:eastAsia="宋体" w:cs="宋体"/>
          <w:bCs/>
          <w:color w:val="333333"/>
          <w:kern w:val="2"/>
          <w:sz w:val="24"/>
          <w:szCs w:val="24"/>
          <w:lang w:val="en-US" w:eastAsia="zh-CN" w:bidi="ar"/>
        </w:rPr>
      </w:pPr>
      <w:r>
        <w:rPr>
          <w:rFonts w:hint="eastAsia" w:ascii="宋体" w:hAnsi="宋体" w:eastAsia="宋体" w:cs="宋体"/>
          <w:bCs/>
          <w:color w:val="333333"/>
          <w:kern w:val="2"/>
          <w:sz w:val="24"/>
          <w:szCs w:val="24"/>
          <w:lang w:val="en-US" w:eastAsia="zh-CN" w:bidi="ar"/>
        </w:rPr>
        <w:t>2、第三章评标及定标办法详细评审内容修改如下：</w:t>
      </w:r>
    </w:p>
    <w:p>
      <w:pPr>
        <w:pStyle w:val="2"/>
        <w:rPr>
          <w:rFonts w:hint="default"/>
          <w:sz w:val="24"/>
          <w:szCs w:val="24"/>
          <w:lang w:val="en-US" w:eastAsia="zh-CN"/>
        </w:rPr>
      </w:pPr>
      <w:r>
        <w:rPr>
          <w:rFonts w:hint="eastAsia"/>
          <w:sz w:val="24"/>
          <w:szCs w:val="24"/>
          <w:lang w:val="en-US" w:eastAsia="zh-CN"/>
        </w:rPr>
        <w:t>现文：</w:t>
      </w:r>
    </w:p>
    <w:tbl>
      <w:tblPr>
        <w:tblStyle w:val="6"/>
        <w:tblW w:w="9179" w:type="dxa"/>
        <w:tblInd w:w="-25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00"/>
        <w:gridCol w:w="1214"/>
        <w:gridCol w:w="1549"/>
        <w:gridCol w:w="54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tcBorders>
              <w:top w:val="nil"/>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c>
          <w:tcPr>
            <w:tcW w:w="27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详细评审</w:t>
            </w:r>
          </w:p>
        </w:tc>
        <w:tc>
          <w:tcPr>
            <w:tcW w:w="5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tcBorders>
              <w:top w:val="nil"/>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条款号</w:t>
            </w:r>
          </w:p>
        </w:tc>
        <w:tc>
          <w:tcPr>
            <w:tcW w:w="27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评分因素</w:t>
            </w:r>
          </w:p>
        </w:tc>
        <w:tc>
          <w:tcPr>
            <w:tcW w:w="5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36" w:hRule="atLeast"/>
        </w:trPr>
        <w:tc>
          <w:tcPr>
            <w:tcW w:w="1000" w:type="dxa"/>
            <w:vMerge w:val="restart"/>
            <w:tcBorders>
              <w:left w:val="single" w:color="auto" w:sz="4" w:space="0"/>
              <w:right w:val="single" w:color="auto" w:sz="4" w:space="0"/>
            </w:tcBorders>
            <w:vAlign w:val="center"/>
          </w:tcPr>
          <w:p>
            <w:pPr>
              <w:jc w:val="center"/>
              <w:rPr>
                <w:rFonts w:ascii="宋体" w:hAnsi="宋体"/>
                <w:color w:val="auto"/>
                <w:szCs w:val="21"/>
                <w:highlight w:val="none"/>
              </w:rPr>
            </w:pPr>
          </w:p>
        </w:tc>
        <w:tc>
          <w:tcPr>
            <w:tcW w:w="1214" w:type="dxa"/>
            <w:vMerge w:val="restart"/>
            <w:tcBorders>
              <w:left w:val="nil"/>
              <w:right w:val="single" w:color="auto" w:sz="4" w:space="0"/>
            </w:tcBorders>
            <w:vAlign w:val="center"/>
          </w:tcPr>
          <w:p>
            <w:pPr>
              <w:widowControl/>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w:t>
            </w:r>
          </w:p>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（100*权重）</w:t>
            </w: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top w:val="single" w:color="auto" w:sz="4" w:space="0"/>
              <w:left w:val="single" w:color="auto" w:sz="4" w:space="0"/>
              <w:right w:val="single" w:color="auto" w:sz="4" w:space="0"/>
            </w:tcBorders>
            <w:shd w:val="clear" w:color="auto" w:fill="FFFFFF" w:themeFill="background1"/>
            <w:vAlign w:val="center"/>
          </w:tcPr>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有质量管理目标、质量管理体系、质量保证措施</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20</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有质量管理目标，有质量管理体系或质量保证措施</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18</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仅有质量管理目标</w:t>
            </w:r>
            <w:r>
              <w:rPr>
                <w:rFonts w:hint="eastAsia" w:ascii="宋体" w:hAnsi="宋体" w:cs="宋体"/>
                <w:color w:val="auto"/>
                <w:szCs w:val="21"/>
                <w:highlight w:val="none"/>
                <w:lang w:val="en-US" w:eastAsia="zh-CN"/>
              </w:rPr>
              <w:t>的</w:t>
            </w:r>
            <w:r>
              <w:rPr>
                <w:rFonts w:hint="default"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16</w:t>
            </w:r>
            <w:r>
              <w:rPr>
                <w:rFonts w:hint="default" w:ascii="宋体" w:hAnsi="宋体" w:eastAsia="宋体" w:cs="宋体"/>
                <w:color w:val="auto"/>
                <w:szCs w:val="21"/>
                <w:highlight w:val="none"/>
                <w:lang w:val="en-US" w:eastAsia="zh-CN"/>
              </w:rPr>
              <w:t>分。</w:t>
            </w:r>
          </w:p>
          <w:p>
            <w:pPr>
              <w:autoSpaceDE w:val="0"/>
              <w:autoSpaceDN w:val="0"/>
              <w:adjustRightIn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8" w:hRule="atLeast"/>
        </w:trPr>
        <w:tc>
          <w:tcPr>
            <w:tcW w:w="1000" w:type="dxa"/>
            <w:vMerge w:val="continue"/>
            <w:tcBorders>
              <w:left w:val="single" w:color="auto" w:sz="4" w:space="0"/>
              <w:right w:val="single" w:color="auto" w:sz="4" w:space="0"/>
            </w:tcBorders>
            <w:vAlign w:val="center"/>
          </w:tcPr>
          <w:p>
            <w:pPr>
              <w:jc w:val="center"/>
              <w:rPr>
                <w:color w:val="auto"/>
                <w:highlight w:val="none"/>
              </w:rPr>
            </w:pPr>
          </w:p>
        </w:tc>
        <w:tc>
          <w:tcPr>
            <w:tcW w:w="1214" w:type="dxa"/>
            <w:vMerge w:val="continue"/>
            <w:tcBorders>
              <w:left w:val="nil"/>
              <w:right w:val="single" w:color="auto" w:sz="4" w:space="0"/>
            </w:tcBorders>
            <w:vAlign w:val="center"/>
          </w:tcPr>
          <w:p>
            <w:pPr>
              <w:jc w:val="center"/>
              <w:rPr>
                <w:color w:val="auto"/>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安全管理体系与措施（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color w:val="auto"/>
                <w:highlight w:val="none"/>
              </w:rPr>
            </w:pPr>
            <w:r>
              <w:rPr>
                <w:rFonts w:hint="eastAsia"/>
                <w:color w:val="auto"/>
                <w:highlight w:val="none"/>
              </w:rPr>
              <w:t>有安全文明施工目标、安全文明施工管理体系、安全文明施工保证措施</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20</w:t>
            </w:r>
            <w:r>
              <w:rPr>
                <w:rFonts w:hint="eastAsia"/>
                <w:color w:val="auto"/>
                <w:highlight w:val="none"/>
              </w:rPr>
              <w:t>分。</w:t>
            </w:r>
          </w:p>
          <w:p>
            <w:pPr>
              <w:jc w:val="left"/>
              <w:rPr>
                <w:rFonts w:hint="eastAsia"/>
                <w:color w:val="auto"/>
                <w:highlight w:val="none"/>
              </w:rPr>
            </w:pPr>
            <w:r>
              <w:rPr>
                <w:rFonts w:hint="eastAsia"/>
                <w:color w:val="auto"/>
                <w:highlight w:val="none"/>
              </w:rPr>
              <w:t>有安全文明施工目标，有安全文明施工管理体系或安全文明施工保证措施</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18</w:t>
            </w:r>
            <w:r>
              <w:rPr>
                <w:rFonts w:hint="eastAsia"/>
                <w:color w:val="auto"/>
                <w:highlight w:val="none"/>
              </w:rPr>
              <w:t>分。</w:t>
            </w:r>
          </w:p>
          <w:p>
            <w:pPr>
              <w:jc w:val="left"/>
              <w:rPr>
                <w:rFonts w:hint="eastAsia"/>
                <w:color w:val="auto"/>
                <w:highlight w:val="none"/>
              </w:rPr>
            </w:pPr>
            <w:r>
              <w:rPr>
                <w:rFonts w:hint="eastAsia"/>
                <w:color w:val="auto"/>
                <w:highlight w:val="none"/>
              </w:rPr>
              <w:t>仅有安全文明施工目标</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16</w:t>
            </w:r>
            <w:r>
              <w:rPr>
                <w:rFonts w:hint="eastAsia"/>
                <w:color w:val="auto"/>
                <w:highlight w:val="none"/>
              </w:rPr>
              <w:t>分。</w:t>
            </w:r>
          </w:p>
          <w:p>
            <w:pPr>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8" w:hRule="atLeast"/>
        </w:trPr>
        <w:tc>
          <w:tcPr>
            <w:tcW w:w="1000" w:type="dxa"/>
            <w:vMerge w:val="continue"/>
            <w:tcBorders>
              <w:left w:val="single" w:color="auto" w:sz="4" w:space="0"/>
              <w:right w:val="single" w:color="auto" w:sz="4" w:space="0"/>
            </w:tcBorders>
            <w:vAlign w:val="center"/>
          </w:tcPr>
          <w:p>
            <w:pPr>
              <w:jc w:val="center"/>
              <w:rPr>
                <w:rFonts w:hint="eastAsia" w:ascii="宋体" w:hAnsi="宋体" w:cs="宋体"/>
                <w:color w:val="auto"/>
                <w:szCs w:val="21"/>
                <w:highlight w:val="none"/>
              </w:rPr>
            </w:pPr>
          </w:p>
        </w:tc>
        <w:tc>
          <w:tcPr>
            <w:tcW w:w="1214" w:type="dxa"/>
            <w:vMerge w:val="continue"/>
            <w:tcBorders>
              <w:left w:val="nil"/>
              <w:right w:val="single" w:color="auto" w:sz="4" w:space="0"/>
            </w:tcBorders>
            <w:vAlign w:val="center"/>
          </w:tcPr>
          <w:p>
            <w:pPr>
              <w:jc w:val="center"/>
              <w:rPr>
                <w:rFonts w:hint="eastAsia"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环境保护管理体系与措施（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有绿色节能控制措施、有在材料消耗、环境保护方面的控制措施，且承诺使用绿色生产达标企业生产的混凝土</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有绿色节能控制措施、有在材料消耗、环境保护方面的控制措施</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仅</w:t>
            </w:r>
            <w:r>
              <w:rPr>
                <w:rFonts w:hint="eastAsia" w:ascii="宋体" w:hAnsi="宋体" w:cs="宋体"/>
                <w:color w:val="auto"/>
                <w:kern w:val="0"/>
                <w:szCs w:val="21"/>
                <w:highlight w:val="none"/>
              </w:rPr>
              <w:t>有绿色节能控制措施</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5" w:hRule="atLeast"/>
        </w:trPr>
        <w:tc>
          <w:tcPr>
            <w:tcW w:w="1000" w:type="dxa"/>
            <w:vMerge w:val="continue"/>
            <w:tcBorders>
              <w:left w:val="single" w:color="auto" w:sz="4" w:space="0"/>
              <w:right w:val="single" w:color="auto" w:sz="4" w:space="0"/>
            </w:tcBorders>
            <w:vAlign w:val="center"/>
          </w:tcPr>
          <w:p>
            <w:pPr>
              <w:jc w:val="center"/>
              <w:rPr>
                <w:rFonts w:hint="eastAsia" w:ascii="宋体" w:hAnsi="宋体" w:cs="宋体"/>
                <w:color w:val="auto"/>
                <w:szCs w:val="21"/>
                <w:highlight w:val="none"/>
              </w:rPr>
            </w:pPr>
          </w:p>
        </w:tc>
        <w:tc>
          <w:tcPr>
            <w:tcW w:w="1214" w:type="dxa"/>
            <w:vMerge w:val="continue"/>
            <w:tcBorders>
              <w:left w:val="nil"/>
              <w:right w:val="single" w:color="auto" w:sz="4" w:space="0"/>
            </w:tcBorders>
            <w:vAlign w:val="center"/>
          </w:tcPr>
          <w:p>
            <w:pPr>
              <w:jc w:val="center"/>
              <w:rPr>
                <w:rFonts w:hint="eastAsia"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工程建设进度计划与措施（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right w:val="single" w:color="auto" w:sz="4" w:space="0"/>
            </w:tcBorders>
            <w:shd w:val="clear" w:color="auto" w:fill="FFFFFF" w:themeFill="background1"/>
            <w:vAlign w:val="center"/>
          </w:tcPr>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有提供施工进度计划，有施工工期保证措施，有总工期计划目标</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对比招标文件要求提前5天或以上完工</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有提供施工进度计划及施工工期保证措施，总工期计划目标</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对比招标文件要求提前1至4天完工</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18</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有提供施工进度计划，总工期计划目标符合招标文件要求</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16</w:t>
            </w:r>
            <w:r>
              <w:rPr>
                <w:rFonts w:hint="eastAsia" w:ascii="宋体" w:hAnsi="宋体" w:eastAsia="宋体" w:cs="宋体"/>
                <w:color w:val="auto"/>
                <w:kern w:val="0"/>
                <w:sz w:val="21"/>
                <w:szCs w:val="21"/>
                <w:highlight w:val="none"/>
                <w:lang w:val="en-US" w:eastAsia="zh-CN" w:bidi="ar-SA"/>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不满足以上三种情况，不得分。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5" w:hRule="atLeast"/>
        </w:trPr>
        <w:tc>
          <w:tcPr>
            <w:tcW w:w="1000" w:type="dxa"/>
            <w:vMerge w:val="continue"/>
            <w:tcBorders>
              <w:left w:val="single" w:color="auto" w:sz="4" w:space="0"/>
              <w:right w:val="single" w:color="auto" w:sz="4" w:space="0"/>
            </w:tcBorders>
            <w:vAlign w:val="center"/>
          </w:tcPr>
          <w:p>
            <w:pPr>
              <w:jc w:val="center"/>
              <w:rPr>
                <w:color w:val="auto"/>
                <w:highlight w:val="none"/>
              </w:rPr>
            </w:pPr>
            <w:bookmarkStart w:id="0" w:name="_GoBack" w:colFirst="3" w:colLast="3"/>
          </w:p>
        </w:tc>
        <w:tc>
          <w:tcPr>
            <w:tcW w:w="1214" w:type="dxa"/>
            <w:vMerge w:val="continue"/>
            <w:tcBorders>
              <w:left w:val="nil"/>
              <w:right w:val="single" w:color="auto" w:sz="4" w:space="0"/>
            </w:tcBorders>
            <w:vAlign w:val="center"/>
          </w:tcPr>
          <w:p>
            <w:pPr>
              <w:jc w:val="center"/>
              <w:rPr>
                <w:color w:val="auto"/>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416" w:type="dxa"/>
            <w:tcBorders>
              <w:left w:val="single" w:color="auto" w:sz="4" w:space="0"/>
              <w:bottom w:val="single" w:color="auto" w:sz="4" w:space="0"/>
              <w:right w:val="single" w:color="auto" w:sz="4" w:space="0"/>
            </w:tcBorders>
            <w:shd w:val="clear" w:color="auto" w:fill="FFFFFF" w:themeFill="background1"/>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根据工程需要，配备齐全、计划合理可行。各投标人横向比较打分： </w:t>
            </w:r>
          </w:p>
          <w:p>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【优】得20分，【良】得18分，【一般】得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6分，无计划的不得分。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lang w:val="en-US" w:eastAsia="zh-CN"/>
              </w:rPr>
              <w:t>2</w:t>
            </w:r>
            <w:r>
              <w:rPr>
                <w:rFonts w:ascii="宋体" w:hAnsi="宋体"/>
                <w:color w:val="auto"/>
                <w:szCs w:val="21"/>
                <w:highlight w:val="none"/>
              </w:rPr>
              <w:t>)</w:t>
            </w:r>
          </w:p>
          <w:p>
            <w:pPr>
              <w:rPr>
                <w:rFonts w:ascii="宋体" w:hAnsi="宋体"/>
                <w:color w:val="auto"/>
                <w:szCs w:val="21"/>
                <w:highlight w:val="none"/>
              </w:rPr>
            </w:pPr>
          </w:p>
        </w:tc>
        <w:tc>
          <w:tcPr>
            <w:tcW w:w="1214" w:type="dxa"/>
            <w:vMerge w:val="restart"/>
            <w:tcBorders>
              <w:top w:val="single" w:color="auto" w:sz="4" w:space="0"/>
              <w:left w:val="nil"/>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商务</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w:t>
            </w:r>
          </w:p>
          <w:p>
            <w:pPr>
              <w:jc w:val="center"/>
              <w:rPr>
                <w:rFonts w:ascii="宋体" w:hAnsi="宋体" w:cs="宋体"/>
                <w:color w:val="auto"/>
                <w:szCs w:val="21"/>
                <w:highlight w:val="none"/>
              </w:rPr>
            </w:pPr>
            <w:r>
              <w:rPr>
                <w:rFonts w:hint="eastAsia" w:ascii="宋体" w:hAnsi="宋体" w:cs="宋体"/>
                <w:color w:val="auto"/>
                <w:kern w:val="0"/>
                <w:szCs w:val="21"/>
                <w:highlight w:val="none"/>
              </w:rPr>
              <w:t>（100*权重）</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ind w:left="13" w:left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项目负责人的任职资格</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经验</w:t>
            </w:r>
            <w:r>
              <w:rPr>
                <w:rFonts w:hint="eastAsia" w:ascii="宋体" w:hAnsi="宋体" w:cs="宋体"/>
                <w:color w:val="auto"/>
                <w:kern w:val="0"/>
                <w:szCs w:val="21"/>
                <w:highlight w:val="none"/>
                <w:lang w:val="en-US" w:eastAsia="zh-CN"/>
              </w:rPr>
              <w:t>及业绩</w:t>
            </w:r>
            <w:r>
              <w:rPr>
                <w:rFonts w:hint="eastAsia" w:ascii="宋体" w:hAnsi="宋体"/>
                <w:color w:val="auto"/>
                <w:szCs w:val="21"/>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pStyle w:val="3"/>
              <w:spacing w:before="0" w:after="0" w:line="240" w:lineRule="auto"/>
              <w:rPr>
                <w:sz w:val="21"/>
                <w:szCs w:val="21"/>
                <w:highlight w:val="none"/>
              </w:rPr>
            </w:pPr>
            <w:r>
              <w:rPr>
                <w:rFonts w:hint="eastAsia" w:ascii="宋体" w:hAnsi="宋体" w:cs="宋体"/>
                <w:b w:val="0"/>
                <w:bCs w:val="0"/>
                <w:color w:val="auto"/>
                <w:sz w:val="21"/>
                <w:szCs w:val="21"/>
                <w:highlight w:val="none"/>
              </w:rPr>
              <w:t>1、工作经验</w:t>
            </w:r>
            <w:r>
              <w:rPr>
                <w:rFonts w:hint="eastAsia" w:ascii="宋体" w:hAnsi="宋体"/>
                <w:b w:val="0"/>
                <w:bCs w:val="0"/>
                <w:color w:val="auto"/>
                <w:sz w:val="21"/>
                <w:szCs w:val="21"/>
                <w:highlight w:val="none"/>
              </w:rPr>
              <w:t>10年以上（不含）的得</w:t>
            </w:r>
            <w:r>
              <w:rPr>
                <w:rFonts w:hint="eastAsia" w:ascii="宋体" w:hAnsi="宋体"/>
                <w:b w:val="0"/>
                <w:bCs w:val="0"/>
                <w:color w:val="auto"/>
                <w:sz w:val="21"/>
                <w:szCs w:val="21"/>
                <w:highlight w:val="none"/>
                <w:lang w:val="en-US" w:eastAsia="zh-CN"/>
              </w:rPr>
              <w:t>9.5</w:t>
            </w:r>
            <w:r>
              <w:rPr>
                <w:rFonts w:hint="eastAsia" w:ascii="宋体" w:hAnsi="宋体"/>
                <w:b w:val="0"/>
                <w:bCs w:val="0"/>
                <w:color w:val="auto"/>
                <w:sz w:val="21"/>
                <w:szCs w:val="21"/>
                <w:highlight w:val="none"/>
              </w:rPr>
              <w:t>分； 5-10年的得</w:t>
            </w: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分；1-4年的得</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分。（</w:t>
            </w:r>
            <w:r>
              <w:rPr>
                <w:rFonts w:hint="eastAsia" w:ascii="宋体" w:hAnsi="宋体"/>
                <w:b w:val="0"/>
                <w:bCs w:val="0"/>
                <w:color w:val="auto"/>
                <w:sz w:val="21"/>
                <w:szCs w:val="21"/>
                <w:highlight w:val="none"/>
                <w:u w:val="single"/>
              </w:rPr>
              <w:t>工作经验年限从毕业证书的核发时间起计</w:t>
            </w:r>
            <w:r>
              <w:rPr>
                <w:rFonts w:hint="eastAsia" w:ascii="宋体" w:hAnsi="宋体"/>
                <w:b w:val="0"/>
                <w:bCs w:val="0"/>
                <w:color w:val="auto"/>
                <w:sz w:val="21"/>
                <w:szCs w:val="21"/>
                <w:highlight w:val="none"/>
              </w:rPr>
              <w:t>）</w:t>
            </w:r>
          </w:p>
          <w:p>
            <w:pPr>
              <w:pStyle w:val="3"/>
              <w:spacing w:before="0" w:after="0" w:line="240" w:lineRule="auto"/>
              <w:rPr>
                <w:rFonts w:hint="eastAsia" w:ascii="宋体" w:hAnsi="宋体" w:cs="宋体" w:eastAsia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b w:val="0"/>
                <w:bCs w:val="0"/>
                <w:color w:val="000000"/>
                <w:sz w:val="21"/>
                <w:szCs w:val="21"/>
                <w:highlight w:val="none"/>
                <w:lang w:bidi="ar"/>
              </w:rPr>
              <w:t>项目负责人负责过市政公用工程施工业绩的得0.5分，最高得0.5分。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本小项最高得10分。</w:t>
            </w:r>
          </w:p>
          <w:p>
            <w:pPr>
              <w:pStyle w:val="3"/>
              <w:spacing w:before="0" w:after="0" w:line="240" w:lineRule="auto"/>
              <w:rPr>
                <w:rFonts w:hint="eastAsia" w:ascii="宋体" w:hAnsi="宋体" w:cs="Times New Roman" w:eastAsiaTheme="minorEastAsia"/>
                <w:b w:val="0"/>
                <w:bCs w:val="0"/>
                <w:color w:val="auto"/>
                <w:kern w:val="44"/>
                <w:sz w:val="21"/>
                <w:szCs w:val="21"/>
                <w:highlight w:val="none"/>
                <w:lang w:val="en-US" w:eastAsia="zh-CN" w:bidi="ar-SA"/>
              </w:rPr>
            </w:pPr>
            <w:r>
              <w:rPr>
                <w:rFonts w:hint="eastAsia" w:ascii="宋体" w:hAnsi="宋体" w:cs="宋体"/>
                <w:b w:val="0"/>
                <w:bCs w:val="0"/>
                <w:color w:val="auto"/>
                <w:sz w:val="21"/>
                <w:szCs w:val="21"/>
                <w:highlight w:val="none"/>
              </w:rPr>
              <w:t>注：①需提供毕业证扫描件</w:t>
            </w:r>
            <w:r>
              <w:rPr>
                <w:rFonts w:hint="eastAsia" w:ascii="宋体" w:hAnsi="宋体" w:cs="宋体"/>
                <w:b w:val="0"/>
                <w:bCs w:val="0"/>
                <w:color w:val="auto"/>
                <w:sz w:val="21"/>
                <w:szCs w:val="21"/>
                <w:highlight w:val="none"/>
                <w:lang w:eastAsia="zh-CN"/>
              </w:rPr>
              <w:t>、</w:t>
            </w:r>
            <w:r>
              <w:rPr>
                <w:rFonts w:hint="eastAsia" w:ascii="宋体" w:hAnsi="宋体"/>
                <w:b w:val="0"/>
                <w:bCs w:val="0"/>
                <w:color w:val="000000"/>
                <w:sz w:val="21"/>
                <w:szCs w:val="21"/>
                <w:highlight w:val="none"/>
                <w:lang w:bidi="ar"/>
              </w:rPr>
              <w:t>近1个月本单位的社保证明资料扫描件</w:t>
            </w:r>
            <w:r>
              <w:rPr>
                <w:rFonts w:hint="eastAsia" w:ascii="宋体" w:hAnsi="宋体"/>
                <w:b w:val="0"/>
                <w:bCs w:val="0"/>
                <w:color w:val="000000"/>
                <w:sz w:val="21"/>
                <w:szCs w:val="21"/>
                <w:highlight w:val="none"/>
                <w:lang w:eastAsia="zh-CN" w:bidi="ar"/>
              </w:rPr>
              <w:t>；</w:t>
            </w:r>
            <w:r>
              <w:rPr>
                <w:rFonts w:hint="eastAsia" w:ascii="宋体" w:hAnsi="宋体"/>
                <w:b w:val="0"/>
                <w:bCs w:val="0"/>
                <w:color w:val="000000"/>
                <w:sz w:val="21"/>
                <w:szCs w:val="21"/>
                <w:highlight w:val="none"/>
                <w:lang w:bidi="ar"/>
              </w:rPr>
              <w:t>②业绩证明材料可提供中标通知书或免招标证明或合同关键页等资料加盖单位电子印章，如上述资料无法体现项目技术负责人业绩经历的，可另行提供投标人自行出具职务任命书或承诺书等材料（任命书、承诺书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214" w:type="dxa"/>
            <w:vMerge w:val="continue"/>
            <w:tcBorders>
              <w:left w:val="nil"/>
              <w:right w:val="single" w:color="auto" w:sz="4" w:space="0"/>
            </w:tcBorders>
            <w:vAlign w:val="center"/>
          </w:tcPr>
          <w:p>
            <w:pP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ind w:left="13" w:left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项目技术负责人的任职资格</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经验</w:t>
            </w:r>
            <w:r>
              <w:rPr>
                <w:rFonts w:hint="eastAsia" w:ascii="宋体" w:hAnsi="宋体" w:cs="宋体"/>
                <w:color w:val="auto"/>
                <w:kern w:val="0"/>
                <w:szCs w:val="21"/>
                <w:highlight w:val="none"/>
                <w:lang w:val="en-US" w:eastAsia="zh-CN"/>
              </w:rPr>
              <w:t>及业绩</w:t>
            </w:r>
            <w:r>
              <w:rPr>
                <w:rFonts w:hint="eastAsia" w:ascii="宋体" w:hAnsi="宋体"/>
                <w:color w:val="auto"/>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1、具有高级工程师职称的，得5分；具有中级工程师职称的，得2分；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2、工作经验</w:t>
            </w:r>
            <w:r>
              <w:rPr>
                <w:rFonts w:hint="eastAsia" w:ascii="宋体" w:hAnsi="宋体"/>
                <w:b w:val="0"/>
                <w:bCs w:val="0"/>
                <w:color w:val="auto"/>
                <w:sz w:val="21"/>
                <w:szCs w:val="21"/>
                <w:highlight w:val="none"/>
              </w:rPr>
              <w:t>10年以上（不含）的得</w:t>
            </w:r>
            <w:r>
              <w:rPr>
                <w:rFonts w:hint="eastAsia" w:ascii="宋体" w:hAnsi="宋体"/>
                <w:b w:val="0"/>
                <w:bCs w:val="0"/>
                <w:color w:val="auto"/>
                <w:sz w:val="21"/>
                <w:szCs w:val="21"/>
                <w:highlight w:val="none"/>
                <w:lang w:val="en-US" w:eastAsia="zh-CN"/>
              </w:rPr>
              <w:t>4.5</w:t>
            </w:r>
            <w:r>
              <w:rPr>
                <w:rFonts w:hint="eastAsia" w:ascii="宋体" w:hAnsi="宋体"/>
                <w:b w:val="0"/>
                <w:bCs w:val="0"/>
                <w:color w:val="auto"/>
                <w:sz w:val="21"/>
                <w:szCs w:val="21"/>
                <w:highlight w:val="none"/>
              </w:rPr>
              <w:t>分； 5-10年的得3分；1-4年的得1分。（</w:t>
            </w:r>
            <w:r>
              <w:rPr>
                <w:rFonts w:hint="eastAsia" w:ascii="宋体" w:hAnsi="宋体"/>
                <w:b w:val="0"/>
                <w:bCs w:val="0"/>
                <w:color w:val="auto"/>
                <w:sz w:val="21"/>
                <w:szCs w:val="21"/>
                <w:highlight w:val="none"/>
                <w:u w:val="single"/>
              </w:rPr>
              <w:t>工作经验年限从毕业证书的核发时间起计</w:t>
            </w:r>
            <w:r>
              <w:rPr>
                <w:rFonts w:hint="eastAsia" w:ascii="宋体" w:hAnsi="宋体"/>
                <w:b w:val="0"/>
                <w:bCs w:val="0"/>
                <w:color w:val="auto"/>
                <w:sz w:val="21"/>
                <w:szCs w:val="21"/>
                <w:highlight w:val="none"/>
              </w:rPr>
              <w:t>）</w:t>
            </w:r>
          </w:p>
          <w:p>
            <w:pPr>
              <w:pStyle w:val="3"/>
              <w:spacing w:before="0" w:after="0" w:line="240" w:lineRule="auto"/>
              <w:rPr>
                <w:rFonts w:hint="eastAsia" w:ascii="宋体" w:hAnsi="宋体" w:cs="宋体" w:eastAsia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b w:val="0"/>
                <w:bCs w:val="0"/>
                <w:color w:val="auto"/>
                <w:sz w:val="21"/>
                <w:szCs w:val="21"/>
                <w:highlight w:val="none"/>
              </w:rPr>
              <w:t>项目技术负责人负责过市政公用工程施工业绩的得0.5分，最高得0.5分。</w:t>
            </w:r>
          </w:p>
          <w:p>
            <w:pPr>
              <w:pStyle w:val="3"/>
              <w:spacing w:before="0" w:after="0" w:line="24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本小项最高得10分。</w:t>
            </w:r>
          </w:p>
          <w:p>
            <w:pPr>
              <w:rPr>
                <w:rFonts w:hint="eastAsia" w:ascii="宋体" w:hAnsi="宋体" w:cs="宋体" w:eastAsiaTheme="minorEastAsia"/>
                <w:b w:val="0"/>
                <w:bCs w:val="0"/>
                <w:color w:val="auto"/>
                <w:kern w:val="0"/>
                <w:sz w:val="21"/>
                <w:szCs w:val="21"/>
                <w:highlight w:val="none"/>
                <w:lang w:val="en-US" w:eastAsia="zh-CN" w:bidi="ar-SA"/>
              </w:rPr>
            </w:pPr>
            <w:r>
              <w:rPr>
                <w:rFonts w:hint="eastAsia" w:ascii="宋体" w:hAnsi="宋体" w:cs="宋体"/>
                <w:b w:val="0"/>
                <w:bCs w:val="0"/>
                <w:color w:val="auto"/>
                <w:szCs w:val="21"/>
                <w:highlight w:val="none"/>
              </w:rPr>
              <w:t>注：</w:t>
            </w:r>
            <w:r>
              <w:rPr>
                <w:rFonts w:hint="eastAsia" w:ascii="宋体" w:hAnsi="宋体" w:cs="宋体"/>
                <w:b w:val="0"/>
                <w:bCs w:val="0"/>
                <w:color w:val="auto"/>
                <w:sz w:val="21"/>
                <w:szCs w:val="21"/>
                <w:highlight w:val="none"/>
              </w:rPr>
              <w:t>①</w:t>
            </w:r>
            <w:r>
              <w:rPr>
                <w:rFonts w:hint="eastAsia" w:ascii="宋体" w:hAnsi="宋体" w:cs="宋体"/>
                <w:b w:val="0"/>
                <w:bCs w:val="0"/>
                <w:color w:val="auto"/>
                <w:szCs w:val="21"/>
                <w:highlight w:val="none"/>
              </w:rPr>
              <w:t>需提供职称证、毕业证扫描件</w:t>
            </w:r>
            <w:r>
              <w:rPr>
                <w:rFonts w:hint="eastAsia" w:ascii="宋体" w:hAnsi="宋体" w:cs="宋体"/>
                <w:b w:val="0"/>
                <w:bCs w:val="0"/>
                <w:color w:val="auto"/>
                <w:szCs w:val="21"/>
                <w:highlight w:val="none"/>
                <w:lang w:eastAsia="zh-CN"/>
              </w:rPr>
              <w:t>、</w:t>
            </w:r>
            <w:r>
              <w:rPr>
                <w:rFonts w:hint="eastAsia" w:ascii="宋体" w:hAnsi="宋体"/>
                <w:b w:val="0"/>
                <w:bCs w:val="0"/>
                <w:color w:val="000000"/>
                <w:sz w:val="21"/>
                <w:szCs w:val="21"/>
                <w:highlight w:val="none"/>
                <w:lang w:bidi="ar"/>
              </w:rPr>
              <w:t>近1个月本单位的社保证明资料扫描件</w:t>
            </w:r>
            <w:r>
              <w:rPr>
                <w:rFonts w:hint="eastAsia" w:ascii="宋体" w:hAnsi="宋体" w:cs="宋体"/>
                <w:b w:val="0"/>
                <w:bCs w:val="0"/>
                <w:color w:val="auto"/>
                <w:szCs w:val="21"/>
                <w:highlight w:val="none"/>
                <w:lang w:eastAsia="zh-CN"/>
              </w:rPr>
              <w:t>；</w:t>
            </w:r>
            <w:r>
              <w:rPr>
                <w:rFonts w:hint="eastAsia" w:ascii="宋体" w:hAnsi="宋体"/>
                <w:b w:val="0"/>
                <w:bCs w:val="0"/>
                <w:color w:val="000000"/>
                <w:sz w:val="21"/>
                <w:szCs w:val="21"/>
                <w:highlight w:val="none"/>
                <w:lang w:bidi="ar"/>
              </w:rPr>
              <w:t>②业绩证明材料可提供中标通知书或免招标证明或合同关键页等资料加盖单位电子印章，如上述资料无法体现项目技术负责人业绩经历的，可另行提供投标人自行出具职务任命书或承诺书等材料（任命书、承诺书格式自拟）。</w:t>
            </w:r>
          </w:p>
        </w:tc>
      </w:tr>
      <w:bookmarkEnd w:id="0"/>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2" w:hRule="atLeast"/>
        </w:trPr>
        <w:tc>
          <w:tcPr>
            <w:tcW w:w="1000"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214" w:type="dxa"/>
            <w:vMerge w:val="continue"/>
            <w:tcBorders>
              <w:left w:val="nil"/>
              <w:right w:val="single" w:color="auto" w:sz="4" w:space="0"/>
            </w:tcBorders>
            <w:vAlign w:val="center"/>
          </w:tcPr>
          <w:p>
            <w:pP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ind w:left="13"/>
              <w:rPr>
                <w:rFonts w:ascii="宋体" w:hAnsi="宋体" w:cs="宋体"/>
                <w:color w:val="auto"/>
                <w:kern w:val="0"/>
                <w:szCs w:val="21"/>
                <w:highlight w:val="none"/>
              </w:rPr>
            </w:pPr>
            <w:r>
              <w:rPr>
                <w:rFonts w:hint="eastAsia" w:ascii="宋体" w:hAnsi="宋体" w:cs="宋体"/>
                <w:color w:val="auto"/>
                <w:kern w:val="0"/>
                <w:szCs w:val="21"/>
                <w:highlight w:val="none"/>
              </w:rPr>
              <w:t>项目组织机构及管理人员</w:t>
            </w:r>
            <w:r>
              <w:rPr>
                <w:rFonts w:hint="eastAsia" w:ascii="宋体" w:hAnsi="宋体"/>
                <w:color w:val="auto"/>
                <w:highlight w:val="none"/>
              </w:rPr>
              <w:t>（10分）</w:t>
            </w:r>
          </w:p>
        </w:tc>
        <w:tc>
          <w:tcPr>
            <w:tcW w:w="54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安全负责人：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2、造价负责人：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3、质量负责人：</w:t>
            </w:r>
            <w:r>
              <w:rPr>
                <w:rFonts w:hint="eastAsia" w:ascii="宋体" w:hAnsi="宋体" w:cs="宋体"/>
                <w:color w:val="auto"/>
                <w:sz w:val="21"/>
                <w:szCs w:val="21"/>
                <w:highlight w:val="none"/>
              </w:rPr>
              <w:t>具有中级</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工程师职称的，得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注：需提供职称证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投标截止时间最近一个月（时间为：2023年4月）在本单位交纳的社保证明文件。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214" w:type="dxa"/>
            <w:vMerge w:val="continue"/>
            <w:tcBorders>
              <w:left w:val="nil"/>
              <w:right w:val="single" w:color="auto" w:sz="4" w:space="0"/>
            </w:tcBorders>
            <w:vAlign w:val="center"/>
          </w:tcPr>
          <w:p>
            <w:pP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s="宋体"/>
                <w:color w:val="auto"/>
                <w:kern w:val="0"/>
                <w:szCs w:val="21"/>
                <w:highlight w:val="none"/>
              </w:rPr>
              <w:t>企业获奖（30分）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自2019年1月1日至投标文件递交截止日止，投标人</w:t>
            </w:r>
            <w:r>
              <w:rPr>
                <w:rFonts w:hint="eastAsia" w:ascii="宋体" w:hAnsi="宋体" w:cs="宋体"/>
                <w:color w:val="auto"/>
                <w:sz w:val="21"/>
                <w:szCs w:val="21"/>
                <w:highlight w:val="none"/>
                <w:lang w:val="zh-CN"/>
              </w:rPr>
              <w:t>（若为联合体，指</w:t>
            </w:r>
            <w:r>
              <w:rPr>
                <w:rFonts w:hint="eastAsia" w:ascii="宋体" w:hAnsi="宋体" w:cs="宋体"/>
                <w:color w:val="auto"/>
                <w:sz w:val="21"/>
                <w:szCs w:val="21"/>
                <w:highlight w:val="none"/>
              </w:rPr>
              <w:t>联合体牵头方）完成的工程项目，获得国家级工程质量奖项的，每项得2分；获得省级工程质量奖项的，每项得1分；获得市级工程质量奖项的，每项得0.5分；最多计取15项，本项最高得30分。</w:t>
            </w:r>
          </w:p>
          <w:p>
            <w:pPr>
              <w:rPr>
                <w:rFonts w:ascii="宋体" w:hAnsi="宋体" w:cs="宋体"/>
                <w:color w:val="auto"/>
                <w:kern w:val="0"/>
                <w:szCs w:val="21"/>
                <w:highlight w:val="none"/>
              </w:rPr>
            </w:pPr>
            <w:r>
              <w:rPr>
                <w:rFonts w:hint="eastAsia"/>
                <w:color w:val="auto"/>
                <w:highlight w:val="none"/>
              </w:rPr>
              <w:t>注：①工程获奖时间以发证时间为准；②获奖项目只计算主承建或联合承建获奖，参建获奖不得分，境外工程不得分。③国家级工程质量奖指</w:t>
            </w:r>
            <w:r>
              <w:rPr>
                <w:rFonts w:hint="eastAsia" w:ascii="宋体" w:hAnsi="宋体"/>
                <w:color w:val="auto"/>
                <w:szCs w:val="21"/>
                <w:highlight w:val="none"/>
              </w:rPr>
              <w:t>中国建设工程鲁班奖、国家优质工程金质奖、国家优质工程奖、中国土木工程詹天佑奖、全国市政金杯奖等</w:t>
            </w:r>
            <w:r>
              <w:rPr>
                <w:rFonts w:hint="eastAsia"/>
                <w:color w:val="auto"/>
                <w:highlight w:val="none"/>
              </w:rPr>
              <w:t>；</w:t>
            </w:r>
            <w:r>
              <w:rPr>
                <w:rFonts w:hint="eastAsia" w:ascii="宋体" w:hAnsi="宋体"/>
                <w:color w:val="auto"/>
                <w:szCs w:val="21"/>
                <w:highlight w:val="none"/>
              </w:rPr>
              <w:t>省级工程质量奖项和市级工程质量奖项对应为工程的质量类获奖等，非质量类获奖不予计算；</w:t>
            </w:r>
            <w:r>
              <w:rPr>
                <w:rFonts w:hint="eastAsia"/>
                <w:color w:val="auto"/>
                <w:highlight w:val="none"/>
              </w:rPr>
              <w:t>④须提供获奖证书或网上公示获奖页面截图凭证复印件；⑤同一项目获得多个奖项的，该项目获奖只按其中一个奖项所在最高级别计算一次分数，不得重复计算。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vMerge w:val="continue"/>
            <w:tcBorders>
              <w:left w:val="single" w:color="auto" w:sz="4" w:space="0"/>
              <w:right w:val="single" w:color="auto" w:sz="4" w:space="0"/>
            </w:tcBorders>
            <w:vAlign w:val="center"/>
          </w:tcPr>
          <w:p>
            <w:pPr>
              <w:rPr>
                <w:rFonts w:ascii="宋体" w:hAnsi="宋体"/>
                <w:color w:val="auto"/>
                <w:szCs w:val="21"/>
                <w:highlight w:val="none"/>
              </w:rPr>
            </w:pPr>
          </w:p>
        </w:tc>
        <w:tc>
          <w:tcPr>
            <w:tcW w:w="1214" w:type="dxa"/>
            <w:vMerge w:val="continue"/>
            <w:tcBorders>
              <w:left w:val="nil"/>
              <w:right w:val="single" w:color="auto" w:sz="4" w:space="0"/>
            </w:tcBorders>
            <w:vAlign w:val="center"/>
          </w:tcPr>
          <w:p>
            <w:pP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s="宋体"/>
                <w:color w:val="auto"/>
                <w:highlight w:val="none"/>
              </w:rPr>
              <w:t>企业业绩（</w:t>
            </w:r>
            <w:r>
              <w:rPr>
                <w:rFonts w:hint="eastAsia" w:ascii="宋体" w:hAnsi="宋体" w:cs="宋体"/>
                <w:color w:val="auto"/>
                <w:highlight w:val="none"/>
                <w:lang w:val="en-US" w:eastAsia="zh-CN"/>
              </w:rPr>
              <w:t>2</w:t>
            </w:r>
            <w:r>
              <w:rPr>
                <w:rFonts w:hint="eastAsia" w:ascii="宋体" w:hAnsi="宋体" w:cs="宋体"/>
                <w:color w:val="auto"/>
                <w:highlight w:val="none"/>
              </w:rPr>
              <w:t>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3"/>
              <w:spacing w:before="0" w:after="0" w:line="240" w:lineRule="auto"/>
              <w:rPr>
                <w:rFonts w:ascii="宋体" w:hAnsi="宋体"/>
                <w:b w:val="0"/>
                <w:bCs w:val="0"/>
                <w:color w:val="auto"/>
                <w:sz w:val="21"/>
                <w:szCs w:val="21"/>
                <w:highlight w:val="none"/>
              </w:rPr>
            </w:pPr>
            <w:r>
              <w:rPr>
                <w:rFonts w:hint="eastAsia" w:ascii="宋体" w:hAnsi="宋体"/>
                <w:b w:val="0"/>
                <w:bCs w:val="0"/>
                <w:color w:val="auto"/>
                <w:sz w:val="21"/>
                <w:szCs w:val="21"/>
                <w:highlight w:val="none"/>
              </w:rPr>
              <w:t>投标人（若为联合体，指联合体牵头方）自2019年1月1日至今承接过大于5000万元市政公用工程业绩的，每个5分，最高得</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0分。</w:t>
            </w:r>
          </w:p>
          <w:p>
            <w:pPr>
              <w:rPr>
                <w:rFonts w:ascii="宋体" w:hAnsi="宋体" w:cs="宋体"/>
                <w:color w:val="auto"/>
                <w:kern w:val="0"/>
                <w:szCs w:val="21"/>
                <w:highlight w:val="none"/>
              </w:rPr>
            </w:pPr>
            <w:r>
              <w:rPr>
                <w:rFonts w:hint="eastAsia" w:ascii="宋体" w:hAnsi="宋体"/>
                <w:color w:val="auto"/>
                <w:szCs w:val="21"/>
                <w:highlight w:val="none"/>
              </w:rPr>
              <w:t>注：提供中标通知书、施工合同、竣工验收资料等相关资料作为证明材料。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vMerge w:val="continue"/>
            <w:tcBorders>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214" w:type="dxa"/>
            <w:vMerge w:val="continue"/>
            <w:tcBorders>
              <w:left w:val="nil"/>
              <w:bottom w:val="single" w:color="auto" w:sz="4" w:space="0"/>
              <w:right w:val="single" w:color="auto" w:sz="4" w:space="0"/>
            </w:tcBorders>
            <w:vAlign w:val="center"/>
          </w:tcPr>
          <w:p>
            <w:pPr>
              <w:rPr>
                <w:rFonts w:ascii="宋体" w:hAnsi="宋体" w:cs="宋体"/>
                <w:color w:val="auto"/>
                <w:szCs w:val="21"/>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ind w:left="13"/>
              <w:rPr>
                <w:rFonts w:ascii="宋体" w:hAnsi="宋体" w:cs="宋体"/>
                <w:color w:val="auto"/>
                <w:kern w:val="0"/>
                <w:szCs w:val="21"/>
                <w:highlight w:val="none"/>
              </w:rPr>
            </w:pPr>
            <w:r>
              <w:rPr>
                <w:rFonts w:hint="eastAsia" w:ascii="宋体" w:hAnsi="宋体"/>
                <w:color w:val="auto"/>
                <w:szCs w:val="21"/>
                <w:highlight w:val="none"/>
                <w:lang w:val="en-US" w:eastAsia="zh-CN"/>
              </w:rPr>
              <w:t>第三方评价</w:t>
            </w:r>
            <w:r>
              <w:rPr>
                <w:rFonts w:hint="eastAsia" w:ascii="宋体" w:hAnsi="宋体" w:cs="宋体"/>
                <w:color w:val="auto"/>
                <w:highlight w:val="none"/>
              </w:rPr>
              <w:t>（20分）</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textAlignment w:val="baseline"/>
              <w:rPr>
                <w:rFonts w:ascii="宋体" w:hAnsi="宋体" w:cs="宋体"/>
                <w:color w:val="auto"/>
                <w:kern w:val="0"/>
                <w:szCs w:val="21"/>
                <w:highlight w:val="none"/>
              </w:rPr>
            </w:pPr>
            <w:r>
              <w:rPr>
                <w:rFonts w:hint="eastAsia"/>
                <w:color w:val="auto"/>
                <w:highlight w:val="none"/>
              </w:rPr>
              <w:t>自2019年1月1日至投标文件递交截止日止，</w:t>
            </w:r>
            <w:r>
              <w:rPr>
                <w:rFonts w:hint="eastAsia" w:ascii="宋体" w:hAnsi="宋体" w:cs="宋体"/>
                <w:color w:val="auto"/>
                <w:kern w:val="0"/>
                <w:szCs w:val="21"/>
                <w:highlight w:val="none"/>
              </w:rPr>
              <w:t>投标人（若为联合体投标，</w:t>
            </w:r>
            <w:r>
              <w:rPr>
                <w:rFonts w:hint="eastAsia" w:ascii="宋体" w:hAnsi="宋体" w:cs="宋体"/>
                <w:color w:val="auto"/>
                <w:szCs w:val="21"/>
                <w:highlight w:val="none"/>
              </w:rPr>
              <w:t>指联合体</w:t>
            </w:r>
            <w:r>
              <w:rPr>
                <w:rFonts w:hint="eastAsia" w:ascii="宋体" w:hAnsi="宋体" w:cs="宋体"/>
                <w:color w:val="auto"/>
                <w:szCs w:val="21"/>
                <w:highlight w:val="none"/>
                <w:lang w:val="en-US" w:eastAsia="zh-CN"/>
              </w:rPr>
              <w:t>牵头方</w:t>
            </w:r>
            <w:r>
              <w:rPr>
                <w:rFonts w:hint="eastAsia" w:ascii="宋体" w:hAnsi="宋体" w:cs="宋体"/>
                <w:color w:val="auto"/>
                <w:kern w:val="0"/>
                <w:szCs w:val="21"/>
                <w:highlight w:val="none"/>
              </w:rPr>
              <w:t xml:space="preserve">）完成过的工程项目获得过“市场质量信用等级：AA级,类别：用户满意工程”，时间以证书颁发时间为准，证书有效期需要在“建议复评时间”截止日之前： </w:t>
            </w:r>
          </w:p>
          <w:p>
            <w:pPr>
              <w:rPr>
                <w:rFonts w:ascii="宋体" w:hAnsi="宋体" w:cs="宋体"/>
                <w:color w:val="auto"/>
                <w:kern w:val="0"/>
                <w:szCs w:val="21"/>
                <w:highlight w:val="none"/>
              </w:rPr>
            </w:pPr>
            <w:r>
              <w:rPr>
                <w:rFonts w:hint="eastAsia" w:ascii="宋体" w:hAnsi="宋体" w:cs="宋体"/>
                <w:color w:val="auto"/>
                <w:kern w:val="0"/>
                <w:szCs w:val="21"/>
                <w:highlight w:val="none"/>
              </w:rPr>
              <w:t>（1）获得用户满意工程数量达到</w:t>
            </w:r>
            <w:r>
              <w:rPr>
                <w:rFonts w:ascii="宋体" w:hAnsi="宋体" w:cs="宋体"/>
                <w:color w:val="auto"/>
                <w:kern w:val="0"/>
                <w:szCs w:val="21"/>
                <w:highlight w:val="none"/>
              </w:rPr>
              <w:t>10</w:t>
            </w:r>
            <w:r>
              <w:rPr>
                <w:rFonts w:hint="eastAsia" w:ascii="宋体" w:hAnsi="宋体" w:cs="宋体"/>
                <w:color w:val="auto"/>
                <w:kern w:val="0"/>
                <w:szCs w:val="21"/>
                <w:highlight w:val="none"/>
              </w:rPr>
              <w:t>个及以上，得20分；</w:t>
            </w:r>
          </w:p>
          <w:p>
            <w:pPr>
              <w:rPr>
                <w:rFonts w:ascii="宋体" w:hAnsi="宋体" w:cs="宋体"/>
                <w:color w:val="auto"/>
                <w:kern w:val="0"/>
                <w:szCs w:val="21"/>
                <w:highlight w:val="none"/>
              </w:rPr>
            </w:pPr>
            <w:r>
              <w:rPr>
                <w:rFonts w:hint="eastAsia" w:ascii="宋体" w:hAnsi="宋体" w:cs="宋体"/>
                <w:color w:val="auto"/>
                <w:kern w:val="0"/>
                <w:szCs w:val="21"/>
                <w:highlight w:val="none"/>
              </w:rPr>
              <w:t>（2）获得用户满意工程数量达到</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至</w:t>
            </w:r>
            <w:r>
              <w:rPr>
                <w:rFonts w:ascii="宋体" w:hAnsi="宋体" w:cs="宋体"/>
                <w:color w:val="auto"/>
                <w:kern w:val="0"/>
                <w:szCs w:val="21"/>
                <w:highlight w:val="none"/>
              </w:rPr>
              <w:t>9</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（3）获得用户满意工程数量达到</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至</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rPr>
                <w:rFonts w:hint="eastAsia"/>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）获得用户满意工程数量达到</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至</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pPr>
              <w:rPr>
                <w:rFonts w:ascii="宋体" w:hAnsi="宋体" w:cs="宋体"/>
                <w:color w:val="auto"/>
                <w:kern w:val="0"/>
                <w:szCs w:val="21"/>
                <w:highlight w:val="none"/>
              </w:rPr>
            </w:pPr>
            <w:r>
              <w:rPr>
                <w:rFonts w:hint="eastAsia"/>
                <w:color w:val="auto"/>
                <w:highlight w:val="none"/>
              </w:rPr>
              <w:t>注：须提供“全国用户满意企业信用服务平台（http://www.yonghu.org.cn/index.php/Home/Grade/index）”的网站查询打印页作为得分评审依据。时间以颁发证书日期为准</w:t>
            </w:r>
            <w:r>
              <w:rPr>
                <w:rFonts w:hint="eastAsia"/>
                <w:color w:val="auto"/>
                <w:highlight w:val="none"/>
                <w:lang w:eastAsia="zh-CN"/>
              </w:rPr>
              <w:t>，</w:t>
            </w:r>
            <w:r>
              <w:rPr>
                <w:rFonts w:hint="eastAsia"/>
                <w:color w:val="auto"/>
                <w:highlight w:val="none"/>
                <w:lang w:val="en-US" w:eastAsia="zh-CN"/>
              </w:rPr>
              <w:t>获奖单位名称需与投标人</w:t>
            </w:r>
            <w:r>
              <w:rPr>
                <w:rFonts w:hint="eastAsia" w:ascii="宋体" w:hAnsi="宋体" w:cs="宋体"/>
                <w:color w:val="auto"/>
                <w:kern w:val="0"/>
                <w:szCs w:val="21"/>
                <w:highlight w:val="none"/>
              </w:rPr>
              <w:t>（若为联合体投标，</w:t>
            </w:r>
            <w:r>
              <w:rPr>
                <w:rFonts w:hint="eastAsia" w:ascii="宋体" w:hAnsi="宋体" w:cs="宋体"/>
                <w:color w:val="auto"/>
                <w:szCs w:val="21"/>
                <w:highlight w:val="none"/>
              </w:rPr>
              <w:t>指联合体</w:t>
            </w:r>
            <w:r>
              <w:rPr>
                <w:rFonts w:hint="eastAsia" w:ascii="宋体" w:hAnsi="宋体" w:cs="宋体"/>
                <w:color w:val="auto"/>
                <w:szCs w:val="21"/>
                <w:highlight w:val="none"/>
                <w:lang w:val="en-US" w:eastAsia="zh-CN"/>
              </w:rPr>
              <w:t>牵头方</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名称完全一致，分公司或子公司获奖不予认可</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2.2.5(3)</w:t>
            </w:r>
          </w:p>
        </w:tc>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投标报价评审</w:t>
            </w:r>
          </w:p>
        </w:tc>
        <w:tc>
          <w:tcPr>
            <w:tcW w:w="696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投标人的投标报价等于评标基准价的，得</w:t>
            </w:r>
            <w:r>
              <w:rPr>
                <w:rFonts w:ascii="宋体" w:hAnsi="宋体"/>
                <w:color w:val="auto"/>
                <w:szCs w:val="21"/>
                <w:highlight w:val="none"/>
              </w:rPr>
              <w:t>100</w:t>
            </w:r>
            <w:r>
              <w:rPr>
                <w:rFonts w:hint="eastAsia" w:ascii="宋体" w:hAnsi="宋体" w:cs="宋体"/>
                <w:color w:val="auto"/>
                <w:szCs w:val="21"/>
                <w:highlight w:val="none"/>
              </w:rPr>
              <w:t>分，投标报价比评标基准价每高</w:t>
            </w:r>
            <w:r>
              <w:rPr>
                <w:rFonts w:ascii="宋体" w:hAnsi="宋体"/>
                <w:color w:val="auto"/>
                <w:szCs w:val="21"/>
                <w:highlight w:val="none"/>
              </w:rPr>
              <w:t>1%</w:t>
            </w:r>
            <w:r>
              <w:rPr>
                <w:rFonts w:hint="eastAsia" w:ascii="宋体" w:hAnsi="宋体" w:cs="宋体"/>
                <w:color w:val="auto"/>
                <w:szCs w:val="21"/>
                <w:highlight w:val="none"/>
              </w:rPr>
              <w:t>的，扣</w:t>
            </w:r>
            <w:r>
              <w:rPr>
                <w:rFonts w:hint="eastAsia" w:ascii="宋体" w:hAnsi="宋体"/>
                <w:color w:val="auto"/>
                <w:szCs w:val="21"/>
                <w:highlight w:val="none"/>
                <w:u w:val="single"/>
              </w:rPr>
              <w:t>0.2</w:t>
            </w:r>
            <w:r>
              <w:rPr>
                <w:rFonts w:hint="eastAsia" w:ascii="宋体" w:hAnsi="宋体" w:cs="宋体"/>
                <w:color w:val="auto"/>
                <w:szCs w:val="21"/>
                <w:highlight w:val="none"/>
              </w:rPr>
              <w:t>分；每低</w:t>
            </w:r>
            <w:r>
              <w:rPr>
                <w:rFonts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u w:val="single"/>
              </w:rPr>
              <w:t>0.</w:t>
            </w:r>
            <w:r>
              <w:rPr>
                <w:rFonts w:ascii="宋体" w:hAnsi="宋体"/>
                <w:color w:val="auto"/>
                <w:szCs w:val="21"/>
                <w:highlight w:val="none"/>
                <w:u w:val="single"/>
              </w:rPr>
              <w:t>1</w:t>
            </w:r>
            <w:r>
              <w:rPr>
                <w:rFonts w:hint="eastAsia" w:ascii="宋体" w:hAnsi="宋体" w:cs="宋体"/>
                <w:color w:val="auto"/>
                <w:szCs w:val="21"/>
                <w:highlight w:val="none"/>
              </w:rPr>
              <w:t>分，扣至</w:t>
            </w:r>
            <w:r>
              <w:rPr>
                <w:rFonts w:ascii="宋体" w:hAnsi="宋体"/>
                <w:color w:val="auto"/>
                <w:szCs w:val="21"/>
                <w:highlight w:val="none"/>
              </w:rPr>
              <w:t>0</w:t>
            </w:r>
            <w:r>
              <w:rPr>
                <w:rFonts w:hint="eastAsia" w:ascii="宋体" w:hAnsi="宋体" w:cs="宋体"/>
                <w:color w:val="auto"/>
                <w:szCs w:val="21"/>
                <w:highlight w:val="none"/>
              </w:rPr>
              <w:t>分为止。（注：扣分标准由招标人自行制定）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2.2.5(4)</w:t>
            </w:r>
          </w:p>
        </w:tc>
        <w:tc>
          <w:tcPr>
            <w:tcW w:w="12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诚信得分评审</w:t>
            </w:r>
          </w:p>
        </w:tc>
        <w:tc>
          <w:tcPr>
            <w:tcW w:w="696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w:t>
            </w:r>
            <w:r>
              <w:rPr>
                <w:rFonts w:ascii="宋体" w:hAnsi="宋体"/>
                <w:color w:val="auto"/>
                <w:szCs w:val="21"/>
                <w:highlight w:val="none"/>
              </w:rPr>
              <w:t>8</w:t>
            </w:r>
            <w:r>
              <w:rPr>
                <w:rFonts w:hint="eastAsia" w:ascii="宋体" w:hAnsi="宋体"/>
                <w:color w:val="auto"/>
                <w:szCs w:val="21"/>
                <w:highlight w:val="none"/>
              </w:rPr>
              <w:t>0分计算。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3.2.3</w:t>
            </w:r>
          </w:p>
        </w:tc>
        <w:tc>
          <w:tcPr>
            <w:tcW w:w="1214"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Cs w:val="21"/>
                <w:highlight w:val="none"/>
              </w:rPr>
            </w:pPr>
            <w:r>
              <w:rPr>
                <w:rFonts w:hint="eastAsia" w:ascii="宋体" w:hAnsi="宋体" w:cs="宋体"/>
                <w:color w:val="auto"/>
                <w:szCs w:val="21"/>
                <w:highlight w:val="none"/>
              </w:rPr>
              <w:t>投标人最终得分的计算方法</w:t>
            </w:r>
          </w:p>
        </w:tc>
        <w:tc>
          <w:tcPr>
            <w:tcW w:w="696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评标总得分=(技术部分得分（A）×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%+商务部分得分（B）×</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%+投标报价得分(C) ×80%)×95%+诚信评价分（D）×5%</w:t>
            </w:r>
          </w:p>
        </w:tc>
      </w:tr>
    </w:tbl>
    <w:p>
      <w:pPr>
        <w:pStyle w:val="5"/>
        <w:keepNext w:val="0"/>
        <w:keepLines w:val="0"/>
        <w:widowControl/>
        <w:suppressLineNumbers w:val="0"/>
        <w:spacing w:before="0" w:beforeAutospacing="0" w:after="600" w:afterAutospacing="0" w:line="360" w:lineRule="auto"/>
        <w:ind w:left="0" w:right="0" w:firstLine="480" w:firstLineChars="200"/>
        <w:jc w:val="both"/>
        <w:rPr>
          <w:rFonts w:hint="eastAsia" w:ascii="宋体" w:hAnsi="宋体" w:eastAsia="宋体" w:cs="宋体"/>
          <w:bCs/>
          <w:color w:val="333333"/>
          <w:kern w:val="2"/>
          <w:sz w:val="24"/>
          <w:szCs w:val="24"/>
          <w:lang w:val="en-US" w:eastAsia="zh-CN" w:bidi="ar"/>
        </w:rPr>
      </w:pPr>
    </w:p>
    <w:p>
      <w:pPr>
        <w:pStyle w:val="5"/>
        <w:keepNext w:val="0"/>
        <w:keepLines w:val="0"/>
        <w:widowControl/>
        <w:suppressLineNumbers w:val="0"/>
        <w:spacing w:before="0" w:beforeAutospacing="0" w:after="600" w:afterAutospacing="0" w:line="360" w:lineRule="auto"/>
        <w:ind w:left="0" w:right="0" w:firstLine="480" w:firstLineChars="200"/>
        <w:jc w:val="both"/>
        <w:rPr>
          <w:rFonts w:hint="eastAsia" w:ascii="宋体" w:hAnsi="宋体" w:eastAsia="宋体" w:cs="宋体"/>
          <w:bCs/>
          <w:color w:val="333333"/>
          <w:kern w:val="2"/>
          <w:sz w:val="24"/>
          <w:szCs w:val="24"/>
          <w:lang w:val="en-US" w:eastAsia="zh-CN" w:bidi="ar"/>
        </w:rPr>
      </w:pPr>
      <w:r>
        <w:rPr>
          <w:rFonts w:hint="eastAsia" w:ascii="宋体" w:hAnsi="宋体" w:eastAsia="宋体" w:cs="宋体"/>
          <w:bCs/>
          <w:color w:val="333333"/>
          <w:kern w:val="2"/>
          <w:sz w:val="24"/>
          <w:szCs w:val="24"/>
          <w:lang w:val="en-US" w:eastAsia="zh-CN" w:bidi="ar"/>
        </w:rPr>
        <w:t>四、本项目具体时间和场地安排请各投标人密切留意广州公共资源交易中心公布的日程安排，投标人可登录广州公共资源交易中心网站首页，点击“交易业务-建设工程”专栏中的“项目查询（日程安排、答疑纪要）”，输入项目编号或项目名称查询最新信息。</w:t>
      </w:r>
    </w:p>
    <w:p>
      <w:pPr>
        <w:pStyle w:val="5"/>
        <w:keepNext w:val="0"/>
        <w:keepLines w:val="0"/>
        <w:widowControl/>
        <w:suppressLineNumbers w:val="0"/>
        <w:spacing w:before="0" w:beforeAutospacing="0" w:after="600" w:afterAutospacing="0" w:line="360" w:lineRule="auto"/>
        <w:ind w:left="0" w:right="0" w:firstLine="480" w:firstLineChars="200"/>
        <w:jc w:val="both"/>
        <w:rPr>
          <w:rFonts w:hint="eastAsia" w:ascii="宋体" w:hAnsi="宋体" w:eastAsia="宋体" w:cs="宋体"/>
          <w:bCs/>
          <w:color w:val="333333"/>
          <w:kern w:val="2"/>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jc w:val="right"/>
        <w:textAlignment w:val="auto"/>
        <w:rPr>
          <w:rFonts w:hint="eastAsia" w:ascii="微软雅黑" w:hAnsi="微软雅黑" w:eastAsia="微软雅黑" w:cs="微软雅黑"/>
        </w:rPr>
      </w:pPr>
      <w:r>
        <w:rPr>
          <w:rStyle w:val="8"/>
          <w:rFonts w:hint="eastAsia" w:ascii="宋体" w:hAnsi="宋体" w:eastAsia="宋体" w:cs="宋体"/>
          <w:b/>
          <w:color w:val="333333"/>
          <w:kern w:val="2"/>
          <w:sz w:val="24"/>
          <w:szCs w:val="24"/>
          <w:lang w:val="en-US" w:eastAsia="zh-CN" w:bidi="ar"/>
        </w:rPr>
        <w:t>招标人：广州市花都区水务建设管理中心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微软雅黑" w:hAnsi="微软雅黑" w:eastAsia="微软雅黑" w:cs="微软雅黑"/>
        </w:rPr>
      </w:pPr>
      <w:r>
        <w:rPr>
          <w:rStyle w:val="8"/>
          <w:rFonts w:hint="eastAsia" w:ascii="宋体" w:hAnsi="宋体" w:eastAsia="宋体" w:cs="宋体"/>
          <w:b/>
          <w:color w:val="333333"/>
          <w:kern w:val="2"/>
          <w:sz w:val="24"/>
          <w:szCs w:val="24"/>
        </w:rPr>
        <w:t>招标代理：</w:t>
      </w:r>
      <w:r>
        <w:rPr>
          <w:rStyle w:val="8"/>
          <w:rFonts w:hint="eastAsia" w:ascii="宋体" w:hAnsi="宋体" w:eastAsia="宋体" w:cs="宋体"/>
          <w:color w:val="333333"/>
          <w:kern w:val="2"/>
          <w:sz w:val="24"/>
          <w:szCs w:val="24"/>
          <w:lang w:val="en-US" w:eastAsia="zh-CN" w:bidi="ar"/>
        </w:rPr>
        <w:t>广州集雅招标咨询有限公司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微软雅黑" w:hAnsi="微软雅黑" w:eastAsia="微软雅黑" w:cs="微软雅黑"/>
        </w:rPr>
      </w:pPr>
      <w:r>
        <w:rPr>
          <w:rStyle w:val="8"/>
          <w:rFonts w:hint="eastAsia" w:ascii="宋体" w:hAnsi="宋体" w:eastAsia="宋体" w:cs="宋体"/>
          <w:b/>
          <w:color w:val="333333"/>
          <w:kern w:val="2"/>
          <w:sz w:val="24"/>
          <w:szCs w:val="24"/>
        </w:rPr>
        <w:t>时间：2023年5月</w:t>
      </w:r>
      <w:r>
        <w:rPr>
          <w:rStyle w:val="8"/>
          <w:rFonts w:hint="eastAsia" w:ascii="宋体" w:hAnsi="宋体" w:eastAsia="宋体" w:cs="宋体"/>
          <w:b/>
          <w:color w:val="333333"/>
          <w:kern w:val="2"/>
          <w:sz w:val="24"/>
          <w:szCs w:val="24"/>
          <w:lang w:val="en-US" w:eastAsia="zh-CN"/>
        </w:rPr>
        <w:t>25</w:t>
      </w:r>
      <w:r>
        <w:rPr>
          <w:rStyle w:val="8"/>
          <w:rFonts w:hint="eastAsia" w:ascii="宋体" w:hAnsi="宋体" w:eastAsia="宋体" w:cs="宋体"/>
          <w:b/>
          <w:color w:val="333333"/>
          <w:kern w:val="2"/>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YjhkYWM5NTg4MzJkZGVhMjEzZGYwNmExYjNiYmUifQ=="/>
  </w:docVars>
  <w:rsids>
    <w:rsidRoot w:val="49AE4174"/>
    <w:rsid w:val="01224BCE"/>
    <w:rsid w:val="06D71CF0"/>
    <w:rsid w:val="06EE06AA"/>
    <w:rsid w:val="08F80905"/>
    <w:rsid w:val="0A322311"/>
    <w:rsid w:val="0D183D8B"/>
    <w:rsid w:val="0D533015"/>
    <w:rsid w:val="11567578"/>
    <w:rsid w:val="1221707B"/>
    <w:rsid w:val="138F7CD0"/>
    <w:rsid w:val="1821268E"/>
    <w:rsid w:val="1884380C"/>
    <w:rsid w:val="1ABE474F"/>
    <w:rsid w:val="1ADE4866"/>
    <w:rsid w:val="1AEB0604"/>
    <w:rsid w:val="1B4740C2"/>
    <w:rsid w:val="1CE43074"/>
    <w:rsid w:val="1D210974"/>
    <w:rsid w:val="20CA763A"/>
    <w:rsid w:val="23457192"/>
    <w:rsid w:val="262E5124"/>
    <w:rsid w:val="28F32B26"/>
    <w:rsid w:val="2A756869"/>
    <w:rsid w:val="2CD30D30"/>
    <w:rsid w:val="2E0E0B66"/>
    <w:rsid w:val="330469DC"/>
    <w:rsid w:val="39EB0053"/>
    <w:rsid w:val="3A11384E"/>
    <w:rsid w:val="3A663AD8"/>
    <w:rsid w:val="3BE34D90"/>
    <w:rsid w:val="3CC03E18"/>
    <w:rsid w:val="3EF23B8C"/>
    <w:rsid w:val="40183AC7"/>
    <w:rsid w:val="445C6919"/>
    <w:rsid w:val="464473C4"/>
    <w:rsid w:val="49AE4174"/>
    <w:rsid w:val="4A5C2E04"/>
    <w:rsid w:val="4B347EBB"/>
    <w:rsid w:val="4C564BEA"/>
    <w:rsid w:val="4CB37051"/>
    <w:rsid w:val="4F0771E0"/>
    <w:rsid w:val="51AB479B"/>
    <w:rsid w:val="533D58C6"/>
    <w:rsid w:val="59AA0CFC"/>
    <w:rsid w:val="59AA2C75"/>
    <w:rsid w:val="5AF96577"/>
    <w:rsid w:val="5C140197"/>
    <w:rsid w:val="5D2378DB"/>
    <w:rsid w:val="62A110AC"/>
    <w:rsid w:val="6D7A3B1D"/>
    <w:rsid w:val="72CA1394"/>
    <w:rsid w:val="73EC196F"/>
    <w:rsid w:val="74665174"/>
    <w:rsid w:val="74861898"/>
    <w:rsid w:val="75B50E95"/>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jc w:val="center"/>
      <w:outlineLvl w:val="1"/>
    </w:pPr>
    <w:rPr>
      <w:rFonts w:ascii="黑体" w:hAnsi="黑体" w:eastAsia="黑体"/>
      <w:sz w:val="30"/>
      <w:szCs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rFonts w:hint="eastAsia" w:ascii="微软雅黑" w:hAnsi="微软雅黑" w:eastAsia="微软雅黑" w:cs="微软雅黑"/>
      <w:color w:val="337AB7"/>
      <w:u w:val="none"/>
    </w:rPr>
  </w:style>
  <w:style w:type="character" w:styleId="10">
    <w:name w:val="HTML Definition"/>
    <w:basedOn w:val="7"/>
    <w:qFormat/>
    <w:uiPriority w:val="0"/>
    <w:rPr>
      <w:i/>
      <w:iCs/>
    </w:rPr>
  </w:style>
  <w:style w:type="character" w:styleId="11">
    <w:name w:val="Hyperlink"/>
    <w:basedOn w:val="7"/>
    <w:qFormat/>
    <w:uiPriority w:val="0"/>
    <w:rPr>
      <w:rFonts w:ascii="微软雅黑" w:hAnsi="微软雅黑" w:eastAsia="微软雅黑" w:cs="微软雅黑"/>
      <w:color w:val="337AB7"/>
      <w:u w:val="none"/>
    </w:rPr>
  </w:style>
  <w:style w:type="character" w:styleId="12">
    <w:name w:val="HTML Code"/>
    <w:basedOn w:val="7"/>
    <w:qFormat/>
    <w:uiPriority w:val="0"/>
    <w:rPr>
      <w:rFonts w:ascii="Courier New" w:hAnsi="Courier New"/>
      <w:sz w:val="20"/>
      <w:bdr w:val="single" w:color="E1E1E1" w:sz="4" w:space="0"/>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ascii="Consolas" w:hAnsi="Consolas" w:eastAsia="Consolas" w:cs="Consolas"/>
      <w:sz w:val="21"/>
      <w:szCs w:val="21"/>
    </w:rPr>
  </w:style>
  <w:style w:type="character" w:customStyle="1" w:styleId="15">
    <w:name w:val="title26"/>
    <w:basedOn w:val="7"/>
    <w:qFormat/>
    <w:uiPriority w:val="0"/>
  </w:style>
  <w:style w:type="character" w:customStyle="1" w:styleId="16">
    <w:name w:val="username"/>
    <w:basedOn w:val="7"/>
    <w:qFormat/>
    <w:uiPriority w:val="0"/>
  </w:style>
  <w:style w:type="character" w:customStyle="1" w:styleId="17">
    <w:name w:val="title24"/>
    <w:basedOn w:val="7"/>
    <w:qFormat/>
    <w:uiPriority w:val="0"/>
  </w:style>
  <w:style w:type="character" w:customStyle="1" w:styleId="18">
    <w:name w:val="title2"/>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3374</Words>
  <Characters>3810</Characters>
  <Lines>0</Lines>
  <Paragraphs>0</Paragraphs>
  <TotalTime>2</TotalTime>
  <ScaleCrop>false</ScaleCrop>
  <LinksUpToDate>false</LinksUpToDate>
  <CharactersWithSpaces>3824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2023-05-24T02:02:00Z</dcterms:created>
  <dc:creator>徐</dc:creator>
  <cp:lastModifiedBy>徐</cp:lastModifiedBy>
  <dcterms:modified xsi:type="dcterms:W3CDTF">2023-05-26T06:57:53Z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7CC9922315354229928C90940635BCD3_11</vt:lpwstr>
  </property>
</Properties>
</file>