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r>
        <w:rPr>
          <w:rFonts w:hint="eastAsia"/>
          <w:b/>
          <w:bCs/>
          <w:sz w:val="44"/>
          <w:szCs w:val="44"/>
          <w:lang w:val="en-US" w:eastAsia="zh-CN"/>
        </w:rPr>
        <w:t>智能水表技术要求</w:t>
      </w:r>
    </w:p>
    <w:p>
      <w:pPr>
        <w:jc w:val="center"/>
        <w:rPr>
          <w:rFonts w:hint="eastAsia"/>
          <w:b/>
          <w:bCs/>
          <w:sz w:val="44"/>
          <w:szCs w:val="44"/>
          <w:lang w:val="en-US" w:eastAsia="zh-CN"/>
        </w:rPr>
      </w:pPr>
      <w:bookmarkStart w:id="0" w:name="_GoBack"/>
      <w:bookmarkEnd w:id="0"/>
    </w:p>
    <w:p>
      <w:pPr>
        <w:widowControl w:val="0"/>
        <w:numPr>
          <w:ilvl w:val="0"/>
          <w:numId w:val="1"/>
        </w:numPr>
        <w:spacing w:line="360" w:lineRule="auto"/>
        <w:ind w:left="0" w:firstLine="567"/>
        <w:jc w:val="both"/>
        <w:rPr>
          <w:rFonts w:ascii="宋体" w:hAnsi="宋体" w:cs="宋体"/>
          <w:sz w:val="24"/>
          <w:szCs w:val="24"/>
          <w:highlight w:val="none"/>
        </w:rPr>
      </w:pPr>
      <w:r>
        <w:rPr>
          <w:rFonts w:hint="eastAsia" w:ascii="宋体" w:hAnsi="宋体" w:cs="宋体"/>
          <w:sz w:val="24"/>
          <w:szCs w:val="24"/>
          <w:highlight w:val="none"/>
        </w:rPr>
        <w:t>根据《广州市人民政府办公厅关于印发推进供水服务到终端工作方案和农村供水改造工作方案的通知》（穗府办函【2019】36号）的要求，本项目的建设应建立信息化管理系统，实现各项目数控的及时传送和数字化管理，优先选用智能远传水表。考虑到项目水表安装互不干涉环境复杂多变，有线传输给日常管理上容易带来不便，无线传输信号集中器安装用地及节点协调难度大，而目前实施范围内通讯信号已覆盖。NB-IOT智能水表系统，是结合水务部门精细化管理的要求，帮助水务部门不断提升经营效率，以更加高效的方式实现智能化的用水管理。因此水表选用NB-IOT型智能远传水表。</w:t>
      </w:r>
    </w:p>
    <w:p>
      <w:pPr>
        <w:widowControl w:val="0"/>
        <w:numPr>
          <w:ilvl w:val="0"/>
          <w:numId w:val="1"/>
        </w:numPr>
        <w:spacing w:line="360" w:lineRule="auto"/>
        <w:ind w:left="0" w:firstLine="567"/>
        <w:jc w:val="both"/>
        <w:rPr>
          <w:rFonts w:ascii="宋体" w:hAnsi="宋体" w:cs="宋体"/>
          <w:sz w:val="24"/>
          <w:szCs w:val="24"/>
          <w:highlight w:val="none"/>
        </w:rPr>
      </w:pPr>
      <w:r>
        <w:rPr>
          <w:rFonts w:hint="eastAsia" w:ascii="宋体" w:hAnsi="宋体" w:cs="宋体"/>
          <w:sz w:val="24"/>
          <w:szCs w:val="24"/>
          <w:highlight w:val="none"/>
        </w:rPr>
        <w:t>投标人提供智能水表组应为制造商制造的全新产品并满足技术要求，整机无污染，无侵权行为、在中国境内可依常规安全合法使用，符合中华人民共和国国家安全质量标准、环保标准或行业标准，适用于居民饮用水计量使用。水表不得有任何损伤或缺陷，所有连接部位必须保证足够的强度和刚度，所有机加工表面的加工精度及配合公差应达到相应的设计规范要求。管径范围为DN20mm、DN25、40mm、50mm、80mm、100mm、150mm、200mm、300mm、400mm、500mm之间。</w:t>
      </w:r>
    </w:p>
    <w:p>
      <w:pPr>
        <w:widowControl w:val="0"/>
        <w:numPr>
          <w:ilvl w:val="0"/>
          <w:numId w:val="1"/>
        </w:numPr>
        <w:spacing w:line="360" w:lineRule="auto"/>
        <w:ind w:left="0" w:firstLine="567"/>
        <w:jc w:val="both"/>
        <w:rPr>
          <w:rFonts w:ascii="宋体" w:hAnsi="宋体" w:cs="宋体"/>
          <w:bCs/>
          <w:sz w:val="24"/>
          <w:szCs w:val="24"/>
          <w:highlight w:val="none"/>
        </w:rPr>
      </w:pPr>
      <w:r>
        <w:rPr>
          <w:rFonts w:hint="eastAsia" w:ascii="宋体" w:hAnsi="宋体" w:cs="宋体"/>
          <w:sz w:val="24"/>
          <w:szCs w:val="24"/>
          <w:highlight w:val="none"/>
        </w:rPr>
        <w:t>1智能水表组采用分体结构设计，基表选用普通机械水表，</w:t>
      </w:r>
      <w:r>
        <w:rPr>
          <w:rFonts w:hint="eastAsia" w:hAnsi="宋体" w:cs="宋体"/>
          <w:color w:val="000000"/>
          <w:sz w:val="24"/>
          <w:szCs w:val="24"/>
          <w:highlight w:val="none"/>
        </w:rPr>
        <w:t>其中</w:t>
      </w:r>
      <w:r>
        <w:rPr>
          <w:rFonts w:hint="eastAsia" w:hAnsi="宋体" w:cs="宋体"/>
          <w:color w:val="000000"/>
          <w:kern w:val="2"/>
          <w:sz w:val="24"/>
          <w:szCs w:val="24"/>
          <w:highlight w:val="none"/>
        </w:rPr>
        <w:t>DN20mm、DN25、</w:t>
      </w:r>
      <w:r>
        <w:rPr>
          <w:rFonts w:hint="eastAsia" w:hAnsi="宋体" w:cs="宋体"/>
          <w:color w:val="000000"/>
          <w:sz w:val="24"/>
          <w:szCs w:val="24"/>
          <w:highlight w:val="none"/>
        </w:rPr>
        <w:t>DN40mm、DN50mm的NB-IOT智能水表</w:t>
      </w:r>
      <w:r>
        <w:rPr>
          <w:rFonts w:hint="eastAsia" w:ascii="宋体" w:hAnsi="宋体" w:cs="宋体"/>
          <w:bCs/>
          <w:color w:val="000000"/>
          <w:sz w:val="24"/>
          <w:szCs w:val="24"/>
          <w:highlight w:val="none"/>
        </w:rPr>
        <w:t>基表</w:t>
      </w:r>
      <w:r>
        <w:rPr>
          <w:rFonts w:hint="eastAsia" w:hAnsi="宋体" w:cs="宋体"/>
          <w:bCs/>
          <w:color w:val="000000"/>
          <w:sz w:val="24"/>
          <w:szCs w:val="24"/>
          <w:highlight w:val="none"/>
        </w:rPr>
        <w:t>须选用湿式液封水表</w:t>
      </w:r>
      <w:r>
        <w:rPr>
          <w:rFonts w:hint="eastAsia" w:hAnsi="宋体" w:cs="宋体"/>
          <w:color w:val="000000"/>
          <w:sz w:val="24"/>
          <w:szCs w:val="24"/>
          <w:highlight w:val="none"/>
        </w:rPr>
        <w:t>。</w:t>
      </w:r>
      <w:r>
        <w:rPr>
          <w:rFonts w:hint="eastAsia" w:ascii="宋体" w:hAnsi="宋体" w:cs="宋体"/>
          <w:sz w:val="24"/>
          <w:szCs w:val="24"/>
          <w:highlight w:val="none"/>
        </w:rPr>
        <w:t>基表数据机电转换采用无磁传感技术，远传模块的无线通讯方式选用NBIOT。配套远传模块的电子部分与基表各自独立组成不采取任何形式的线束连接，远传模块和基表应可分别更</w:t>
      </w:r>
      <w:r>
        <w:rPr>
          <w:rFonts w:hint="eastAsia" w:ascii="宋体" w:hAnsi="宋体" w:cs="宋体"/>
          <w:bCs/>
          <w:sz w:val="24"/>
          <w:szCs w:val="24"/>
          <w:highlight w:val="none"/>
        </w:rPr>
        <w:t>换。考虑到日后在使用水表的过程中，并不能完全保证使用环境良好，供货厂家应能保证基表以及配套的远传模块在恶劣条件下可长期连续稳定工作。供货厂家应提供安装地点的NBIOT信号测试报告；</w:t>
      </w:r>
    </w:p>
    <w:p>
      <w:pPr>
        <w:spacing w:line="360" w:lineRule="auto"/>
        <w:ind w:firstLine="480" w:firstLineChars="200"/>
        <w:rPr>
          <w:rFonts w:ascii="宋体" w:hAnsi="宋体" w:cs="宋体"/>
          <w:bCs/>
          <w:sz w:val="24"/>
          <w:szCs w:val="24"/>
          <w:highlight w:val="none"/>
        </w:rPr>
      </w:pPr>
      <w:r>
        <w:rPr>
          <w:rFonts w:hint="eastAsia" w:ascii="宋体" w:hAnsi="宋体" w:cs="宋体"/>
          <w:bCs/>
          <w:sz w:val="24"/>
          <w:szCs w:val="24"/>
          <w:highlight w:val="none"/>
        </w:rPr>
        <w:t>3.2</w:t>
      </w:r>
      <w:r>
        <w:rPr>
          <w:rFonts w:hint="eastAsia" w:ascii="宋体" w:hAnsi="宋体" w:cs="宋体"/>
          <w:bCs/>
          <w:sz w:val="24"/>
          <w:szCs w:val="24"/>
          <w:highlight w:val="none"/>
          <w:lang w:val="en-US" w:eastAsia="zh-CN"/>
        </w:rPr>
        <w:t xml:space="preserve"> </w:t>
      </w:r>
      <w:r>
        <w:rPr>
          <w:rFonts w:hint="eastAsia" w:ascii="宋体" w:hAnsi="宋体" w:cs="宋体"/>
          <w:bCs/>
          <w:sz w:val="24"/>
          <w:szCs w:val="24"/>
          <w:highlight w:val="none"/>
        </w:rPr>
        <w:t>DN20光电直读表为有线光电远传一体干式水表,基表</w:t>
      </w:r>
      <w:r>
        <w:rPr>
          <w:rFonts w:hint="eastAsia" w:ascii="宋体" w:hAnsi="宋体" w:cs="宋体"/>
          <w:bCs/>
          <w:color w:val="000000"/>
          <w:sz w:val="24"/>
          <w:szCs w:val="24"/>
          <w:highlight w:val="none"/>
        </w:rPr>
        <w:t>中标人必须提交水表型号、过载流量</w:t>
      </w:r>
      <w:r>
        <w:rPr>
          <w:rFonts w:hint="eastAsia" w:ascii="宋体" w:hAnsi="宋体" w:cs="宋体"/>
          <w:color w:val="000000"/>
          <w:sz w:val="24"/>
          <w:szCs w:val="24"/>
          <w:highlight w:val="none"/>
          <w:lang w:val="zh-CN"/>
        </w:rPr>
        <w:t>（Q4）</w:t>
      </w:r>
      <w:r>
        <w:rPr>
          <w:rFonts w:hint="eastAsia" w:ascii="宋体" w:hAnsi="宋体" w:cs="宋体"/>
          <w:bCs/>
          <w:color w:val="000000"/>
          <w:sz w:val="24"/>
          <w:szCs w:val="24"/>
          <w:highlight w:val="none"/>
        </w:rPr>
        <w:t>、常用流量</w:t>
      </w:r>
      <w:r>
        <w:rPr>
          <w:rFonts w:hint="eastAsia" w:ascii="宋体" w:hAnsi="宋体" w:cs="宋体"/>
          <w:color w:val="000000"/>
          <w:sz w:val="24"/>
          <w:szCs w:val="24"/>
          <w:highlight w:val="none"/>
          <w:lang w:val="zh-CN"/>
        </w:rPr>
        <w:t>（Q3）</w:t>
      </w:r>
      <w:r>
        <w:rPr>
          <w:rFonts w:hint="eastAsia" w:ascii="宋体" w:hAnsi="宋体" w:cs="宋体"/>
          <w:bCs/>
          <w:color w:val="000000"/>
          <w:sz w:val="24"/>
          <w:szCs w:val="24"/>
          <w:highlight w:val="none"/>
        </w:rPr>
        <w:t>、分界流量</w:t>
      </w:r>
      <w:r>
        <w:rPr>
          <w:rFonts w:hint="eastAsia" w:ascii="宋体" w:hAnsi="宋体" w:cs="宋体"/>
          <w:color w:val="000000"/>
          <w:sz w:val="24"/>
          <w:szCs w:val="24"/>
          <w:highlight w:val="none"/>
          <w:lang w:val="zh-CN"/>
        </w:rPr>
        <w:t>（Q2）</w:t>
      </w:r>
      <w:r>
        <w:rPr>
          <w:rFonts w:hint="eastAsia" w:ascii="宋体" w:hAnsi="宋体" w:cs="宋体"/>
          <w:bCs/>
          <w:color w:val="000000"/>
          <w:sz w:val="24"/>
          <w:szCs w:val="24"/>
          <w:highlight w:val="none"/>
        </w:rPr>
        <w:t>、最小流量</w:t>
      </w:r>
      <w:r>
        <w:rPr>
          <w:rFonts w:hint="eastAsia" w:ascii="宋体" w:hAnsi="宋体" w:cs="宋体"/>
          <w:color w:val="000000"/>
          <w:sz w:val="24"/>
          <w:szCs w:val="24"/>
          <w:highlight w:val="none"/>
          <w:lang w:val="zh-CN"/>
        </w:rPr>
        <w:t>（Q1）</w:t>
      </w:r>
      <w:r>
        <w:rPr>
          <w:rFonts w:hint="eastAsia" w:ascii="宋体" w:hAnsi="宋体" w:cs="宋体"/>
          <w:bCs/>
          <w:color w:val="000000"/>
          <w:sz w:val="24"/>
          <w:szCs w:val="24"/>
          <w:highlight w:val="none"/>
        </w:rPr>
        <w:t>、以及始动流量等技术参数。远传水表组，要求输出信号准确；传输可靠，不受水表抖动或外界磁干扰的影响；远传装置要求不影响基表的计量精度，不影响指针和字轮的正常工作。达到或优于以下技术参数标准：Q3/Q1不小于R100；（注DN20水表安装尺寸是一样的）</w:t>
      </w:r>
    </w:p>
    <w:p>
      <w:pPr>
        <w:spacing w:line="360" w:lineRule="auto"/>
        <w:ind w:left="567"/>
        <w:rPr>
          <w:rFonts w:ascii="宋体" w:hAnsi="宋体" w:cs="宋体"/>
          <w:bCs/>
          <w:sz w:val="24"/>
          <w:szCs w:val="24"/>
          <w:highlight w:val="none"/>
        </w:rPr>
      </w:pPr>
      <w:r>
        <w:rPr>
          <w:rFonts w:hint="eastAsia" w:ascii="宋体" w:hAnsi="宋体" w:cs="宋体"/>
          <w:bCs/>
          <w:sz w:val="24"/>
          <w:szCs w:val="24"/>
          <w:highlight w:val="none"/>
        </w:rPr>
        <w:t>3.3</w:t>
      </w:r>
      <w:r>
        <w:rPr>
          <w:rFonts w:hint="eastAsia" w:ascii="宋体" w:hAnsi="宋体" w:cs="宋体"/>
          <w:bCs/>
          <w:sz w:val="24"/>
          <w:szCs w:val="24"/>
          <w:highlight w:val="none"/>
          <w:lang w:val="en-US" w:eastAsia="zh-CN"/>
        </w:rPr>
        <w:t xml:space="preserve"> </w:t>
      </w:r>
      <w:r>
        <w:rPr>
          <w:rFonts w:hint="eastAsia" w:ascii="宋体" w:hAnsi="宋体" w:cs="宋体"/>
          <w:bCs/>
          <w:sz w:val="24"/>
          <w:szCs w:val="24"/>
          <w:highlight w:val="none"/>
        </w:rPr>
        <w:t>DN20机械式水表为旋翼液封水表，</w:t>
      </w:r>
      <w:r>
        <w:rPr>
          <w:rFonts w:hint="eastAsia" w:ascii="宋体" w:hAnsi="宋体" w:cs="宋体"/>
          <w:bCs/>
          <w:color w:val="000000"/>
          <w:sz w:val="24"/>
          <w:szCs w:val="24"/>
          <w:highlight w:val="none"/>
        </w:rPr>
        <w:t>Q3/Q1不小于R100</w:t>
      </w:r>
      <w:r>
        <w:rPr>
          <w:rFonts w:hint="eastAsia" w:ascii="宋体" w:hAnsi="宋体" w:cs="宋体"/>
          <w:bCs/>
          <w:sz w:val="24"/>
          <w:szCs w:val="24"/>
          <w:highlight w:val="none"/>
        </w:rPr>
        <w:t>。</w:t>
      </w:r>
      <w:r>
        <w:rPr>
          <w:rFonts w:hint="eastAsia" w:ascii="宋体" w:hAnsi="宋体" w:cs="宋体"/>
          <w:bCs/>
          <w:color w:val="000000"/>
          <w:sz w:val="24"/>
          <w:szCs w:val="24"/>
          <w:highlight w:val="none"/>
        </w:rPr>
        <w:t>（注DN20水表安装尺寸是一样的）</w:t>
      </w:r>
    </w:p>
    <w:p>
      <w:pPr>
        <w:widowControl w:val="0"/>
        <w:numPr>
          <w:ilvl w:val="0"/>
          <w:numId w:val="1"/>
        </w:numPr>
        <w:spacing w:line="360" w:lineRule="auto"/>
        <w:ind w:left="0" w:firstLine="567"/>
        <w:jc w:val="both"/>
        <w:rPr>
          <w:rFonts w:ascii="宋体" w:hAnsi="宋体" w:cs="宋体"/>
          <w:bCs/>
          <w:sz w:val="24"/>
          <w:szCs w:val="24"/>
          <w:highlight w:val="none"/>
        </w:rPr>
      </w:pPr>
      <w:r>
        <w:rPr>
          <w:rFonts w:hint="eastAsia" w:ascii="宋体" w:hAnsi="宋体" w:cs="宋体"/>
          <w:bCs/>
          <w:color w:val="000000"/>
          <w:sz w:val="24"/>
          <w:szCs w:val="24"/>
          <w:highlight w:val="none"/>
        </w:rPr>
        <w:t>★</w:t>
      </w:r>
      <w:r>
        <w:rPr>
          <w:rFonts w:hint="eastAsia" w:ascii="宋体" w:hAnsi="宋体" w:cs="宋体"/>
          <w:bCs/>
          <w:sz w:val="24"/>
          <w:szCs w:val="24"/>
          <w:highlight w:val="none"/>
        </w:rPr>
        <w:t>对于产品厂家，参与投标的产品必须提供有省级或以上法定计量管理机构授权的第三方检测机构出具的检验报告.</w:t>
      </w:r>
    </w:p>
    <w:p>
      <w:pPr>
        <w:widowControl w:val="0"/>
        <w:numPr>
          <w:ilvl w:val="0"/>
          <w:numId w:val="1"/>
        </w:numPr>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应遵循的法律、法规、标准和规范</w:t>
      </w:r>
      <w:r>
        <w:rPr>
          <w:rFonts w:hint="eastAsia" w:ascii="宋体" w:hAnsi="宋体" w:cs="宋体"/>
          <w:sz w:val="24"/>
          <w:szCs w:val="24"/>
          <w:highlight w:val="none"/>
        </w:rPr>
        <w:t>（以下标准若有新版本颁布的，按最新版标准执行）</w:t>
      </w:r>
      <w:r>
        <w:rPr>
          <w:rFonts w:hint="eastAsia" w:ascii="宋体" w:hAnsi="宋体" w:cs="宋体"/>
          <w:bCs/>
          <w:color w:val="000000"/>
          <w:sz w:val="24"/>
          <w:szCs w:val="24"/>
          <w:highlight w:val="none"/>
        </w:rPr>
        <w:t>：</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《中华人民共和国计量法》(2015年)</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《强制检定的工作计量器具实施检定的有关规定(试行)》(1991年8月国家技术监督局)</w:t>
      </w:r>
    </w:p>
    <w:p>
      <w:pPr>
        <w:pStyle w:val="8"/>
        <w:numPr>
          <w:ilvl w:val="0"/>
          <w:numId w:val="2"/>
        </w:numPr>
        <w:spacing w:line="360" w:lineRule="auto"/>
        <w:rPr>
          <w:rFonts w:ascii="宋体" w:hAnsi="宋体" w:cs="宋体"/>
          <w:sz w:val="24"/>
          <w:szCs w:val="24"/>
          <w:highlight w:val="none"/>
        </w:rPr>
      </w:pPr>
      <w:r>
        <w:rPr>
          <w:rFonts w:hint="eastAsia" w:ascii="宋体" w:hAnsi="宋体" w:cs="宋体"/>
          <w:color w:val="000000"/>
          <w:sz w:val="24"/>
          <w:szCs w:val="24"/>
          <w:highlight w:val="none"/>
        </w:rPr>
        <w:t>GB/T778 《饮用冷水水表和热水水表》标准</w:t>
      </w:r>
    </w:p>
    <w:p>
      <w:pPr>
        <w:pStyle w:val="8"/>
        <w:numPr>
          <w:ilvl w:val="0"/>
          <w:numId w:val="2"/>
        </w:numPr>
        <w:spacing w:line="360" w:lineRule="auto"/>
        <w:rPr>
          <w:rFonts w:ascii="宋体" w:hAnsi="宋体" w:cs="宋体"/>
          <w:color w:val="000000"/>
          <w:sz w:val="24"/>
          <w:szCs w:val="24"/>
          <w:highlight w:val="none"/>
        </w:rPr>
      </w:pPr>
      <w:r>
        <w:rPr>
          <w:rFonts w:ascii="宋体" w:hAnsi="宋体" w:cs="宋体"/>
          <w:sz w:val="24"/>
          <w:szCs w:val="24"/>
          <w:highlight w:val="none"/>
        </w:rPr>
        <w:t xml:space="preserve"> 中华人民共和国</w:t>
      </w:r>
      <w:r>
        <w:rPr>
          <w:rFonts w:hint="eastAsia" w:ascii="宋体" w:hAnsi="宋体" w:cs="宋体"/>
          <w:color w:val="000000"/>
          <w:sz w:val="24"/>
          <w:szCs w:val="24"/>
          <w:highlight w:val="none"/>
        </w:rPr>
        <w:t>国家计量检定规程JJG162-2009《冷水水表》</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《饮用水计量仪表材料卫生标准》</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CJ/T224  《电子远传水表》</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CMA/WM778《小口径饮用水冷水表表壳技术规范》</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JG/T162  《住宅远传抄表系统》</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CJ3064《居民饮用水计量仪表安全规则》</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GB50131-2007《自动化仪表工程施工质量验收规范》</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生活饮用水卫生监督管理办法(建设部、卫生部1996年颁布)</w:t>
      </w:r>
    </w:p>
    <w:p>
      <w:pPr>
        <w:pStyle w:val="8"/>
        <w:numPr>
          <w:ilvl w:val="0"/>
          <w:numId w:val="2"/>
        </w:num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其他相关的国家、地方标准。</w:t>
      </w:r>
    </w:p>
    <w:p>
      <w:pPr>
        <w:spacing w:line="360" w:lineRule="auto"/>
        <w:ind w:firstLine="600" w:firstLineChars="250"/>
        <w:rPr>
          <w:rFonts w:ascii="宋体" w:hAnsi="宋体" w:cs="宋体"/>
          <w:color w:val="000000"/>
          <w:sz w:val="24"/>
          <w:szCs w:val="24"/>
          <w:highlight w:val="none"/>
        </w:rPr>
      </w:pPr>
      <w:r>
        <w:rPr>
          <w:rFonts w:hint="eastAsia" w:ascii="宋体" w:hAnsi="宋体" w:cs="宋体"/>
          <w:color w:val="000000"/>
          <w:sz w:val="24"/>
          <w:szCs w:val="24"/>
          <w:highlight w:val="none"/>
        </w:rPr>
        <w:t>上述的国家、地方或行业相关标准和规范，以最新版本为准。</w:t>
      </w:r>
    </w:p>
    <w:p>
      <w:pPr>
        <w:widowControl w:val="0"/>
        <w:numPr>
          <w:ilvl w:val="0"/>
          <w:numId w:val="1"/>
        </w:numPr>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★基表具体参数技术要求</w:t>
      </w:r>
    </w:p>
    <w:p>
      <w:pPr>
        <w:pStyle w:val="3"/>
        <w:tabs>
          <w:tab w:val="left" w:pos="540"/>
          <w:tab w:val="left" w:pos="1134"/>
        </w:tabs>
        <w:adjustRightInd w:val="0"/>
        <w:snapToGrid w:val="0"/>
        <w:spacing w:line="360" w:lineRule="auto"/>
        <w:rPr>
          <w:rFonts w:hAnsi="宋体" w:cs="宋体"/>
          <w:bCs/>
          <w:sz w:val="24"/>
          <w:szCs w:val="24"/>
          <w:highlight w:val="none"/>
        </w:rPr>
      </w:pPr>
      <w:r>
        <w:rPr>
          <w:rFonts w:hint="eastAsia" w:hAnsi="宋体" w:cs="宋体"/>
          <w:sz w:val="24"/>
          <w:szCs w:val="24"/>
          <w:highlight w:val="none"/>
        </w:rPr>
        <w:t xml:space="preserve">    6.1</w:t>
      </w:r>
      <w:r>
        <w:rPr>
          <w:rFonts w:hint="eastAsia" w:hAnsi="宋体" w:cs="宋体"/>
          <w:sz w:val="24"/>
          <w:szCs w:val="24"/>
          <w:highlight w:val="none"/>
          <w:lang w:val="en-US" w:eastAsia="zh-CN"/>
        </w:rPr>
        <w:t xml:space="preserve"> </w:t>
      </w:r>
      <w:r>
        <w:rPr>
          <w:rFonts w:hint="eastAsia" w:hAnsi="宋体" w:cs="宋体"/>
          <w:sz w:val="24"/>
          <w:szCs w:val="24"/>
          <w:highlight w:val="none"/>
        </w:rPr>
        <w:t>要求投标人提供的NB智能水表的基表，</w:t>
      </w:r>
      <w:r>
        <w:rPr>
          <w:rFonts w:hint="eastAsia" w:hAnsi="宋体" w:cs="宋体"/>
          <w:kern w:val="2"/>
          <w:sz w:val="24"/>
          <w:szCs w:val="24"/>
          <w:highlight w:val="none"/>
        </w:rPr>
        <w:t>DN20mm、DN25、</w:t>
      </w:r>
      <w:r>
        <w:rPr>
          <w:rFonts w:hint="eastAsia" w:hAnsi="宋体" w:cs="宋体"/>
          <w:sz w:val="24"/>
          <w:szCs w:val="24"/>
          <w:highlight w:val="none"/>
        </w:rPr>
        <w:t>DN40mm、DN50mm为旋翼式水表;DN80mm</w:t>
      </w:r>
      <w:r>
        <w:rPr>
          <w:rFonts w:hint="eastAsia" w:hAnsi="宋体" w:cs="宋体"/>
          <w:kern w:val="2"/>
          <w:sz w:val="24"/>
          <w:szCs w:val="24"/>
          <w:highlight w:val="none"/>
        </w:rPr>
        <w:t>、100mm、150mm、200mm</w:t>
      </w:r>
      <w:r>
        <w:rPr>
          <w:rFonts w:hint="eastAsia" w:hAnsi="宋体" w:cs="宋体"/>
          <w:sz w:val="24"/>
          <w:szCs w:val="24"/>
          <w:highlight w:val="none"/>
        </w:rPr>
        <w:t>为垂直螺翼式水表；</w:t>
      </w:r>
      <w:r>
        <w:rPr>
          <w:rFonts w:hint="eastAsia" w:hAnsi="宋体" w:cs="宋体"/>
          <w:kern w:val="2"/>
          <w:sz w:val="24"/>
          <w:szCs w:val="24"/>
          <w:highlight w:val="none"/>
        </w:rPr>
        <w:t>300mm、400mm、500mm</w:t>
      </w:r>
      <w:r>
        <w:rPr>
          <w:rFonts w:hint="eastAsia" w:hAnsi="宋体" w:cs="宋体"/>
          <w:sz w:val="24"/>
          <w:szCs w:val="24"/>
          <w:highlight w:val="none"/>
        </w:rPr>
        <w:t>为水平螺翼式水表。远传模块选用NB-IOT无线传输方式。智能水表具体性能参数要优于或达到下列所示要求：</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公称直径：DN20mm、DN25mm、DN40mm、DN50mm、DN80mm、100mm、150mm、200mm、300mm、400mm、500mm之间</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6.1.2</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量程比：DN20mm、DN25、DN40、DN50要求R≥100，DN80、100mm、150mm、200mm、300mm、400mm、500mm要求R≥200</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6.1.3</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准确度等级：2级</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6.1.4</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基表的参数最小流量Q1、分界流量Q2应小于等于下表对应数值，常用流量Q3、过载流量Q4及量程比R值应大于等于下表对应数值。</w:t>
      </w:r>
    </w:p>
    <w:tbl>
      <w:tblPr>
        <w:tblStyle w:val="6"/>
        <w:tblW w:w="8816" w:type="dxa"/>
        <w:tblInd w:w="0" w:type="dxa"/>
        <w:tblLayout w:type="fixed"/>
        <w:tblCellMar>
          <w:top w:w="0" w:type="dxa"/>
          <w:left w:w="108" w:type="dxa"/>
          <w:bottom w:w="0" w:type="dxa"/>
          <w:right w:w="108" w:type="dxa"/>
        </w:tblCellMar>
      </w:tblPr>
      <w:tblGrid>
        <w:gridCol w:w="1283"/>
        <w:gridCol w:w="1515"/>
        <w:gridCol w:w="1423"/>
        <w:gridCol w:w="1510"/>
        <w:gridCol w:w="1526"/>
        <w:gridCol w:w="1559"/>
      </w:tblGrid>
      <w:tr>
        <w:tblPrEx>
          <w:tblCellMar>
            <w:top w:w="0" w:type="dxa"/>
            <w:left w:w="108" w:type="dxa"/>
            <w:bottom w:w="0" w:type="dxa"/>
            <w:right w:w="108" w:type="dxa"/>
          </w:tblCellMar>
        </w:tblPrEx>
        <w:trPr>
          <w:trHeight w:val="567" w:hRule="atLeast"/>
        </w:trPr>
        <w:tc>
          <w:tcPr>
            <w:tcW w:w="1283" w:type="dxa"/>
            <w:vMerge w:val="restart"/>
            <w:tcBorders>
              <w:top w:val="single" w:color="auto" w:sz="4" w:space="0"/>
              <w:left w:val="single" w:color="auto" w:sz="4" w:space="0"/>
              <w:bottom w:val="single" w:color="auto" w:sz="4" w:space="0"/>
              <w:right w:val="single" w:color="auto" w:sz="4" w:space="0"/>
            </w:tcBorders>
            <w:vAlign w:val="center"/>
          </w:tcPr>
          <w:p>
            <w:pPr>
              <w:ind w:firstLine="240" w:firstLineChars="100"/>
              <w:rPr>
                <w:rFonts w:ascii="宋体" w:hAnsi="宋体" w:cs="宋体"/>
                <w:color w:val="000000"/>
                <w:sz w:val="24"/>
                <w:szCs w:val="24"/>
                <w:highlight w:val="none"/>
              </w:rPr>
            </w:pPr>
            <w:r>
              <w:rPr>
                <w:rFonts w:hint="eastAsia" w:ascii="宋体" w:hAnsi="宋体" w:cs="宋体"/>
                <w:color w:val="000000"/>
                <w:sz w:val="24"/>
                <w:szCs w:val="24"/>
                <w:highlight w:val="none"/>
              </w:rPr>
              <w:t>口径</w:t>
            </w:r>
          </w:p>
        </w:tc>
        <w:tc>
          <w:tcPr>
            <w:tcW w:w="15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4"/>
                <w:szCs w:val="24"/>
                <w:highlight w:val="none"/>
                <w:vertAlign w:val="superscript"/>
              </w:rPr>
            </w:pPr>
            <w:r>
              <w:rPr>
                <w:rFonts w:hint="eastAsia" w:ascii="宋体" w:hAnsi="宋体" w:cs="宋体"/>
                <w:color w:val="000000"/>
                <w:sz w:val="24"/>
                <w:szCs w:val="24"/>
                <w:highlight w:val="none"/>
              </w:rPr>
              <w:t>Q1（ m</w:t>
            </w:r>
            <w:r>
              <w:rPr>
                <w:rFonts w:hint="eastAsia" w:ascii="宋体" w:hAnsi="宋体" w:cs="宋体"/>
                <w:color w:val="000000"/>
                <w:sz w:val="24"/>
                <w:szCs w:val="24"/>
                <w:highlight w:val="none"/>
                <w:vertAlign w:val="superscript"/>
              </w:rPr>
              <w:t>3</w:t>
            </w:r>
            <w:r>
              <w:rPr>
                <w:rFonts w:hint="eastAsia" w:ascii="宋体" w:hAnsi="宋体" w:cs="宋体"/>
                <w:color w:val="000000"/>
                <w:sz w:val="24"/>
                <w:szCs w:val="24"/>
                <w:highlight w:val="none"/>
              </w:rPr>
              <w:t>/h）</w:t>
            </w:r>
          </w:p>
        </w:tc>
        <w:tc>
          <w:tcPr>
            <w:tcW w:w="142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4"/>
                <w:szCs w:val="24"/>
                <w:highlight w:val="none"/>
              </w:rPr>
            </w:pPr>
            <w:r>
              <w:rPr>
                <w:rFonts w:hint="eastAsia" w:ascii="宋体" w:hAnsi="宋体" w:cs="宋体"/>
                <w:color w:val="000000"/>
                <w:sz w:val="24"/>
                <w:szCs w:val="24"/>
                <w:highlight w:val="none"/>
              </w:rPr>
              <w:t>Q2（ m</w:t>
            </w:r>
            <w:r>
              <w:rPr>
                <w:rFonts w:hint="eastAsia" w:ascii="宋体" w:hAnsi="宋体" w:cs="宋体"/>
                <w:color w:val="000000"/>
                <w:sz w:val="24"/>
                <w:szCs w:val="24"/>
                <w:highlight w:val="none"/>
                <w:vertAlign w:val="superscript"/>
              </w:rPr>
              <w:t>3</w:t>
            </w:r>
            <w:r>
              <w:rPr>
                <w:rFonts w:hint="eastAsia" w:ascii="宋体" w:hAnsi="宋体" w:cs="宋体"/>
                <w:color w:val="000000"/>
                <w:sz w:val="24"/>
                <w:szCs w:val="24"/>
                <w:highlight w:val="none"/>
              </w:rPr>
              <w:t>/h）</w:t>
            </w:r>
          </w:p>
        </w:tc>
        <w:tc>
          <w:tcPr>
            <w:tcW w:w="151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4"/>
                <w:szCs w:val="24"/>
                <w:highlight w:val="none"/>
              </w:rPr>
            </w:pPr>
            <w:r>
              <w:rPr>
                <w:rFonts w:hint="eastAsia" w:ascii="宋体" w:hAnsi="宋体" w:cs="宋体"/>
                <w:color w:val="000000"/>
                <w:sz w:val="24"/>
                <w:szCs w:val="24"/>
                <w:highlight w:val="none"/>
              </w:rPr>
              <w:t>Q3（ m</w:t>
            </w:r>
            <w:r>
              <w:rPr>
                <w:rFonts w:hint="eastAsia" w:ascii="宋体" w:hAnsi="宋体" w:cs="宋体"/>
                <w:color w:val="000000"/>
                <w:sz w:val="24"/>
                <w:szCs w:val="24"/>
                <w:highlight w:val="none"/>
                <w:vertAlign w:val="superscript"/>
              </w:rPr>
              <w:t>3</w:t>
            </w:r>
            <w:r>
              <w:rPr>
                <w:rFonts w:hint="eastAsia" w:ascii="宋体" w:hAnsi="宋体" w:cs="宋体"/>
                <w:color w:val="000000"/>
                <w:sz w:val="24"/>
                <w:szCs w:val="24"/>
                <w:highlight w:val="none"/>
              </w:rPr>
              <w:t>/h）</w:t>
            </w:r>
          </w:p>
        </w:tc>
        <w:tc>
          <w:tcPr>
            <w:tcW w:w="152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4"/>
                <w:szCs w:val="24"/>
                <w:highlight w:val="none"/>
              </w:rPr>
            </w:pPr>
            <w:r>
              <w:rPr>
                <w:rFonts w:hint="eastAsia" w:ascii="宋体" w:hAnsi="宋体" w:cs="宋体"/>
                <w:color w:val="000000"/>
                <w:sz w:val="24"/>
                <w:szCs w:val="24"/>
                <w:highlight w:val="none"/>
              </w:rPr>
              <w:t>Q4</w:t>
            </w:r>
          </w:p>
          <w:p>
            <w:pPr>
              <w:jc w:val="center"/>
              <w:rPr>
                <w:rFonts w:ascii="宋体" w:hAnsi="宋体" w:cs="宋体"/>
                <w:color w:val="000000"/>
                <w:sz w:val="24"/>
                <w:szCs w:val="24"/>
                <w:highlight w:val="none"/>
              </w:rPr>
            </w:pPr>
            <w:r>
              <w:rPr>
                <w:rFonts w:hint="eastAsia" w:ascii="宋体" w:hAnsi="宋体" w:cs="宋体"/>
                <w:color w:val="000000"/>
                <w:sz w:val="24"/>
                <w:szCs w:val="24"/>
                <w:highlight w:val="none"/>
              </w:rPr>
              <w:t>（ m</w:t>
            </w:r>
            <w:r>
              <w:rPr>
                <w:rFonts w:hint="eastAsia" w:ascii="宋体" w:hAnsi="宋体" w:cs="宋体"/>
                <w:color w:val="000000"/>
                <w:sz w:val="24"/>
                <w:szCs w:val="24"/>
                <w:highlight w:val="none"/>
                <w:vertAlign w:val="superscript"/>
              </w:rPr>
              <w:t>3</w:t>
            </w:r>
            <w:r>
              <w:rPr>
                <w:rFonts w:hint="eastAsia" w:ascii="宋体" w:hAnsi="宋体" w:cs="宋体"/>
                <w:color w:val="000000"/>
                <w:sz w:val="24"/>
                <w:szCs w:val="24"/>
                <w:highlight w:val="none"/>
              </w:rPr>
              <w:t>/h）</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4"/>
                <w:szCs w:val="24"/>
                <w:highlight w:val="none"/>
              </w:rPr>
            </w:pPr>
            <w:r>
              <w:rPr>
                <w:rFonts w:hint="eastAsia" w:ascii="宋体" w:hAnsi="宋体" w:cs="宋体"/>
                <w:color w:val="000000"/>
                <w:sz w:val="24"/>
                <w:szCs w:val="24"/>
                <w:highlight w:val="none"/>
              </w:rPr>
              <w:t>量程比R</w:t>
            </w:r>
          </w:p>
        </w:tc>
      </w:tr>
      <w:tr>
        <w:tblPrEx>
          <w:tblCellMar>
            <w:top w:w="0" w:type="dxa"/>
            <w:left w:w="108" w:type="dxa"/>
            <w:bottom w:w="0" w:type="dxa"/>
            <w:right w:w="108" w:type="dxa"/>
          </w:tblCellMar>
        </w:tblPrEx>
        <w:trPr>
          <w:trHeight w:val="567" w:hRule="atLeast"/>
        </w:trPr>
        <w:tc>
          <w:tcPr>
            <w:tcW w:w="128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sz w:val="24"/>
                <w:szCs w:val="24"/>
                <w:highlight w:val="none"/>
              </w:rPr>
            </w:pPr>
          </w:p>
        </w:tc>
        <w:tc>
          <w:tcPr>
            <w:tcW w:w="1515"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sz w:val="24"/>
                <w:szCs w:val="24"/>
                <w:highlight w:val="none"/>
              </w:rPr>
            </w:pPr>
          </w:p>
        </w:tc>
        <w:tc>
          <w:tcPr>
            <w:tcW w:w="1423"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sz w:val="24"/>
                <w:szCs w:val="24"/>
                <w:highlight w:val="none"/>
              </w:rPr>
            </w:pPr>
          </w:p>
        </w:tc>
        <w:tc>
          <w:tcPr>
            <w:tcW w:w="1510"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sz w:val="24"/>
                <w:szCs w:val="24"/>
                <w:highlight w:val="none"/>
              </w:rPr>
            </w:pPr>
          </w:p>
        </w:tc>
        <w:tc>
          <w:tcPr>
            <w:tcW w:w="152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sz w:val="24"/>
                <w:szCs w:val="24"/>
                <w:highlight w:val="none"/>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000000"/>
                <w:sz w:val="24"/>
                <w:szCs w:val="24"/>
                <w:highlight w:val="none"/>
              </w:rPr>
            </w:pP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DN20</w:t>
            </w:r>
          </w:p>
        </w:tc>
        <w:tc>
          <w:tcPr>
            <w:tcW w:w="151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0.04</w:t>
            </w:r>
          </w:p>
        </w:tc>
        <w:tc>
          <w:tcPr>
            <w:tcW w:w="14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 xml:space="preserve">   0.064</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 xml:space="preserve">     4</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100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DN25</w:t>
            </w:r>
          </w:p>
        </w:tc>
        <w:tc>
          <w:tcPr>
            <w:tcW w:w="151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0.063</w:t>
            </w:r>
          </w:p>
        </w:tc>
        <w:tc>
          <w:tcPr>
            <w:tcW w:w="142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0.1008</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ascii="宋体" w:hAnsi="宋体" w:cs="宋体"/>
                <w:sz w:val="24"/>
                <w:szCs w:val="24"/>
                <w:highlight w:val="none"/>
              </w:rPr>
            </w:pPr>
            <w:r>
              <w:rPr>
                <w:rFonts w:hint="eastAsia" w:ascii="宋体" w:hAnsi="宋体" w:cs="宋体"/>
                <w:sz w:val="24"/>
                <w:szCs w:val="24"/>
                <w:highlight w:val="none"/>
              </w:rPr>
              <w:t>6.3</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cs="宋体"/>
                <w:sz w:val="24"/>
                <w:szCs w:val="24"/>
                <w:highlight w:val="none"/>
              </w:rPr>
            </w:pPr>
            <w:r>
              <w:rPr>
                <w:rFonts w:hint="eastAsia" w:ascii="宋体" w:hAnsi="宋体" w:cs="宋体"/>
                <w:sz w:val="24"/>
                <w:szCs w:val="24"/>
                <w:highlight w:val="none"/>
              </w:rPr>
              <w:t>7.875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100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DN40</w:t>
            </w:r>
          </w:p>
        </w:tc>
        <w:tc>
          <w:tcPr>
            <w:tcW w:w="151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0.16</w:t>
            </w:r>
          </w:p>
        </w:tc>
        <w:tc>
          <w:tcPr>
            <w:tcW w:w="142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0.32</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ascii="宋体" w:hAnsi="宋体" w:cs="宋体"/>
                <w:sz w:val="24"/>
                <w:szCs w:val="24"/>
                <w:highlight w:val="none"/>
              </w:rPr>
            </w:pPr>
            <w:r>
              <w:rPr>
                <w:rFonts w:hint="eastAsia" w:ascii="宋体" w:hAnsi="宋体" w:cs="宋体"/>
                <w:sz w:val="24"/>
                <w:szCs w:val="24"/>
                <w:highlight w:val="none"/>
              </w:rPr>
              <w:t>16</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ascii="宋体" w:hAnsi="宋体" w:cs="宋体"/>
                <w:sz w:val="24"/>
                <w:szCs w:val="24"/>
                <w:highlight w:val="none"/>
              </w:rPr>
            </w:pPr>
            <w:r>
              <w:rPr>
                <w:rFonts w:hint="eastAsia" w:ascii="宋体" w:hAnsi="宋体" w:cs="宋体"/>
                <w:sz w:val="24"/>
                <w:szCs w:val="24"/>
                <w:highlight w:val="none"/>
              </w:rPr>
              <w:t>20</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100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DN50</w:t>
            </w:r>
          </w:p>
        </w:tc>
        <w:tc>
          <w:tcPr>
            <w:tcW w:w="151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 xml:space="preserve">  0.25</w:t>
            </w:r>
          </w:p>
        </w:tc>
        <w:tc>
          <w:tcPr>
            <w:tcW w:w="142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0.50</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ascii="宋体" w:hAnsi="宋体" w:cs="宋体"/>
                <w:sz w:val="24"/>
                <w:szCs w:val="24"/>
                <w:highlight w:val="none"/>
              </w:rPr>
            </w:pPr>
            <w:r>
              <w:rPr>
                <w:rFonts w:hint="eastAsia" w:ascii="宋体" w:hAnsi="宋体" w:cs="宋体"/>
                <w:sz w:val="24"/>
                <w:szCs w:val="24"/>
                <w:highlight w:val="none"/>
              </w:rPr>
              <w:t>25</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31.25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100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DN80</w:t>
            </w:r>
          </w:p>
        </w:tc>
        <w:tc>
          <w:tcPr>
            <w:tcW w:w="151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0.315</w:t>
            </w:r>
          </w:p>
        </w:tc>
        <w:tc>
          <w:tcPr>
            <w:tcW w:w="1423"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0.504</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auto"/>
              <w:ind w:firstLine="720" w:firstLineChars="300"/>
              <w:rPr>
                <w:rFonts w:ascii="宋体" w:hAnsi="宋体" w:cs="宋体"/>
                <w:sz w:val="24"/>
                <w:szCs w:val="24"/>
                <w:highlight w:val="none"/>
              </w:rPr>
            </w:pPr>
            <w:r>
              <w:rPr>
                <w:rFonts w:hint="eastAsia" w:ascii="宋体" w:hAnsi="宋体" w:cs="宋体"/>
                <w:sz w:val="24"/>
                <w:szCs w:val="24"/>
                <w:highlight w:val="none"/>
              </w:rPr>
              <w:t>63</w:t>
            </w:r>
          </w:p>
        </w:tc>
        <w:tc>
          <w:tcPr>
            <w:tcW w:w="152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78.75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DN100</w:t>
            </w:r>
          </w:p>
        </w:tc>
        <w:tc>
          <w:tcPr>
            <w:tcW w:w="15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0.5</w:t>
            </w:r>
          </w:p>
        </w:tc>
        <w:tc>
          <w:tcPr>
            <w:tcW w:w="1423"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0.8</w:t>
            </w:r>
          </w:p>
        </w:tc>
        <w:tc>
          <w:tcPr>
            <w:tcW w:w="15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100</w:t>
            </w:r>
          </w:p>
        </w:tc>
        <w:tc>
          <w:tcPr>
            <w:tcW w:w="1526"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125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DN150</w:t>
            </w:r>
          </w:p>
        </w:tc>
        <w:tc>
          <w:tcPr>
            <w:tcW w:w="15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w:t>
            </w:r>
          </w:p>
        </w:tc>
        <w:tc>
          <w:tcPr>
            <w:tcW w:w="1423"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2.0</w:t>
            </w:r>
          </w:p>
        </w:tc>
        <w:tc>
          <w:tcPr>
            <w:tcW w:w="15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250</w:t>
            </w:r>
          </w:p>
        </w:tc>
        <w:tc>
          <w:tcPr>
            <w:tcW w:w="1526"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312.5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DN200</w:t>
            </w:r>
          </w:p>
        </w:tc>
        <w:tc>
          <w:tcPr>
            <w:tcW w:w="15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1.6</w:t>
            </w:r>
          </w:p>
        </w:tc>
        <w:tc>
          <w:tcPr>
            <w:tcW w:w="1423"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3.2</w:t>
            </w:r>
          </w:p>
        </w:tc>
        <w:tc>
          <w:tcPr>
            <w:tcW w:w="15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400</w:t>
            </w:r>
          </w:p>
        </w:tc>
        <w:tc>
          <w:tcPr>
            <w:tcW w:w="1526"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500</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DN300</w:t>
            </w:r>
          </w:p>
        </w:tc>
        <w:tc>
          <w:tcPr>
            <w:tcW w:w="15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4</w:t>
            </w:r>
          </w:p>
        </w:tc>
        <w:tc>
          <w:tcPr>
            <w:tcW w:w="1423"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8</w:t>
            </w:r>
          </w:p>
        </w:tc>
        <w:tc>
          <w:tcPr>
            <w:tcW w:w="15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1000</w:t>
            </w:r>
          </w:p>
        </w:tc>
        <w:tc>
          <w:tcPr>
            <w:tcW w:w="1526"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1250</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DN400</w:t>
            </w:r>
          </w:p>
        </w:tc>
        <w:tc>
          <w:tcPr>
            <w:tcW w:w="15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12.5</w:t>
            </w:r>
          </w:p>
        </w:tc>
        <w:tc>
          <w:tcPr>
            <w:tcW w:w="1423"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20</w:t>
            </w:r>
          </w:p>
        </w:tc>
        <w:tc>
          <w:tcPr>
            <w:tcW w:w="15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2500</w:t>
            </w:r>
          </w:p>
        </w:tc>
        <w:tc>
          <w:tcPr>
            <w:tcW w:w="1526"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3125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r>
        <w:tblPrEx>
          <w:tblCellMar>
            <w:top w:w="0" w:type="dxa"/>
            <w:left w:w="108" w:type="dxa"/>
            <w:bottom w:w="0" w:type="dxa"/>
            <w:right w:w="108" w:type="dxa"/>
          </w:tblCellMar>
        </w:tblPrEx>
        <w:trPr>
          <w:trHeight w:val="567" w:hRule="atLeast"/>
        </w:trPr>
        <w:tc>
          <w:tcPr>
            <w:tcW w:w="128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DN500</w:t>
            </w:r>
          </w:p>
        </w:tc>
        <w:tc>
          <w:tcPr>
            <w:tcW w:w="1515"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20</w:t>
            </w:r>
          </w:p>
        </w:tc>
        <w:tc>
          <w:tcPr>
            <w:tcW w:w="1423"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32</w:t>
            </w:r>
          </w:p>
        </w:tc>
        <w:tc>
          <w:tcPr>
            <w:tcW w:w="1510"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4000</w:t>
            </w:r>
          </w:p>
        </w:tc>
        <w:tc>
          <w:tcPr>
            <w:tcW w:w="1526" w:type="dxa"/>
            <w:tcBorders>
              <w:top w:val="single" w:color="auto" w:sz="4" w:space="0"/>
              <w:left w:val="single" w:color="auto" w:sz="4" w:space="0"/>
              <w:bottom w:val="single" w:color="auto" w:sz="4" w:space="0"/>
              <w:right w:val="single" w:color="auto" w:sz="4" w:space="0"/>
            </w:tcBorders>
            <w:vAlign w:val="center"/>
          </w:tcPr>
          <w:p>
            <w:pPr>
              <w:ind w:firstLine="480" w:firstLineChars="200"/>
              <w:jc w:val="center"/>
              <w:rPr>
                <w:rFonts w:ascii="宋体" w:hAnsi="宋体" w:cs="宋体"/>
                <w:sz w:val="24"/>
                <w:szCs w:val="24"/>
                <w:highlight w:val="none"/>
              </w:rPr>
            </w:pPr>
            <w:r>
              <w:rPr>
                <w:rFonts w:hint="eastAsia" w:ascii="宋体" w:hAnsi="宋体" w:cs="宋体"/>
                <w:sz w:val="24"/>
                <w:szCs w:val="24"/>
                <w:highlight w:val="none"/>
              </w:rPr>
              <w:t>5000</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ind w:firstLine="0" w:firstLineChars="0"/>
              <w:jc w:val="center"/>
              <w:rPr>
                <w:rFonts w:ascii="宋体" w:hAnsi="宋体" w:cs="宋体"/>
                <w:sz w:val="24"/>
                <w:szCs w:val="24"/>
                <w:highlight w:val="none"/>
              </w:rPr>
            </w:pPr>
            <w:r>
              <w:rPr>
                <w:rFonts w:hint="eastAsia" w:ascii="宋体" w:hAnsi="宋体" w:cs="宋体"/>
                <w:sz w:val="24"/>
                <w:szCs w:val="24"/>
                <w:highlight w:val="none"/>
              </w:rPr>
              <w:t>200</w:t>
            </w:r>
          </w:p>
        </w:tc>
      </w:tr>
    </w:tbl>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6.1.5</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水表和接管外观尺寸如下表。其中宽度不包含文字标志高度，水表翻盖后的总高度亦不得超过下表中的限高。</w:t>
      </w:r>
    </w:p>
    <w:tbl>
      <w:tblPr>
        <w:tblStyle w:val="6"/>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4"/>
        <w:gridCol w:w="2203"/>
        <w:gridCol w:w="2204"/>
        <w:gridCol w:w="2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tabs>
                <w:tab w:val="left" w:pos="855"/>
              </w:tabs>
              <w:rPr>
                <w:rFonts w:ascii="宋体" w:hAnsi="宋体" w:cs="宋体"/>
                <w:color w:val="000000"/>
                <w:sz w:val="24"/>
                <w:szCs w:val="24"/>
                <w:highlight w:val="none"/>
              </w:rPr>
            </w:pPr>
            <w:r>
              <w:rPr>
                <w:rFonts w:hint="eastAsia" w:ascii="宋体" w:hAnsi="宋体" w:cs="宋体"/>
                <w:color w:val="000000"/>
                <w:sz w:val="24"/>
                <w:szCs w:val="24"/>
                <w:highlight w:val="none"/>
              </w:rPr>
              <w:t>口径</w:t>
            </w:r>
          </w:p>
        </w:tc>
        <w:tc>
          <w:tcPr>
            <w:tcW w:w="2203" w:type="dxa"/>
            <w:vAlign w:val="center"/>
          </w:tcPr>
          <w:p>
            <w:pPr>
              <w:tabs>
                <w:tab w:val="left" w:pos="855"/>
              </w:tabs>
              <w:jc w:val="center"/>
              <w:rPr>
                <w:rFonts w:ascii="宋体" w:hAnsi="宋体" w:cs="宋体"/>
                <w:color w:val="000000"/>
                <w:sz w:val="24"/>
                <w:szCs w:val="24"/>
                <w:highlight w:val="none"/>
              </w:rPr>
            </w:pPr>
            <w:r>
              <w:rPr>
                <w:rFonts w:hint="eastAsia" w:ascii="宋体" w:hAnsi="宋体" w:cs="宋体"/>
                <w:color w:val="000000"/>
                <w:sz w:val="24"/>
                <w:szCs w:val="24"/>
                <w:highlight w:val="none"/>
              </w:rPr>
              <w:t>长</w:t>
            </w:r>
          </w:p>
          <w:p>
            <w:pPr>
              <w:tabs>
                <w:tab w:val="left" w:pos="855"/>
              </w:tabs>
              <w:jc w:val="center"/>
              <w:rPr>
                <w:rFonts w:ascii="宋体" w:hAnsi="宋体" w:cs="宋体"/>
                <w:color w:val="000000"/>
                <w:sz w:val="24"/>
                <w:szCs w:val="24"/>
                <w:highlight w:val="none"/>
              </w:rPr>
            </w:pPr>
            <w:r>
              <w:rPr>
                <w:rFonts w:hint="eastAsia" w:ascii="宋体" w:hAnsi="宋体" w:cs="宋体"/>
                <w:color w:val="000000"/>
                <w:sz w:val="24"/>
                <w:szCs w:val="24"/>
                <w:highlight w:val="none"/>
              </w:rPr>
              <w:t>（单位：mm）</w:t>
            </w:r>
          </w:p>
        </w:tc>
        <w:tc>
          <w:tcPr>
            <w:tcW w:w="2204" w:type="dxa"/>
            <w:vAlign w:val="center"/>
          </w:tcPr>
          <w:p>
            <w:pPr>
              <w:tabs>
                <w:tab w:val="left" w:pos="855"/>
              </w:tabs>
              <w:jc w:val="center"/>
              <w:rPr>
                <w:rFonts w:ascii="宋体" w:hAnsi="宋体" w:cs="宋体"/>
                <w:color w:val="000000"/>
                <w:sz w:val="24"/>
                <w:szCs w:val="24"/>
                <w:highlight w:val="none"/>
              </w:rPr>
            </w:pPr>
            <w:r>
              <w:rPr>
                <w:rFonts w:hint="eastAsia" w:ascii="宋体" w:hAnsi="宋体" w:cs="宋体"/>
                <w:color w:val="000000"/>
                <w:sz w:val="24"/>
                <w:szCs w:val="24"/>
                <w:highlight w:val="none"/>
              </w:rPr>
              <w:t>宽</w:t>
            </w:r>
          </w:p>
          <w:p>
            <w:pPr>
              <w:tabs>
                <w:tab w:val="left" w:pos="855"/>
              </w:tabs>
              <w:jc w:val="center"/>
              <w:rPr>
                <w:rFonts w:ascii="宋体" w:hAnsi="宋体" w:cs="宋体"/>
                <w:color w:val="000000"/>
                <w:sz w:val="24"/>
                <w:szCs w:val="24"/>
                <w:highlight w:val="none"/>
              </w:rPr>
            </w:pPr>
            <w:r>
              <w:rPr>
                <w:rFonts w:hint="eastAsia" w:ascii="宋体" w:hAnsi="宋体" w:cs="宋体"/>
                <w:color w:val="000000"/>
                <w:sz w:val="24"/>
                <w:szCs w:val="24"/>
                <w:highlight w:val="none"/>
              </w:rPr>
              <w:t>（单位：mm）</w:t>
            </w:r>
          </w:p>
        </w:tc>
        <w:tc>
          <w:tcPr>
            <w:tcW w:w="2205" w:type="dxa"/>
            <w:vAlign w:val="center"/>
          </w:tcPr>
          <w:p>
            <w:pPr>
              <w:tabs>
                <w:tab w:val="left" w:pos="855"/>
              </w:tabs>
              <w:jc w:val="center"/>
              <w:rPr>
                <w:rFonts w:ascii="宋体" w:hAnsi="宋体" w:cs="宋体"/>
                <w:color w:val="000000"/>
                <w:sz w:val="24"/>
                <w:szCs w:val="24"/>
                <w:highlight w:val="none"/>
              </w:rPr>
            </w:pPr>
            <w:r>
              <w:rPr>
                <w:rFonts w:hint="eastAsia" w:ascii="宋体" w:hAnsi="宋体" w:cs="宋体"/>
                <w:color w:val="000000"/>
                <w:sz w:val="24"/>
                <w:szCs w:val="24"/>
                <w:highlight w:val="none"/>
              </w:rPr>
              <w:t>高</w:t>
            </w:r>
          </w:p>
          <w:p>
            <w:pPr>
              <w:tabs>
                <w:tab w:val="left" w:pos="855"/>
              </w:tabs>
              <w:jc w:val="center"/>
              <w:rPr>
                <w:rFonts w:ascii="宋体" w:hAnsi="宋体" w:cs="宋体"/>
                <w:color w:val="000000"/>
                <w:sz w:val="24"/>
                <w:szCs w:val="24"/>
                <w:highlight w:val="none"/>
              </w:rPr>
            </w:pPr>
            <w:r>
              <w:rPr>
                <w:rFonts w:hint="eastAsia" w:ascii="宋体" w:hAnsi="宋体" w:cs="宋体"/>
                <w:color w:val="000000"/>
                <w:sz w:val="24"/>
                <w:szCs w:val="24"/>
                <w:highlight w:val="none"/>
              </w:rPr>
              <w:t>（单位：mm）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DN20</w:t>
            </w:r>
          </w:p>
        </w:tc>
        <w:tc>
          <w:tcPr>
            <w:tcW w:w="2203"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195</w:t>
            </w:r>
          </w:p>
        </w:tc>
        <w:tc>
          <w:tcPr>
            <w:tcW w:w="2204"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≤110</w:t>
            </w:r>
          </w:p>
        </w:tc>
        <w:tc>
          <w:tcPr>
            <w:tcW w:w="2205"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DN25</w:t>
            </w:r>
          </w:p>
        </w:tc>
        <w:tc>
          <w:tcPr>
            <w:tcW w:w="2203" w:type="dxa"/>
          </w:tcPr>
          <w:p>
            <w:pPr>
              <w:tabs>
                <w:tab w:val="left" w:pos="855"/>
              </w:tabs>
              <w:spacing w:line="360" w:lineRule="auto"/>
              <w:ind w:firstLine="720" w:firstLineChars="300"/>
              <w:jc w:val="both"/>
              <w:rPr>
                <w:rFonts w:ascii="宋体" w:hAnsi="宋体" w:cs="宋体"/>
                <w:color w:val="000000"/>
                <w:sz w:val="24"/>
                <w:szCs w:val="24"/>
                <w:highlight w:val="none"/>
              </w:rPr>
            </w:pPr>
            <w:r>
              <w:rPr>
                <w:rFonts w:hint="eastAsia" w:ascii="宋体" w:hAnsi="宋体" w:cs="宋体"/>
                <w:color w:val="000000"/>
                <w:sz w:val="24"/>
                <w:szCs w:val="24"/>
                <w:highlight w:val="none"/>
              </w:rPr>
              <w:t>225</w:t>
            </w:r>
          </w:p>
        </w:tc>
        <w:tc>
          <w:tcPr>
            <w:tcW w:w="2204" w:type="dxa"/>
          </w:tcPr>
          <w:p>
            <w:pPr>
              <w:tabs>
                <w:tab w:val="left" w:pos="855"/>
              </w:tabs>
              <w:spacing w:line="360" w:lineRule="auto"/>
              <w:ind w:firstLine="720" w:firstLineChars="300"/>
              <w:jc w:val="both"/>
              <w:rPr>
                <w:rFonts w:ascii="宋体" w:hAnsi="宋体" w:cs="宋体"/>
                <w:color w:val="000000"/>
                <w:sz w:val="24"/>
                <w:szCs w:val="24"/>
                <w:highlight w:val="none"/>
              </w:rPr>
            </w:pPr>
            <w:r>
              <w:rPr>
                <w:rFonts w:hint="eastAsia" w:ascii="宋体" w:hAnsi="宋体" w:cs="宋体"/>
                <w:color w:val="000000"/>
                <w:sz w:val="24"/>
                <w:szCs w:val="24"/>
                <w:highlight w:val="none"/>
              </w:rPr>
              <w:t>≤110</w:t>
            </w:r>
          </w:p>
        </w:tc>
        <w:tc>
          <w:tcPr>
            <w:tcW w:w="2205" w:type="dxa"/>
          </w:tcPr>
          <w:p>
            <w:pPr>
              <w:tabs>
                <w:tab w:val="left" w:pos="855"/>
              </w:tabs>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DN40</w:t>
            </w:r>
          </w:p>
        </w:tc>
        <w:tc>
          <w:tcPr>
            <w:tcW w:w="2203"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245</w:t>
            </w:r>
          </w:p>
        </w:tc>
        <w:tc>
          <w:tcPr>
            <w:tcW w:w="2204"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≤110</w:t>
            </w:r>
          </w:p>
        </w:tc>
        <w:tc>
          <w:tcPr>
            <w:tcW w:w="2205"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DN50</w:t>
            </w:r>
          </w:p>
        </w:tc>
        <w:tc>
          <w:tcPr>
            <w:tcW w:w="2203"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280</w:t>
            </w:r>
          </w:p>
        </w:tc>
        <w:tc>
          <w:tcPr>
            <w:tcW w:w="2204"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≤170</w:t>
            </w:r>
          </w:p>
        </w:tc>
        <w:tc>
          <w:tcPr>
            <w:tcW w:w="2205"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DN80</w:t>
            </w:r>
          </w:p>
        </w:tc>
        <w:tc>
          <w:tcPr>
            <w:tcW w:w="2203"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 xml:space="preserve">   370</w:t>
            </w:r>
          </w:p>
        </w:tc>
        <w:tc>
          <w:tcPr>
            <w:tcW w:w="2204"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 xml:space="preserve">    ≤240</w:t>
            </w:r>
          </w:p>
        </w:tc>
        <w:tc>
          <w:tcPr>
            <w:tcW w:w="2205" w:type="dxa"/>
          </w:tcPr>
          <w:p>
            <w:pPr>
              <w:tabs>
                <w:tab w:val="left" w:pos="855"/>
              </w:tabs>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 xml:space="preserve">    ≤300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sz w:val="24"/>
                <w:szCs w:val="24"/>
                <w:highlight w:val="none"/>
              </w:rPr>
              <w:t>DN100</w:t>
            </w:r>
          </w:p>
        </w:tc>
        <w:tc>
          <w:tcPr>
            <w:tcW w:w="2203"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370</w:t>
            </w:r>
          </w:p>
        </w:tc>
        <w:tc>
          <w:tcPr>
            <w:tcW w:w="2204"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sz w:val="24"/>
                <w:szCs w:val="24"/>
                <w:highlight w:val="none"/>
              </w:rPr>
              <w:t>260</w:t>
            </w:r>
          </w:p>
        </w:tc>
        <w:tc>
          <w:tcPr>
            <w:tcW w:w="2205"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sz w:val="24"/>
                <w:szCs w:val="24"/>
                <w:highlight w:val="none"/>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sz w:val="24"/>
                <w:szCs w:val="24"/>
                <w:highlight w:val="none"/>
              </w:rPr>
              <w:t>DN150</w:t>
            </w:r>
          </w:p>
        </w:tc>
        <w:tc>
          <w:tcPr>
            <w:tcW w:w="2203"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sz w:val="24"/>
                <w:szCs w:val="24"/>
                <w:highlight w:val="none"/>
              </w:rPr>
              <w:t>500</w:t>
            </w:r>
          </w:p>
        </w:tc>
        <w:tc>
          <w:tcPr>
            <w:tcW w:w="2204"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≤350</w:t>
            </w:r>
          </w:p>
        </w:tc>
        <w:tc>
          <w:tcPr>
            <w:tcW w:w="2205"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sz w:val="24"/>
                <w:szCs w:val="24"/>
                <w:highlight w:val="none"/>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sz w:val="24"/>
                <w:szCs w:val="24"/>
                <w:highlight w:val="none"/>
              </w:rPr>
              <w:t>DN200</w:t>
            </w:r>
          </w:p>
        </w:tc>
        <w:tc>
          <w:tcPr>
            <w:tcW w:w="2203"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sz w:val="24"/>
                <w:szCs w:val="24"/>
                <w:highlight w:val="none"/>
              </w:rPr>
              <w:t>550</w:t>
            </w:r>
          </w:p>
        </w:tc>
        <w:tc>
          <w:tcPr>
            <w:tcW w:w="2204"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≤420</w:t>
            </w:r>
          </w:p>
        </w:tc>
        <w:tc>
          <w:tcPr>
            <w:tcW w:w="2205"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sz w:val="24"/>
                <w:szCs w:val="24"/>
                <w:highlight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color w:val="000000"/>
                <w:sz w:val="24"/>
                <w:szCs w:val="24"/>
                <w:highlight w:val="none"/>
              </w:rPr>
            </w:pPr>
            <w:r>
              <w:rPr>
                <w:rFonts w:hint="eastAsia" w:ascii="宋体" w:hAnsi="宋体" w:cs="宋体"/>
                <w:sz w:val="24"/>
                <w:szCs w:val="24"/>
                <w:highlight w:val="none"/>
              </w:rPr>
              <w:t>DN300</w:t>
            </w:r>
          </w:p>
        </w:tc>
        <w:tc>
          <w:tcPr>
            <w:tcW w:w="2203"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sz w:val="24"/>
                <w:szCs w:val="24"/>
                <w:highlight w:val="none"/>
              </w:rPr>
              <w:t>500</w:t>
            </w:r>
          </w:p>
        </w:tc>
        <w:tc>
          <w:tcPr>
            <w:tcW w:w="2204"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sz w:val="24"/>
                <w:szCs w:val="24"/>
                <w:highlight w:val="none"/>
              </w:rPr>
              <w:t>445</w:t>
            </w:r>
          </w:p>
        </w:tc>
        <w:tc>
          <w:tcPr>
            <w:tcW w:w="2205"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sz w:val="24"/>
                <w:szCs w:val="24"/>
                <w:highlight w:val="none"/>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DN400</w:t>
            </w:r>
          </w:p>
        </w:tc>
        <w:tc>
          <w:tcPr>
            <w:tcW w:w="2203" w:type="dxa"/>
            <w:vAlign w:val="center"/>
          </w:tcPr>
          <w:p>
            <w:pPr>
              <w:adjustRightInd w:val="0"/>
              <w:snapToGrid w:val="0"/>
              <w:spacing w:line="360" w:lineRule="auto"/>
              <w:ind w:firstLine="480" w:firstLineChars="200"/>
              <w:jc w:val="center"/>
              <w:rPr>
                <w:rFonts w:ascii="宋体" w:hAnsi="宋体" w:cs="宋体"/>
                <w:sz w:val="24"/>
                <w:szCs w:val="24"/>
                <w:highlight w:val="none"/>
              </w:rPr>
            </w:pPr>
            <w:r>
              <w:rPr>
                <w:rFonts w:hint="eastAsia" w:ascii="宋体" w:hAnsi="宋体" w:cs="宋体"/>
                <w:sz w:val="24"/>
                <w:szCs w:val="24"/>
                <w:highlight w:val="none"/>
              </w:rPr>
              <w:t>600</w:t>
            </w:r>
          </w:p>
        </w:tc>
        <w:tc>
          <w:tcPr>
            <w:tcW w:w="2204"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≤560</w:t>
            </w:r>
          </w:p>
        </w:tc>
        <w:tc>
          <w:tcPr>
            <w:tcW w:w="2205"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4" w:type="dxa"/>
            <w:vAlign w:val="center"/>
          </w:tcPr>
          <w:p>
            <w:pPr>
              <w:spacing w:line="360" w:lineRule="auto"/>
              <w:jc w:val="center"/>
              <w:rPr>
                <w:rFonts w:ascii="宋体" w:hAnsi="宋体" w:cs="宋体"/>
                <w:sz w:val="24"/>
                <w:szCs w:val="24"/>
                <w:highlight w:val="none"/>
              </w:rPr>
            </w:pPr>
            <w:r>
              <w:rPr>
                <w:rFonts w:hint="eastAsia" w:ascii="宋体" w:hAnsi="宋体" w:cs="宋体"/>
                <w:sz w:val="24"/>
                <w:szCs w:val="24"/>
                <w:highlight w:val="none"/>
              </w:rPr>
              <w:t>DN500</w:t>
            </w:r>
          </w:p>
        </w:tc>
        <w:tc>
          <w:tcPr>
            <w:tcW w:w="2203" w:type="dxa"/>
            <w:vAlign w:val="center"/>
          </w:tcPr>
          <w:p>
            <w:pPr>
              <w:adjustRightInd w:val="0"/>
              <w:snapToGrid w:val="0"/>
              <w:spacing w:line="360" w:lineRule="auto"/>
              <w:ind w:firstLine="480" w:firstLineChars="200"/>
              <w:jc w:val="center"/>
              <w:rPr>
                <w:rFonts w:ascii="宋体" w:hAnsi="宋体" w:cs="宋体"/>
                <w:sz w:val="24"/>
                <w:szCs w:val="24"/>
                <w:highlight w:val="none"/>
              </w:rPr>
            </w:pPr>
            <w:r>
              <w:rPr>
                <w:rFonts w:hint="eastAsia" w:ascii="宋体" w:hAnsi="宋体" w:cs="宋体"/>
                <w:sz w:val="24"/>
                <w:szCs w:val="24"/>
                <w:highlight w:val="none"/>
              </w:rPr>
              <w:t>800</w:t>
            </w:r>
          </w:p>
        </w:tc>
        <w:tc>
          <w:tcPr>
            <w:tcW w:w="2204"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≤670</w:t>
            </w:r>
          </w:p>
        </w:tc>
        <w:tc>
          <w:tcPr>
            <w:tcW w:w="2205" w:type="dxa"/>
            <w:vAlign w:val="center"/>
          </w:tcPr>
          <w:p>
            <w:pPr>
              <w:adjustRightInd w:val="0"/>
              <w:snapToGrid w:val="0"/>
              <w:spacing w:line="360" w:lineRule="auto"/>
              <w:ind w:firstLine="480" w:firstLineChars="200"/>
              <w:jc w:val="center"/>
              <w:rPr>
                <w:rFonts w:ascii="宋体" w:hAnsi="宋体" w:cs="宋体"/>
                <w:color w:val="000000"/>
                <w:sz w:val="24"/>
                <w:szCs w:val="24"/>
                <w:highlight w:val="none"/>
              </w:rPr>
            </w:pPr>
            <w:r>
              <w:rPr>
                <w:rFonts w:hint="eastAsia" w:ascii="宋体" w:hAnsi="宋体" w:cs="宋体"/>
                <w:color w:val="000000"/>
                <w:sz w:val="24"/>
                <w:szCs w:val="24"/>
                <w:highlight w:val="none"/>
              </w:rPr>
              <w:t>≤740</w:t>
            </w:r>
          </w:p>
        </w:tc>
      </w:tr>
    </w:tbl>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6.1.6</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计数器：数字外观高度≥4mm，宽度≥2mm，度盘长期清晰，数字示数非电子显示，精准至个位数。</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6.1.7</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机械字轮位数：指示到m³的位数为≥5位，即量程为0m³～＋99999 m³，DN20、DN25、DN40表盘指针示值最小一位至少为0.001 m³，DN50、DN80、DN100表盘指针示值最小一位至少为0.01m³，DN150、DN200表盘指针示值最小一位至少为0.1 m³，DN250、DN300、DN400、DN500表盘指针示值最小一位至少为1 m³。</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6.1.8</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在水表表盘上按招标人要求印制带有“花都供水”等相关字样，并标有公称口径、制造年月和编号等标志，所有水表均需根据招标人要求加盖条形码或二维码，且满足垂直俯视时可同时目视水表读数及出厂编号的要求。水表要有防护装置，具有效的封印和防拆，封印标志不易被破坏，能够有效防止未经许可的改变读数显示行为。</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6.1.9</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最大允许工作压力1.0MPa。</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6.1.10</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压力损失等级≦Δp63。</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6.1.11</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投标人提供的智能水表防水等级：P68，不进灰尘，满足长期浸水的要求。</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6.1.12</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运行工作环境要求：</w:t>
      </w:r>
    </w:p>
    <w:p>
      <w:pPr>
        <w:tabs>
          <w:tab w:val="left" w:pos="855"/>
        </w:tabs>
        <w:spacing w:line="360" w:lineRule="auto"/>
        <w:ind w:firstLine="560"/>
        <w:rPr>
          <w:rFonts w:ascii="宋体" w:hAnsi="宋体" w:cs="宋体"/>
          <w:color w:val="000000"/>
          <w:sz w:val="24"/>
          <w:szCs w:val="24"/>
          <w:highlight w:val="none"/>
        </w:rPr>
      </w:pPr>
      <w:r>
        <w:rPr>
          <w:rFonts w:hint="eastAsia" w:ascii="宋体" w:hAnsi="宋体" w:cs="宋体"/>
          <w:color w:val="000000"/>
          <w:sz w:val="24"/>
          <w:szCs w:val="24"/>
          <w:highlight w:val="none"/>
        </w:rPr>
        <w:t>工作温度</w:t>
      </w:r>
      <w:r>
        <w:rPr>
          <w:rFonts w:hint="eastAsia" w:ascii="宋体" w:hAnsi="宋体" w:cs="宋体"/>
          <w:sz w:val="24"/>
          <w:szCs w:val="24"/>
          <w:highlight w:val="none"/>
        </w:rPr>
        <w:t>：0℃～55℃；</w:t>
      </w:r>
    </w:p>
    <w:p>
      <w:pPr>
        <w:tabs>
          <w:tab w:val="left" w:pos="855"/>
        </w:tabs>
        <w:spacing w:line="360" w:lineRule="auto"/>
        <w:ind w:firstLine="560"/>
        <w:rPr>
          <w:rFonts w:ascii="宋体" w:hAnsi="宋体" w:cs="宋体"/>
          <w:color w:val="000000"/>
          <w:sz w:val="24"/>
          <w:szCs w:val="24"/>
          <w:highlight w:val="none"/>
        </w:rPr>
      </w:pPr>
      <w:r>
        <w:rPr>
          <w:rFonts w:hint="eastAsia" w:ascii="宋体" w:hAnsi="宋体" w:cs="宋体"/>
          <w:color w:val="000000"/>
          <w:sz w:val="24"/>
          <w:szCs w:val="24"/>
          <w:highlight w:val="none"/>
        </w:rPr>
        <w:t>工作湿度≤100%；</w:t>
      </w:r>
    </w:p>
    <w:p>
      <w:pPr>
        <w:tabs>
          <w:tab w:val="left" w:pos="855"/>
        </w:tabs>
        <w:spacing w:line="360" w:lineRule="auto"/>
        <w:ind w:firstLine="560"/>
        <w:rPr>
          <w:rFonts w:ascii="宋体" w:hAnsi="宋体" w:cs="宋体"/>
          <w:color w:val="000000"/>
          <w:sz w:val="24"/>
          <w:szCs w:val="24"/>
          <w:highlight w:val="none"/>
        </w:rPr>
      </w:pPr>
      <w:r>
        <w:rPr>
          <w:rFonts w:hint="eastAsia" w:ascii="宋体" w:hAnsi="宋体" w:cs="宋体"/>
          <w:color w:val="000000"/>
          <w:sz w:val="24"/>
          <w:szCs w:val="24"/>
          <w:highlight w:val="none"/>
        </w:rPr>
        <w:t>智能水表要考虑能在特殊工作条件（如：水、电源、磁场强度、特殊温度、湿度、振动强度等）环境下使用运行</w:t>
      </w:r>
      <w:r>
        <w:rPr>
          <w:rFonts w:hint="eastAsia" w:ascii="宋体" w:hAnsi="宋体" w:cs="宋体"/>
          <w:sz w:val="24"/>
          <w:szCs w:val="24"/>
          <w:highlight w:val="none"/>
        </w:rPr>
        <w:t>，抗磁场干扰测试符合国家标准。</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6.1.13</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使用寿命：至少满足国家冷水水表检定规程要求的使用年限且不得少于质保期。</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6.1.14</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招标人有权根据实际情况对智能水表参数及要求进行合理调整。</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6.1.15</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工作电源：NB-IOT模块必须使用内置通用锂电池且可独立更换，在上报频次为1次/日时，保证可连续使用≥8年。</w:t>
      </w:r>
    </w:p>
    <w:p>
      <w:pPr>
        <w:tabs>
          <w:tab w:val="left" w:pos="855"/>
        </w:tabs>
        <w:spacing w:line="360" w:lineRule="auto"/>
        <w:rPr>
          <w:rFonts w:ascii="宋体" w:hAnsi="宋体" w:cs="宋体"/>
          <w:sz w:val="24"/>
          <w:szCs w:val="24"/>
          <w:highlight w:val="none"/>
        </w:rPr>
      </w:pPr>
      <w:r>
        <w:rPr>
          <w:rFonts w:hint="eastAsia" w:ascii="宋体" w:hAnsi="宋体" w:cs="宋体"/>
          <w:sz w:val="24"/>
          <w:szCs w:val="24"/>
          <w:highlight w:val="none"/>
        </w:rPr>
        <w:t xml:space="preserve">    6.1.16</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中标人需对终身提供维护和技术支持。质保期由水表竣工验收合格之日起算。中标人对一户一表远传系统远程采集设备和系统的电池可连续使用时长8年内免费更换保养。在此期间如发生质量及渗漏问题，中标人应免费更换。</w:t>
      </w:r>
    </w:p>
    <w:p>
      <w:pPr>
        <w:pStyle w:val="3"/>
        <w:tabs>
          <w:tab w:val="left" w:pos="540"/>
          <w:tab w:val="left" w:pos="1134"/>
        </w:tabs>
        <w:adjustRightInd w:val="0"/>
        <w:snapToGrid w:val="0"/>
        <w:spacing w:line="360" w:lineRule="auto"/>
        <w:ind w:left="560"/>
        <w:rPr>
          <w:rFonts w:hAnsi="宋体" w:cs="宋体"/>
          <w:sz w:val="24"/>
          <w:szCs w:val="24"/>
          <w:highlight w:val="none"/>
        </w:rPr>
      </w:pPr>
      <w:r>
        <w:rPr>
          <w:rFonts w:hint="eastAsia" w:hAnsi="宋体" w:cs="宋体"/>
          <w:sz w:val="24"/>
          <w:szCs w:val="24"/>
          <w:highlight w:val="none"/>
        </w:rPr>
        <w:t>6.2</w:t>
      </w:r>
      <w:r>
        <w:rPr>
          <w:rFonts w:hint="eastAsia" w:hAnsi="宋体" w:cs="宋体"/>
          <w:sz w:val="24"/>
          <w:szCs w:val="24"/>
          <w:highlight w:val="none"/>
          <w:lang w:val="en-US" w:eastAsia="zh-CN"/>
        </w:rPr>
        <w:t xml:space="preserve"> </w:t>
      </w:r>
      <w:r>
        <w:rPr>
          <w:rFonts w:hint="eastAsia" w:hAnsi="宋体" w:cs="宋体"/>
          <w:sz w:val="24"/>
          <w:szCs w:val="24"/>
          <w:highlight w:val="none"/>
        </w:rPr>
        <w:t>基表表壳技术要求</w:t>
      </w:r>
    </w:p>
    <w:p>
      <w:pPr>
        <w:tabs>
          <w:tab w:val="left" w:pos="855"/>
        </w:tabs>
        <w:spacing w:line="360" w:lineRule="auto"/>
        <w:ind w:firstLine="567"/>
        <w:rPr>
          <w:rFonts w:ascii="宋体" w:hAnsi="宋体" w:cs="宋体"/>
          <w:color w:val="000000"/>
          <w:sz w:val="24"/>
          <w:szCs w:val="24"/>
          <w:highlight w:val="none"/>
        </w:rPr>
      </w:pPr>
      <w:r>
        <w:rPr>
          <w:rFonts w:hint="eastAsia" w:ascii="宋体" w:hAnsi="宋体" w:cs="宋体"/>
          <w:color w:val="000000"/>
          <w:sz w:val="24"/>
          <w:szCs w:val="24"/>
          <w:highlight w:val="none"/>
        </w:rPr>
        <w:t>6.2.1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DN20mm-DN500水表制造材料：水表表体材料应为球墨铸铁，表面经静电喷塑处理，不允许有气泡或漆块堆积。水表机芯材料应采用符合国家标准的耐磨损的工程塑料。水表内所有接触水的零部件应采用通常认为是无毒、无污染、无生物活性的材料制造，符合建设行业标准《饮用水冷水水表安全规则（CJ266-2008）》。整体水表的制造材料应抗内、外部腐蚀。</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6.2.2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壳体左右两侧有明显的口径、水流方向，满足垂直俯视时可同时目视水表读数及出厂编号的要求，整体构造不影响质监局在线检测要求。</w:t>
      </w:r>
    </w:p>
    <w:p>
      <w:pPr>
        <w:tabs>
          <w:tab w:val="left" w:pos="855"/>
        </w:tabs>
        <w:spacing w:line="360" w:lineRule="auto"/>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6.2.3</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为了提高水表计量性能，招标人有权随时要求投标人按招标人设计更改表壳结构，投标人应无条件配合。</w:t>
      </w:r>
    </w:p>
    <w:p>
      <w:pPr>
        <w:pStyle w:val="3"/>
        <w:tabs>
          <w:tab w:val="left" w:pos="540"/>
          <w:tab w:val="left" w:pos="1134"/>
        </w:tabs>
        <w:adjustRightInd w:val="0"/>
        <w:snapToGrid w:val="0"/>
        <w:spacing w:line="360" w:lineRule="auto"/>
        <w:rPr>
          <w:rFonts w:hAnsi="宋体" w:cs="宋体"/>
          <w:bCs/>
          <w:color w:val="000000"/>
          <w:sz w:val="24"/>
          <w:szCs w:val="24"/>
          <w:highlight w:val="none"/>
        </w:rPr>
      </w:pPr>
      <w:r>
        <w:rPr>
          <w:rFonts w:hint="eastAsia" w:hAnsi="宋体" w:cs="宋体"/>
          <w:sz w:val="24"/>
          <w:szCs w:val="24"/>
          <w:highlight w:val="none"/>
        </w:rPr>
        <w:t xml:space="preserve">    6.3</w:t>
      </w:r>
      <w:r>
        <w:rPr>
          <w:rFonts w:hint="eastAsia" w:hAnsi="宋体" w:cs="宋体"/>
          <w:sz w:val="24"/>
          <w:szCs w:val="24"/>
          <w:highlight w:val="none"/>
          <w:lang w:val="en-US" w:eastAsia="zh-CN"/>
        </w:rPr>
        <w:t xml:space="preserve"> </w:t>
      </w:r>
      <w:r>
        <w:rPr>
          <w:rFonts w:hint="eastAsia" w:hAnsi="宋体" w:cs="宋体"/>
          <w:sz w:val="24"/>
          <w:szCs w:val="24"/>
          <w:highlight w:val="none"/>
        </w:rPr>
        <w:t>水表配件技术要求</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6.3.1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投标人提供的智能表必须配套接管、螺母、橡胶垫圈等水表配件。</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6.3.2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水表接管、螺母必须使用HPb59-1标准铜材红冲锻造材料使用40-2铅黄铜（ZCuZn40Pb2），铜含量不低于58%，铅含量不高于2.5%。</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6.3.3</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水表接管内表面均应喷涂蓝色的防护材料，喷涂后表面均匀光滑，不应有凹痕、划伤、裂纹、气孔、漆块堆积、螺纹损伤等缺陷。接管承压等级MPA10，以1.6倍最大允许压力进行压力试验，历时1分钟无渗漏。</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6.3.4</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接管的涉水部位和涉水防护材料应无毒、无污染、无生物活性、不得污染水质，并符合GB/T 17219-1998 生活饮用水输配水设备及防护材料的安全性能评价标准的浸泡试验要求。</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6.3.5</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涂层厚度：应大于250μm；涂层硬度：压痕硬度应大于80；涂层附着力：涂层与基体的附着力经划格试验应达到0级。</w:t>
      </w:r>
    </w:p>
    <w:p>
      <w:pPr>
        <w:widowControl w:val="0"/>
        <w:numPr>
          <w:ilvl w:val="0"/>
          <w:numId w:val="1"/>
        </w:numPr>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★NB-IOT远传模块技术要求</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NB-IOT远传模块机电转换采用无磁传感方式，须能识别正向和反向流，分别独立计数，水表电子设</w:t>
      </w:r>
      <w:r>
        <w:rPr>
          <w:rFonts w:hint="eastAsia" w:ascii="宋体" w:hAnsi="宋体" w:cs="宋体"/>
          <w:sz w:val="24"/>
          <w:szCs w:val="24"/>
          <w:highlight w:val="none"/>
        </w:rPr>
        <w:t>备不得破坏基表结构，不得影响人工抄读到升（L）位，不得影响质检部门在线检测。</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DN20、DN25无磁发讯位至少为1升（L）位，DN40-DN50无磁发讯位至少为10升（L）位，DN80、DN100无磁发讯位至少为100升（L）位，DN150、DN200无磁发讯位至少为1m³（立方）位，DN250-DN500无磁发讯位至少为10m³（立方）位须保证机电转换的准确率，八年内机电转换误差≦1m³，智能水表上传行度整数位与现场行度读数整数位要100%一致。（投标方提供证明材料或承诺函）</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7.3</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工作电源：NB-IOT模块必须使用内置通用锂电池且可独立更换，在上报频次为1次/日时，保证可连续使用≥8年。</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7.4</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工作温度：0℃～55℃。</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7.5</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工作湿度：0%～100%，在40℃至少为93%。</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7.6</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安装环境等级：C类</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7.7</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电磁兼容等级：E1</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w:t>
      </w:r>
      <w:r>
        <w:rPr>
          <w:rFonts w:hint="eastAsia" w:ascii="宋体" w:hAnsi="宋体" w:cs="宋体"/>
          <w:color w:val="000000"/>
          <w:sz w:val="24"/>
          <w:szCs w:val="24"/>
          <w:highlight w:val="none"/>
          <w:lang w:val="en-US" w:eastAsia="zh-CN"/>
        </w:rPr>
        <w:t xml:space="preserve">8 </w:t>
      </w:r>
      <w:r>
        <w:rPr>
          <w:rFonts w:hint="eastAsia" w:ascii="宋体" w:hAnsi="宋体" w:cs="宋体"/>
          <w:color w:val="000000"/>
          <w:sz w:val="24"/>
          <w:szCs w:val="24"/>
          <w:highlight w:val="none"/>
        </w:rPr>
        <w:t>使用寿命：可连续工作8年以上</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w:t>
      </w:r>
      <w:r>
        <w:rPr>
          <w:rFonts w:hint="eastAsia" w:ascii="宋体" w:hAnsi="宋体" w:cs="宋体"/>
          <w:color w:val="000000"/>
          <w:sz w:val="24"/>
          <w:szCs w:val="24"/>
          <w:highlight w:val="none"/>
          <w:lang w:val="en-US" w:eastAsia="zh-CN"/>
        </w:rPr>
        <w:t xml:space="preserve">9 </w:t>
      </w:r>
      <w:r>
        <w:rPr>
          <w:rFonts w:hint="eastAsia" w:ascii="宋体" w:hAnsi="宋体" w:cs="宋体"/>
          <w:color w:val="000000"/>
          <w:sz w:val="24"/>
          <w:szCs w:val="24"/>
          <w:highlight w:val="none"/>
        </w:rPr>
        <w:t>支持红外调试通信端口，可通过手持式近端红外设备调试NB-IOT模块。</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7.1</w:t>
      </w:r>
      <w:r>
        <w:rPr>
          <w:rFonts w:hint="eastAsia" w:ascii="宋体" w:hAnsi="宋体" w:cs="宋体"/>
          <w:color w:val="000000"/>
          <w:sz w:val="24"/>
          <w:szCs w:val="24"/>
          <w:highlight w:val="none"/>
          <w:lang w:val="en-US" w:eastAsia="zh-CN"/>
        </w:rPr>
        <w:t xml:space="preserve">0 </w:t>
      </w:r>
      <w:r>
        <w:rPr>
          <w:rFonts w:hint="eastAsia" w:ascii="宋体" w:hAnsi="宋体" w:cs="宋体"/>
          <w:color w:val="000000"/>
          <w:sz w:val="24"/>
          <w:szCs w:val="24"/>
          <w:highlight w:val="none"/>
        </w:rPr>
        <w:t>使用的NB-IOT芯片需要取得华为认证。</w:t>
      </w:r>
    </w:p>
    <w:p>
      <w:pPr>
        <w:tabs>
          <w:tab w:val="left" w:pos="855"/>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7.1</w:t>
      </w:r>
      <w:r>
        <w:rPr>
          <w:rFonts w:hint="eastAsia" w:ascii="宋体" w:hAnsi="宋体" w:cs="宋体"/>
          <w:color w:val="000000"/>
          <w:sz w:val="24"/>
          <w:szCs w:val="24"/>
          <w:highlight w:val="none"/>
          <w:lang w:val="en-US" w:eastAsia="zh-CN"/>
        </w:rPr>
        <w:t xml:space="preserve">1 </w:t>
      </w:r>
      <w:r>
        <w:rPr>
          <w:rFonts w:hint="eastAsia" w:ascii="宋体" w:hAnsi="宋体" w:cs="宋体"/>
          <w:color w:val="000000"/>
          <w:sz w:val="24"/>
          <w:szCs w:val="24"/>
          <w:highlight w:val="none"/>
        </w:rPr>
        <w:t>水表投入使用后日上报成功率要≥99%，月上报成功率要≥99.9%（含补录），抄读准确率≥99.9%，水表年故障率≦0.5%。（投标方提供证明材料或承诺函）</w:t>
      </w:r>
    </w:p>
    <w:p>
      <w:pPr>
        <w:widowControl w:val="0"/>
        <w:numPr>
          <w:ilvl w:val="0"/>
          <w:numId w:val="1"/>
        </w:numPr>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★NB-IOT模块功能要求</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投标人提供的NB-IOT模块上行通讯需采用本地通信运营商的NB-IoT网络实现数据传输，并提供属地化日</w:t>
      </w:r>
      <w:r>
        <w:rPr>
          <w:rFonts w:hint="eastAsia" w:ascii="宋体" w:hAnsi="宋体" w:cs="宋体"/>
          <w:sz w:val="24"/>
          <w:szCs w:val="24"/>
          <w:highlight w:val="none"/>
        </w:rPr>
        <w:t>常稳定、顺畅的通信</w:t>
      </w:r>
      <w:r>
        <w:rPr>
          <w:rFonts w:hint="eastAsia" w:ascii="宋体" w:hAnsi="宋体" w:cs="宋体"/>
          <w:color w:val="000000"/>
          <w:sz w:val="24"/>
          <w:szCs w:val="24"/>
          <w:highlight w:val="none"/>
        </w:rPr>
        <w:t>运维服务。（投标人需提供承诺函作备案确认）</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NB-IOT模块每30分钟进行一次水量行度采集自动记录历史数据，每日0时打包上传前一日所有的行度数据；数据包含每30分钟记录一次的数据，共48个数据记录；如果通信中断无法上传成功，当与上位机的联系恢复时，自动上发未成功传送的历史数据，下个上报周期数据自动打包补发，在数据有效保存期内的数据都可以打包补发。</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数据上报消息要在一个完整的消息报文中上送，周期上报通过随机离散，把上报的时间点离散，最小估长10秒，默认0点到8点内离散。上报重发机制设置为上报不成功时，水表数据进行重发，重发次数可设，默认2次，最大可设置为4次。如需对上报机制进行调整，投标人需知会招标人同意后，方可调整。</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8.3</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NB-IOT模块至少可存储180天的行度数据，当存储介质满载时，新采集的数据自动覆盖最早数据；遇到NB-IOT模块断电的情况，必须保证存储数据的完整性和正确性，避免数据丢失，以备查校验和补抄。</w:t>
      </w:r>
    </w:p>
    <w:p>
      <w:pPr>
        <w:spacing w:line="360" w:lineRule="auto"/>
        <w:ind w:firstLine="240" w:firstLineChars="100"/>
        <w:rPr>
          <w:rFonts w:ascii="宋体" w:hAnsi="宋体" w:cs="宋体"/>
          <w:color w:val="000000"/>
          <w:sz w:val="24"/>
          <w:szCs w:val="24"/>
          <w:highlight w:val="none"/>
        </w:rPr>
      </w:pPr>
      <w:r>
        <w:rPr>
          <w:rFonts w:hint="eastAsia" w:ascii="宋体" w:hAnsi="宋体" w:cs="宋体"/>
          <w:color w:val="000000"/>
          <w:sz w:val="24"/>
          <w:szCs w:val="24"/>
          <w:highlight w:val="none"/>
        </w:rPr>
        <w:t xml:space="preserve">  8.4</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NB-IOT模块支持CoAP协议，上下行数据传输规约中流量数据转换系数统一为1，数据传输的单位统一为</w:t>
      </w:r>
      <w:r>
        <w:rPr>
          <w:rFonts w:ascii="宋体" w:hAnsi="宋体" w:cs="宋体"/>
          <w:color w:val="000000"/>
          <w:sz w:val="24"/>
          <w:szCs w:val="24"/>
          <w:highlight w:val="none"/>
        </w:rPr>
        <w:drawing>
          <wp:inline distT="0" distB="0" distL="114300" distR="114300">
            <wp:extent cx="207010" cy="182880"/>
            <wp:effectExtent l="0" t="0" r="254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07010" cy="182880"/>
                    </a:xfrm>
                    <a:prstGeom prst="rect">
                      <a:avLst/>
                    </a:prstGeom>
                    <a:noFill/>
                    <a:ln>
                      <a:noFill/>
                    </a:ln>
                  </pic:spPr>
                </pic:pic>
              </a:graphicData>
            </a:graphic>
          </wp:inline>
        </w:drawing>
      </w:r>
      <w:r>
        <w:rPr>
          <w:rFonts w:hint="eastAsia" w:ascii="宋体" w:hAnsi="宋体" w:cs="宋体"/>
          <w:color w:val="000000"/>
          <w:sz w:val="24"/>
          <w:szCs w:val="24"/>
          <w:highlight w:val="none"/>
        </w:rPr>
        <w:t>，不再设置其他转换系数。中标人需提供NB-IOT表计通讯协议标准格式，配合招标人把数据采集到招标人指定的物联网平台上。若抄表数据先上传至运营商物联网平台，需上传到招标人的相应运营商的账号下,中标单位需要提供完整的数据协议，保证招标人能够解析相关协议获取正确的水表数据。上传数据应至少具备但不限于具备记载与招标人营抄系统一致的永久编码、水表编码，以及水表行度、用户名称和地址、用水量、抄表日期、抄表状态等信息。</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8.5</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在设备使用过程中，能够按照招标人的要求，能对NB-IOT模块的程序增加必要的功能以满足招标人的实际需要，要求提供NB-IOT模块的配置和升级软件，可通过网络进行免费升级。</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8.6</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NB-IOT模块可通过网络或手持式红外设备对水表表码、底数以及传输端口等参数进行设置。</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8.6.1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支持红外通讯，非调制型接口，非调制式缺省值为1200 bps。</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8.6.2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具备红外扫条形码功能（可外配设备），可进行抄读、数据存储、编程且能与平台通讯。</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8.7</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无线智能水表具有以下的故障报警功能，相关的故障必须按招标人要求的代码形式上报：</w:t>
      </w:r>
    </w:p>
    <w:p>
      <w:pPr>
        <w:spacing w:line="360" w:lineRule="auto"/>
        <w:rPr>
          <w:rFonts w:ascii="宋体" w:hAnsi="宋体" w:cs="宋体"/>
          <w:sz w:val="24"/>
          <w:szCs w:val="24"/>
          <w:highlight w:val="none"/>
        </w:rPr>
      </w:pPr>
      <w:r>
        <w:rPr>
          <w:rFonts w:hint="eastAsia" w:ascii="宋体" w:hAnsi="宋体" w:cs="宋体"/>
          <w:sz w:val="24"/>
          <w:szCs w:val="24"/>
          <w:highlight w:val="none"/>
        </w:rPr>
        <w:t xml:space="preserve">    8.7.1</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磁干扰报警：检测到电磁或磁铁干扰是进行自行报警当发生立即告警时，每日仅在首次发生时立即唤醒水表一天上报一次时将报警信息跟水表数据一起上报。</w:t>
      </w:r>
    </w:p>
    <w:p>
      <w:pPr>
        <w:spacing w:line="360" w:lineRule="auto"/>
        <w:ind w:firstLine="480"/>
        <w:rPr>
          <w:rFonts w:ascii="宋体" w:hAnsi="宋体" w:cs="宋体"/>
          <w:sz w:val="24"/>
          <w:szCs w:val="24"/>
          <w:highlight w:val="none"/>
        </w:rPr>
      </w:pPr>
      <w:r>
        <w:rPr>
          <w:rFonts w:hint="eastAsia" w:ascii="宋体" w:hAnsi="宋体" w:cs="宋体"/>
          <w:sz w:val="24"/>
          <w:szCs w:val="24"/>
          <w:highlight w:val="none"/>
        </w:rPr>
        <w:t>8.7.2</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电子模块分离报警：水表电子模块与基表分离时，默认随周期上报数据进行报警。当发生立即报警时，每日仅在首次发生时立即唤醒水表一天上报一次时将报警信息跟水表数据一起上报。</w:t>
      </w:r>
    </w:p>
    <w:p>
      <w:pPr>
        <w:spacing w:line="360" w:lineRule="auto"/>
        <w:ind w:firstLine="480"/>
        <w:rPr>
          <w:rFonts w:ascii="宋体" w:hAnsi="宋体" w:cs="宋体"/>
          <w:sz w:val="24"/>
          <w:szCs w:val="24"/>
          <w:highlight w:val="none"/>
        </w:rPr>
      </w:pPr>
      <w:r>
        <w:rPr>
          <w:rFonts w:hint="eastAsia" w:ascii="宋体" w:hAnsi="宋体" w:cs="宋体"/>
          <w:sz w:val="24"/>
          <w:szCs w:val="24"/>
          <w:highlight w:val="none"/>
        </w:rPr>
        <w:t>8.7.3</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过流流量报警：水表（默认30分钟）持续流量＞过流报警阀值（默认Q4），默认随周期上报数据进行报警。当发生立即报警时，每日仅在首次发生时立即唤醒水表主动上报一次，并且随周期上报数据一起上报。</w:t>
      </w:r>
    </w:p>
    <w:p>
      <w:pPr>
        <w:spacing w:line="360" w:lineRule="auto"/>
        <w:ind w:firstLine="480"/>
        <w:rPr>
          <w:rFonts w:ascii="宋体" w:hAnsi="宋体" w:cs="宋体"/>
          <w:sz w:val="24"/>
          <w:szCs w:val="24"/>
          <w:highlight w:val="none"/>
        </w:rPr>
      </w:pPr>
      <w:r>
        <w:rPr>
          <w:rFonts w:hint="eastAsia" w:ascii="宋体" w:hAnsi="宋体" w:cs="宋体"/>
          <w:sz w:val="24"/>
          <w:szCs w:val="24"/>
          <w:highlight w:val="none"/>
        </w:rPr>
        <w:t>8.7.4</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反流流量报警：水表（默认30分钟）持续反流流量＞反流报警阀值（默认Q2），默认随周期上报数据进行报警。当发生立即报警时，每日仅在首次发生时立即唤醒水表一天上报一次时将报警信息跟水表数据一起上报。</w:t>
      </w:r>
    </w:p>
    <w:p>
      <w:pPr>
        <w:spacing w:line="360" w:lineRule="auto"/>
        <w:ind w:firstLine="480"/>
        <w:rPr>
          <w:rFonts w:ascii="宋体" w:hAnsi="宋体" w:cs="宋体"/>
          <w:sz w:val="24"/>
          <w:szCs w:val="24"/>
          <w:highlight w:val="none"/>
        </w:rPr>
      </w:pPr>
      <w:r>
        <w:rPr>
          <w:rFonts w:hint="eastAsia" w:ascii="宋体" w:hAnsi="宋体" w:cs="宋体"/>
          <w:sz w:val="24"/>
          <w:szCs w:val="24"/>
          <w:highlight w:val="none"/>
        </w:rPr>
        <w:t>8.7.5</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低电压报警：NB-IOT模块电池欠压时，默认随周期上报数据进行报警，支持上报当前电池电压。当发生立即报警时，每日仅在首次发生时立即唤醒水表一天上报一次时将报警信息跟水表数据一起上报。</w:t>
      </w:r>
    </w:p>
    <w:p>
      <w:pPr>
        <w:tabs>
          <w:tab w:val="left" w:pos="1134"/>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8.7.6</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数据周期上报时，通过NB-IoT芯片进行时间校对。</w:t>
      </w:r>
    </w:p>
    <w:p>
      <w:pPr>
        <w:pStyle w:val="5"/>
        <w:ind w:firstLine="480" w:firstLineChars="200"/>
        <w:rPr>
          <w:highlight w:val="none"/>
        </w:rPr>
      </w:pPr>
      <w:r>
        <w:rPr>
          <w:rFonts w:hint="eastAsia" w:ascii="宋体" w:hAnsi="宋体" w:cs="宋体"/>
          <w:color w:val="000000"/>
          <w:sz w:val="24"/>
          <w:szCs w:val="24"/>
          <w:highlight w:val="none"/>
        </w:rPr>
        <w:t>8.8 需切换调整监测频率，满足我司夜间监测的要求。</w:t>
      </w:r>
    </w:p>
    <w:p>
      <w:pPr>
        <w:widowControl w:val="0"/>
        <w:numPr>
          <w:ilvl w:val="0"/>
          <w:numId w:val="1"/>
        </w:numPr>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防盗、防破解功能</w:t>
      </w:r>
    </w:p>
    <w:p>
      <w:pPr>
        <w:tabs>
          <w:tab w:val="left" w:pos="993"/>
        </w:tabs>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9.1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投标人提供的智能水表必须具有严密的外观设计，保证智能水表不能轻易拆解并装有铅封等显示被拆解破坏的标识。</w:t>
      </w:r>
    </w:p>
    <w:p>
      <w:pPr>
        <w:tabs>
          <w:tab w:val="left" w:pos="993"/>
        </w:tabs>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9.2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数据加密采用128位高级加密标准，AES-128加密、解密算法，投标人应保证设备所测量和存储的数据不能被破解修改，远传模块配套的手持式调试设备不得提供予招标人以外的人员。</w:t>
      </w:r>
    </w:p>
    <w:p>
      <w:pPr>
        <w:tabs>
          <w:tab w:val="left" w:pos="993"/>
        </w:tabs>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9.3</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水表铭牌上的表码和远传模块中存储、上传的识别码必须一致，并作为系统中识别智能水表的标志，水表表码要按照招标人所定规范编制。</w:t>
      </w:r>
    </w:p>
    <w:p>
      <w:pPr>
        <w:widowControl w:val="0"/>
        <w:numPr>
          <w:ilvl w:val="0"/>
          <w:numId w:val="1"/>
        </w:numPr>
        <w:tabs>
          <w:tab w:val="left" w:pos="993"/>
        </w:tabs>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首次检定</w:t>
      </w:r>
    </w:p>
    <w:p>
      <w:pPr>
        <w:spacing w:line="360" w:lineRule="auto"/>
        <w:rPr>
          <w:rFonts w:ascii="宋体" w:hAnsi="宋体" w:cs="宋体"/>
          <w:sz w:val="24"/>
          <w:szCs w:val="24"/>
          <w:highlight w:val="none"/>
        </w:rPr>
      </w:pPr>
      <w:r>
        <w:rPr>
          <w:rFonts w:hint="eastAsia" w:ascii="宋体" w:hAnsi="宋体" w:cs="宋体"/>
          <w:bCs/>
          <w:color w:val="000000"/>
          <w:sz w:val="24"/>
          <w:szCs w:val="24"/>
          <w:highlight w:val="none"/>
        </w:rPr>
        <w:t xml:space="preserve">    10.1</w:t>
      </w:r>
      <w:r>
        <w:rPr>
          <w:rFonts w:hint="eastAsia" w:ascii="宋体" w:hAnsi="宋体" w:cs="宋体"/>
          <w:bCs/>
          <w:color w:val="000000"/>
          <w:sz w:val="24"/>
          <w:szCs w:val="24"/>
          <w:highlight w:val="none"/>
          <w:lang w:val="en-US" w:eastAsia="zh-CN"/>
        </w:rPr>
        <w:t xml:space="preserve"> </w:t>
      </w:r>
      <w:r>
        <w:rPr>
          <w:rFonts w:hint="eastAsia" w:ascii="宋体" w:hAnsi="宋体" w:cs="宋体"/>
          <w:bCs/>
          <w:color w:val="000000"/>
          <w:sz w:val="24"/>
          <w:szCs w:val="24"/>
          <w:highlight w:val="none"/>
        </w:rPr>
        <w:t>★</w:t>
      </w:r>
      <w:r>
        <w:rPr>
          <w:rFonts w:hint="eastAsia" w:ascii="宋体" w:hAnsi="宋体" w:cs="宋体"/>
          <w:sz w:val="24"/>
          <w:szCs w:val="24"/>
          <w:highlight w:val="none"/>
        </w:rPr>
        <w:t>投标人所提供的作为智能水表，投标人需送往招标人所在地（广州市）法定强制检定计量机构进行强检或检定（强制检定目录内的出具强制检定证书，强制检定目录外的出具检定证书），检定合格后，再由投标人送至自来水有限公司巴江仓库入仓，送检的运输、装卸、包装以及入仓等工作及费用由投标人负责。</w:t>
      </w:r>
    </w:p>
    <w:p>
      <w:pPr>
        <w:spacing w:line="360" w:lineRule="auto"/>
        <w:rPr>
          <w:rFonts w:ascii="宋体" w:hAnsi="宋体" w:cs="宋体"/>
          <w:sz w:val="24"/>
          <w:szCs w:val="24"/>
          <w:highlight w:val="none"/>
        </w:rPr>
      </w:pPr>
      <w:r>
        <w:rPr>
          <w:rFonts w:hint="eastAsia" w:ascii="宋体" w:hAnsi="宋体" w:cs="宋体"/>
          <w:sz w:val="24"/>
          <w:szCs w:val="24"/>
          <w:highlight w:val="none"/>
        </w:rPr>
        <w:t xml:space="preserve">    10.2</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智能水表在送往计量机构检定时，投标人负责拆除智能水表的外包装，确保强检机构的检定流程不受干扰和阻碍。</w:t>
      </w:r>
    </w:p>
    <w:p>
      <w:pPr>
        <w:spacing w:line="360" w:lineRule="auto"/>
        <w:rPr>
          <w:rFonts w:ascii="宋体" w:hAnsi="宋体" w:cs="宋体"/>
          <w:sz w:val="24"/>
          <w:szCs w:val="24"/>
          <w:highlight w:val="none"/>
        </w:rPr>
      </w:pPr>
      <w:r>
        <w:rPr>
          <w:rFonts w:hint="eastAsia" w:ascii="宋体" w:hAnsi="宋体" w:cs="宋体"/>
          <w:sz w:val="24"/>
          <w:szCs w:val="24"/>
          <w:highlight w:val="none"/>
        </w:rPr>
        <w:t xml:space="preserve">    10.3</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智能水表的检定证书由招标人保存留底。</w:t>
      </w:r>
    </w:p>
    <w:p>
      <w:pPr>
        <w:widowControl w:val="0"/>
        <w:numPr>
          <w:ilvl w:val="0"/>
          <w:numId w:val="1"/>
        </w:numPr>
        <w:tabs>
          <w:tab w:val="left" w:pos="993"/>
        </w:tabs>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★水表验收</w:t>
      </w:r>
    </w:p>
    <w:p>
      <w:pPr>
        <w:spacing w:line="360" w:lineRule="auto"/>
        <w:ind w:left="141" w:leftChars="67"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投标人签署合同后正式供表前，要将符合上述招标技术要求的水表样品提供到招标人进行首次验收，由招标人确认投标人提交过来的水表样品符合上述技术要求后再正式批量提供水表。</w:t>
      </w:r>
    </w:p>
    <w:p>
      <w:pPr>
        <w:spacing w:line="360" w:lineRule="auto"/>
        <w:ind w:left="141" w:leftChars="67"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正式供表后投标人将检定合格后的水表送至招标人后，由招标人按照本技术要求对水表进行技术验收。若没达到本技术要求，则视为不合格产品处理，由投标人重新供应符合技术要求和强检合格的产品，期间所产生所有的费用由投标人负责。   </w:t>
      </w:r>
    </w:p>
    <w:p>
      <w:pPr>
        <w:widowControl w:val="0"/>
        <w:numPr>
          <w:ilvl w:val="0"/>
          <w:numId w:val="1"/>
        </w:numPr>
        <w:tabs>
          <w:tab w:val="left" w:pos="993"/>
        </w:tabs>
        <w:spacing w:line="360" w:lineRule="auto"/>
        <w:ind w:left="0" w:firstLine="567"/>
        <w:jc w:val="both"/>
        <w:rPr>
          <w:rFonts w:ascii="宋体" w:hAnsi="宋体" w:cs="宋体"/>
          <w:bCs/>
          <w:color w:val="000000"/>
          <w:sz w:val="24"/>
          <w:szCs w:val="24"/>
          <w:highlight w:val="none"/>
        </w:rPr>
      </w:pPr>
      <w:r>
        <w:rPr>
          <w:rFonts w:hint="eastAsia" w:ascii="宋体" w:hAnsi="宋体" w:cs="宋体"/>
          <w:bCs/>
          <w:color w:val="000000"/>
          <w:sz w:val="24"/>
          <w:szCs w:val="24"/>
          <w:highlight w:val="none"/>
        </w:rPr>
        <w:t>技术支持及售后服务</w:t>
      </w:r>
    </w:p>
    <w:p>
      <w:pPr>
        <w:spacing w:line="360" w:lineRule="auto"/>
        <w:rPr>
          <w:rFonts w:ascii="宋体" w:hAnsi="宋体" w:cs="宋体"/>
          <w:color w:val="000000"/>
          <w:sz w:val="24"/>
          <w:szCs w:val="24"/>
          <w:highlight w:val="none"/>
        </w:rPr>
      </w:pPr>
      <w:r>
        <w:rPr>
          <w:rFonts w:hint="eastAsia" w:ascii="宋体" w:hAnsi="宋体" w:cs="宋体"/>
          <w:color w:val="000000"/>
          <w:sz w:val="24"/>
          <w:szCs w:val="24"/>
          <w:highlight w:val="none"/>
        </w:rPr>
        <w:t xml:space="preserve">    12.1</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提供技术文件和其他图纸资料，提供招标文件中未提及但在安装、调试、移交过程中需要的技术资料、图纸、文件、材料及服务。</w:t>
      </w:r>
    </w:p>
    <w:p>
      <w:pPr>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12.2</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负责向招标人有关人员提供技术培训。使其能对设备进行日常的维护保养及能对一般故障进行维修，并向培训人员提供详细的操作手册、技术维修及调试参数资料。</w:t>
      </w:r>
    </w:p>
    <w:p>
      <w:pPr>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★12.3</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满足上述要求后，对设备及系统进行验收。设备及系统验收合格后，投标人实行八年的智能水表质量“三包”和免费服务维护。质保期内NB-IOT模块的电池以及其他备件的更换，由投标人负责，费用已包含在合同价内。</w:t>
      </w:r>
    </w:p>
    <w:p>
      <w:pPr>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★12.4</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质保期内因设备本身缺陷造成各种故障应由投标人免费技术服务和更换，发生故障后投标人应在11.5条规定的响应时间内协同招标人到现场确认后，对该故障水表进行整表更换。用于更换的水表由投标人提供并必须按要求送检，且出具检验报告。故障的水表将由招标人分批次送回投标人进行检修。</w:t>
      </w:r>
    </w:p>
    <w:p>
      <w:pPr>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★12.5</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投标人须具有完善的售后服务体系，须保证24小时在广州有2个及以上维修人员负责专业维修。安装后投标人须负责进行通讯调试，如果设备发生故障，招标人无法解决，投标人接到招标人方通知的12小时以内做出响应；如需到现场处理，投标人在接到招标人方通知后24小时内到达现场进行处理。</w:t>
      </w:r>
    </w:p>
    <w:p>
      <w:pPr>
        <w:spacing w:line="360" w:lineRule="auto"/>
        <w:ind w:firstLine="480"/>
        <w:rPr>
          <w:rFonts w:ascii="宋体" w:hAnsi="宋体" w:cs="宋体"/>
          <w:color w:val="000000"/>
          <w:sz w:val="24"/>
          <w:szCs w:val="24"/>
          <w:highlight w:val="none"/>
        </w:rPr>
      </w:pPr>
      <w:r>
        <w:rPr>
          <w:rFonts w:hint="eastAsia" w:ascii="宋体" w:hAnsi="宋体" w:cs="宋体"/>
          <w:sz w:val="24"/>
          <w:szCs w:val="24"/>
          <w:highlight w:val="none"/>
        </w:rPr>
        <w:t>12.6</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收到招标人的供货通知后，承诺2.5小时响应。收到招标人的抢修、维修通知后承诺90分钟内无偿提供技术指导。质保期内由于产品质量问题需要进行维修的，承诺在48小时内完成。</w:t>
      </w:r>
    </w:p>
    <w:p>
      <w:pPr>
        <w:spacing w:line="360" w:lineRule="auto"/>
        <w:ind w:firstLine="480"/>
        <w:rPr>
          <w:rFonts w:ascii="宋体" w:hAnsi="宋体" w:cs="宋体"/>
          <w:color w:val="000000"/>
          <w:sz w:val="24"/>
          <w:szCs w:val="24"/>
          <w:highlight w:val="none"/>
        </w:rPr>
      </w:pPr>
      <w:r>
        <w:rPr>
          <w:rFonts w:hint="eastAsia" w:ascii="宋体" w:hAnsi="宋体" w:cs="宋体"/>
          <w:color w:val="000000"/>
          <w:sz w:val="24"/>
          <w:szCs w:val="24"/>
          <w:highlight w:val="none"/>
        </w:rPr>
        <w:t>12.7</w:t>
      </w:r>
      <w:r>
        <w:rPr>
          <w:rFonts w:hint="eastAsia" w:ascii="宋体" w:hAnsi="宋体" w:cs="宋体"/>
          <w:color w:val="000000"/>
          <w:sz w:val="24"/>
          <w:szCs w:val="24"/>
          <w:highlight w:val="none"/>
          <w:lang w:val="en-US" w:eastAsia="zh-CN"/>
        </w:rPr>
        <w:t xml:space="preserve"> </w:t>
      </w:r>
      <w:r>
        <w:rPr>
          <w:rFonts w:hint="eastAsia" w:ascii="宋体" w:hAnsi="宋体" w:cs="宋体"/>
          <w:color w:val="000000"/>
          <w:sz w:val="24"/>
          <w:szCs w:val="24"/>
          <w:highlight w:val="none"/>
        </w:rPr>
        <w:t>货物质量保修期：自货物到货验收合格之日起8年。</w:t>
      </w:r>
    </w:p>
    <w:p>
      <w:pPr>
        <w:jc w:val="both"/>
        <w:rPr>
          <w:rFonts w:hint="default"/>
          <w:b/>
          <w:bCs/>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561D9F"/>
    <w:multiLevelType w:val="multilevel"/>
    <w:tmpl w:val="4D561D9F"/>
    <w:lvl w:ilvl="0" w:tentative="0">
      <w:start w:val="1"/>
      <w:numFmt w:val="decimal"/>
      <w:lvlText w:val="%1."/>
      <w:lvlJc w:val="left"/>
      <w:pPr>
        <w:ind w:left="481" w:hanging="420"/>
      </w:pPr>
    </w:lvl>
    <w:lvl w:ilvl="1" w:tentative="0">
      <w:start w:val="1"/>
      <w:numFmt w:val="lowerLetter"/>
      <w:lvlText w:val="%2)"/>
      <w:lvlJc w:val="left"/>
      <w:pPr>
        <w:ind w:left="901" w:hanging="420"/>
      </w:pPr>
    </w:lvl>
    <w:lvl w:ilvl="2" w:tentative="0">
      <w:start w:val="1"/>
      <w:numFmt w:val="lowerRoman"/>
      <w:lvlText w:val="%3."/>
      <w:lvlJc w:val="right"/>
      <w:pPr>
        <w:ind w:left="1321" w:hanging="420"/>
      </w:pPr>
    </w:lvl>
    <w:lvl w:ilvl="3" w:tentative="0">
      <w:start w:val="1"/>
      <w:numFmt w:val="decimal"/>
      <w:lvlText w:val="%4."/>
      <w:lvlJc w:val="left"/>
      <w:pPr>
        <w:ind w:left="1741" w:hanging="420"/>
      </w:pPr>
    </w:lvl>
    <w:lvl w:ilvl="4" w:tentative="0">
      <w:start w:val="1"/>
      <w:numFmt w:val="lowerLetter"/>
      <w:lvlText w:val="%5)"/>
      <w:lvlJc w:val="left"/>
      <w:pPr>
        <w:ind w:left="2161" w:hanging="420"/>
      </w:pPr>
    </w:lvl>
    <w:lvl w:ilvl="5" w:tentative="0">
      <w:start w:val="1"/>
      <w:numFmt w:val="lowerRoman"/>
      <w:lvlText w:val="%6."/>
      <w:lvlJc w:val="right"/>
      <w:pPr>
        <w:ind w:left="2581" w:hanging="420"/>
      </w:pPr>
    </w:lvl>
    <w:lvl w:ilvl="6" w:tentative="0">
      <w:start w:val="1"/>
      <w:numFmt w:val="decimal"/>
      <w:lvlText w:val="%7."/>
      <w:lvlJc w:val="left"/>
      <w:pPr>
        <w:ind w:left="3001" w:hanging="420"/>
      </w:pPr>
    </w:lvl>
    <w:lvl w:ilvl="7" w:tentative="0">
      <w:start w:val="1"/>
      <w:numFmt w:val="lowerLetter"/>
      <w:lvlText w:val="%8)"/>
      <w:lvlJc w:val="left"/>
      <w:pPr>
        <w:ind w:left="3421" w:hanging="420"/>
      </w:pPr>
    </w:lvl>
    <w:lvl w:ilvl="8" w:tentative="0">
      <w:start w:val="1"/>
      <w:numFmt w:val="lowerRoman"/>
      <w:lvlText w:val="%9."/>
      <w:lvlJc w:val="right"/>
      <w:pPr>
        <w:ind w:left="3841" w:hanging="420"/>
      </w:pPr>
    </w:lvl>
  </w:abstractNum>
  <w:abstractNum w:abstractNumId="1">
    <w:nsid w:val="7D47645A"/>
    <w:multiLevelType w:val="multilevel"/>
    <w:tmpl w:val="7D47645A"/>
    <w:lvl w:ilvl="0" w:tentative="0">
      <w:start w:val="1"/>
      <w:numFmt w:val="bullet"/>
      <w:lvlText w:val=""/>
      <w:lvlJc w:val="left"/>
      <w:pPr>
        <w:ind w:left="960" w:hanging="420"/>
      </w:pPr>
      <w:rPr>
        <w:rFonts w:hint="default" w:ascii="Wingdings" w:hAnsi="Wingdings"/>
      </w:rPr>
    </w:lvl>
    <w:lvl w:ilvl="1" w:tentative="0">
      <w:start w:val="1"/>
      <w:numFmt w:val="bullet"/>
      <w:lvlText w:val=""/>
      <w:lvlJc w:val="left"/>
      <w:pPr>
        <w:ind w:left="1380" w:hanging="420"/>
      </w:pPr>
      <w:rPr>
        <w:rFonts w:hint="default" w:ascii="Wingdings" w:hAnsi="Wingdings"/>
      </w:rPr>
    </w:lvl>
    <w:lvl w:ilvl="2" w:tentative="0">
      <w:start w:val="1"/>
      <w:numFmt w:val="bullet"/>
      <w:lvlText w:val=""/>
      <w:lvlJc w:val="left"/>
      <w:pPr>
        <w:ind w:left="1800" w:hanging="420"/>
      </w:pPr>
      <w:rPr>
        <w:rFonts w:hint="default" w:ascii="Wingdings" w:hAnsi="Wingdings"/>
      </w:rPr>
    </w:lvl>
    <w:lvl w:ilvl="3" w:tentative="0">
      <w:start w:val="1"/>
      <w:numFmt w:val="bullet"/>
      <w:lvlText w:val=""/>
      <w:lvlJc w:val="left"/>
      <w:pPr>
        <w:ind w:left="2220" w:hanging="420"/>
      </w:pPr>
      <w:rPr>
        <w:rFonts w:hint="default" w:ascii="Wingdings" w:hAnsi="Wingdings"/>
      </w:rPr>
    </w:lvl>
    <w:lvl w:ilvl="4" w:tentative="0">
      <w:start w:val="1"/>
      <w:numFmt w:val="bullet"/>
      <w:lvlText w:val=""/>
      <w:lvlJc w:val="left"/>
      <w:pPr>
        <w:ind w:left="2640" w:hanging="420"/>
      </w:pPr>
      <w:rPr>
        <w:rFonts w:hint="default" w:ascii="Wingdings" w:hAnsi="Wingdings"/>
      </w:rPr>
    </w:lvl>
    <w:lvl w:ilvl="5" w:tentative="0">
      <w:start w:val="1"/>
      <w:numFmt w:val="bullet"/>
      <w:lvlText w:val=""/>
      <w:lvlJc w:val="left"/>
      <w:pPr>
        <w:ind w:left="3060" w:hanging="420"/>
      </w:pPr>
      <w:rPr>
        <w:rFonts w:hint="default" w:ascii="Wingdings" w:hAnsi="Wingdings"/>
      </w:rPr>
    </w:lvl>
    <w:lvl w:ilvl="6" w:tentative="0">
      <w:start w:val="1"/>
      <w:numFmt w:val="bullet"/>
      <w:lvlText w:val=""/>
      <w:lvlJc w:val="left"/>
      <w:pPr>
        <w:ind w:left="3480" w:hanging="420"/>
      </w:pPr>
      <w:rPr>
        <w:rFonts w:hint="default" w:ascii="Wingdings" w:hAnsi="Wingdings"/>
      </w:rPr>
    </w:lvl>
    <w:lvl w:ilvl="7" w:tentative="0">
      <w:start w:val="1"/>
      <w:numFmt w:val="bullet"/>
      <w:lvlText w:val=""/>
      <w:lvlJc w:val="left"/>
      <w:pPr>
        <w:ind w:left="3900" w:hanging="420"/>
      </w:pPr>
      <w:rPr>
        <w:rFonts w:hint="default" w:ascii="Wingdings" w:hAnsi="Wingdings"/>
      </w:rPr>
    </w:lvl>
    <w:lvl w:ilvl="8" w:tentative="0">
      <w:start w:val="1"/>
      <w:numFmt w:val="bullet"/>
      <w:lvlText w:val=""/>
      <w:lvlJc w:val="left"/>
      <w:pPr>
        <w:ind w:left="43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MTVmZDJhZGRhY2IzZWE2NjNmZDZjNzVlODQ4YTIifQ=="/>
  </w:docVars>
  <w:rsids>
    <w:rsidRoot w:val="3F4D7953"/>
    <w:rsid w:val="3F4D7953"/>
    <w:rsid w:val="51330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rPr>
  </w:style>
  <w:style w:type="paragraph" w:styleId="3">
    <w:name w:val="Plain Text"/>
    <w:basedOn w:val="1"/>
    <w:next w:val="4"/>
    <w:qFormat/>
    <w:uiPriority w:val="0"/>
    <w:rPr>
      <w:rFonts w:ascii="宋体" w:hAnsi="Courier New"/>
      <w:szCs w:val="21"/>
    </w:rPr>
  </w:style>
  <w:style w:type="paragraph" w:customStyle="1" w:styleId="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5">
    <w:name w:val="Body Text First Indent"/>
    <w:basedOn w:val="2"/>
    <w:unhideWhenUsed/>
    <w:qFormat/>
    <w:uiPriority w:val="99"/>
    <w:pPr>
      <w:widowControl w:val="0"/>
      <w:ind w:firstLine="420" w:firstLineChars="100"/>
      <w:jc w:val="both"/>
    </w:pPr>
    <w:rPr>
      <w:szCs w:val="21"/>
    </w:rPr>
  </w:style>
  <w:style w:type="paragraph" w:customStyle="1" w:styleId="8">
    <w:name w:val="列表段落1"/>
    <w:basedOn w:val="1"/>
    <w:qFormat/>
    <w:uiPriority w:val="34"/>
    <w:pPr>
      <w:ind w:firstLine="420"/>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1</Pages>
  <Words>8</Words>
  <Characters>8</Characters>
  <Lines>0</Lines>
  <Paragraphs>0</Paragraphs>
  <TotalTime>0</TotalTime>
  <ScaleCrop>false</ScaleCrop>
  <LinksUpToDate>false</LinksUpToDate>
  <CharactersWithSpaces>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2023-05-04T00:26:00Z</dcterms:created>
  <dc:creator>黄嘉辉</dc:creator>
  <cp:lastModifiedBy>黄嘉辉</cp:lastModifiedBy>
  <dcterms:modified xsi:type="dcterms:W3CDTF">2023-05-04T00:27:43Z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C2A21A9130F44CECA21319E0B80E1B76_11</vt:lpwstr>
  </property>
</Properties>
</file>