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numPr>
          <w:numId w:val="0"/>
        </w:numPr>
        <w:ind w:leftChars="0"/>
        <w:jc w:val="center"/>
        <w:rPr>
          <w:rFonts w:hint="eastAsia" w:ascii="宋体" w:hAnsi="宋体"/>
          <w:sz w:val="24"/>
          <w:szCs w:val="24"/>
        </w:rPr>
      </w:pPr>
      <w:bookmarkStart w:id="5" w:name="_GoBack"/>
      <w:bookmarkEnd w:id="5"/>
      <w:bookmarkStart w:id="0" w:name="_Toc25502"/>
      <w:bookmarkStart w:id="1" w:name="_Toc58416789"/>
      <w:bookmarkStart w:id="2" w:name="_Toc14590"/>
      <w:bookmarkStart w:id="3" w:name="_Toc23466"/>
      <w:bookmarkStart w:id="4" w:name="_Toc16929"/>
      <w:r>
        <w:rPr>
          <w:rFonts w:hint="eastAsia" w:ascii="宋体" w:hAnsi="宋体"/>
          <w:sz w:val="24"/>
          <w:szCs w:val="24"/>
        </w:rPr>
        <w:t>技术要求</w:t>
      </w:r>
      <w:bookmarkEnd w:id="0"/>
      <w:bookmarkEnd w:id="1"/>
      <w:bookmarkEnd w:id="2"/>
      <w:bookmarkEnd w:id="3"/>
      <w:bookmarkEnd w:id="4"/>
    </w:p>
    <w:p>
      <w:pPr>
        <w:spacing w:before="156" w:beforeLines="50" w:after="100" w:afterAutospacing="1" w:line="360" w:lineRule="auto"/>
        <w:ind w:left="-403" w:leftChars="-192"/>
        <w:rPr>
          <w:rFonts w:hint="eastAsia" w:ascii="宋体" w:hAnsi="宋体"/>
          <w:b/>
          <w:bCs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 xml:space="preserve">      （一）</w:t>
      </w:r>
      <w:r>
        <w:rPr>
          <w:rFonts w:ascii="宋体" w:hAnsi="宋体"/>
          <w:b/>
          <w:bCs/>
          <w:sz w:val="24"/>
          <w:szCs w:val="24"/>
        </w:rPr>
        <w:t>球墨铸铁</w:t>
      </w:r>
      <w:r>
        <w:rPr>
          <w:rFonts w:hint="eastAsia" w:ascii="宋体" w:hAnsi="宋体"/>
          <w:b/>
          <w:bCs/>
          <w:sz w:val="24"/>
          <w:szCs w:val="24"/>
        </w:rPr>
        <w:t>可调式防沉降圆形井盖技术需求</w:t>
      </w:r>
    </w:p>
    <w:p>
      <w:pPr>
        <w:tabs>
          <w:tab w:val="left" w:pos="720"/>
        </w:tabs>
        <w:spacing w:before="156" w:beforeLines="50" w:line="360" w:lineRule="auto"/>
        <w:contextualSpacing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   </w:t>
      </w:r>
      <w:r>
        <w:rPr>
          <w:rFonts w:ascii="宋体" w:hAnsi="宋体"/>
          <w:sz w:val="24"/>
          <w:szCs w:val="24"/>
        </w:rPr>
        <w:t>★</w:t>
      </w:r>
      <w:r>
        <w:rPr>
          <w:rFonts w:hint="eastAsia" w:ascii="宋体" w:hAnsi="宋体"/>
          <w:sz w:val="24"/>
          <w:szCs w:val="24"/>
        </w:rPr>
        <w:t>1、产品的设计、生产和检测标准应符合：广州市《井盖设施建设技术规范》（DBJ440100T160-2013，以下简称“广州规范”）、广州城市道路井盖建设实施指引（以下简称“广州指引”）、国家标准GB/T23858-2009、欧洲标准EN124以及本标书的技术要求；</w:t>
      </w:r>
    </w:p>
    <w:p>
      <w:pPr>
        <w:tabs>
          <w:tab w:val="left" w:pos="720"/>
        </w:tabs>
        <w:spacing w:before="156" w:beforeLines="50" w:line="360" w:lineRule="auto"/>
        <w:contextualSpacing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   </w:t>
      </w:r>
      <w:r>
        <w:rPr>
          <w:rFonts w:ascii="宋体" w:hAnsi="宋体"/>
          <w:sz w:val="24"/>
          <w:szCs w:val="24"/>
        </w:rPr>
        <w:t>★</w:t>
      </w:r>
      <w:r>
        <w:rPr>
          <w:rFonts w:hint="eastAsia" w:ascii="宋体" w:hAnsi="宋体"/>
          <w:sz w:val="24"/>
          <w:szCs w:val="24"/>
        </w:rPr>
        <w:t>2、生产产品必须使用国家标准牌号的球化生铁，产品球化率达80%以上，球化级别达三级以上，含磷量</w:t>
      </w:r>
      <w:r>
        <w:rPr>
          <w:rFonts w:ascii="宋体" w:hAnsi="宋体"/>
          <w:sz w:val="24"/>
          <w:szCs w:val="24"/>
        </w:rPr>
        <w:t>&lt;</w:t>
      </w:r>
      <w:r>
        <w:rPr>
          <w:rFonts w:hint="eastAsia" w:ascii="宋体" w:hAnsi="宋体"/>
          <w:sz w:val="24"/>
          <w:szCs w:val="24"/>
        </w:rPr>
        <w:t>0.08，含硫量</w:t>
      </w:r>
      <w:r>
        <w:rPr>
          <w:rFonts w:ascii="宋体" w:hAnsi="宋体"/>
          <w:sz w:val="24"/>
          <w:szCs w:val="24"/>
        </w:rPr>
        <w:t>&lt;</w:t>
      </w:r>
      <w:r>
        <w:rPr>
          <w:rFonts w:hint="eastAsia" w:ascii="宋体" w:hAnsi="宋体"/>
          <w:sz w:val="24"/>
          <w:szCs w:val="24"/>
        </w:rPr>
        <w:t>0.05，荷载强度、抗拉强度、延伸率必须满足广州规范、国家标准或欧洲标准的要求；</w:t>
      </w:r>
    </w:p>
    <w:p>
      <w:pPr>
        <w:tabs>
          <w:tab w:val="left" w:pos="720"/>
        </w:tabs>
        <w:spacing w:before="156" w:beforeLines="50" w:line="360" w:lineRule="auto"/>
        <w:contextualSpacing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   3、材质：必须达到QT500-7球墨铸铁牌号的要求；</w:t>
      </w:r>
    </w:p>
    <w:p>
      <w:pPr>
        <w:tabs>
          <w:tab w:val="left" w:pos="720"/>
        </w:tabs>
        <w:spacing w:before="156" w:beforeLines="50" w:line="360" w:lineRule="auto"/>
        <w:contextualSpacing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   4、产品必须有良好的可调节高度、防沉降、防盗、防噪音、防跳动功能；</w:t>
      </w:r>
    </w:p>
    <w:p>
      <w:pPr>
        <w:tabs>
          <w:tab w:val="left" w:pos="720"/>
        </w:tabs>
        <w:spacing w:before="156" w:beforeLines="50" w:line="360" w:lineRule="auto"/>
        <w:contextualSpacing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   5、产品保质期不得少于10年；</w:t>
      </w:r>
    </w:p>
    <w:p>
      <w:pPr>
        <w:tabs>
          <w:tab w:val="left" w:pos="720"/>
        </w:tabs>
        <w:spacing w:before="156" w:beforeLines="50" w:line="360" w:lineRule="auto"/>
        <w:contextualSpacing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  </w:t>
      </w:r>
      <w:r>
        <w:rPr>
          <w:rFonts w:ascii="宋体" w:hAnsi="宋体"/>
          <w:sz w:val="24"/>
          <w:szCs w:val="24"/>
        </w:rPr>
        <w:t>★</w:t>
      </w:r>
      <w:r>
        <w:rPr>
          <w:rFonts w:hint="eastAsia" w:ascii="宋体" w:hAnsi="宋体"/>
          <w:sz w:val="24"/>
          <w:szCs w:val="24"/>
        </w:rPr>
        <w:t xml:space="preserve"> 6、设计荷载≥广州规范D级400KN；</w:t>
      </w:r>
    </w:p>
    <w:p>
      <w:pPr>
        <w:tabs>
          <w:tab w:val="left" w:pos="720"/>
        </w:tabs>
        <w:spacing w:before="156" w:beforeLines="50" w:line="360" w:lineRule="auto"/>
        <w:contextualSpacing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  </w:t>
      </w:r>
      <w:r>
        <w:rPr>
          <w:rFonts w:ascii="宋体" w:hAnsi="宋体"/>
          <w:sz w:val="24"/>
          <w:szCs w:val="24"/>
        </w:rPr>
        <w:t>★</w:t>
      </w:r>
      <w:r>
        <w:rPr>
          <w:rFonts w:hint="eastAsia" w:ascii="宋体" w:hAnsi="宋体"/>
          <w:sz w:val="24"/>
          <w:szCs w:val="24"/>
        </w:rPr>
        <w:t>7、产品规格：</w:t>
      </w:r>
    </w:p>
    <w:p>
      <w:pPr>
        <w:pStyle w:val="8"/>
        <w:tabs>
          <w:tab w:val="left" w:pos="720"/>
        </w:tabs>
        <w:spacing w:before="156" w:beforeLines="50" w:line="360" w:lineRule="auto"/>
        <w:ind w:firstLine="480"/>
        <w:contextualSpacing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</w:t>
      </w:r>
      <w:r>
        <w:rPr>
          <w:rFonts w:ascii="宋体" w:hAnsi="宋体"/>
          <w:sz w:val="24"/>
          <w:szCs w:val="24"/>
        </w:rPr>
        <w:t>1</w:t>
      </w:r>
      <w:r>
        <w:rPr>
          <w:rFonts w:hint="eastAsia" w:ascii="宋体" w:hAnsi="宋体"/>
          <w:sz w:val="24"/>
          <w:szCs w:val="24"/>
        </w:rPr>
        <w:t>）盖板为</w:t>
      </w:r>
      <w:r>
        <w:rPr>
          <w:rFonts w:ascii="宋体" w:hAnsi="宋体"/>
          <w:sz w:val="24"/>
          <w:szCs w:val="24"/>
        </w:rPr>
        <w:t>Ø700mm</w:t>
      </w:r>
      <w:r>
        <w:rPr>
          <w:rFonts w:hint="eastAsia" w:ascii="宋体" w:hAnsi="宋体"/>
          <w:sz w:val="24"/>
          <w:szCs w:val="24"/>
        </w:rPr>
        <w:t>，井座法兰面尺寸为</w:t>
      </w:r>
      <w:r>
        <w:rPr>
          <w:rFonts w:ascii="宋体" w:hAnsi="宋体"/>
          <w:sz w:val="24"/>
          <w:szCs w:val="24"/>
        </w:rPr>
        <w:t>Ø900mm</w:t>
      </w:r>
      <w:r>
        <w:rPr>
          <w:rFonts w:hint="eastAsia" w:ascii="宋体" w:hAnsi="宋体"/>
          <w:sz w:val="24"/>
          <w:szCs w:val="24"/>
        </w:rPr>
        <w:t>，井座净开口内径为</w:t>
      </w:r>
      <w:r>
        <w:rPr>
          <w:rFonts w:ascii="宋体" w:hAnsi="宋体"/>
          <w:sz w:val="24"/>
          <w:szCs w:val="24"/>
        </w:rPr>
        <w:t>Ø650mm</w:t>
      </w:r>
      <w:r>
        <w:rPr>
          <w:rFonts w:hint="eastAsia" w:ascii="宋体" w:hAnsi="宋体"/>
          <w:sz w:val="24"/>
          <w:szCs w:val="24"/>
        </w:rPr>
        <w:t>，井座高度为</w:t>
      </w:r>
      <w:r>
        <w:rPr>
          <w:rFonts w:ascii="宋体" w:hAnsi="宋体"/>
          <w:sz w:val="24"/>
          <w:szCs w:val="24"/>
        </w:rPr>
        <w:t>190mm</w:t>
      </w:r>
      <w:r>
        <w:rPr>
          <w:rFonts w:hint="eastAsia" w:ascii="宋体" w:hAnsi="宋体"/>
          <w:sz w:val="24"/>
          <w:szCs w:val="24"/>
        </w:rPr>
        <w:t>；</w:t>
      </w:r>
    </w:p>
    <w:p>
      <w:pPr>
        <w:tabs>
          <w:tab w:val="left" w:pos="720"/>
        </w:tabs>
        <w:spacing w:before="156" w:beforeLines="50" w:line="360" w:lineRule="auto"/>
        <w:ind w:firstLine="480"/>
        <w:contextualSpacing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8、井座承托盖板的部位应设有耐磨、耐压、耐日光老化的硫化氯丁橡胶垫块，以降低震动及噪音。胶圈为“燕尾槽”镶嵌式安装，以防止脱落；</w:t>
      </w:r>
    </w:p>
    <w:p>
      <w:pPr>
        <w:tabs>
          <w:tab w:val="left" w:pos="720"/>
        </w:tabs>
        <w:spacing w:before="156" w:beforeLines="50" w:line="360" w:lineRule="auto"/>
        <w:ind w:firstLine="480"/>
        <w:contextualSpacing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9、盖板应设有牢固固定在其上的一体铸造的弹性锁紧装置，能在盖板闭合的同时将盖板牢固地紧扣在井座上，使其足以抵抗得住因车辆交通而受到的影响，不会产生偏移、震动、跳动或意外开启，并有效降低噪音；</w:t>
      </w:r>
    </w:p>
    <w:p>
      <w:pPr>
        <w:tabs>
          <w:tab w:val="left" w:pos="720"/>
        </w:tabs>
        <w:spacing w:before="156" w:beforeLines="50" w:line="360" w:lineRule="auto"/>
        <w:contextualSpacing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   </w:t>
      </w:r>
      <w:r>
        <w:rPr>
          <w:rFonts w:ascii="宋体" w:hAnsi="宋体"/>
          <w:sz w:val="24"/>
          <w:szCs w:val="24"/>
        </w:rPr>
        <w:t>★</w:t>
      </w:r>
      <w:r>
        <w:rPr>
          <w:rFonts w:hint="eastAsia" w:ascii="宋体" w:hAnsi="宋体"/>
          <w:sz w:val="24"/>
          <w:szCs w:val="24"/>
        </w:rPr>
        <w:t>10、盖板的嵌入深度不得低于20mm。但如井盖无弹性锁紧装置，则嵌入深度应为50mm，以降低井盖意外开启的可能性；</w:t>
      </w:r>
    </w:p>
    <w:p>
      <w:pPr>
        <w:tabs>
          <w:tab w:val="left" w:pos="720"/>
        </w:tabs>
        <w:spacing w:before="156" w:beforeLines="50" w:line="360" w:lineRule="auto"/>
        <w:contextualSpacing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   11、盖板顶面必须标有“花都供水”的字样、所执行的质量检测标准的代号及承压等级、安装方向标记、开启标记、产品商标、生产日期、产品型号等标记，并可设计特殊防滑图案。花纹、字标要清晰，高度≥5mm；</w:t>
      </w:r>
    </w:p>
    <w:p>
      <w:pPr>
        <w:tabs>
          <w:tab w:val="left" w:pos="720"/>
        </w:tabs>
        <w:spacing w:before="156" w:beforeLines="50" w:line="360" w:lineRule="auto"/>
        <w:contextualSpacing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   12、盖板底面应铸有产品型号、批次、供应商名称、联系电话等信息；</w:t>
      </w:r>
    </w:p>
    <w:p>
      <w:pPr>
        <w:tabs>
          <w:tab w:val="left" w:pos="720"/>
        </w:tabs>
        <w:spacing w:before="156" w:beforeLines="50" w:line="360" w:lineRule="auto"/>
        <w:contextualSpacing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   13、盖板与井座采用铰链连接或更优化的链接工艺如户枢式连接，如为铰链连接则铰链轴为Ø14不锈钢螺栓，户枢式则应使用不锈钢弹性销固定防盗；</w:t>
      </w:r>
    </w:p>
    <w:p>
      <w:pPr>
        <w:tabs>
          <w:tab w:val="left" w:pos="720"/>
        </w:tabs>
        <w:spacing w:before="156" w:beforeLines="50" w:line="360" w:lineRule="auto"/>
        <w:contextualSpacing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   14、产品表面应铸造平整、光滑，不得有裂纹或影响产品使用性能的冷隔、缩松等缺陷，不得补焊；</w:t>
      </w:r>
    </w:p>
    <w:p>
      <w:pPr>
        <w:tabs>
          <w:tab w:val="left" w:pos="720"/>
        </w:tabs>
        <w:spacing w:before="156" w:beforeLines="50" w:line="360" w:lineRule="auto"/>
        <w:contextualSpacing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   15、产品表面喷涂防锈环氧树脂或沥青漆防腐处理，耐腐蚀防生锈；</w:t>
      </w:r>
    </w:p>
    <w:p>
      <w:pPr>
        <w:tabs>
          <w:tab w:val="left" w:pos="720"/>
        </w:tabs>
        <w:spacing w:before="156" w:beforeLines="50" w:line="360" w:lineRule="auto"/>
        <w:contextualSpacing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   16、提供产品的测试资料和所依据的标准及其标准号、产品结构图以及详细的几何尺寸、产品的物理机械性能参数及检测方法；</w:t>
      </w:r>
    </w:p>
    <w:p>
      <w:pPr>
        <w:tabs>
          <w:tab w:val="left" w:pos="720"/>
        </w:tabs>
        <w:spacing w:before="156" w:beforeLines="50" w:line="360" w:lineRule="auto"/>
        <w:contextualSpacing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   17、产品应具有防意外闭合结构。盖板与井座采用特殊结构，以避免盖板意外闭合造成伤害；</w:t>
      </w:r>
    </w:p>
    <w:p>
      <w:pPr>
        <w:tabs>
          <w:tab w:val="left" w:pos="720"/>
        </w:tabs>
        <w:spacing w:before="156" w:beforeLines="50" w:line="360" w:lineRule="auto"/>
        <w:contextualSpacing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  </w:t>
      </w:r>
      <w:r>
        <w:rPr>
          <w:rFonts w:ascii="宋体" w:hAnsi="宋体"/>
          <w:sz w:val="24"/>
          <w:szCs w:val="24"/>
        </w:rPr>
        <w:t>★</w:t>
      </w:r>
      <w:r>
        <w:rPr>
          <w:rFonts w:hint="eastAsia" w:ascii="宋体" w:hAnsi="宋体"/>
          <w:sz w:val="24"/>
          <w:szCs w:val="24"/>
        </w:rPr>
        <w:t>18提供经CMA认证的市级检测机构出具的产品检测报告；</w:t>
      </w:r>
    </w:p>
    <w:p>
      <w:pPr>
        <w:pStyle w:val="2"/>
      </w:pPr>
    </w:p>
    <w:p>
      <w:pPr>
        <w:spacing w:line="360" w:lineRule="auto"/>
        <w:ind w:left="630"/>
        <w:rPr>
          <w:rFonts w:ascii="宋体" w:hAnsi="宋体"/>
          <w:b/>
          <w:bCs/>
          <w:sz w:val="24"/>
          <w:szCs w:val="24"/>
        </w:rPr>
      </w:pPr>
      <w:r>
        <w:rPr>
          <w:rFonts w:hint="eastAsia"/>
        </w:rPr>
        <w:t xml:space="preserve">（二） </w:t>
      </w:r>
      <w:r>
        <w:rPr>
          <w:rFonts w:hint="eastAsia" w:ascii="宋体" w:hAnsi="宋体"/>
          <w:b/>
          <w:bCs/>
          <w:sz w:val="24"/>
          <w:szCs w:val="24"/>
        </w:rPr>
        <w:t>钢纤维混凝土检查井盖技术要求</w:t>
      </w:r>
    </w:p>
    <w:p>
      <w:pPr>
        <w:spacing w:before="156" w:beforeLines="50" w:line="360" w:lineRule="auto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 xml:space="preserve">    1、质量符合GB/T 26537-2011《钢纤维混凝土检查井盖》要求。</w:t>
      </w:r>
    </w:p>
    <w:p>
      <w:pPr>
        <w:spacing w:before="156" w:beforeLines="50" w:line="360" w:lineRule="auto"/>
        <w:jc w:val="center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1.1、规格500*500*50mm</w:t>
      </w:r>
    </w:p>
    <w:tbl>
      <w:tblPr>
        <w:tblStyle w:val="6"/>
        <w:tblW w:w="7084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71"/>
        <w:gridCol w:w="1771"/>
        <w:gridCol w:w="1771"/>
        <w:gridCol w:w="177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1" w:type="dxa"/>
            <w:noWrap w:val="0"/>
            <w:vAlign w:val="top"/>
          </w:tcPr>
          <w:p>
            <w:pPr>
              <w:spacing w:before="156" w:beforeLines="50" w:line="360" w:lineRule="auto"/>
              <w:jc w:val="center"/>
              <w:rPr>
                <w:rFonts w:ascii="宋体" w:hAnsi="宋体"/>
                <w:bCs/>
                <w:sz w:val="24"/>
                <w:szCs w:val="24"/>
              </w:rPr>
            </w:pPr>
            <w:r>
              <w:rPr>
                <w:rFonts w:hint="eastAsia" w:ascii="宋体" w:hAnsi="宋体"/>
                <w:bCs/>
                <w:sz w:val="24"/>
                <w:szCs w:val="24"/>
              </w:rPr>
              <w:t>序号</w:t>
            </w:r>
          </w:p>
        </w:tc>
        <w:tc>
          <w:tcPr>
            <w:tcW w:w="3542" w:type="dxa"/>
            <w:gridSpan w:val="2"/>
            <w:noWrap w:val="0"/>
            <w:vAlign w:val="top"/>
          </w:tcPr>
          <w:p>
            <w:pPr>
              <w:spacing w:before="156" w:beforeLines="50" w:line="360" w:lineRule="auto"/>
              <w:jc w:val="center"/>
              <w:rPr>
                <w:rFonts w:ascii="宋体" w:hAnsi="宋体"/>
                <w:bCs/>
                <w:sz w:val="24"/>
                <w:szCs w:val="24"/>
              </w:rPr>
            </w:pPr>
            <w:r>
              <w:rPr>
                <w:rFonts w:hint="eastAsia" w:ascii="宋体" w:hAnsi="宋体"/>
                <w:bCs/>
                <w:sz w:val="24"/>
                <w:szCs w:val="24"/>
              </w:rPr>
              <w:t>检测项目</w:t>
            </w:r>
          </w:p>
        </w:tc>
        <w:tc>
          <w:tcPr>
            <w:tcW w:w="1771" w:type="dxa"/>
            <w:noWrap w:val="0"/>
            <w:vAlign w:val="top"/>
          </w:tcPr>
          <w:p>
            <w:pPr>
              <w:spacing w:before="156" w:beforeLines="50" w:line="360" w:lineRule="auto"/>
              <w:jc w:val="center"/>
              <w:rPr>
                <w:rFonts w:ascii="宋体" w:hAnsi="宋体"/>
                <w:bCs/>
                <w:sz w:val="24"/>
                <w:szCs w:val="24"/>
              </w:rPr>
            </w:pPr>
            <w:r>
              <w:rPr>
                <w:rFonts w:hint="eastAsia" w:ascii="宋体" w:hAnsi="宋体"/>
                <w:bCs/>
                <w:sz w:val="24"/>
                <w:szCs w:val="24"/>
              </w:rPr>
              <w:t>标准要求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1" w:type="dxa"/>
            <w:noWrap w:val="0"/>
            <w:vAlign w:val="top"/>
          </w:tcPr>
          <w:p>
            <w:pPr>
              <w:spacing w:before="156" w:beforeLines="50" w:line="360" w:lineRule="auto"/>
              <w:jc w:val="center"/>
              <w:rPr>
                <w:rFonts w:ascii="宋体" w:hAnsi="宋体"/>
                <w:bCs/>
                <w:sz w:val="24"/>
                <w:szCs w:val="24"/>
              </w:rPr>
            </w:pPr>
            <w:r>
              <w:rPr>
                <w:rFonts w:hint="eastAsia" w:ascii="宋体" w:hAnsi="宋体"/>
                <w:bCs/>
                <w:sz w:val="24"/>
                <w:szCs w:val="24"/>
              </w:rPr>
              <w:t>1</w:t>
            </w:r>
          </w:p>
        </w:tc>
        <w:tc>
          <w:tcPr>
            <w:tcW w:w="1771" w:type="dxa"/>
            <w:vMerge w:val="restart"/>
            <w:noWrap w:val="0"/>
            <w:vAlign w:val="center"/>
          </w:tcPr>
          <w:p>
            <w:pPr>
              <w:spacing w:before="156" w:beforeLines="50" w:line="360" w:lineRule="auto"/>
              <w:rPr>
                <w:rFonts w:ascii="宋体" w:hAnsi="宋体"/>
                <w:bCs/>
                <w:sz w:val="24"/>
                <w:szCs w:val="24"/>
              </w:rPr>
            </w:pPr>
            <w:r>
              <w:rPr>
                <w:rFonts w:hint="eastAsia" w:ascii="宋体" w:hAnsi="宋体"/>
                <w:bCs/>
                <w:sz w:val="24"/>
                <w:szCs w:val="24"/>
              </w:rPr>
              <w:t>承载能力</w:t>
            </w:r>
            <w:r>
              <w:rPr>
                <w:rFonts w:hint="eastAsia" w:ascii="宋体" w:hAnsi="宋体"/>
                <w:b/>
                <w:sz w:val="24"/>
                <w:szCs w:val="24"/>
              </w:rPr>
              <w:t>kN</w:t>
            </w:r>
          </w:p>
        </w:tc>
        <w:tc>
          <w:tcPr>
            <w:tcW w:w="1771" w:type="dxa"/>
            <w:noWrap w:val="0"/>
            <w:vAlign w:val="top"/>
          </w:tcPr>
          <w:p>
            <w:pPr>
              <w:spacing w:before="156" w:beforeLines="50" w:line="360" w:lineRule="auto"/>
              <w:rPr>
                <w:rFonts w:ascii="宋体" w:hAnsi="宋体"/>
                <w:bCs/>
                <w:sz w:val="24"/>
                <w:szCs w:val="24"/>
              </w:rPr>
            </w:pPr>
            <w:r>
              <w:rPr>
                <w:rFonts w:hint="eastAsia" w:ascii="宋体" w:hAnsi="宋体"/>
                <w:bCs/>
                <w:sz w:val="24"/>
                <w:szCs w:val="24"/>
              </w:rPr>
              <w:t>裂缝荷载</w:t>
            </w:r>
          </w:p>
        </w:tc>
        <w:tc>
          <w:tcPr>
            <w:tcW w:w="1771" w:type="dxa"/>
            <w:noWrap w:val="0"/>
            <w:vAlign w:val="top"/>
          </w:tcPr>
          <w:p>
            <w:pPr>
              <w:spacing w:before="156" w:beforeLines="50" w:line="360" w:lineRule="auto"/>
              <w:jc w:val="center"/>
              <w:rPr>
                <w:rFonts w:ascii="宋体" w:hAnsi="宋体"/>
                <w:bCs/>
                <w:sz w:val="24"/>
                <w:szCs w:val="24"/>
              </w:rPr>
            </w:pPr>
            <w:r>
              <w:rPr>
                <w:rFonts w:hint="eastAsia" w:ascii="宋体" w:hAnsi="宋体"/>
                <w:bCs/>
                <w:sz w:val="24"/>
                <w:szCs w:val="24"/>
              </w:rPr>
              <w:t>≥125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1" w:type="dxa"/>
            <w:noWrap w:val="0"/>
            <w:vAlign w:val="top"/>
          </w:tcPr>
          <w:p>
            <w:pPr>
              <w:spacing w:before="156" w:beforeLines="50" w:line="360" w:lineRule="auto"/>
              <w:jc w:val="center"/>
              <w:rPr>
                <w:rFonts w:ascii="宋体" w:hAnsi="宋体"/>
                <w:bCs/>
                <w:sz w:val="24"/>
                <w:szCs w:val="24"/>
              </w:rPr>
            </w:pPr>
            <w:r>
              <w:rPr>
                <w:rFonts w:hint="eastAsia" w:ascii="宋体" w:hAnsi="宋体"/>
                <w:bCs/>
                <w:sz w:val="24"/>
                <w:szCs w:val="24"/>
              </w:rPr>
              <w:t>2</w:t>
            </w:r>
          </w:p>
        </w:tc>
        <w:tc>
          <w:tcPr>
            <w:tcW w:w="1771" w:type="dxa"/>
            <w:vMerge w:val="continue"/>
            <w:noWrap w:val="0"/>
            <w:vAlign w:val="top"/>
          </w:tcPr>
          <w:p>
            <w:pPr>
              <w:spacing w:before="156" w:beforeLines="50" w:line="360" w:lineRule="auto"/>
              <w:jc w:val="center"/>
              <w:rPr>
                <w:rFonts w:ascii="宋体" w:hAnsi="宋体"/>
                <w:bCs/>
                <w:sz w:val="24"/>
                <w:szCs w:val="24"/>
              </w:rPr>
            </w:pPr>
          </w:p>
        </w:tc>
        <w:tc>
          <w:tcPr>
            <w:tcW w:w="1771" w:type="dxa"/>
            <w:noWrap w:val="0"/>
            <w:vAlign w:val="top"/>
          </w:tcPr>
          <w:p>
            <w:pPr>
              <w:spacing w:before="156" w:beforeLines="50" w:line="360" w:lineRule="auto"/>
              <w:rPr>
                <w:rFonts w:ascii="宋体" w:hAnsi="宋体"/>
                <w:bCs/>
                <w:sz w:val="24"/>
                <w:szCs w:val="24"/>
              </w:rPr>
            </w:pPr>
            <w:r>
              <w:rPr>
                <w:rFonts w:hint="eastAsia" w:ascii="宋体" w:hAnsi="宋体"/>
                <w:bCs/>
                <w:sz w:val="24"/>
                <w:szCs w:val="24"/>
              </w:rPr>
              <w:t>破坏荷载</w:t>
            </w:r>
          </w:p>
        </w:tc>
        <w:tc>
          <w:tcPr>
            <w:tcW w:w="1771" w:type="dxa"/>
            <w:noWrap w:val="0"/>
            <w:vAlign w:val="top"/>
          </w:tcPr>
          <w:p>
            <w:pPr>
              <w:spacing w:before="156" w:beforeLines="50" w:line="360" w:lineRule="auto"/>
              <w:jc w:val="center"/>
              <w:rPr>
                <w:rFonts w:ascii="宋体" w:hAnsi="宋体"/>
                <w:bCs/>
                <w:sz w:val="24"/>
                <w:szCs w:val="24"/>
              </w:rPr>
            </w:pPr>
            <w:r>
              <w:rPr>
                <w:rFonts w:hint="eastAsia" w:ascii="宋体" w:hAnsi="宋体"/>
                <w:bCs/>
                <w:sz w:val="24"/>
                <w:szCs w:val="24"/>
              </w:rPr>
              <w:t>≥250</w:t>
            </w:r>
          </w:p>
        </w:tc>
      </w:tr>
    </w:tbl>
    <w:p>
      <w:pPr>
        <w:spacing w:before="156" w:beforeLines="50" w:line="360" w:lineRule="auto"/>
        <w:jc w:val="center"/>
        <w:rPr>
          <w:rFonts w:ascii="宋体" w:hAnsi="宋体"/>
          <w:bCs/>
          <w:sz w:val="24"/>
          <w:szCs w:val="24"/>
        </w:rPr>
      </w:pPr>
      <w:r>
        <w:rPr>
          <w:rFonts w:hint="eastAsia" w:ascii="宋体" w:hAnsi="宋体"/>
          <w:bCs/>
          <w:sz w:val="24"/>
          <w:szCs w:val="24"/>
        </w:rPr>
        <w:t>1.2、规格1200*800*60mm</w:t>
      </w:r>
    </w:p>
    <w:tbl>
      <w:tblPr>
        <w:tblStyle w:val="6"/>
        <w:tblW w:w="7084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71"/>
        <w:gridCol w:w="1771"/>
        <w:gridCol w:w="1771"/>
        <w:gridCol w:w="177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1" w:type="dxa"/>
            <w:noWrap w:val="0"/>
            <w:vAlign w:val="top"/>
          </w:tcPr>
          <w:p>
            <w:pPr>
              <w:spacing w:before="156" w:beforeLines="50" w:line="360" w:lineRule="auto"/>
              <w:jc w:val="center"/>
              <w:rPr>
                <w:rFonts w:ascii="宋体" w:hAnsi="宋体"/>
                <w:bCs/>
                <w:sz w:val="24"/>
                <w:szCs w:val="24"/>
              </w:rPr>
            </w:pPr>
            <w:r>
              <w:rPr>
                <w:rFonts w:hint="eastAsia" w:ascii="宋体" w:hAnsi="宋体"/>
                <w:bCs/>
                <w:sz w:val="24"/>
                <w:szCs w:val="24"/>
              </w:rPr>
              <w:t>序号</w:t>
            </w:r>
          </w:p>
        </w:tc>
        <w:tc>
          <w:tcPr>
            <w:tcW w:w="3542" w:type="dxa"/>
            <w:gridSpan w:val="2"/>
            <w:noWrap w:val="0"/>
            <w:vAlign w:val="top"/>
          </w:tcPr>
          <w:p>
            <w:pPr>
              <w:spacing w:before="156" w:beforeLines="50" w:line="360" w:lineRule="auto"/>
              <w:jc w:val="center"/>
              <w:rPr>
                <w:rFonts w:ascii="宋体" w:hAnsi="宋体"/>
                <w:bCs/>
                <w:sz w:val="24"/>
                <w:szCs w:val="24"/>
              </w:rPr>
            </w:pPr>
            <w:r>
              <w:rPr>
                <w:rFonts w:hint="eastAsia" w:ascii="宋体" w:hAnsi="宋体"/>
                <w:bCs/>
                <w:sz w:val="24"/>
                <w:szCs w:val="24"/>
              </w:rPr>
              <w:t>检测项目</w:t>
            </w:r>
          </w:p>
        </w:tc>
        <w:tc>
          <w:tcPr>
            <w:tcW w:w="1771" w:type="dxa"/>
            <w:noWrap w:val="0"/>
            <w:vAlign w:val="top"/>
          </w:tcPr>
          <w:p>
            <w:pPr>
              <w:spacing w:before="156" w:beforeLines="50" w:line="360" w:lineRule="auto"/>
              <w:jc w:val="center"/>
              <w:rPr>
                <w:rFonts w:ascii="宋体" w:hAnsi="宋体"/>
                <w:bCs/>
                <w:sz w:val="24"/>
                <w:szCs w:val="24"/>
              </w:rPr>
            </w:pPr>
            <w:r>
              <w:rPr>
                <w:rFonts w:hint="eastAsia" w:ascii="宋体" w:hAnsi="宋体"/>
                <w:bCs/>
                <w:sz w:val="24"/>
                <w:szCs w:val="24"/>
              </w:rPr>
              <w:t>标准要求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1" w:type="dxa"/>
            <w:noWrap w:val="0"/>
            <w:vAlign w:val="top"/>
          </w:tcPr>
          <w:p>
            <w:pPr>
              <w:spacing w:before="156" w:beforeLines="50" w:line="360" w:lineRule="auto"/>
              <w:jc w:val="center"/>
              <w:rPr>
                <w:rFonts w:ascii="宋体" w:hAnsi="宋体"/>
                <w:bCs/>
                <w:sz w:val="24"/>
                <w:szCs w:val="24"/>
              </w:rPr>
            </w:pPr>
            <w:r>
              <w:rPr>
                <w:rFonts w:hint="eastAsia" w:ascii="宋体" w:hAnsi="宋体"/>
                <w:bCs/>
                <w:sz w:val="24"/>
                <w:szCs w:val="24"/>
              </w:rPr>
              <w:t>1</w:t>
            </w:r>
          </w:p>
        </w:tc>
        <w:tc>
          <w:tcPr>
            <w:tcW w:w="1771" w:type="dxa"/>
            <w:vMerge w:val="restart"/>
            <w:noWrap w:val="0"/>
            <w:vAlign w:val="center"/>
          </w:tcPr>
          <w:p>
            <w:pPr>
              <w:spacing w:before="156" w:beforeLines="50" w:line="360" w:lineRule="auto"/>
              <w:rPr>
                <w:rFonts w:ascii="宋体" w:hAnsi="宋体"/>
                <w:bCs/>
                <w:sz w:val="24"/>
                <w:szCs w:val="24"/>
              </w:rPr>
            </w:pPr>
            <w:r>
              <w:rPr>
                <w:rFonts w:hint="eastAsia" w:ascii="宋体" w:hAnsi="宋体"/>
                <w:bCs/>
                <w:sz w:val="24"/>
                <w:szCs w:val="24"/>
              </w:rPr>
              <w:t>承载能力</w:t>
            </w:r>
            <w:r>
              <w:rPr>
                <w:rFonts w:hint="eastAsia" w:ascii="宋体" w:hAnsi="宋体"/>
                <w:b/>
                <w:sz w:val="24"/>
                <w:szCs w:val="24"/>
              </w:rPr>
              <w:t>kN</w:t>
            </w:r>
          </w:p>
        </w:tc>
        <w:tc>
          <w:tcPr>
            <w:tcW w:w="1771" w:type="dxa"/>
            <w:noWrap w:val="0"/>
            <w:vAlign w:val="top"/>
          </w:tcPr>
          <w:p>
            <w:pPr>
              <w:spacing w:before="156" w:beforeLines="50" w:line="360" w:lineRule="auto"/>
              <w:rPr>
                <w:rFonts w:ascii="宋体" w:hAnsi="宋体"/>
                <w:bCs/>
                <w:sz w:val="24"/>
                <w:szCs w:val="24"/>
              </w:rPr>
            </w:pPr>
            <w:r>
              <w:rPr>
                <w:rFonts w:hint="eastAsia" w:ascii="宋体" w:hAnsi="宋体"/>
                <w:bCs/>
                <w:sz w:val="24"/>
                <w:szCs w:val="24"/>
              </w:rPr>
              <w:t>裂缝荷载</w:t>
            </w:r>
          </w:p>
        </w:tc>
        <w:tc>
          <w:tcPr>
            <w:tcW w:w="1771" w:type="dxa"/>
            <w:noWrap w:val="0"/>
            <w:vAlign w:val="top"/>
          </w:tcPr>
          <w:p>
            <w:pPr>
              <w:spacing w:before="156" w:beforeLines="50" w:line="360" w:lineRule="auto"/>
              <w:jc w:val="center"/>
              <w:rPr>
                <w:rFonts w:ascii="宋体" w:hAnsi="宋体"/>
                <w:bCs/>
                <w:sz w:val="24"/>
                <w:szCs w:val="24"/>
              </w:rPr>
            </w:pPr>
            <w:r>
              <w:rPr>
                <w:rFonts w:hint="eastAsia" w:ascii="宋体" w:hAnsi="宋体"/>
                <w:bCs/>
                <w:sz w:val="24"/>
                <w:szCs w:val="24"/>
              </w:rPr>
              <w:t>≥125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1" w:type="dxa"/>
            <w:noWrap w:val="0"/>
            <w:vAlign w:val="top"/>
          </w:tcPr>
          <w:p>
            <w:pPr>
              <w:spacing w:before="156" w:beforeLines="50" w:line="360" w:lineRule="auto"/>
              <w:jc w:val="center"/>
              <w:rPr>
                <w:rFonts w:ascii="宋体" w:hAnsi="宋体"/>
                <w:bCs/>
                <w:sz w:val="24"/>
                <w:szCs w:val="24"/>
              </w:rPr>
            </w:pPr>
            <w:r>
              <w:rPr>
                <w:rFonts w:hint="eastAsia" w:ascii="宋体" w:hAnsi="宋体"/>
                <w:bCs/>
                <w:sz w:val="24"/>
                <w:szCs w:val="24"/>
              </w:rPr>
              <w:t>2</w:t>
            </w:r>
          </w:p>
        </w:tc>
        <w:tc>
          <w:tcPr>
            <w:tcW w:w="1771" w:type="dxa"/>
            <w:vMerge w:val="continue"/>
            <w:noWrap w:val="0"/>
            <w:vAlign w:val="top"/>
          </w:tcPr>
          <w:p>
            <w:pPr>
              <w:spacing w:before="156" w:beforeLines="50" w:line="360" w:lineRule="auto"/>
              <w:jc w:val="center"/>
              <w:rPr>
                <w:rFonts w:ascii="宋体" w:hAnsi="宋体"/>
                <w:bCs/>
                <w:sz w:val="24"/>
                <w:szCs w:val="24"/>
              </w:rPr>
            </w:pPr>
          </w:p>
        </w:tc>
        <w:tc>
          <w:tcPr>
            <w:tcW w:w="1771" w:type="dxa"/>
            <w:noWrap w:val="0"/>
            <w:vAlign w:val="top"/>
          </w:tcPr>
          <w:p>
            <w:pPr>
              <w:spacing w:before="156" w:beforeLines="50" w:line="360" w:lineRule="auto"/>
              <w:rPr>
                <w:rFonts w:ascii="宋体" w:hAnsi="宋体"/>
                <w:bCs/>
                <w:sz w:val="24"/>
                <w:szCs w:val="24"/>
              </w:rPr>
            </w:pPr>
            <w:r>
              <w:rPr>
                <w:rFonts w:hint="eastAsia" w:ascii="宋体" w:hAnsi="宋体"/>
                <w:bCs/>
                <w:sz w:val="24"/>
                <w:szCs w:val="24"/>
              </w:rPr>
              <w:t>破坏荷载</w:t>
            </w:r>
          </w:p>
        </w:tc>
        <w:tc>
          <w:tcPr>
            <w:tcW w:w="1771" w:type="dxa"/>
            <w:noWrap w:val="0"/>
            <w:vAlign w:val="top"/>
          </w:tcPr>
          <w:p>
            <w:pPr>
              <w:spacing w:before="156" w:beforeLines="50" w:line="360" w:lineRule="auto"/>
              <w:jc w:val="center"/>
              <w:rPr>
                <w:rFonts w:ascii="宋体" w:hAnsi="宋体"/>
                <w:bCs/>
                <w:sz w:val="24"/>
                <w:szCs w:val="24"/>
              </w:rPr>
            </w:pPr>
            <w:r>
              <w:rPr>
                <w:rFonts w:hint="eastAsia" w:ascii="宋体" w:hAnsi="宋体"/>
                <w:bCs/>
                <w:sz w:val="24"/>
                <w:szCs w:val="24"/>
              </w:rPr>
              <w:t>≥250</w:t>
            </w:r>
          </w:p>
        </w:tc>
      </w:tr>
    </w:tbl>
    <w:p>
      <w:pPr>
        <w:rPr>
          <w:rFonts w:hint="eastAsia" w:ascii="宋体" w:hAnsi="宋体" w:cs="宋体"/>
          <w:sz w:val="24"/>
          <w:szCs w:val="24"/>
        </w:rPr>
      </w:pPr>
    </w:p>
    <w:p>
      <w:pPr>
        <w:pStyle w:val="2"/>
        <w:ind w:firstLine="0"/>
        <w:sectPr>
          <w:footerReference r:id="rId3" w:type="default"/>
          <w:pgSz w:w="11906" w:h="16838"/>
          <w:pgMar w:top="1701" w:right="1595" w:bottom="1134" w:left="1711" w:header="567" w:footer="567" w:gutter="0"/>
          <w:cols w:space="720" w:num="1"/>
          <w:docGrid w:type="lines" w:linePitch="312" w:charSpace="0"/>
        </w:sectPr>
      </w:pPr>
    </w:p>
    <w:p>
      <w:pPr>
        <w:rPr>
          <w:rFonts w:ascii="宋体" w:hAnsi="宋体"/>
          <w:sz w:val="24"/>
          <w:szCs w:val="24"/>
        </w:rPr>
      </w:pPr>
    </w:p>
    <w:p>
      <w:r>
        <w:rPr>
          <w:rFonts w:ascii="宋体" w:hAnsi="宋体"/>
          <w:sz w:val="24"/>
          <w:szCs w:val="24"/>
        </w:rPr>
        <w:drawing>
          <wp:inline distT="0" distB="0" distL="114300" distR="114300">
            <wp:extent cx="5458460" cy="7718425"/>
            <wp:effectExtent l="0" t="0" r="8890" b="15875"/>
            <wp:docPr id="1" name="图片 1" descr="d:\Desktop\qqq\图片2.png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:\Desktop\qqq\图片2.png图片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58460" cy="771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</w:pPr>
    <w:r>
      <w:rPr>
        <w:lang w:val="zh-CN"/>
      </w:rPr>
      <w:t xml:space="preserve"> </w:t>
    </w:r>
    <w:r>
      <w:rPr>
        <w:b/>
        <w:sz w:val="24"/>
        <w:szCs w:val="24"/>
      </w:rPr>
      <w:fldChar w:fldCharType="begin"/>
    </w:r>
    <w:r>
      <w:rPr>
        <w:b/>
      </w:rPr>
      <w:instrText xml:space="preserve">PAGE</w:instrText>
    </w:r>
    <w:r>
      <w:rPr>
        <w:b/>
        <w:sz w:val="24"/>
        <w:szCs w:val="24"/>
      </w:rPr>
      <w:fldChar w:fldCharType="separate"/>
    </w:r>
    <w:r>
      <w:rPr>
        <w:b/>
      </w:rPr>
      <w:t>44</w:t>
    </w:r>
    <w:r>
      <w:rPr>
        <w:b/>
        <w:sz w:val="24"/>
        <w:szCs w:val="24"/>
      </w:rPr>
      <w:fldChar w:fldCharType="end"/>
    </w:r>
    <w:r>
      <w:rPr>
        <w:lang w:val="zh-CN"/>
      </w:rPr>
      <w:t xml:space="preserve"> </w:t>
    </w:r>
  </w:p>
  <w:p>
    <w:pPr>
      <w:pStyle w:val="5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4B51012"/>
    <w:rsid w:val="34B510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4">
    <w:name w:val="heading 3"/>
    <w:basedOn w:val="1"/>
    <w:next w:val="1"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"/>
    <w:basedOn w:val="3"/>
    <w:qFormat/>
    <w:uiPriority w:val="0"/>
    <w:pPr>
      <w:snapToGrid w:val="0"/>
      <w:spacing w:after="0" w:line="360" w:lineRule="auto"/>
      <w:ind w:firstLine="425"/>
    </w:pPr>
    <w:rPr>
      <w:rFonts w:eastAsia="宋体" w:cs="Times New Roman"/>
      <w:kern w:val="0"/>
      <w:sz w:val="20"/>
      <w:szCs w:val="20"/>
    </w:rPr>
  </w:style>
  <w:style w:type="paragraph" w:styleId="3">
    <w:name w:val="Body Text"/>
    <w:basedOn w:val="1"/>
    <w:unhideWhenUsed/>
    <w:qFormat/>
    <w:uiPriority w:val="0"/>
    <w:pPr>
      <w:spacing w:after="120"/>
    </w:pPr>
  </w:style>
  <w:style w:type="paragraph" w:styleId="5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List Paragraph"/>
    <w:basedOn w:val="1"/>
    <w:qFormat/>
    <w:uiPriority w:val="0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其他</Company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Office_11.8.2.8276_F1E327BC-269C-435d-A152-05C5408002CA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2023-05-04T00:22:00Z</dcterms:created>
  <dc:creator>Lenovo</dc:creator>
  <cp:lastModifiedBy>Lenovo</cp:lastModifiedBy>
  <dcterms:modified xsi:type="dcterms:W3CDTF">2023-05-04T00:23:59Z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2052-11.8.2.8276</vt:lpwstr>
  </property>
</Properties>
</file>