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240" w:lineRule="auto"/>
        <w:jc w:val="center"/>
        <w:rPr>
          <w:rFonts w:ascii="宋体" w:hAnsi="宋体" w:eastAsia="宋体" w:cs="Times New Roman"/>
          <w:b/>
          <w:bCs/>
          <w:color w:val="000000"/>
          <w:spacing w:val="0"/>
          <w:sz w:val="30"/>
          <w:szCs w:val="30"/>
        </w:rPr>
      </w:pPr>
      <w:r>
        <w:rPr>
          <w:rFonts w:hint="eastAsia" w:ascii="宋体" w:hAnsi="宋体" w:eastAsia="宋体" w:cs="Times New Roman"/>
          <w:b/>
          <w:bCs/>
          <w:color w:val="000000"/>
          <w:spacing w:val="0"/>
          <w:sz w:val="30"/>
          <w:szCs w:val="30"/>
        </w:rPr>
        <w:t>评标办法</w:t>
      </w:r>
    </w:p>
    <w:p>
      <w:pPr>
        <w:numPr>
          <w:ilvl w:val="0"/>
          <w:numId w:val="0"/>
        </w:numPr>
        <w:spacing w:after="156" w:afterLines="50" w:line="240" w:lineRule="auto"/>
        <w:ind w:firstLine="301" w:firstLineChars="100"/>
        <w:jc w:val="center"/>
        <w:rPr>
          <w:rFonts w:ascii="宋体" w:hAnsi="宋体" w:eastAsia="宋体" w:cs="宋体"/>
          <w:b/>
          <w:bCs/>
          <w:color w:val="000000"/>
          <w:spacing w:val="0"/>
          <w:sz w:val="30"/>
          <w:szCs w:val="30"/>
        </w:rPr>
      </w:pPr>
      <w:r>
        <w:rPr>
          <w:rFonts w:hint="eastAsia" w:ascii="宋体" w:hAnsi="宋体" w:eastAsia="宋体" w:cs="宋体"/>
          <w:b/>
          <w:bCs/>
          <w:spacing w:val="0"/>
          <w:sz w:val="30"/>
          <w:szCs w:val="30"/>
        </w:rPr>
        <w:t>（双信封的技术评分最低标价法）</w:t>
      </w:r>
    </w:p>
    <w:p>
      <w:pPr>
        <w:pStyle w:val="3"/>
        <w:spacing w:before="156" w:beforeLines="50" w:after="0" w:line="400" w:lineRule="exact"/>
        <w:rPr>
          <w:rFonts w:ascii="宋体" w:hAnsi="宋体" w:cs="宋体"/>
          <w:spacing w:val="0"/>
          <w:sz w:val="21"/>
          <w:szCs w:val="21"/>
        </w:rPr>
      </w:pPr>
      <w:bookmarkStart w:id="0" w:name="_Toc490681635"/>
      <w:bookmarkEnd w:id="0"/>
      <w:r>
        <w:rPr>
          <w:rFonts w:hint="eastAsia" w:ascii="黑体" w:hAnsi="黑体" w:eastAsia="黑体" w:cs="黑体"/>
          <w:color w:val="000000"/>
          <w:spacing w:val="0"/>
          <w:kern w:val="0"/>
          <w:sz w:val="21"/>
          <w:szCs w:val="21"/>
        </w:rPr>
        <w:t xml:space="preserve">评标办法前附表 </w:t>
      </w:r>
    </w:p>
    <w:tbl>
      <w:tblPr>
        <w:tblStyle w:val="6"/>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134"/>
        <w:gridCol w:w="7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70" w:type="dxa"/>
            <w:gridSpan w:val="2"/>
            <w:noWrap w:val="0"/>
            <w:vAlign w:val="center"/>
          </w:tcPr>
          <w:p>
            <w:pPr>
              <w:spacing w:line="400" w:lineRule="exact"/>
              <w:rPr>
                <w:rFonts w:ascii="宋体" w:hAnsi="宋体" w:eastAsia="宋体" w:cs="宋体"/>
                <w:b/>
                <w:spacing w:val="0"/>
                <w:sz w:val="21"/>
                <w:szCs w:val="24"/>
              </w:rPr>
            </w:pPr>
            <w:r>
              <w:rPr>
                <w:rFonts w:ascii="Calibri" w:hAnsi="Calibri" w:eastAsia="宋体" w:cs="Times New Roman"/>
                <w:spacing w:val="0"/>
                <w:sz w:val="21"/>
                <w:szCs w:val="24"/>
              </w:rPr>
              <w:br w:type="page"/>
            </w:r>
            <w:r>
              <w:rPr>
                <w:rFonts w:hint="eastAsia" w:ascii="宋体" w:hAnsi="宋体" w:eastAsia="宋体" w:cs="宋体"/>
                <w:b/>
                <w:spacing w:val="0"/>
                <w:sz w:val="21"/>
                <w:szCs w:val="24"/>
              </w:rPr>
              <w:t>条款号</w:t>
            </w:r>
          </w:p>
        </w:tc>
        <w:tc>
          <w:tcPr>
            <w:tcW w:w="7999" w:type="dxa"/>
            <w:noWrap w:val="0"/>
            <w:vAlign w:val="center"/>
          </w:tcPr>
          <w:p>
            <w:pPr>
              <w:spacing w:line="400" w:lineRule="exact"/>
              <w:jc w:val="center"/>
              <w:rPr>
                <w:rFonts w:ascii="宋体" w:hAnsi="宋体" w:eastAsia="宋体" w:cs="宋体"/>
                <w:b/>
                <w:spacing w:val="0"/>
                <w:sz w:val="21"/>
                <w:szCs w:val="24"/>
              </w:rPr>
            </w:pPr>
            <w:r>
              <w:rPr>
                <w:rFonts w:hint="eastAsia" w:ascii="宋体" w:hAnsi="宋体" w:eastAsia="宋体" w:cs="宋体"/>
                <w:b/>
                <w:spacing w:val="0"/>
                <w:sz w:val="21"/>
                <w:szCs w:val="24"/>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pPr>
              <w:pStyle w:val="8"/>
              <w:tabs>
                <w:tab w:val="left" w:pos="804"/>
              </w:tabs>
              <w:kinsoku w:val="0"/>
              <w:overflowPunct w:val="0"/>
              <w:spacing w:line="400" w:lineRule="exact"/>
              <w:jc w:val="center"/>
              <w:rPr>
                <w:rFonts w:hint="default"/>
                <w:spacing w:val="-1"/>
                <w:sz w:val="21"/>
                <w:szCs w:val="21"/>
              </w:rPr>
            </w:pPr>
            <w:r>
              <w:rPr>
                <w:spacing w:val="-1"/>
                <w:sz w:val="21"/>
                <w:szCs w:val="21"/>
              </w:rPr>
              <w:t>1</w:t>
            </w:r>
          </w:p>
        </w:tc>
        <w:tc>
          <w:tcPr>
            <w:tcW w:w="1134" w:type="dxa"/>
            <w:noWrap w:val="0"/>
            <w:vAlign w:val="center"/>
          </w:tcPr>
          <w:p>
            <w:pPr>
              <w:pStyle w:val="8"/>
              <w:tabs>
                <w:tab w:val="left" w:pos="804"/>
              </w:tabs>
              <w:kinsoku w:val="0"/>
              <w:overflowPunct w:val="0"/>
              <w:spacing w:line="400" w:lineRule="exact"/>
              <w:jc w:val="center"/>
              <w:rPr>
                <w:rFonts w:hint="default"/>
                <w:spacing w:val="-1"/>
                <w:sz w:val="21"/>
                <w:szCs w:val="21"/>
              </w:rPr>
            </w:pPr>
            <w:r>
              <w:rPr>
                <w:spacing w:val="-1"/>
                <w:sz w:val="21"/>
                <w:szCs w:val="21"/>
              </w:rPr>
              <w:t>评标方法</w:t>
            </w:r>
          </w:p>
        </w:tc>
        <w:tc>
          <w:tcPr>
            <w:tcW w:w="7999" w:type="dxa"/>
            <w:noWrap w:val="0"/>
            <w:vAlign w:val="top"/>
          </w:tcPr>
          <w:p>
            <w:pPr>
              <w:pStyle w:val="8"/>
              <w:tabs>
                <w:tab w:val="left" w:pos="804"/>
              </w:tabs>
              <w:overflowPunct w:val="0"/>
              <w:spacing w:line="400" w:lineRule="exact"/>
              <w:ind w:firstLine="420" w:firstLineChars="200"/>
              <w:rPr>
                <w:rFonts w:hint="default"/>
                <w:spacing w:val="0"/>
                <w:sz w:val="21"/>
                <w:szCs w:val="21"/>
              </w:rPr>
            </w:pPr>
            <w:r>
              <w:rPr>
                <w:spacing w:val="0"/>
                <w:sz w:val="21"/>
                <w:szCs w:val="21"/>
              </w:rPr>
              <w:t xml:space="preserve">评标价相等时，评标委员会依次按照以下优先顺序推荐中标候选人或确定中标人： </w:t>
            </w:r>
          </w:p>
          <w:p>
            <w:pPr>
              <w:pStyle w:val="8"/>
              <w:numPr>
                <w:ilvl w:val="0"/>
                <w:numId w:val="2"/>
              </w:numPr>
              <w:tabs>
                <w:tab w:val="left" w:pos="804"/>
              </w:tabs>
              <w:overflowPunct w:val="0"/>
              <w:spacing w:line="400" w:lineRule="exact"/>
              <w:ind w:firstLine="456" w:firstLineChars="200"/>
              <w:rPr>
                <w:rFonts w:hint="default"/>
                <w:spacing w:val="0"/>
                <w:sz w:val="21"/>
                <w:szCs w:val="21"/>
              </w:rPr>
            </w:pPr>
            <w:r>
              <w:rPr>
                <w:rFonts w:cs="宋体"/>
                <w:spacing w:val="9"/>
                <w:sz w:val="21"/>
                <w:szCs w:val="21"/>
              </w:rPr>
              <w:t>按招标文件规定</w:t>
            </w:r>
            <w:r>
              <w:rPr>
                <w:spacing w:val="0"/>
                <w:sz w:val="21"/>
                <w:szCs w:val="21"/>
              </w:rPr>
              <w:t>被广东省交通运输厅最新年度评为较高信用等级的投标人优先；</w:t>
            </w:r>
          </w:p>
          <w:p>
            <w:pPr>
              <w:pStyle w:val="8"/>
              <w:numPr>
                <w:ilvl w:val="0"/>
                <w:numId w:val="0"/>
              </w:numPr>
              <w:tabs>
                <w:tab w:val="left" w:pos="804"/>
              </w:tabs>
              <w:overflowPunct w:val="0"/>
              <w:spacing w:line="400" w:lineRule="exact"/>
              <w:ind w:firstLine="420" w:firstLineChars="200"/>
              <w:rPr>
                <w:rFonts w:hint="default"/>
                <w:spacing w:val="0"/>
                <w:sz w:val="21"/>
                <w:szCs w:val="21"/>
              </w:rPr>
            </w:pPr>
            <w:r>
              <w:rPr>
                <w:spacing w:val="0"/>
                <w:sz w:val="21"/>
                <w:szCs w:val="21"/>
              </w:rPr>
              <w:t xml:space="preserve">【采用如下的优先顺序：承诺使用的AA级投标人、不承诺使用的AA级投标人、承诺使用的A级投标人、不承诺使用的A级投标人、B级投标人、未参评且被确定为B级投标人】 </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 xml:space="preserve">（2）以投标人企业最新年度净资产较高的优先； </w:t>
            </w:r>
          </w:p>
          <w:p>
            <w:pPr>
              <w:pStyle w:val="8"/>
              <w:tabs>
                <w:tab w:val="left" w:pos="804"/>
              </w:tabs>
              <w:overflowPunct w:val="0"/>
              <w:spacing w:line="400" w:lineRule="exact"/>
              <w:ind w:firstLine="420" w:firstLineChars="200"/>
              <w:rPr>
                <w:rFonts w:hint="default"/>
                <w:spacing w:val="-1"/>
                <w:sz w:val="21"/>
                <w:szCs w:val="21"/>
              </w:rPr>
            </w:pPr>
            <w:r>
              <w:rPr>
                <w:spacing w:val="0"/>
                <w:sz w:val="21"/>
                <w:szCs w:val="21"/>
              </w:rPr>
              <w:t xml:space="preserve">（3）评标委员会视投标人情况综合比较，投票确定其名次。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pPr>
              <w:pStyle w:val="8"/>
              <w:kinsoku w:val="0"/>
              <w:overflowPunct w:val="0"/>
              <w:spacing w:line="400" w:lineRule="exact"/>
              <w:jc w:val="center"/>
              <w:rPr>
                <w:rFonts w:hint="default"/>
                <w:spacing w:val="-1"/>
                <w:sz w:val="21"/>
                <w:szCs w:val="21"/>
              </w:rPr>
            </w:pPr>
            <w:r>
              <w:rPr>
                <w:spacing w:val="-1"/>
                <w:sz w:val="21"/>
                <w:szCs w:val="21"/>
              </w:rPr>
              <w:t>2.1.1</w:t>
            </w:r>
          </w:p>
          <w:p>
            <w:pPr>
              <w:pStyle w:val="8"/>
              <w:tabs>
                <w:tab w:val="left" w:pos="804"/>
              </w:tabs>
              <w:kinsoku w:val="0"/>
              <w:overflowPunct w:val="0"/>
              <w:spacing w:line="400" w:lineRule="exact"/>
              <w:jc w:val="center"/>
              <w:rPr>
                <w:rFonts w:hint="default"/>
                <w:spacing w:val="-1"/>
                <w:sz w:val="21"/>
                <w:szCs w:val="21"/>
              </w:rPr>
            </w:pPr>
            <w:r>
              <w:rPr>
                <w:spacing w:val="-1"/>
                <w:sz w:val="21"/>
                <w:szCs w:val="21"/>
              </w:rPr>
              <w:t>2.1.3</w:t>
            </w:r>
          </w:p>
        </w:tc>
        <w:tc>
          <w:tcPr>
            <w:tcW w:w="1134" w:type="dxa"/>
            <w:noWrap w:val="0"/>
            <w:vAlign w:val="center"/>
          </w:tcPr>
          <w:p>
            <w:pPr>
              <w:pStyle w:val="8"/>
              <w:tabs>
                <w:tab w:val="left" w:pos="804"/>
              </w:tabs>
              <w:kinsoku w:val="0"/>
              <w:overflowPunct w:val="0"/>
              <w:spacing w:line="400" w:lineRule="exact"/>
              <w:jc w:val="center"/>
              <w:rPr>
                <w:rFonts w:hint="default"/>
                <w:spacing w:val="-1"/>
                <w:sz w:val="21"/>
                <w:szCs w:val="21"/>
              </w:rPr>
            </w:pPr>
            <w:r>
              <w:rPr>
                <w:spacing w:val="-1"/>
                <w:sz w:val="21"/>
                <w:szCs w:val="21"/>
              </w:rPr>
              <w:t>形式评审与响应性评审标准</w:t>
            </w:r>
          </w:p>
        </w:tc>
        <w:tc>
          <w:tcPr>
            <w:tcW w:w="7999" w:type="dxa"/>
            <w:noWrap w:val="0"/>
            <w:vAlign w:val="top"/>
          </w:tcPr>
          <w:p>
            <w:pPr>
              <w:pStyle w:val="8"/>
              <w:tabs>
                <w:tab w:val="left" w:pos="804"/>
              </w:tabs>
              <w:overflowPunct w:val="0"/>
              <w:spacing w:line="400" w:lineRule="exact"/>
              <w:rPr>
                <w:rFonts w:hint="default"/>
                <w:b/>
                <w:spacing w:val="-1"/>
                <w:sz w:val="21"/>
                <w:szCs w:val="21"/>
              </w:rPr>
            </w:pPr>
            <w:r>
              <w:rPr>
                <w:b/>
                <w:spacing w:val="-1"/>
                <w:sz w:val="21"/>
                <w:szCs w:val="21"/>
              </w:rPr>
              <w:t>第一个信封（商务及技术文件）评审标准：</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（1）投标文件按照招标文件规定的格式、内容填写，字迹清晰可辩；</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a.投标函按招标文件规定填报了项目名称、标段号（如有）、补遗书编号（如有)、工期、工程质量要求及安全目标；</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b.投标函附录的所有数据均符合招标文件规定；</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c.投标文件组成齐全完整，内容均按规定填写。</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（2）投标文件上法定代表人或其委托代理人的签字、投标人的单位章盖章齐全，符合招标文件规定。</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（3）投标人按照招标文件的规定提供了投标保证金：</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a.投标保证金金额符合招标文件规定的金额，且投标保证金有效期不少于投标有效期；</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b.若投标保证金采用现金或支票形式提交，投标人应在投标人须知3.4.1 款规定的时间，将投标保证金由投标人的基本账户转入招标人指定账户；</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c.若投标保证金采用银行保函或投标人须知前附表 3.4.1 项规定的其他形式提交，应满足招标文件要求。</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（4）投标人法定代表人授权委托代理人签署投标文件的，需提交授权委托书，且授权人和被授权人均在授权委托书上签名，未使用印章、签名章或其他电子制版签名代替。</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（5）投标人法定代表人亲自签署投标文件的，提供了法定代表人身份证明，且法定代表人在法定代表人身份证明上签名，未使用印章、签名章或其他电子制版签名代替。</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（6）如投标人不具备拟分包工程所需的某专项工程相应资质或投标人如有分包计划，符合招标文件第二章“投标人须知”第 1.11 款规定，且按招标文件第九章“投标文件格式”的要求填写了“拟分包项目情况表”。</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（7）同一投标人未提交两个以上不同的投标文件，但招标文件要求提交备选投标的除外。</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（8）投标文件中未出现有关投标报价的内容。</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（9）投标文件载明的招标项目完成期限未超过招标文件规定的时限。</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（10）投标文件对招标文件的实质性要求和条件作出响应。</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（11）权利义务符合招标文件规定：</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a.投标人应接受招标文件规定的风险划分原则，未提出新的风险划分办法；</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b.投标人未增加发包人的责任范围，或减少投标人义务；</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c.投标人未提出不同的工程验收、计量、支付办法；</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d.投标人对合同纠纷、事故处理办法未提出异议；</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e.投标人在投标活动中无欺诈行为；</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f.投标人未对合同条款有重要保留。</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（12）投标文件未附有招标人不能接受的条件。</w:t>
            </w:r>
          </w:p>
          <w:p>
            <w:pPr>
              <w:pStyle w:val="8"/>
              <w:tabs>
                <w:tab w:val="left" w:pos="804"/>
              </w:tabs>
              <w:overflowPunct w:val="0"/>
              <w:spacing w:line="400" w:lineRule="exact"/>
              <w:ind w:firstLine="420" w:firstLineChars="200"/>
              <w:rPr>
                <w:rFonts w:hint="default"/>
                <w:spacing w:val="0"/>
                <w:sz w:val="21"/>
                <w:szCs w:val="21"/>
              </w:rPr>
            </w:pPr>
          </w:p>
          <w:p>
            <w:pPr>
              <w:pStyle w:val="8"/>
              <w:tabs>
                <w:tab w:val="left" w:pos="804"/>
              </w:tabs>
              <w:overflowPunct w:val="0"/>
              <w:spacing w:line="400" w:lineRule="exact"/>
              <w:rPr>
                <w:rFonts w:hint="default"/>
                <w:b/>
                <w:spacing w:val="0"/>
                <w:sz w:val="21"/>
                <w:szCs w:val="21"/>
              </w:rPr>
            </w:pPr>
            <w:r>
              <w:rPr>
                <w:b/>
                <w:spacing w:val="0"/>
                <w:sz w:val="21"/>
                <w:szCs w:val="21"/>
              </w:rPr>
              <w:t>第二个信封（报价文件）评审标准：</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（1）投标文件按照招标文件规定的格式、内容填写，字迹清晰可辨：</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a.投标函按招标文件规定填报了项目名称、标段号（如有）、补遗书编号（如有)、投标下浮率、投标总报价（包括大写金额和小写金额)；</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b.投标文件组成齐全完整，内容均按规定填写。</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（2）投标文件上法定代表人或其委托代理人的签字、投标人的单位章盖章齐全，符合招标文件规定。</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（3） 投标总报价或调价函中的报价未超过招标文件设定的最高投标限价 (如有)及最高评标限价 (如有) 。</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（4）投标总报价或调价函中报价的大写金额能够确定具体数值。</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 xml:space="preserve">（5）同一投标人未提交两个以上不同的投标报价，但招标文件要求提交备选投标的除外。 </w:t>
            </w:r>
          </w:p>
          <w:p>
            <w:pPr>
              <w:pStyle w:val="8"/>
              <w:tabs>
                <w:tab w:val="left" w:pos="804"/>
              </w:tabs>
              <w:overflowPunct w:val="0"/>
              <w:spacing w:line="400" w:lineRule="exact"/>
              <w:rPr>
                <w:rFonts w:hint="default"/>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pPr>
              <w:pStyle w:val="8"/>
              <w:kinsoku w:val="0"/>
              <w:overflowPunct w:val="0"/>
              <w:spacing w:line="400" w:lineRule="exact"/>
              <w:jc w:val="center"/>
              <w:rPr>
                <w:rFonts w:hint="default" w:ascii="Times New Roman" w:hAnsi="Times New Roman" w:eastAsia="Times New Roman"/>
                <w:spacing w:val="0"/>
                <w:sz w:val="21"/>
                <w:szCs w:val="21"/>
              </w:rPr>
            </w:pPr>
            <w:r>
              <w:rPr>
                <w:spacing w:val="-1"/>
                <w:sz w:val="21"/>
                <w:szCs w:val="21"/>
              </w:rPr>
              <w:t>2.1.2</w:t>
            </w:r>
          </w:p>
        </w:tc>
        <w:tc>
          <w:tcPr>
            <w:tcW w:w="1134" w:type="dxa"/>
            <w:noWrap w:val="0"/>
            <w:vAlign w:val="center"/>
          </w:tcPr>
          <w:p>
            <w:pPr>
              <w:pStyle w:val="8"/>
              <w:kinsoku w:val="0"/>
              <w:overflowPunct w:val="0"/>
              <w:spacing w:line="400" w:lineRule="exact"/>
              <w:jc w:val="center"/>
              <w:rPr>
                <w:rFonts w:hint="default" w:ascii="Times New Roman" w:hAnsi="Times New Roman" w:eastAsia="Times New Roman"/>
                <w:spacing w:val="0"/>
                <w:sz w:val="21"/>
                <w:szCs w:val="21"/>
              </w:rPr>
            </w:pPr>
            <w:r>
              <w:rPr>
                <w:spacing w:val="0"/>
                <w:sz w:val="21"/>
                <w:szCs w:val="21"/>
              </w:rPr>
              <w:t>资格评审标准</w:t>
            </w:r>
          </w:p>
        </w:tc>
        <w:tc>
          <w:tcPr>
            <w:tcW w:w="7999" w:type="dxa"/>
            <w:noWrap w:val="0"/>
            <w:vAlign w:val="top"/>
          </w:tcPr>
          <w:p>
            <w:pPr>
              <w:pStyle w:val="8"/>
              <w:tabs>
                <w:tab w:val="left" w:pos="804"/>
              </w:tabs>
              <w:overflowPunct w:val="0"/>
              <w:spacing w:line="400" w:lineRule="exact"/>
              <w:ind w:firstLine="420" w:firstLineChars="200"/>
              <w:rPr>
                <w:rFonts w:hint="default"/>
                <w:spacing w:val="0"/>
                <w:sz w:val="21"/>
                <w:szCs w:val="21"/>
              </w:rPr>
            </w:pPr>
            <w:r>
              <w:rPr>
                <w:spacing w:val="0"/>
                <w:sz w:val="21"/>
                <w:szCs w:val="21"/>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（2）投标人的资质等级符合招标文件规定。</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（3）投标人的财务状况应符合招标文件规定。</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（4）投标人的类似项目业绩符合招标文件规定。</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（5）投标人的信誉符合招标文件规定。</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（6）投标人的项目经理和项目总工资格、在岗情况符合符合招标文件规定，并按规定在投标文件中签字确认。</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（7）投标人的其他要求符合招标文件规定（如有）。</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（8）投标人不存在第二章“投标人须知”第1.4.3项或第1.4.4项规定的任何一种情形；</w:t>
            </w:r>
          </w:p>
          <w:p>
            <w:pPr>
              <w:pStyle w:val="8"/>
              <w:tabs>
                <w:tab w:val="left" w:pos="804"/>
              </w:tabs>
              <w:overflowPunct w:val="0"/>
              <w:spacing w:line="400" w:lineRule="exact"/>
              <w:ind w:firstLine="420" w:firstLineChars="200"/>
              <w:rPr>
                <w:rFonts w:hint="default" w:ascii="Times New Roman" w:hAnsi="Times New Roman" w:eastAsia="Times New Roman"/>
                <w:spacing w:val="0"/>
                <w:sz w:val="21"/>
                <w:szCs w:val="21"/>
              </w:rPr>
            </w:pPr>
            <w:r>
              <w:rPr>
                <w:spacing w:val="0"/>
                <w:sz w:val="21"/>
                <w:szCs w:val="21"/>
              </w:rPr>
              <w:t>（9）投标人符合第二章“投标人须知”第1.4.5项规定；</w:t>
            </w:r>
          </w:p>
        </w:tc>
      </w:tr>
    </w:tbl>
    <w:p>
      <w:pPr>
        <w:spacing w:line="240" w:lineRule="auto"/>
        <w:rPr>
          <w:rFonts w:ascii="Calibri" w:hAnsi="Calibri" w:eastAsia="宋体" w:cs="Times New Roman"/>
          <w:spacing w:val="0"/>
          <w:sz w:val="21"/>
          <w:szCs w:val="24"/>
        </w:rPr>
      </w:pPr>
    </w:p>
    <w:p>
      <w:pPr>
        <w:pStyle w:val="2"/>
        <w:spacing w:line="240" w:lineRule="auto"/>
        <w:rPr>
          <w:spacing w:val="0"/>
        </w:rPr>
      </w:pPr>
    </w:p>
    <w:tbl>
      <w:tblPr>
        <w:tblStyle w:val="6"/>
        <w:tblpPr w:leftFromText="180" w:rightFromText="180" w:vertAnchor="text" w:horzAnchor="page" w:tblpX="1038" w:tblpY="943"/>
        <w:tblOverlap w:val="never"/>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584"/>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34" w:type="dxa"/>
            <w:noWrap w:val="0"/>
            <w:vAlign w:val="center"/>
          </w:tcPr>
          <w:p>
            <w:pPr>
              <w:spacing w:line="400" w:lineRule="exact"/>
              <w:jc w:val="center"/>
              <w:rPr>
                <w:rFonts w:ascii="宋体" w:hAnsi="宋体" w:eastAsia="宋体" w:cs="宋体"/>
                <w:b/>
                <w:spacing w:val="0"/>
                <w:sz w:val="21"/>
                <w:szCs w:val="24"/>
              </w:rPr>
            </w:pPr>
            <w:r>
              <w:rPr>
                <w:rFonts w:hint="eastAsia" w:ascii="宋体" w:hAnsi="宋体" w:eastAsia="宋体" w:cs="宋体"/>
                <w:b/>
                <w:spacing w:val="0"/>
                <w:sz w:val="21"/>
                <w:szCs w:val="24"/>
              </w:rPr>
              <w:t>条款号</w:t>
            </w:r>
          </w:p>
        </w:tc>
        <w:tc>
          <w:tcPr>
            <w:tcW w:w="1584" w:type="dxa"/>
            <w:noWrap w:val="0"/>
            <w:vAlign w:val="center"/>
          </w:tcPr>
          <w:p>
            <w:pPr>
              <w:spacing w:line="400" w:lineRule="exact"/>
              <w:jc w:val="center"/>
              <w:rPr>
                <w:rFonts w:ascii="宋体" w:hAnsi="宋体" w:eastAsia="宋体" w:cs="宋体"/>
                <w:b/>
                <w:spacing w:val="0"/>
                <w:sz w:val="21"/>
                <w:szCs w:val="24"/>
              </w:rPr>
            </w:pPr>
            <w:r>
              <w:rPr>
                <w:rFonts w:ascii="宋体" w:hAnsi="宋体" w:eastAsia="宋体" w:cs="Times New Roman"/>
                <w:b/>
                <w:spacing w:val="0"/>
                <w:sz w:val="21"/>
                <w:szCs w:val="24"/>
              </w:rPr>
              <w:t>条款内容</w:t>
            </w:r>
          </w:p>
        </w:tc>
        <w:tc>
          <w:tcPr>
            <w:tcW w:w="7641" w:type="dxa"/>
            <w:noWrap w:val="0"/>
            <w:vAlign w:val="center"/>
          </w:tcPr>
          <w:p>
            <w:pPr>
              <w:spacing w:line="400" w:lineRule="exact"/>
              <w:jc w:val="center"/>
              <w:rPr>
                <w:rFonts w:ascii="宋体" w:hAnsi="宋体" w:eastAsia="宋体" w:cs="宋体"/>
                <w:b/>
                <w:spacing w:val="0"/>
                <w:sz w:val="21"/>
                <w:szCs w:val="24"/>
              </w:rPr>
            </w:pPr>
            <w:r>
              <w:rPr>
                <w:rFonts w:ascii="宋体" w:hAnsi="宋体" w:eastAsia="宋体" w:cs="Times New Roman"/>
                <w:b/>
                <w:spacing w:val="0"/>
                <w:sz w:val="21"/>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noWrap w:val="0"/>
            <w:vAlign w:val="center"/>
          </w:tcPr>
          <w:p>
            <w:pPr>
              <w:pStyle w:val="8"/>
              <w:kinsoku w:val="0"/>
              <w:overflowPunct w:val="0"/>
              <w:spacing w:line="400" w:lineRule="exact"/>
              <w:jc w:val="center"/>
              <w:rPr>
                <w:rFonts w:hint="default"/>
                <w:spacing w:val="0"/>
                <w:sz w:val="21"/>
                <w:szCs w:val="21"/>
              </w:rPr>
            </w:pPr>
            <w:r>
              <w:rPr>
                <w:spacing w:val="0"/>
                <w:sz w:val="21"/>
                <w:szCs w:val="21"/>
              </w:rPr>
              <w:t>2.2.1</w:t>
            </w:r>
          </w:p>
        </w:tc>
        <w:tc>
          <w:tcPr>
            <w:tcW w:w="1584" w:type="dxa"/>
            <w:noWrap w:val="0"/>
            <w:vAlign w:val="center"/>
          </w:tcPr>
          <w:p>
            <w:pPr>
              <w:widowControl/>
              <w:spacing w:line="400" w:lineRule="exact"/>
              <w:jc w:val="center"/>
              <w:rPr>
                <w:rFonts w:ascii="宋体" w:hAnsi="宋体" w:eastAsia="宋体" w:cs="Times New Roman"/>
                <w:spacing w:val="0"/>
                <w:sz w:val="21"/>
                <w:szCs w:val="24"/>
              </w:rPr>
            </w:pPr>
            <w:r>
              <w:rPr>
                <w:rFonts w:hint="eastAsia" w:ascii="宋体" w:hAnsi="宋体" w:eastAsia="宋体" w:cs="宋体"/>
                <w:color w:val="000000"/>
                <w:spacing w:val="0"/>
                <w:kern w:val="0"/>
                <w:sz w:val="21"/>
                <w:szCs w:val="24"/>
              </w:rPr>
              <w:t>第一个信封评分分值构成 (总100分）</w:t>
            </w:r>
          </w:p>
        </w:tc>
        <w:tc>
          <w:tcPr>
            <w:tcW w:w="7641" w:type="dxa"/>
            <w:noWrap w:val="0"/>
            <w:vAlign w:val="center"/>
          </w:tcPr>
          <w:p>
            <w:pPr>
              <w:widowControl/>
              <w:spacing w:line="400" w:lineRule="exac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施工组织设计（A）：</w:t>
            </w:r>
            <w:r>
              <w:rPr>
                <w:rFonts w:hint="eastAsia" w:ascii="宋体" w:hAnsi="宋体" w:eastAsia="宋体" w:cs="宋体"/>
                <w:color w:val="000000"/>
                <w:spacing w:val="0"/>
                <w:kern w:val="0"/>
                <w:sz w:val="21"/>
                <w:szCs w:val="24"/>
                <w:u w:val="single"/>
              </w:rPr>
              <w:t xml:space="preserve">35 </w:t>
            </w:r>
            <w:r>
              <w:rPr>
                <w:rFonts w:hint="eastAsia" w:ascii="宋体" w:hAnsi="宋体" w:eastAsia="宋体" w:cs="宋体"/>
                <w:color w:val="000000"/>
                <w:spacing w:val="0"/>
                <w:kern w:val="0"/>
                <w:sz w:val="21"/>
                <w:szCs w:val="24"/>
              </w:rPr>
              <w:t>分</w:t>
            </w:r>
          </w:p>
          <w:p>
            <w:pPr>
              <w:widowControl/>
              <w:spacing w:line="400" w:lineRule="exac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主要人员（B）：</w:t>
            </w:r>
            <w:r>
              <w:rPr>
                <w:rFonts w:hint="eastAsia" w:ascii="宋体" w:hAnsi="宋体" w:eastAsia="宋体" w:cs="宋体"/>
                <w:color w:val="000000"/>
                <w:spacing w:val="0"/>
                <w:kern w:val="0"/>
                <w:sz w:val="21"/>
                <w:szCs w:val="24"/>
                <w:u w:val="single"/>
              </w:rPr>
              <w:t>30</w:t>
            </w:r>
            <w:r>
              <w:rPr>
                <w:rFonts w:hint="eastAsia" w:ascii="宋体" w:hAnsi="宋体" w:eastAsia="宋体" w:cs="宋体"/>
                <w:color w:val="000000"/>
                <w:spacing w:val="0"/>
                <w:kern w:val="0"/>
                <w:sz w:val="21"/>
                <w:szCs w:val="24"/>
              </w:rPr>
              <w:t>分</w:t>
            </w:r>
          </w:p>
          <w:p>
            <w:pPr>
              <w:widowControl/>
              <w:spacing w:line="400" w:lineRule="exac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其他因素（C）</w:t>
            </w:r>
          </w:p>
          <w:p>
            <w:pPr>
              <w:widowControl/>
              <w:spacing w:line="400" w:lineRule="exac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技术能力：</w:t>
            </w:r>
            <w:r>
              <w:rPr>
                <w:rFonts w:hint="eastAsia" w:ascii="宋体" w:hAnsi="宋体" w:eastAsia="宋体" w:cs="宋体"/>
                <w:color w:val="000000"/>
                <w:spacing w:val="0"/>
                <w:kern w:val="0"/>
                <w:sz w:val="21"/>
                <w:szCs w:val="24"/>
                <w:u w:val="single"/>
              </w:rPr>
              <w:t xml:space="preserve">20 </w:t>
            </w:r>
            <w:r>
              <w:rPr>
                <w:rFonts w:hint="eastAsia" w:ascii="宋体" w:hAnsi="宋体" w:eastAsia="宋体" w:cs="宋体"/>
                <w:color w:val="000000"/>
                <w:spacing w:val="0"/>
                <w:kern w:val="0"/>
                <w:sz w:val="21"/>
                <w:szCs w:val="24"/>
              </w:rPr>
              <w:t>分</w:t>
            </w:r>
          </w:p>
          <w:p>
            <w:pPr>
              <w:widowControl/>
              <w:spacing w:line="400" w:lineRule="exact"/>
              <w:rPr>
                <w:rFonts w:ascii="宋体" w:hAnsi="宋体" w:eastAsia="宋体" w:cs="Times New Roman"/>
                <w:spacing w:val="0"/>
                <w:sz w:val="21"/>
                <w:szCs w:val="24"/>
              </w:rPr>
            </w:pPr>
            <w:r>
              <w:rPr>
                <w:rFonts w:hint="eastAsia" w:ascii="宋体" w:hAnsi="宋体" w:eastAsia="宋体" w:cs="宋体"/>
                <w:color w:val="000000"/>
                <w:spacing w:val="0"/>
                <w:kern w:val="0"/>
                <w:sz w:val="21"/>
                <w:szCs w:val="24"/>
              </w:rPr>
              <w:t>履约信誉：</w:t>
            </w:r>
            <w:r>
              <w:rPr>
                <w:rFonts w:hint="eastAsia" w:ascii="宋体" w:hAnsi="宋体" w:eastAsia="宋体" w:cs="宋体"/>
                <w:color w:val="000000"/>
                <w:spacing w:val="0"/>
                <w:kern w:val="0"/>
                <w:sz w:val="21"/>
                <w:szCs w:val="24"/>
                <w:u w:val="single"/>
              </w:rPr>
              <w:t xml:space="preserve">15 </w:t>
            </w:r>
            <w:r>
              <w:rPr>
                <w:rFonts w:hint="eastAsia" w:ascii="宋体" w:hAnsi="宋体" w:eastAsia="宋体" w:cs="宋体"/>
                <w:color w:val="000000"/>
                <w:spacing w:val="0"/>
                <w:kern w:val="0"/>
                <w:sz w:val="21"/>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pPr>
              <w:pStyle w:val="8"/>
              <w:kinsoku w:val="0"/>
              <w:overflowPunct w:val="0"/>
              <w:spacing w:line="400" w:lineRule="exact"/>
              <w:jc w:val="center"/>
              <w:rPr>
                <w:rFonts w:hint="default"/>
                <w:spacing w:val="0"/>
                <w:sz w:val="21"/>
                <w:szCs w:val="21"/>
              </w:rPr>
            </w:pPr>
            <w:r>
              <w:rPr>
                <w:spacing w:val="0"/>
                <w:sz w:val="21"/>
                <w:szCs w:val="21"/>
              </w:rPr>
              <w:t>2.2.3</w:t>
            </w:r>
          </w:p>
        </w:tc>
        <w:tc>
          <w:tcPr>
            <w:tcW w:w="1584" w:type="dxa"/>
            <w:noWrap w:val="0"/>
            <w:vAlign w:val="center"/>
          </w:tcPr>
          <w:p>
            <w:pPr>
              <w:widowControl/>
              <w:spacing w:line="400" w:lineRule="exact"/>
              <w:jc w:val="center"/>
              <w:rPr>
                <w:rFonts w:ascii="宋体" w:hAnsi="宋体" w:eastAsia="宋体" w:cs="Times New Roman"/>
                <w:spacing w:val="0"/>
                <w:sz w:val="21"/>
                <w:szCs w:val="24"/>
              </w:rPr>
            </w:pPr>
            <w:r>
              <w:rPr>
                <w:rFonts w:hint="eastAsia" w:ascii="宋体" w:hAnsi="宋体" w:eastAsia="宋体" w:cs="宋体"/>
                <w:color w:val="000000"/>
                <w:spacing w:val="0"/>
                <w:kern w:val="0"/>
                <w:sz w:val="21"/>
                <w:szCs w:val="24"/>
              </w:rPr>
              <w:t>第二个信封详细评审标准</w:t>
            </w:r>
          </w:p>
        </w:tc>
        <w:tc>
          <w:tcPr>
            <w:tcW w:w="7641" w:type="dxa"/>
            <w:noWrap w:val="0"/>
            <w:vAlign w:val="center"/>
          </w:tcPr>
          <w:p>
            <w:pPr>
              <w:widowControl/>
              <w:spacing w:line="400" w:lineRule="exac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 xml:space="preserve">评标价的评审： </w:t>
            </w:r>
          </w:p>
          <w:p>
            <w:pPr>
              <w:widowControl/>
              <w:spacing w:line="400" w:lineRule="exac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 xml:space="preserve">(1)评标价计算公式： </w:t>
            </w:r>
          </w:p>
          <w:p>
            <w:pPr>
              <w:widowControl/>
              <w:spacing w:line="400" w:lineRule="exac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评标价=投标函文字报价</w:t>
            </w:r>
          </w:p>
          <w:p>
            <w:pPr>
              <w:widowControl/>
              <w:spacing w:line="400" w:lineRule="exact"/>
              <w:ind w:firstLine="420" w:firstLineChars="200"/>
              <w:rPr>
                <w:rFonts w:ascii="宋体" w:hAnsi="宋体" w:eastAsia="宋体" w:cs="Times New Roman"/>
                <w:spacing w:val="0"/>
                <w:sz w:val="21"/>
                <w:szCs w:val="24"/>
              </w:rPr>
            </w:pPr>
            <w:r>
              <w:rPr>
                <w:rFonts w:hint="eastAsia" w:ascii="宋体" w:hAnsi="宋体" w:eastAsia="宋体" w:cs="宋体"/>
                <w:color w:val="000000"/>
                <w:spacing w:val="0"/>
                <w:kern w:val="0"/>
                <w:sz w:val="21"/>
                <w:szCs w:val="24"/>
              </w:rPr>
              <w:t xml:space="preserve">若投标人的评标价小于最高投标限价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34" w:type="dxa"/>
            <w:noWrap w:val="0"/>
            <w:vAlign w:val="center"/>
          </w:tcPr>
          <w:p>
            <w:pPr>
              <w:widowControl/>
              <w:spacing w:line="400" w:lineRule="exact"/>
              <w:jc w:val="center"/>
              <w:rPr>
                <w:rFonts w:ascii="宋体" w:hAnsi="宋体" w:eastAsia="宋体" w:cs="Times New Roman"/>
                <w:spacing w:val="0"/>
                <w:sz w:val="21"/>
                <w:szCs w:val="24"/>
              </w:rPr>
            </w:pPr>
            <w:r>
              <w:rPr>
                <w:rFonts w:hint="eastAsia" w:ascii="宋体" w:hAnsi="宋体" w:eastAsia="宋体" w:cs="宋体"/>
                <w:color w:val="000000"/>
                <w:spacing w:val="0"/>
                <w:kern w:val="0"/>
                <w:sz w:val="21"/>
                <w:szCs w:val="24"/>
              </w:rPr>
              <w:t>3.2.4</w:t>
            </w:r>
          </w:p>
        </w:tc>
        <w:tc>
          <w:tcPr>
            <w:tcW w:w="1584" w:type="dxa"/>
            <w:noWrap w:val="0"/>
            <w:vAlign w:val="center"/>
          </w:tcPr>
          <w:p>
            <w:pPr>
              <w:widowControl/>
              <w:spacing w:line="400" w:lineRule="exact"/>
              <w:jc w:val="center"/>
              <w:rPr>
                <w:rFonts w:ascii="宋体" w:hAnsi="宋体" w:eastAsia="宋体" w:cs="Times New Roman"/>
                <w:spacing w:val="0"/>
                <w:sz w:val="21"/>
                <w:szCs w:val="24"/>
              </w:rPr>
            </w:pPr>
            <w:r>
              <w:rPr>
                <w:rFonts w:hint="eastAsia" w:ascii="宋体" w:hAnsi="宋体" w:eastAsia="宋体" w:cs="宋体"/>
                <w:color w:val="000000"/>
                <w:spacing w:val="0"/>
                <w:kern w:val="0"/>
                <w:sz w:val="21"/>
                <w:szCs w:val="24"/>
              </w:rPr>
              <w:t>通过第一个信封详细评审的投标人数量</w:t>
            </w:r>
          </w:p>
        </w:tc>
        <w:tc>
          <w:tcPr>
            <w:tcW w:w="7641" w:type="dxa"/>
            <w:noWrap w:val="0"/>
            <w:vAlign w:val="center"/>
          </w:tcPr>
          <w:p>
            <w:pPr>
              <w:widowControl/>
              <w:spacing w:line="400" w:lineRule="exact"/>
              <w:rPr>
                <w:rFonts w:ascii="宋体" w:hAnsi="宋体" w:eastAsia="宋体" w:cs="Times New Roman"/>
                <w:spacing w:val="0"/>
                <w:sz w:val="21"/>
                <w:szCs w:val="24"/>
              </w:rPr>
            </w:pPr>
            <w:r>
              <w:rPr>
                <w:rFonts w:hint="eastAsia" w:ascii="宋体" w:hAnsi="宋体" w:eastAsia="宋体" w:cs="宋体"/>
                <w:color w:val="000000"/>
                <w:spacing w:val="0"/>
                <w:kern w:val="0"/>
                <w:sz w:val="21"/>
                <w:szCs w:val="24"/>
              </w:rPr>
              <w:t>按照投标人的商务和技术得分由高到低排序，选择前5名（不少于3名但不足5名时，按全部实际数量）通过详细评审。</w:t>
            </w:r>
          </w:p>
        </w:tc>
      </w:tr>
    </w:tbl>
    <w:p>
      <w:pPr>
        <w:pStyle w:val="9"/>
        <w:spacing w:line="400" w:lineRule="exact"/>
        <w:ind w:firstLine="0"/>
        <w:rPr>
          <w:spacing w:val="0"/>
          <w:sz w:val="21"/>
          <w:szCs w:val="21"/>
        </w:rPr>
      </w:pPr>
    </w:p>
    <w:p>
      <w:pPr>
        <w:pStyle w:val="9"/>
        <w:spacing w:line="400" w:lineRule="exact"/>
        <w:rPr>
          <w:spacing w:val="0"/>
          <w:sz w:val="21"/>
          <w:szCs w:val="21"/>
        </w:rPr>
      </w:pPr>
    </w:p>
    <w:p>
      <w:pPr>
        <w:pStyle w:val="9"/>
        <w:spacing w:line="400" w:lineRule="exact"/>
        <w:rPr>
          <w:spacing w:val="0"/>
          <w:sz w:val="21"/>
          <w:szCs w:val="21"/>
        </w:rPr>
      </w:pPr>
    </w:p>
    <w:p>
      <w:pPr>
        <w:pStyle w:val="9"/>
        <w:spacing w:line="400" w:lineRule="exact"/>
        <w:rPr>
          <w:spacing w:val="0"/>
          <w:sz w:val="21"/>
          <w:szCs w:val="21"/>
        </w:rPr>
      </w:pPr>
    </w:p>
    <w:p>
      <w:pPr>
        <w:pStyle w:val="9"/>
        <w:spacing w:line="400" w:lineRule="exact"/>
        <w:rPr>
          <w:spacing w:val="0"/>
          <w:sz w:val="21"/>
          <w:szCs w:val="21"/>
        </w:rPr>
      </w:pPr>
    </w:p>
    <w:p>
      <w:pPr>
        <w:pStyle w:val="9"/>
        <w:spacing w:line="400" w:lineRule="exact"/>
        <w:rPr>
          <w:spacing w:val="0"/>
          <w:sz w:val="21"/>
          <w:szCs w:val="21"/>
        </w:rPr>
      </w:pPr>
    </w:p>
    <w:p>
      <w:pPr>
        <w:pStyle w:val="9"/>
        <w:spacing w:line="400" w:lineRule="exact"/>
        <w:rPr>
          <w:spacing w:val="0"/>
          <w:sz w:val="21"/>
          <w:szCs w:val="21"/>
        </w:rPr>
      </w:pPr>
    </w:p>
    <w:tbl>
      <w:tblPr>
        <w:tblStyle w:val="6"/>
        <w:tblW w:w="9872" w:type="dxa"/>
        <w:tblInd w:w="-8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309"/>
        <w:gridCol w:w="713"/>
        <w:gridCol w:w="1224"/>
        <w:gridCol w:w="1036"/>
        <w:gridCol w:w="4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2" w:type="dxa"/>
            <w:gridSpan w:val="6"/>
            <w:noWrap w:val="0"/>
            <w:vAlign w:val="top"/>
          </w:tcPr>
          <w:p>
            <w:pPr>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评分因素与权重分值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widowControl/>
              <w:spacing w:line="400" w:lineRule="exact"/>
              <w:jc w:val="center"/>
              <w:rPr>
                <w:rFonts w:ascii="宋体" w:hAnsi="宋体" w:eastAsia="宋体" w:cs="宋体"/>
                <w:b/>
                <w:bCs/>
                <w:color w:val="000000"/>
                <w:spacing w:val="0"/>
                <w:sz w:val="21"/>
                <w:szCs w:val="24"/>
              </w:rPr>
            </w:pPr>
            <w:r>
              <w:rPr>
                <w:rFonts w:hint="eastAsia" w:ascii="宋体" w:hAnsi="宋体" w:eastAsia="宋体" w:cs="宋体"/>
                <w:b/>
                <w:bCs/>
                <w:color w:val="000000"/>
                <w:spacing w:val="0"/>
                <w:kern w:val="0"/>
                <w:sz w:val="21"/>
                <w:szCs w:val="24"/>
              </w:rPr>
              <w:t>条款号</w:t>
            </w:r>
          </w:p>
        </w:tc>
        <w:tc>
          <w:tcPr>
            <w:tcW w:w="1309" w:type="dxa"/>
            <w:noWrap w:val="0"/>
            <w:vAlign w:val="center"/>
          </w:tcPr>
          <w:p>
            <w:pPr>
              <w:widowControl/>
              <w:spacing w:line="400" w:lineRule="exact"/>
              <w:jc w:val="center"/>
              <w:rPr>
                <w:rFonts w:ascii="宋体" w:hAnsi="宋体" w:eastAsia="宋体" w:cs="宋体"/>
                <w:b/>
                <w:bCs/>
                <w:color w:val="000000"/>
                <w:spacing w:val="0"/>
                <w:sz w:val="21"/>
                <w:szCs w:val="24"/>
              </w:rPr>
            </w:pPr>
            <w:r>
              <w:rPr>
                <w:rFonts w:hint="eastAsia" w:ascii="宋体" w:hAnsi="宋体" w:eastAsia="宋体" w:cs="宋体"/>
                <w:b/>
                <w:bCs/>
                <w:color w:val="000000"/>
                <w:spacing w:val="0"/>
                <w:kern w:val="0"/>
                <w:sz w:val="21"/>
                <w:szCs w:val="24"/>
              </w:rPr>
              <w:t>评分因素</w:t>
            </w:r>
          </w:p>
        </w:tc>
        <w:tc>
          <w:tcPr>
            <w:tcW w:w="713" w:type="dxa"/>
            <w:noWrap w:val="0"/>
            <w:vAlign w:val="center"/>
          </w:tcPr>
          <w:p>
            <w:pPr>
              <w:widowControl/>
              <w:spacing w:line="400" w:lineRule="exact"/>
              <w:jc w:val="center"/>
              <w:rPr>
                <w:rFonts w:ascii="宋体" w:hAnsi="宋体" w:eastAsia="宋体" w:cs="宋体"/>
                <w:b/>
                <w:bCs/>
                <w:color w:val="000000"/>
                <w:spacing w:val="0"/>
                <w:sz w:val="21"/>
                <w:szCs w:val="24"/>
              </w:rPr>
            </w:pPr>
            <w:r>
              <w:rPr>
                <w:rFonts w:hint="eastAsia" w:ascii="宋体" w:hAnsi="宋体" w:eastAsia="宋体" w:cs="宋体"/>
                <w:b/>
                <w:bCs/>
                <w:color w:val="000000"/>
                <w:spacing w:val="0"/>
                <w:kern w:val="0"/>
                <w:sz w:val="21"/>
                <w:szCs w:val="24"/>
              </w:rPr>
              <w:t>评分因素权重</w:t>
            </w:r>
          </w:p>
        </w:tc>
        <w:tc>
          <w:tcPr>
            <w:tcW w:w="1224" w:type="dxa"/>
            <w:noWrap w:val="0"/>
            <w:vAlign w:val="center"/>
          </w:tcPr>
          <w:p>
            <w:pPr>
              <w:widowControl/>
              <w:spacing w:line="400" w:lineRule="exact"/>
              <w:jc w:val="center"/>
              <w:rPr>
                <w:rFonts w:ascii="宋体" w:hAnsi="宋体" w:eastAsia="宋体" w:cs="宋体"/>
                <w:b/>
                <w:bCs/>
                <w:color w:val="000000"/>
                <w:spacing w:val="0"/>
                <w:sz w:val="21"/>
                <w:szCs w:val="24"/>
              </w:rPr>
            </w:pPr>
            <w:r>
              <w:rPr>
                <w:rFonts w:hint="eastAsia" w:ascii="宋体" w:hAnsi="宋体" w:eastAsia="宋体" w:cs="宋体"/>
                <w:b/>
                <w:bCs/>
                <w:color w:val="000000"/>
                <w:spacing w:val="0"/>
                <w:kern w:val="0"/>
                <w:sz w:val="21"/>
                <w:szCs w:val="24"/>
              </w:rPr>
              <w:t>各评分因素细分项</w:t>
            </w:r>
          </w:p>
        </w:tc>
        <w:tc>
          <w:tcPr>
            <w:tcW w:w="1036" w:type="dxa"/>
            <w:noWrap w:val="0"/>
            <w:vAlign w:val="center"/>
          </w:tcPr>
          <w:p>
            <w:pPr>
              <w:widowControl/>
              <w:spacing w:line="400" w:lineRule="exact"/>
              <w:jc w:val="center"/>
              <w:rPr>
                <w:rFonts w:ascii="宋体" w:hAnsi="宋体" w:eastAsia="宋体" w:cs="宋体"/>
                <w:b/>
                <w:bCs/>
                <w:color w:val="000000"/>
                <w:spacing w:val="0"/>
                <w:sz w:val="21"/>
                <w:szCs w:val="24"/>
              </w:rPr>
            </w:pPr>
            <w:r>
              <w:rPr>
                <w:rFonts w:hint="eastAsia" w:ascii="宋体" w:hAnsi="宋体" w:eastAsia="宋体" w:cs="宋体"/>
                <w:b/>
                <w:bCs/>
                <w:color w:val="000000"/>
                <w:spacing w:val="0"/>
                <w:kern w:val="0"/>
                <w:sz w:val="21"/>
                <w:szCs w:val="24"/>
              </w:rPr>
              <w:t>分值</w:t>
            </w:r>
          </w:p>
        </w:tc>
        <w:tc>
          <w:tcPr>
            <w:tcW w:w="4609" w:type="dxa"/>
            <w:noWrap w:val="0"/>
            <w:vAlign w:val="center"/>
          </w:tcPr>
          <w:p>
            <w:pPr>
              <w:widowControl/>
              <w:spacing w:line="400" w:lineRule="exact"/>
              <w:jc w:val="center"/>
              <w:rPr>
                <w:rFonts w:ascii="宋体" w:hAnsi="宋体" w:eastAsia="宋体" w:cs="宋体"/>
                <w:b/>
                <w:bCs/>
                <w:color w:val="000000"/>
                <w:spacing w:val="0"/>
                <w:sz w:val="21"/>
                <w:szCs w:val="24"/>
              </w:rPr>
            </w:pPr>
            <w:r>
              <w:rPr>
                <w:rFonts w:hint="eastAsia" w:ascii="宋体" w:hAnsi="宋体" w:eastAsia="宋体" w:cs="宋体"/>
                <w:b/>
                <w:bCs/>
                <w:color w:val="000000"/>
                <w:spacing w:val="0"/>
                <w:kern w:val="0"/>
                <w:sz w:val="21"/>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restart"/>
            <w:noWrap w:val="0"/>
            <w:vAlign w:val="center"/>
          </w:tcPr>
          <w:p>
            <w:pPr>
              <w:widowControl/>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2.2.2</w:t>
            </w:r>
          </w:p>
          <w:p>
            <w:pPr>
              <w:widowControl/>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(1)</w:t>
            </w:r>
          </w:p>
          <w:p>
            <w:pPr>
              <w:spacing w:line="400" w:lineRule="exact"/>
              <w:jc w:val="center"/>
              <w:rPr>
                <w:rFonts w:ascii="宋体" w:hAnsi="宋体" w:eastAsia="宋体" w:cs="宋体"/>
                <w:color w:val="000000"/>
                <w:spacing w:val="0"/>
                <w:sz w:val="21"/>
                <w:szCs w:val="24"/>
              </w:rPr>
            </w:pPr>
          </w:p>
        </w:tc>
        <w:tc>
          <w:tcPr>
            <w:tcW w:w="1309" w:type="dxa"/>
            <w:vMerge w:val="restart"/>
            <w:noWrap w:val="0"/>
            <w:vAlign w:val="center"/>
          </w:tcPr>
          <w:p>
            <w:pPr>
              <w:widowControl/>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施工组织设计</w:t>
            </w:r>
          </w:p>
          <w:p>
            <w:pPr>
              <w:spacing w:line="400" w:lineRule="exact"/>
              <w:jc w:val="center"/>
              <w:rPr>
                <w:rFonts w:ascii="宋体" w:hAnsi="宋体" w:eastAsia="宋体" w:cs="宋体"/>
                <w:color w:val="000000"/>
                <w:spacing w:val="0"/>
                <w:sz w:val="21"/>
                <w:szCs w:val="24"/>
              </w:rPr>
            </w:pPr>
          </w:p>
        </w:tc>
        <w:tc>
          <w:tcPr>
            <w:tcW w:w="713" w:type="dxa"/>
            <w:vMerge w:val="restart"/>
            <w:noWrap w:val="0"/>
            <w:vAlign w:val="center"/>
          </w:tcPr>
          <w:p>
            <w:pPr>
              <w:widowControl/>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35分</w:t>
            </w:r>
          </w:p>
        </w:tc>
        <w:tc>
          <w:tcPr>
            <w:tcW w:w="1224" w:type="dxa"/>
            <w:noWrap w:val="0"/>
            <w:vAlign w:val="center"/>
          </w:tcPr>
          <w:p>
            <w:pPr>
              <w:spacing w:before="65" w:line="229" w:lineRule="auto"/>
              <w:ind w:left="201"/>
              <w:rPr>
                <w:rFonts w:ascii="宋体" w:hAnsi="宋体" w:eastAsia="宋体" w:cs="宋体"/>
                <w:spacing w:val="0"/>
                <w:sz w:val="21"/>
                <w:szCs w:val="21"/>
              </w:rPr>
            </w:pPr>
            <w:r>
              <w:rPr>
                <w:rFonts w:ascii="宋体" w:hAnsi="宋体" w:eastAsia="宋体" w:cs="宋体"/>
                <w:spacing w:val="5"/>
                <w:sz w:val="21"/>
                <w:szCs w:val="21"/>
              </w:rPr>
              <w:t>总体施</w:t>
            </w:r>
          </w:p>
          <w:p>
            <w:pPr>
              <w:spacing w:before="111" w:line="232" w:lineRule="auto"/>
              <w:ind w:left="198"/>
              <w:rPr>
                <w:rFonts w:ascii="宋体" w:hAnsi="宋体" w:eastAsia="宋体" w:cs="宋体"/>
                <w:spacing w:val="0"/>
                <w:sz w:val="21"/>
                <w:szCs w:val="21"/>
              </w:rPr>
            </w:pPr>
            <w:r>
              <w:rPr>
                <w:rFonts w:ascii="宋体" w:hAnsi="宋体" w:eastAsia="宋体" w:cs="宋体"/>
                <w:spacing w:val="6"/>
                <w:sz w:val="21"/>
                <w:szCs w:val="21"/>
              </w:rPr>
              <w:t>工组织</w:t>
            </w:r>
          </w:p>
          <w:p>
            <w:pPr>
              <w:spacing w:before="108" w:line="227" w:lineRule="auto"/>
              <w:ind w:left="196"/>
              <w:rPr>
                <w:rFonts w:ascii="宋体" w:hAnsi="宋体" w:eastAsia="宋体" w:cs="宋体"/>
                <w:spacing w:val="0"/>
                <w:sz w:val="21"/>
                <w:szCs w:val="21"/>
              </w:rPr>
            </w:pPr>
            <w:r>
              <w:rPr>
                <w:rFonts w:ascii="宋体" w:hAnsi="宋体" w:eastAsia="宋体" w:cs="宋体"/>
                <w:spacing w:val="7"/>
                <w:sz w:val="21"/>
                <w:szCs w:val="21"/>
              </w:rPr>
              <w:t>布置</w:t>
            </w:r>
            <w:r>
              <w:rPr>
                <w:rFonts w:ascii="宋体" w:hAnsi="宋体" w:eastAsia="宋体" w:cs="宋体"/>
                <w:spacing w:val="6"/>
                <w:sz w:val="21"/>
                <w:szCs w:val="21"/>
              </w:rPr>
              <w:t>及</w:t>
            </w:r>
          </w:p>
          <w:p>
            <w:pPr>
              <w:spacing w:line="400" w:lineRule="exact"/>
              <w:jc w:val="center"/>
              <w:rPr>
                <w:rFonts w:ascii="宋体" w:hAnsi="宋体" w:eastAsia="宋体" w:cs="宋体"/>
                <w:color w:val="000000"/>
                <w:spacing w:val="0"/>
                <w:sz w:val="21"/>
                <w:szCs w:val="21"/>
              </w:rPr>
            </w:pPr>
            <w:r>
              <w:rPr>
                <w:rFonts w:ascii="宋体" w:hAnsi="宋体" w:eastAsia="宋体" w:cs="宋体"/>
                <w:spacing w:val="4"/>
                <w:sz w:val="21"/>
                <w:szCs w:val="21"/>
              </w:rPr>
              <w:t>规划</w:t>
            </w:r>
          </w:p>
        </w:tc>
        <w:tc>
          <w:tcPr>
            <w:tcW w:w="1036" w:type="dxa"/>
            <w:noWrap w:val="0"/>
            <w:vAlign w:val="center"/>
          </w:tcPr>
          <w:p>
            <w:pPr>
              <w:widowControl/>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u w:val="single"/>
              </w:rPr>
              <w:t>10</w:t>
            </w:r>
            <w:r>
              <w:rPr>
                <w:rFonts w:hint="eastAsia" w:ascii="宋体" w:hAnsi="宋体" w:eastAsia="宋体" w:cs="宋体"/>
                <w:color w:val="000000"/>
                <w:spacing w:val="0"/>
                <w:kern w:val="0"/>
                <w:sz w:val="21"/>
                <w:szCs w:val="24"/>
              </w:rPr>
              <w:t>分</w:t>
            </w:r>
          </w:p>
        </w:tc>
        <w:tc>
          <w:tcPr>
            <w:tcW w:w="4609" w:type="dxa"/>
            <w:noWrap w:val="0"/>
            <w:vAlign w:val="center"/>
          </w:tcPr>
          <w:p>
            <w:pPr>
              <w:widowControl/>
              <w:spacing w:line="400" w:lineRule="exact"/>
              <w:jc w:val="left"/>
              <w:rPr>
                <w:rFonts w:ascii="宋体" w:hAnsi="宋体" w:eastAsia="宋体" w:cs="宋体"/>
                <w:color w:val="000000"/>
                <w:spacing w:val="0"/>
                <w:sz w:val="21"/>
                <w:szCs w:val="24"/>
              </w:rPr>
            </w:pPr>
            <w:r>
              <w:rPr>
                <w:rFonts w:ascii="宋体" w:hAnsi="宋体" w:eastAsia="宋体" w:cs="宋体"/>
                <w:color w:val="000000"/>
                <w:spacing w:val="0"/>
                <w:sz w:val="21"/>
                <w:szCs w:val="24"/>
              </w:rPr>
              <w:t>(</w:t>
            </w:r>
            <w:r>
              <w:rPr>
                <w:rFonts w:hint="eastAsia" w:ascii="宋体" w:hAnsi="宋体" w:eastAsia="宋体" w:cs="宋体"/>
                <w:color w:val="000000"/>
                <w:spacing w:val="0"/>
                <w:sz w:val="21"/>
                <w:szCs w:val="24"/>
              </w:rPr>
              <w:t>1</w:t>
            </w:r>
            <w:r>
              <w:rPr>
                <w:rFonts w:ascii="宋体" w:hAnsi="宋体" w:eastAsia="宋体" w:cs="宋体"/>
                <w:color w:val="000000"/>
                <w:spacing w:val="0"/>
                <w:sz w:val="21"/>
                <w:szCs w:val="24"/>
              </w:rPr>
              <w:t>)对项目的基本情况了解全面、准确，施工总体布置规划、施工进度计划科学合理、可操作性强，按《广 东省公路工程施工标准化指南》及《广东省高速公路工 程施工安全标准化指南》《公路工程施工安全防护设施技术指南》执行，得</w:t>
            </w:r>
            <w:r>
              <w:rPr>
                <w:rFonts w:ascii="宋体" w:hAnsi="宋体" w:eastAsia="宋体" w:cs="宋体"/>
                <w:color w:val="000000"/>
                <w:spacing w:val="0"/>
                <w:sz w:val="21"/>
                <w:szCs w:val="24"/>
                <w:u w:val="single"/>
              </w:rPr>
              <w:t xml:space="preserve"> </w:t>
            </w:r>
            <w:r>
              <w:rPr>
                <w:rFonts w:hint="eastAsia" w:ascii="宋体" w:hAnsi="宋体" w:eastAsia="宋体" w:cs="宋体"/>
                <w:color w:val="000000"/>
                <w:spacing w:val="0"/>
                <w:sz w:val="21"/>
                <w:szCs w:val="24"/>
                <w:u w:val="single"/>
              </w:rPr>
              <w:t>8</w:t>
            </w:r>
            <w:r>
              <w:rPr>
                <w:rFonts w:ascii="宋体" w:hAnsi="宋体" w:eastAsia="宋体" w:cs="宋体"/>
                <w:color w:val="000000"/>
                <w:spacing w:val="0"/>
                <w:sz w:val="21"/>
                <w:szCs w:val="24"/>
                <w:u w:val="single"/>
              </w:rPr>
              <w:t>~</w:t>
            </w:r>
            <w:r>
              <w:rPr>
                <w:rFonts w:hint="eastAsia" w:ascii="宋体" w:hAnsi="宋体" w:eastAsia="宋体" w:cs="宋体"/>
                <w:color w:val="000000"/>
                <w:spacing w:val="0"/>
                <w:sz w:val="21"/>
                <w:szCs w:val="24"/>
                <w:u w:val="single"/>
              </w:rPr>
              <w:t>10</w:t>
            </w:r>
            <w:r>
              <w:rPr>
                <w:rFonts w:ascii="宋体" w:hAnsi="宋体" w:eastAsia="宋体" w:cs="宋体"/>
                <w:color w:val="000000"/>
                <w:spacing w:val="0"/>
                <w:sz w:val="21"/>
                <w:szCs w:val="24"/>
                <w:u w:val="single"/>
              </w:rPr>
              <w:t xml:space="preserve"> </w:t>
            </w:r>
            <w:r>
              <w:rPr>
                <w:rFonts w:ascii="宋体" w:hAnsi="宋体" w:eastAsia="宋体" w:cs="宋体"/>
                <w:color w:val="000000"/>
                <w:spacing w:val="0"/>
                <w:sz w:val="21"/>
                <w:szCs w:val="24"/>
              </w:rPr>
              <w:t xml:space="preserve">分(满分分值的 80%~100%)； </w:t>
            </w:r>
          </w:p>
          <w:p>
            <w:pPr>
              <w:widowControl/>
              <w:spacing w:line="400" w:lineRule="exact"/>
              <w:jc w:val="left"/>
              <w:rPr>
                <w:rFonts w:ascii="宋体" w:hAnsi="宋体" w:eastAsia="宋体" w:cs="宋体"/>
                <w:color w:val="000000"/>
                <w:spacing w:val="0"/>
                <w:sz w:val="21"/>
                <w:szCs w:val="24"/>
              </w:rPr>
            </w:pPr>
            <w:r>
              <w:rPr>
                <w:rFonts w:ascii="宋体" w:hAnsi="宋体" w:eastAsia="宋体" w:cs="宋体"/>
                <w:color w:val="000000"/>
                <w:spacing w:val="0"/>
                <w:sz w:val="21"/>
                <w:szCs w:val="24"/>
              </w:rPr>
              <w:t>(2)满足工程建设需要，施工总体布置规划、施工进度计划基本可行，得</w:t>
            </w:r>
            <w:r>
              <w:rPr>
                <w:rFonts w:ascii="宋体" w:hAnsi="宋体" w:eastAsia="宋体" w:cs="宋体"/>
                <w:color w:val="000000"/>
                <w:spacing w:val="0"/>
                <w:sz w:val="21"/>
                <w:szCs w:val="24"/>
                <w:u w:val="single"/>
              </w:rPr>
              <w:t xml:space="preserve">  </w:t>
            </w:r>
            <w:r>
              <w:rPr>
                <w:rFonts w:hint="eastAsia" w:ascii="宋体" w:hAnsi="宋体" w:eastAsia="宋体" w:cs="宋体"/>
                <w:color w:val="000000"/>
                <w:spacing w:val="0"/>
                <w:sz w:val="21"/>
                <w:szCs w:val="24"/>
                <w:u w:val="single"/>
              </w:rPr>
              <w:t>6</w:t>
            </w:r>
            <w:r>
              <w:rPr>
                <w:rFonts w:ascii="宋体" w:hAnsi="宋体" w:eastAsia="宋体" w:cs="宋体"/>
                <w:color w:val="000000"/>
                <w:spacing w:val="0"/>
                <w:sz w:val="21"/>
                <w:szCs w:val="24"/>
                <w:u w:val="single"/>
              </w:rPr>
              <w:t>~</w:t>
            </w:r>
            <w:r>
              <w:rPr>
                <w:rFonts w:hint="eastAsia" w:ascii="宋体" w:hAnsi="宋体" w:eastAsia="宋体" w:cs="宋体"/>
                <w:color w:val="000000"/>
                <w:spacing w:val="0"/>
                <w:sz w:val="21"/>
                <w:szCs w:val="24"/>
                <w:u w:val="single"/>
              </w:rPr>
              <w:t>8</w:t>
            </w:r>
            <w:r>
              <w:rPr>
                <w:rFonts w:ascii="宋体" w:hAnsi="宋体" w:eastAsia="宋体" w:cs="宋体"/>
                <w:color w:val="000000"/>
                <w:spacing w:val="0"/>
                <w:sz w:val="21"/>
                <w:szCs w:val="24"/>
                <w:u w:val="single"/>
              </w:rPr>
              <w:t xml:space="preserve">  </w:t>
            </w:r>
            <w:r>
              <w:rPr>
                <w:rFonts w:ascii="宋体" w:hAnsi="宋体" w:eastAsia="宋体" w:cs="宋体"/>
                <w:color w:val="000000"/>
                <w:spacing w:val="0"/>
                <w:sz w:val="21"/>
                <w:szCs w:val="24"/>
              </w:rPr>
              <w:t>分(满分分值的 60%~80%)；</w:t>
            </w:r>
          </w:p>
          <w:p>
            <w:pPr>
              <w:widowControl/>
              <w:spacing w:line="400" w:lineRule="exact"/>
              <w:jc w:val="left"/>
              <w:rPr>
                <w:rFonts w:ascii="宋体" w:hAnsi="宋体" w:eastAsia="宋体" w:cs="宋体"/>
                <w:color w:val="000000"/>
                <w:spacing w:val="0"/>
                <w:sz w:val="21"/>
                <w:szCs w:val="24"/>
              </w:rPr>
            </w:pPr>
            <w:r>
              <w:rPr>
                <w:rFonts w:ascii="宋体" w:hAnsi="宋体" w:eastAsia="宋体" w:cs="宋体"/>
                <w:color w:val="000000"/>
                <w:spacing w:val="0"/>
                <w:sz w:val="21"/>
                <w:szCs w:val="24"/>
              </w:rPr>
              <w:t>(3)一般但不被评定为不响应的,得</w:t>
            </w:r>
            <w:r>
              <w:rPr>
                <w:rFonts w:ascii="宋体" w:hAnsi="宋体" w:eastAsia="宋体" w:cs="宋体"/>
                <w:color w:val="000000"/>
                <w:spacing w:val="0"/>
                <w:sz w:val="21"/>
                <w:szCs w:val="24"/>
                <w:u w:val="single"/>
              </w:rPr>
              <w:t xml:space="preserve">  </w:t>
            </w:r>
            <w:r>
              <w:rPr>
                <w:rFonts w:hint="eastAsia" w:ascii="宋体" w:hAnsi="宋体" w:eastAsia="宋体" w:cs="宋体"/>
                <w:color w:val="000000"/>
                <w:spacing w:val="0"/>
                <w:sz w:val="21"/>
                <w:szCs w:val="24"/>
                <w:u w:val="single"/>
              </w:rPr>
              <w:t>6</w:t>
            </w:r>
            <w:r>
              <w:rPr>
                <w:rFonts w:ascii="宋体" w:hAnsi="宋体" w:eastAsia="宋体" w:cs="宋体"/>
                <w:color w:val="000000"/>
                <w:spacing w:val="0"/>
                <w:sz w:val="21"/>
                <w:szCs w:val="24"/>
                <w:u w:val="single"/>
              </w:rPr>
              <w:t xml:space="preserve"> </w:t>
            </w:r>
            <w:r>
              <w:rPr>
                <w:rFonts w:ascii="宋体" w:hAnsi="宋体" w:eastAsia="宋体" w:cs="宋体"/>
                <w:color w:val="000000"/>
                <w:spacing w:val="0"/>
                <w:sz w:val="21"/>
                <w:szCs w:val="24"/>
              </w:rPr>
              <w:t>分(满分分值的60%)。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continue"/>
            <w:noWrap w:val="0"/>
            <w:vAlign w:val="center"/>
          </w:tcPr>
          <w:p>
            <w:pPr>
              <w:spacing w:line="400" w:lineRule="exact"/>
              <w:jc w:val="center"/>
              <w:rPr>
                <w:rFonts w:ascii="宋体" w:hAnsi="宋体" w:eastAsia="宋体" w:cs="宋体"/>
                <w:color w:val="000000"/>
                <w:spacing w:val="0"/>
                <w:sz w:val="21"/>
                <w:szCs w:val="24"/>
              </w:rPr>
            </w:pPr>
          </w:p>
        </w:tc>
        <w:tc>
          <w:tcPr>
            <w:tcW w:w="1309" w:type="dxa"/>
            <w:vMerge w:val="continue"/>
            <w:noWrap w:val="0"/>
            <w:vAlign w:val="center"/>
          </w:tcPr>
          <w:p>
            <w:pPr>
              <w:spacing w:line="400" w:lineRule="exact"/>
              <w:jc w:val="center"/>
              <w:rPr>
                <w:rFonts w:ascii="宋体" w:hAnsi="宋体" w:eastAsia="宋体" w:cs="宋体"/>
                <w:color w:val="000000"/>
                <w:spacing w:val="0"/>
                <w:sz w:val="21"/>
                <w:szCs w:val="24"/>
              </w:rPr>
            </w:pPr>
          </w:p>
        </w:tc>
        <w:tc>
          <w:tcPr>
            <w:tcW w:w="713" w:type="dxa"/>
            <w:vMerge w:val="continue"/>
            <w:noWrap w:val="0"/>
            <w:vAlign w:val="center"/>
          </w:tcPr>
          <w:p>
            <w:pPr>
              <w:widowControl/>
              <w:spacing w:line="400" w:lineRule="exact"/>
              <w:jc w:val="center"/>
              <w:rPr>
                <w:rFonts w:ascii="宋体" w:hAnsi="宋体" w:eastAsia="宋体" w:cs="宋体"/>
                <w:color w:val="000000"/>
                <w:spacing w:val="0"/>
                <w:sz w:val="21"/>
                <w:szCs w:val="24"/>
              </w:rPr>
            </w:pPr>
          </w:p>
        </w:tc>
        <w:tc>
          <w:tcPr>
            <w:tcW w:w="1224" w:type="dxa"/>
            <w:noWrap w:val="0"/>
            <w:vAlign w:val="center"/>
          </w:tcPr>
          <w:p>
            <w:pPr>
              <w:widowControl/>
              <w:spacing w:line="400" w:lineRule="exact"/>
              <w:jc w:val="center"/>
              <w:rPr>
                <w:rFonts w:ascii="宋体" w:hAnsi="宋体" w:eastAsia="宋体" w:cs="宋体"/>
                <w:color w:val="000000"/>
                <w:spacing w:val="0"/>
                <w:sz w:val="21"/>
                <w:szCs w:val="21"/>
              </w:rPr>
            </w:pPr>
            <w:r>
              <w:rPr>
                <w:rFonts w:ascii="宋体" w:hAnsi="宋体" w:eastAsia="宋体" w:cs="宋体"/>
                <w:spacing w:val="-14"/>
                <w:sz w:val="21"/>
                <w:szCs w:val="21"/>
              </w:rPr>
              <w:t>重</w:t>
            </w:r>
            <w:r>
              <w:rPr>
                <w:rFonts w:ascii="宋体" w:hAnsi="宋体" w:eastAsia="宋体" w:cs="宋体"/>
                <w:spacing w:val="-10"/>
                <w:sz w:val="21"/>
                <w:szCs w:val="21"/>
              </w:rPr>
              <w:t>点、难</w:t>
            </w:r>
            <w:r>
              <w:rPr>
                <w:rFonts w:ascii="宋体" w:hAnsi="宋体" w:eastAsia="宋体" w:cs="宋体"/>
                <w:spacing w:val="7"/>
                <w:sz w:val="21"/>
                <w:szCs w:val="21"/>
              </w:rPr>
              <w:t>点和关键工程的施工</w:t>
            </w:r>
            <w:r>
              <w:rPr>
                <w:rFonts w:ascii="宋体" w:hAnsi="宋体" w:eastAsia="宋体" w:cs="宋体"/>
                <w:spacing w:val="0"/>
                <w:sz w:val="21"/>
                <w:szCs w:val="21"/>
              </w:rPr>
              <w:t xml:space="preserve"> </w:t>
            </w:r>
            <w:r>
              <w:rPr>
                <w:rFonts w:ascii="宋体" w:hAnsi="宋体" w:eastAsia="宋体" w:cs="宋体"/>
                <w:spacing w:val="7"/>
                <w:sz w:val="21"/>
                <w:szCs w:val="21"/>
              </w:rPr>
              <w:t>方案与技术措</w:t>
            </w:r>
            <w:r>
              <w:rPr>
                <w:rFonts w:ascii="宋体" w:hAnsi="宋体" w:eastAsia="宋体" w:cs="宋体"/>
                <w:spacing w:val="1"/>
                <w:sz w:val="21"/>
                <w:szCs w:val="21"/>
              </w:rPr>
              <w:t>施</w:t>
            </w:r>
          </w:p>
        </w:tc>
        <w:tc>
          <w:tcPr>
            <w:tcW w:w="1036" w:type="dxa"/>
            <w:noWrap w:val="0"/>
            <w:vAlign w:val="center"/>
          </w:tcPr>
          <w:p>
            <w:pPr>
              <w:widowControl/>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u w:val="single"/>
              </w:rPr>
              <w:t>15</w:t>
            </w:r>
            <w:r>
              <w:rPr>
                <w:rFonts w:hint="eastAsia" w:ascii="宋体" w:hAnsi="宋体" w:eastAsia="宋体" w:cs="宋体"/>
                <w:color w:val="000000"/>
                <w:spacing w:val="0"/>
                <w:kern w:val="0"/>
                <w:sz w:val="21"/>
                <w:szCs w:val="24"/>
              </w:rPr>
              <w:t>分</w:t>
            </w:r>
          </w:p>
        </w:tc>
        <w:tc>
          <w:tcPr>
            <w:tcW w:w="4609" w:type="dxa"/>
            <w:noWrap w:val="0"/>
            <w:vAlign w:val="center"/>
          </w:tcPr>
          <w:p>
            <w:pPr>
              <w:widowControl/>
              <w:spacing w:line="400" w:lineRule="exact"/>
              <w:jc w:val="left"/>
              <w:rPr>
                <w:rFonts w:ascii="宋体" w:hAnsi="宋体" w:eastAsia="宋体" w:cs="宋体"/>
                <w:color w:val="000000"/>
                <w:spacing w:val="0"/>
                <w:sz w:val="21"/>
                <w:szCs w:val="24"/>
              </w:rPr>
            </w:pPr>
            <w:r>
              <w:rPr>
                <w:rFonts w:ascii="宋体" w:hAnsi="宋体" w:eastAsia="宋体" w:cs="宋体"/>
                <w:color w:val="000000"/>
                <w:spacing w:val="0"/>
                <w:sz w:val="21"/>
                <w:szCs w:val="24"/>
              </w:rPr>
              <w:t>(1)对项目重点、难点和关键工程认识分析透彻，能充分发挥自身优势，积极采用“四新”技术，制定的施工方案与技术措施针对性和可操作性强，重点突出的，按《广东省公路工程施工标准化指南》及《广东省高速 公路工程施工安全标准化指南》《公路工程施工安全防护设施技术指南》执行，得</w:t>
            </w:r>
            <w:r>
              <w:rPr>
                <w:rFonts w:ascii="宋体" w:hAnsi="宋体" w:eastAsia="宋体" w:cs="宋体"/>
                <w:color w:val="000000"/>
                <w:spacing w:val="0"/>
                <w:sz w:val="21"/>
                <w:szCs w:val="24"/>
                <w:u w:val="single"/>
              </w:rPr>
              <w:t xml:space="preserve"> </w:t>
            </w:r>
            <w:r>
              <w:rPr>
                <w:rFonts w:hint="eastAsia" w:ascii="宋体" w:hAnsi="宋体" w:eastAsia="宋体" w:cs="宋体"/>
                <w:color w:val="000000"/>
                <w:spacing w:val="0"/>
                <w:sz w:val="21"/>
                <w:szCs w:val="24"/>
                <w:u w:val="single"/>
              </w:rPr>
              <w:t>12</w:t>
            </w:r>
            <w:r>
              <w:rPr>
                <w:rFonts w:ascii="宋体" w:hAnsi="宋体" w:eastAsia="宋体" w:cs="宋体"/>
                <w:color w:val="000000"/>
                <w:spacing w:val="0"/>
                <w:sz w:val="21"/>
                <w:szCs w:val="24"/>
                <w:u w:val="single"/>
              </w:rPr>
              <w:t>~</w:t>
            </w:r>
            <w:r>
              <w:rPr>
                <w:rFonts w:hint="eastAsia" w:ascii="宋体" w:hAnsi="宋体" w:eastAsia="宋体" w:cs="宋体"/>
                <w:color w:val="000000"/>
                <w:spacing w:val="0"/>
                <w:sz w:val="21"/>
                <w:szCs w:val="24"/>
                <w:u w:val="single"/>
              </w:rPr>
              <w:t>15</w:t>
            </w:r>
            <w:r>
              <w:rPr>
                <w:rFonts w:ascii="宋体" w:hAnsi="宋体" w:eastAsia="宋体" w:cs="宋体"/>
                <w:color w:val="000000"/>
                <w:spacing w:val="0"/>
                <w:sz w:val="21"/>
                <w:szCs w:val="24"/>
                <w:u w:val="single"/>
              </w:rPr>
              <w:t xml:space="preserve"> </w:t>
            </w:r>
            <w:r>
              <w:rPr>
                <w:rFonts w:ascii="宋体" w:hAnsi="宋体" w:eastAsia="宋体" w:cs="宋体"/>
                <w:color w:val="000000"/>
                <w:spacing w:val="0"/>
                <w:sz w:val="21"/>
                <w:szCs w:val="24"/>
              </w:rPr>
              <w:t>分(满分分值的80%~ 100%)；</w:t>
            </w:r>
          </w:p>
          <w:p>
            <w:pPr>
              <w:widowControl/>
              <w:spacing w:line="400" w:lineRule="exact"/>
              <w:jc w:val="left"/>
              <w:rPr>
                <w:rFonts w:ascii="宋体" w:hAnsi="宋体" w:eastAsia="宋体" w:cs="宋体"/>
                <w:color w:val="000000"/>
                <w:spacing w:val="0"/>
                <w:sz w:val="21"/>
                <w:szCs w:val="24"/>
              </w:rPr>
            </w:pPr>
            <w:r>
              <w:rPr>
                <w:rFonts w:ascii="宋体" w:hAnsi="宋体" w:eastAsia="宋体" w:cs="宋体"/>
                <w:color w:val="000000"/>
                <w:spacing w:val="0"/>
                <w:sz w:val="21"/>
                <w:szCs w:val="24"/>
              </w:rPr>
              <w:t>(2)对项目重点、难点和关键工程认识基本到位，施工方案与技术措施基本可行，重点较为突出的，得</w:t>
            </w:r>
            <w:r>
              <w:rPr>
                <w:rFonts w:hint="eastAsia" w:ascii="宋体" w:hAnsi="宋体" w:eastAsia="宋体" w:cs="宋体"/>
                <w:color w:val="000000"/>
                <w:spacing w:val="0"/>
                <w:sz w:val="21"/>
                <w:szCs w:val="24"/>
                <w:u w:val="single"/>
              </w:rPr>
              <w:t xml:space="preserve"> 9</w:t>
            </w:r>
            <w:r>
              <w:rPr>
                <w:rFonts w:ascii="宋体" w:hAnsi="宋体" w:eastAsia="宋体" w:cs="宋体"/>
                <w:color w:val="000000"/>
                <w:spacing w:val="0"/>
                <w:sz w:val="21"/>
                <w:szCs w:val="24"/>
                <w:u w:val="single"/>
              </w:rPr>
              <w:t>~</w:t>
            </w:r>
            <w:r>
              <w:rPr>
                <w:rFonts w:hint="eastAsia" w:ascii="宋体" w:hAnsi="宋体" w:eastAsia="宋体" w:cs="宋体"/>
                <w:color w:val="000000"/>
                <w:spacing w:val="0"/>
                <w:sz w:val="21"/>
                <w:szCs w:val="24"/>
                <w:u w:val="single"/>
              </w:rPr>
              <w:t xml:space="preserve">12 </w:t>
            </w:r>
            <w:r>
              <w:rPr>
                <w:rFonts w:ascii="宋体" w:hAnsi="宋体" w:eastAsia="宋体" w:cs="宋体"/>
                <w:color w:val="000000"/>
                <w:spacing w:val="0"/>
                <w:sz w:val="21"/>
                <w:szCs w:val="24"/>
              </w:rPr>
              <w:t>分(满分分值的 60%~80%)；</w:t>
            </w:r>
          </w:p>
          <w:p>
            <w:pPr>
              <w:widowControl/>
              <w:spacing w:line="400" w:lineRule="exact"/>
              <w:jc w:val="left"/>
              <w:rPr>
                <w:rFonts w:ascii="宋体" w:hAnsi="宋体" w:eastAsia="宋体" w:cs="宋体"/>
                <w:color w:val="000000"/>
                <w:spacing w:val="0"/>
                <w:sz w:val="21"/>
                <w:szCs w:val="24"/>
              </w:rPr>
            </w:pPr>
            <w:r>
              <w:rPr>
                <w:rFonts w:ascii="宋体" w:hAnsi="宋体" w:eastAsia="宋体" w:cs="宋体"/>
                <w:color w:val="000000"/>
                <w:spacing w:val="0"/>
                <w:sz w:val="21"/>
                <w:szCs w:val="24"/>
              </w:rPr>
              <w:t>(3)一般但不被评定为不响应的, 得</w:t>
            </w:r>
            <w:r>
              <w:rPr>
                <w:rFonts w:ascii="宋体" w:hAnsi="宋体" w:eastAsia="宋体" w:cs="宋体"/>
                <w:color w:val="000000"/>
                <w:spacing w:val="0"/>
                <w:sz w:val="21"/>
                <w:szCs w:val="24"/>
                <w:u w:val="single"/>
              </w:rPr>
              <w:t xml:space="preserve"> </w:t>
            </w:r>
            <w:r>
              <w:rPr>
                <w:rFonts w:hint="eastAsia" w:ascii="宋体" w:hAnsi="宋体" w:eastAsia="宋体" w:cs="宋体"/>
                <w:color w:val="000000"/>
                <w:spacing w:val="0"/>
                <w:sz w:val="21"/>
                <w:szCs w:val="24"/>
                <w:u w:val="single"/>
              </w:rPr>
              <w:t>9</w:t>
            </w:r>
            <w:r>
              <w:rPr>
                <w:rFonts w:ascii="宋体" w:hAnsi="宋体" w:eastAsia="宋体" w:cs="宋体"/>
                <w:color w:val="000000"/>
                <w:spacing w:val="0"/>
                <w:sz w:val="21"/>
                <w:szCs w:val="24"/>
                <w:u w:val="single"/>
              </w:rPr>
              <w:t xml:space="preserve"> </w:t>
            </w:r>
            <w:r>
              <w:rPr>
                <w:rFonts w:ascii="宋体" w:hAnsi="宋体" w:eastAsia="宋体" w:cs="宋体"/>
                <w:color w:val="000000"/>
                <w:spacing w:val="0"/>
                <w:sz w:val="21"/>
                <w:szCs w:val="24"/>
              </w:rPr>
              <w:t>分(满分分值的60%)。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continue"/>
            <w:noWrap w:val="0"/>
            <w:vAlign w:val="center"/>
          </w:tcPr>
          <w:p>
            <w:pPr>
              <w:spacing w:line="400" w:lineRule="exact"/>
              <w:jc w:val="center"/>
              <w:rPr>
                <w:rFonts w:ascii="宋体" w:hAnsi="宋体" w:eastAsia="宋体" w:cs="宋体"/>
                <w:color w:val="000000"/>
                <w:spacing w:val="0"/>
                <w:sz w:val="21"/>
                <w:szCs w:val="24"/>
              </w:rPr>
            </w:pPr>
          </w:p>
        </w:tc>
        <w:tc>
          <w:tcPr>
            <w:tcW w:w="1309" w:type="dxa"/>
            <w:vMerge w:val="continue"/>
            <w:noWrap w:val="0"/>
            <w:vAlign w:val="center"/>
          </w:tcPr>
          <w:p>
            <w:pPr>
              <w:spacing w:line="400" w:lineRule="exact"/>
              <w:jc w:val="center"/>
              <w:rPr>
                <w:rFonts w:ascii="宋体" w:hAnsi="宋体" w:eastAsia="宋体" w:cs="宋体"/>
                <w:color w:val="000000"/>
                <w:spacing w:val="0"/>
                <w:sz w:val="21"/>
                <w:szCs w:val="24"/>
              </w:rPr>
            </w:pPr>
          </w:p>
        </w:tc>
        <w:tc>
          <w:tcPr>
            <w:tcW w:w="713" w:type="dxa"/>
            <w:vMerge w:val="continue"/>
            <w:noWrap w:val="0"/>
            <w:vAlign w:val="center"/>
          </w:tcPr>
          <w:p>
            <w:pPr>
              <w:widowControl/>
              <w:spacing w:line="400" w:lineRule="exact"/>
              <w:jc w:val="center"/>
              <w:rPr>
                <w:rFonts w:ascii="宋体" w:hAnsi="宋体" w:eastAsia="宋体" w:cs="宋体"/>
                <w:color w:val="000000"/>
                <w:spacing w:val="0"/>
                <w:sz w:val="21"/>
                <w:szCs w:val="24"/>
              </w:rPr>
            </w:pPr>
          </w:p>
        </w:tc>
        <w:tc>
          <w:tcPr>
            <w:tcW w:w="1224" w:type="dxa"/>
            <w:noWrap w:val="0"/>
            <w:vAlign w:val="center"/>
          </w:tcPr>
          <w:p>
            <w:pPr>
              <w:widowControl/>
              <w:spacing w:line="400" w:lineRule="exact"/>
              <w:jc w:val="center"/>
              <w:rPr>
                <w:rFonts w:ascii="宋体" w:hAnsi="宋体" w:eastAsia="宋体" w:cs="宋体"/>
                <w:color w:val="000000"/>
                <w:spacing w:val="0"/>
                <w:sz w:val="21"/>
                <w:szCs w:val="21"/>
              </w:rPr>
            </w:pPr>
            <w:r>
              <w:rPr>
                <w:rFonts w:ascii="宋体" w:hAnsi="宋体" w:eastAsia="宋体" w:cs="宋体"/>
                <w:spacing w:val="-12"/>
                <w:sz w:val="21"/>
                <w:szCs w:val="21"/>
              </w:rPr>
              <w:t>工</w:t>
            </w:r>
            <w:r>
              <w:rPr>
                <w:rFonts w:ascii="宋体" w:hAnsi="宋体" w:eastAsia="宋体" w:cs="宋体"/>
                <w:spacing w:val="-11"/>
                <w:sz w:val="21"/>
                <w:szCs w:val="21"/>
              </w:rPr>
              <w:t>期、质</w:t>
            </w:r>
            <w:r>
              <w:rPr>
                <w:rFonts w:ascii="宋体" w:hAnsi="宋体" w:eastAsia="宋体" w:cs="宋体"/>
                <w:spacing w:val="0"/>
                <w:sz w:val="21"/>
                <w:szCs w:val="21"/>
              </w:rPr>
              <w:t xml:space="preserve"> </w:t>
            </w:r>
            <w:r>
              <w:rPr>
                <w:rFonts w:ascii="宋体" w:hAnsi="宋体" w:eastAsia="宋体" w:cs="宋体"/>
                <w:spacing w:val="7"/>
                <w:sz w:val="21"/>
                <w:szCs w:val="21"/>
              </w:rPr>
              <w:t>量、安</w:t>
            </w:r>
            <w:r>
              <w:rPr>
                <w:rFonts w:ascii="宋体" w:hAnsi="宋体" w:eastAsia="宋体" w:cs="宋体"/>
                <w:spacing w:val="-11"/>
                <w:sz w:val="21"/>
                <w:szCs w:val="21"/>
              </w:rPr>
              <w:t>全、环保</w:t>
            </w:r>
            <w:r>
              <w:rPr>
                <w:rFonts w:ascii="宋体" w:hAnsi="宋体" w:eastAsia="宋体" w:cs="宋体"/>
                <w:spacing w:val="-12"/>
                <w:sz w:val="21"/>
                <w:szCs w:val="21"/>
              </w:rPr>
              <w:t>水</w:t>
            </w:r>
            <w:r>
              <w:rPr>
                <w:rFonts w:ascii="宋体" w:hAnsi="宋体" w:eastAsia="宋体" w:cs="宋体"/>
                <w:spacing w:val="-10"/>
                <w:sz w:val="21"/>
                <w:szCs w:val="21"/>
              </w:rPr>
              <w:t>保、文</w:t>
            </w:r>
            <w:r>
              <w:rPr>
                <w:rFonts w:ascii="宋体" w:hAnsi="宋体" w:eastAsia="宋体" w:cs="宋体"/>
                <w:spacing w:val="7"/>
                <w:sz w:val="21"/>
                <w:szCs w:val="21"/>
              </w:rPr>
              <w:t>明施工</w:t>
            </w:r>
            <w:r>
              <w:rPr>
                <w:rFonts w:ascii="宋体" w:hAnsi="宋体" w:eastAsia="宋体" w:cs="宋体"/>
                <w:spacing w:val="0"/>
                <w:sz w:val="21"/>
                <w:szCs w:val="21"/>
              </w:rPr>
              <w:t xml:space="preserve"> </w:t>
            </w:r>
            <w:r>
              <w:rPr>
                <w:rFonts w:ascii="宋体" w:hAnsi="宋体" w:eastAsia="宋体" w:cs="宋体"/>
                <w:spacing w:val="7"/>
                <w:sz w:val="21"/>
                <w:szCs w:val="21"/>
              </w:rPr>
              <w:t>保证措</w:t>
            </w:r>
            <w:r>
              <w:rPr>
                <w:rFonts w:ascii="宋体" w:hAnsi="宋体" w:eastAsia="宋体" w:cs="宋体"/>
                <w:spacing w:val="1"/>
                <w:sz w:val="21"/>
                <w:szCs w:val="21"/>
              </w:rPr>
              <w:t>施</w:t>
            </w:r>
          </w:p>
        </w:tc>
        <w:tc>
          <w:tcPr>
            <w:tcW w:w="1036" w:type="dxa"/>
            <w:noWrap w:val="0"/>
            <w:vAlign w:val="center"/>
          </w:tcPr>
          <w:p>
            <w:pPr>
              <w:widowControl/>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u w:val="single"/>
              </w:rPr>
              <w:t>10</w:t>
            </w:r>
            <w:r>
              <w:rPr>
                <w:rFonts w:hint="eastAsia" w:ascii="宋体" w:hAnsi="宋体" w:eastAsia="宋体" w:cs="宋体"/>
                <w:color w:val="000000"/>
                <w:spacing w:val="0"/>
                <w:kern w:val="0"/>
                <w:sz w:val="21"/>
                <w:szCs w:val="24"/>
              </w:rPr>
              <w:t>分</w:t>
            </w:r>
          </w:p>
        </w:tc>
        <w:tc>
          <w:tcPr>
            <w:tcW w:w="4609" w:type="dxa"/>
            <w:noWrap w:val="0"/>
            <w:vAlign w:val="center"/>
          </w:tcPr>
          <w:p>
            <w:pPr>
              <w:widowControl/>
              <w:spacing w:line="400" w:lineRule="exact"/>
              <w:jc w:val="left"/>
              <w:rPr>
                <w:rFonts w:ascii="宋体" w:hAnsi="宋体" w:eastAsia="宋体" w:cs="宋体"/>
                <w:color w:val="000000"/>
                <w:spacing w:val="0"/>
                <w:sz w:val="21"/>
                <w:szCs w:val="24"/>
              </w:rPr>
            </w:pPr>
            <w:r>
              <w:rPr>
                <w:rFonts w:ascii="宋体" w:hAnsi="宋体" w:eastAsia="宋体" w:cs="宋体"/>
                <w:color w:val="000000"/>
                <w:spacing w:val="0"/>
                <w:sz w:val="21"/>
                <w:szCs w:val="24"/>
              </w:rPr>
              <w:t>(1)能够准确预判分析工期、质量、安全、环保、水保、文明施工目标实现的主要影响因素，拟采取预防保证措施针对性强、科学有效，重点突出的，按《广东省公路工程施工标准化指南》及《广东省高速公路工程施工安全标准化指南》《公路工程施工安全防护设施技术指南》执行，得</w:t>
            </w:r>
            <w:r>
              <w:rPr>
                <w:rFonts w:hint="eastAsia" w:ascii="宋体" w:hAnsi="宋体" w:eastAsia="宋体" w:cs="宋体"/>
                <w:color w:val="000000"/>
                <w:spacing w:val="0"/>
                <w:sz w:val="21"/>
                <w:szCs w:val="24"/>
                <w:u w:val="single"/>
              </w:rPr>
              <w:t xml:space="preserve"> 8</w:t>
            </w:r>
            <w:r>
              <w:rPr>
                <w:rFonts w:ascii="宋体" w:hAnsi="宋体" w:eastAsia="宋体" w:cs="宋体"/>
                <w:color w:val="000000"/>
                <w:spacing w:val="0"/>
                <w:sz w:val="21"/>
                <w:szCs w:val="24"/>
                <w:u w:val="single"/>
              </w:rPr>
              <w:t>~</w:t>
            </w:r>
            <w:r>
              <w:rPr>
                <w:rFonts w:hint="eastAsia" w:ascii="宋体" w:hAnsi="宋体" w:eastAsia="宋体" w:cs="宋体"/>
                <w:color w:val="000000"/>
                <w:spacing w:val="0"/>
                <w:sz w:val="21"/>
                <w:szCs w:val="24"/>
                <w:u w:val="single"/>
              </w:rPr>
              <w:t xml:space="preserve">10 </w:t>
            </w:r>
            <w:r>
              <w:rPr>
                <w:rFonts w:ascii="宋体" w:hAnsi="宋体" w:eastAsia="宋体" w:cs="宋体"/>
                <w:color w:val="000000"/>
                <w:spacing w:val="0"/>
                <w:sz w:val="21"/>
                <w:szCs w:val="24"/>
              </w:rPr>
              <w:t>分 (满分分值的80%~100%)；</w:t>
            </w:r>
          </w:p>
          <w:p>
            <w:pPr>
              <w:widowControl/>
              <w:spacing w:line="400" w:lineRule="exact"/>
              <w:jc w:val="left"/>
              <w:rPr>
                <w:rFonts w:ascii="宋体" w:hAnsi="宋体" w:eastAsia="宋体" w:cs="宋体"/>
                <w:color w:val="000000"/>
                <w:spacing w:val="0"/>
                <w:sz w:val="21"/>
                <w:szCs w:val="24"/>
              </w:rPr>
            </w:pPr>
            <w:r>
              <w:rPr>
                <w:rFonts w:ascii="宋体" w:hAnsi="宋体" w:eastAsia="宋体" w:cs="宋体"/>
                <w:color w:val="000000"/>
                <w:spacing w:val="0"/>
                <w:sz w:val="21"/>
                <w:szCs w:val="24"/>
              </w:rPr>
              <w:t>(2)对工期、质量、安全、环保、水保等风险有一定认识，预防保证措施基本可行，重点较为突出的，得</w:t>
            </w:r>
            <w:r>
              <w:rPr>
                <w:rFonts w:hint="eastAsia" w:ascii="宋体" w:hAnsi="宋体" w:eastAsia="宋体" w:cs="宋体"/>
                <w:color w:val="000000"/>
                <w:spacing w:val="0"/>
                <w:sz w:val="21"/>
                <w:szCs w:val="24"/>
                <w:u w:val="single"/>
              </w:rPr>
              <w:t xml:space="preserve"> 6</w:t>
            </w:r>
            <w:r>
              <w:rPr>
                <w:rFonts w:ascii="宋体" w:hAnsi="宋体" w:eastAsia="宋体" w:cs="宋体"/>
                <w:color w:val="000000"/>
                <w:spacing w:val="0"/>
                <w:sz w:val="21"/>
                <w:szCs w:val="24"/>
                <w:u w:val="single"/>
              </w:rPr>
              <w:t>~</w:t>
            </w:r>
            <w:r>
              <w:rPr>
                <w:rFonts w:hint="eastAsia" w:ascii="宋体" w:hAnsi="宋体" w:eastAsia="宋体" w:cs="宋体"/>
                <w:color w:val="000000"/>
                <w:spacing w:val="0"/>
                <w:sz w:val="21"/>
                <w:szCs w:val="24"/>
                <w:u w:val="single"/>
              </w:rPr>
              <w:t xml:space="preserve">8 </w:t>
            </w:r>
            <w:r>
              <w:rPr>
                <w:rFonts w:ascii="宋体" w:hAnsi="宋体" w:eastAsia="宋体" w:cs="宋体"/>
                <w:color w:val="000000"/>
                <w:spacing w:val="0"/>
                <w:sz w:val="21"/>
                <w:szCs w:val="24"/>
              </w:rPr>
              <w:t>分(满分分值的 60%~80%)；</w:t>
            </w:r>
          </w:p>
          <w:p>
            <w:pPr>
              <w:widowControl/>
              <w:spacing w:line="400" w:lineRule="exact"/>
              <w:jc w:val="left"/>
              <w:rPr>
                <w:rFonts w:ascii="宋体" w:hAnsi="宋体" w:eastAsia="宋体" w:cs="宋体"/>
                <w:color w:val="000000"/>
                <w:spacing w:val="0"/>
                <w:sz w:val="21"/>
                <w:szCs w:val="24"/>
              </w:rPr>
            </w:pPr>
            <w:r>
              <w:rPr>
                <w:rFonts w:ascii="宋体" w:hAnsi="宋体" w:eastAsia="宋体" w:cs="宋体"/>
                <w:color w:val="000000"/>
                <w:spacing w:val="0"/>
                <w:sz w:val="21"/>
                <w:szCs w:val="24"/>
              </w:rPr>
              <w:t>(3)一般但不被评定为不响应的, 得</w:t>
            </w:r>
            <w:r>
              <w:rPr>
                <w:rFonts w:hint="eastAsia" w:ascii="宋体" w:hAnsi="宋体" w:eastAsia="宋体" w:cs="宋体"/>
                <w:color w:val="000000"/>
                <w:spacing w:val="0"/>
                <w:sz w:val="21"/>
                <w:szCs w:val="24"/>
                <w:u w:val="single"/>
              </w:rPr>
              <w:t xml:space="preserve"> 6 </w:t>
            </w:r>
            <w:r>
              <w:rPr>
                <w:rFonts w:ascii="宋体" w:hAnsi="宋体" w:eastAsia="宋体" w:cs="宋体"/>
                <w:color w:val="000000"/>
                <w:spacing w:val="0"/>
                <w:sz w:val="21"/>
                <w:szCs w:val="24"/>
              </w:rPr>
              <w:t>分(满分分值的60%)。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81" w:type="dxa"/>
            <w:vMerge w:val="restart"/>
            <w:noWrap w:val="0"/>
            <w:vAlign w:val="center"/>
          </w:tcPr>
          <w:p>
            <w:pPr>
              <w:widowControl/>
              <w:spacing w:line="400" w:lineRule="exact"/>
              <w:jc w:val="left"/>
              <w:rPr>
                <w:rFonts w:ascii="宋体" w:hAnsi="宋体" w:eastAsia="宋体" w:cs="宋体"/>
                <w:color w:val="000000"/>
                <w:spacing w:val="0"/>
                <w:sz w:val="21"/>
                <w:szCs w:val="24"/>
              </w:rPr>
            </w:pPr>
            <w:bookmarkStart w:id="1" w:name="_GoBack" w:colFirst="5" w:colLast="5"/>
            <w:r>
              <w:rPr>
                <w:rFonts w:hint="eastAsia" w:ascii="宋体" w:hAnsi="宋体" w:eastAsia="宋体" w:cs="宋体"/>
                <w:color w:val="000000"/>
                <w:spacing w:val="0"/>
                <w:kern w:val="0"/>
                <w:sz w:val="21"/>
                <w:szCs w:val="24"/>
              </w:rPr>
              <w:t xml:space="preserve">2.2.2 </w:t>
            </w:r>
          </w:p>
          <w:p>
            <w:pPr>
              <w:widowControl/>
              <w:spacing w:line="400" w:lineRule="exact"/>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(2)</w:t>
            </w:r>
          </w:p>
          <w:p>
            <w:pPr>
              <w:spacing w:line="400" w:lineRule="exact"/>
              <w:jc w:val="center"/>
              <w:rPr>
                <w:rFonts w:ascii="宋体" w:hAnsi="宋体" w:eastAsia="宋体" w:cs="宋体"/>
                <w:color w:val="000000"/>
                <w:spacing w:val="0"/>
                <w:sz w:val="21"/>
                <w:szCs w:val="24"/>
              </w:rPr>
            </w:pPr>
          </w:p>
        </w:tc>
        <w:tc>
          <w:tcPr>
            <w:tcW w:w="1309" w:type="dxa"/>
            <w:vMerge w:val="restart"/>
            <w:noWrap w:val="0"/>
            <w:vAlign w:val="center"/>
          </w:tcPr>
          <w:p>
            <w:pPr>
              <w:widowControl/>
              <w:spacing w:line="400" w:lineRule="exact"/>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主要人员</w:t>
            </w:r>
          </w:p>
        </w:tc>
        <w:tc>
          <w:tcPr>
            <w:tcW w:w="713" w:type="dxa"/>
            <w:vMerge w:val="restart"/>
            <w:noWrap w:val="0"/>
            <w:vAlign w:val="center"/>
          </w:tcPr>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30分</w:t>
            </w:r>
          </w:p>
        </w:tc>
        <w:tc>
          <w:tcPr>
            <w:tcW w:w="1224" w:type="dxa"/>
            <w:noWrap w:val="0"/>
            <w:vAlign w:val="center"/>
          </w:tcPr>
          <w:p>
            <w:pPr>
              <w:widowControl/>
              <w:spacing w:line="400" w:lineRule="exac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项目经理任职资格与业绩</w:t>
            </w:r>
          </w:p>
        </w:tc>
        <w:tc>
          <w:tcPr>
            <w:tcW w:w="1036" w:type="dxa"/>
            <w:noWrap w:val="0"/>
            <w:vAlign w:val="center"/>
          </w:tcPr>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15分</w:t>
            </w:r>
          </w:p>
        </w:tc>
        <w:tc>
          <w:tcPr>
            <w:tcW w:w="4609" w:type="dxa"/>
            <w:noWrap w:val="0"/>
            <w:vAlign w:val="center"/>
          </w:tcPr>
          <w:p>
            <w:pPr>
              <w:widowControl/>
              <w:spacing w:line="400" w:lineRule="exact"/>
              <w:jc w:val="left"/>
              <w:rPr>
                <w:rFonts w:ascii="Calibri" w:hAnsi="Calibri" w:eastAsia="宋体" w:cs="Times New Roman"/>
                <w:spacing w:val="0"/>
                <w:sz w:val="21"/>
                <w:szCs w:val="24"/>
                <w:highlight w:val="none"/>
              </w:rPr>
            </w:pPr>
            <w:r>
              <w:rPr>
                <w:rFonts w:hint="eastAsia" w:ascii="Calibri" w:hAnsi="Calibri" w:eastAsia="宋体" w:cs="Times New Roman"/>
                <w:spacing w:val="0"/>
                <w:sz w:val="21"/>
                <w:szCs w:val="24"/>
                <w:highlight w:val="none"/>
              </w:rPr>
              <w:t>(1) 满足资格审查条件 (项目经理和项目总工最低要求)时，得 9 分；</w:t>
            </w:r>
          </w:p>
          <w:p>
            <w:pPr>
              <w:widowControl/>
              <w:spacing w:line="400" w:lineRule="exact"/>
              <w:jc w:val="left"/>
              <w:rPr>
                <w:rFonts w:ascii="Calibri" w:hAnsi="Calibri" w:eastAsia="宋体" w:cs="Times New Roman"/>
                <w:spacing w:val="0"/>
                <w:sz w:val="21"/>
                <w:szCs w:val="24"/>
                <w:highlight w:val="none"/>
              </w:rPr>
            </w:pPr>
            <w:r>
              <w:rPr>
                <w:rFonts w:hint="eastAsia" w:ascii="Calibri" w:hAnsi="Calibri" w:eastAsia="宋体" w:cs="Times New Roman"/>
                <w:spacing w:val="0"/>
                <w:sz w:val="21"/>
                <w:szCs w:val="24"/>
                <w:highlight w:val="none"/>
              </w:rPr>
              <w:t>(2) 每担任 1 个类似工程项目经理岗位工作经验的，加 6 分，最多加 6 分。</w:t>
            </w:r>
          </w:p>
          <w:p>
            <w:pPr>
              <w:pStyle w:val="2"/>
              <w:spacing w:line="240" w:lineRule="auto"/>
              <w:ind w:firstLine="0" w:firstLineChars="0"/>
              <w:rPr>
                <w:spacing w:val="0"/>
                <w:highlight w:val="none"/>
              </w:rPr>
            </w:pPr>
            <w:r>
              <w:rPr>
                <w:rFonts w:hint="eastAsia" w:ascii="宋体" w:hAnsi="宋体"/>
                <w:spacing w:val="0"/>
                <w:szCs w:val="21"/>
                <w:highlight w:val="none"/>
              </w:rPr>
              <w:t>注：类似项目指：三级（或以上等级）公路工程施工业绩</w:t>
            </w:r>
            <w:r>
              <w:rPr>
                <w:rFonts w:hint="eastAsia" w:ascii="宋体" w:hAnsi="宋体"/>
                <w:spacing w:val="0"/>
                <w:szCs w:val="21"/>
                <w:highlight w:val="none"/>
                <w:lang w:eastAsia="zh-CN"/>
              </w:rPr>
              <w:t>，</w:t>
            </w:r>
            <w:r>
              <w:rPr>
                <w:rFonts w:hint="eastAsia" w:ascii="宋体" w:hAnsi="宋体" w:cs="宋体"/>
                <w:spacing w:val="0"/>
                <w:highlight w:val="none"/>
              </w:rPr>
              <w:t>不包含改善、配套完善、房建配套、单项交安设施、</w:t>
            </w:r>
            <w:r>
              <w:rPr>
                <w:rFonts w:hint="eastAsia" w:ascii="宋体" w:hAnsi="宋体" w:cs="宋体"/>
                <w:spacing w:val="0"/>
                <w:highlight w:val="none"/>
                <w:lang w:eastAsia="zh-CN"/>
              </w:rPr>
              <w:t>安全</w:t>
            </w:r>
            <w:r>
              <w:rPr>
                <w:rFonts w:hint="eastAsia" w:ascii="宋体" w:hAnsi="宋体" w:cs="宋体"/>
                <w:spacing w:val="0"/>
                <w:highlight w:val="none"/>
              </w:rPr>
              <w:t>生命防护工程等工程</w:t>
            </w:r>
            <w:r>
              <w:rPr>
                <w:rFonts w:hint="eastAsia" w:ascii="宋体" w:hAnsi="宋体"/>
                <w:spacing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981" w:type="dxa"/>
            <w:vMerge w:val="continue"/>
            <w:noWrap w:val="0"/>
            <w:vAlign w:val="center"/>
          </w:tcPr>
          <w:p>
            <w:pPr>
              <w:spacing w:line="400" w:lineRule="exact"/>
              <w:jc w:val="center"/>
              <w:rPr>
                <w:rFonts w:ascii="宋体" w:hAnsi="宋体" w:eastAsia="宋体" w:cs="宋体"/>
                <w:color w:val="000000"/>
                <w:spacing w:val="0"/>
                <w:sz w:val="21"/>
                <w:szCs w:val="24"/>
              </w:rPr>
            </w:pPr>
          </w:p>
        </w:tc>
        <w:tc>
          <w:tcPr>
            <w:tcW w:w="1309" w:type="dxa"/>
            <w:vMerge w:val="continue"/>
            <w:noWrap w:val="0"/>
            <w:vAlign w:val="center"/>
          </w:tcPr>
          <w:p>
            <w:pPr>
              <w:widowControl/>
              <w:spacing w:line="400" w:lineRule="exact"/>
              <w:jc w:val="left"/>
              <w:rPr>
                <w:rFonts w:ascii="宋体" w:hAnsi="宋体" w:eastAsia="宋体" w:cs="宋体"/>
                <w:color w:val="000000"/>
                <w:spacing w:val="0"/>
                <w:kern w:val="0"/>
                <w:sz w:val="21"/>
                <w:szCs w:val="24"/>
              </w:rPr>
            </w:pPr>
          </w:p>
        </w:tc>
        <w:tc>
          <w:tcPr>
            <w:tcW w:w="713" w:type="dxa"/>
            <w:vMerge w:val="continue"/>
            <w:noWrap w:val="0"/>
            <w:vAlign w:val="center"/>
          </w:tcPr>
          <w:p>
            <w:pPr>
              <w:widowControl/>
              <w:spacing w:line="400" w:lineRule="exact"/>
              <w:jc w:val="left"/>
              <w:rPr>
                <w:rFonts w:ascii="宋体" w:hAnsi="宋体" w:eastAsia="宋体" w:cs="宋体"/>
                <w:color w:val="000000"/>
                <w:spacing w:val="0"/>
                <w:kern w:val="0"/>
                <w:sz w:val="21"/>
                <w:szCs w:val="24"/>
              </w:rPr>
            </w:pPr>
          </w:p>
        </w:tc>
        <w:tc>
          <w:tcPr>
            <w:tcW w:w="1224" w:type="dxa"/>
            <w:noWrap w:val="0"/>
            <w:vAlign w:val="center"/>
          </w:tcPr>
          <w:p>
            <w:pPr>
              <w:widowControl/>
              <w:spacing w:line="400" w:lineRule="exac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项目总工任职资格与业绩</w:t>
            </w:r>
          </w:p>
        </w:tc>
        <w:tc>
          <w:tcPr>
            <w:tcW w:w="1036" w:type="dxa"/>
            <w:noWrap w:val="0"/>
            <w:vAlign w:val="center"/>
          </w:tcPr>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15分</w:t>
            </w:r>
          </w:p>
        </w:tc>
        <w:tc>
          <w:tcPr>
            <w:tcW w:w="4609" w:type="dxa"/>
            <w:noWrap w:val="0"/>
            <w:vAlign w:val="center"/>
          </w:tcPr>
          <w:p>
            <w:pPr>
              <w:widowControl/>
              <w:spacing w:line="400" w:lineRule="exact"/>
              <w:jc w:val="left"/>
              <w:rPr>
                <w:rFonts w:ascii="Calibri" w:hAnsi="Calibri" w:eastAsia="宋体" w:cs="Times New Roman"/>
                <w:spacing w:val="0"/>
                <w:sz w:val="21"/>
                <w:szCs w:val="24"/>
                <w:highlight w:val="none"/>
              </w:rPr>
            </w:pPr>
            <w:r>
              <w:rPr>
                <w:rFonts w:hint="eastAsia" w:ascii="Calibri" w:hAnsi="Calibri" w:eastAsia="宋体" w:cs="Times New Roman"/>
                <w:spacing w:val="0"/>
                <w:sz w:val="21"/>
                <w:szCs w:val="24"/>
                <w:highlight w:val="none"/>
              </w:rPr>
              <w:t>(1) 满足资格审查条件 (项目经理和项目总工最低要求)时，得 9 分；</w:t>
            </w:r>
          </w:p>
          <w:p>
            <w:pPr>
              <w:widowControl/>
              <w:spacing w:line="400" w:lineRule="exact"/>
              <w:jc w:val="left"/>
              <w:rPr>
                <w:rFonts w:hint="eastAsia" w:ascii="Calibri" w:hAnsi="Calibri" w:eastAsia="宋体" w:cs="Times New Roman"/>
                <w:spacing w:val="0"/>
                <w:sz w:val="21"/>
                <w:szCs w:val="24"/>
                <w:highlight w:val="none"/>
                <w:lang w:eastAsia="zh-CN"/>
              </w:rPr>
            </w:pPr>
            <w:r>
              <w:rPr>
                <w:rFonts w:hint="eastAsia" w:ascii="Calibri" w:hAnsi="Calibri" w:eastAsia="宋体" w:cs="Times New Roman"/>
                <w:spacing w:val="0"/>
                <w:sz w:val="21"/>
                <w:szCs w:val="24"/>
                <w:highlight w:val="none"/>
              </w:rPr>
              <w:t>(2) 每担任 1 个类似工程项目总工岗位工作经验的，加 6 分，最多加 6 分</w:t>
            </w:r>
            <w:r>
              <w:rPr>
                <w:rFonts w:hint="eastAsia" w:ascii="Calibri" w:hAnsi="Calibri" w:eastAsia="宋体" w:cs="Times New Roman"/>
                <w:spacing w:val="0"/>
                <w:sz w:val="21"/>
                <w:szCs w:val="24"/>
                <w:highlight w:val="none"/>
                <w:lang w:eastAsia="zh-CN"/>
              </w:rPr>
              <w:t>。</w:t>
            </w:r>
          </w:p>
          <w:p>
            <w:pPr>
              <w:pStyle w:val="2"/>
              <w:spacing w:line="240" w:lineRule="auto"/>
              <w:ind w:firstLine="0" w:firstLineChars="0"/>
              <w:rPr>
                <w:spacing w:val="0"/>
                <w:highlight w:val="none"/>
              </w:rPr>
            </w:pPr>
            <w:r>
              <w:rPr>
                <w:rFonts w:hint="eastAsia" w:ascii="宋体" w:hAnsi="宋体"/>
                <w:spacing w:val="0"/>
                <w:szCs w:val="21"/>
                <w:highlight w:val="none"/>
              </w:rPr>
              <w:t>注：类似项目指：三级（或以上等级）公路工程施工业绩</w:t>
            </w:r>
            <w:r>
              <w:rPr>
                <w:rFonts w:hint="eastAsia" w:ascii="宋体" w:hAnsi="宋体"/>
                <w:spacing w:val="0"/>
                <w:szCs w:val="21"/>
                <w:highlight w:val="none"/>
                <w:lang w:eastAsia="zh-CN"/>
              </w:rPr>
              <w:t>，</w:t>
            </w:r>
            <w:r>
              <w:rPr>
                <w:rFonts w:hint="eastAsia" w:ascii="宋体" w:hAnsi="宋体" w:cs="宋体"/>
                <w:spacing w:val="0"/>
                <w:highlight w:val="none"/>
              </w:rPr>
              <w:t>不包含改善、配套完善、房建配套、单项交安设施、</w:t>
            </w:r>
            <w:r>
              <w:rPr>
                <w:rFonts w:hint="eastAsia" w:ascii="宋体" w:hAnsi="宋体" w:cs="宋体"/>
                <w:spacing w:val="0"/>
                <w:highlight w:val="none"/>
                <w:lang w:eastAsia="zh-CN"/>
              </w:rPr>
              <w:t>安全</w:t>
            </w:r>
            <w:r>
              <w:rPr>
                <w:rFonts w:hint="eastAsia" w:ascii="宋体" w:hAnsi="宋体" w:cs="宋体"/>
                <w:spacing w:val="0"/>
                <w:highlight w:val="none"/>
              </w:rPr>
              <w:t>生命防护工程等工程</w:t>
            </w:r>
            <w:r>
              <w:rPr>
                <w:rFonts w:hint="eastAsia" w:ascii="宋体" w:hAnsi="宋体"/>
                <w:spacing w:val="0"/>
                <w:szCs w:val="21"/>
                <w:highlight w:val="none"/>
              </w:rPr>
              <w:t>。</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trPr>
        <w:tc>
          <w:tcPr>
            <w:tcW w:w="981" w:type="dxa"/>
            <w:vMerge w:val="restart"/>
            <w:noWrap w:val="0"/>
            <w:vAlign w:val="center"/>
          </w:tcPr>
          <w:p>
            <w:pPr>
              <w:spacing w:line="400" w:lineRule="exact"/>
              <w:ind w:left="90" w:leftChars="36" w:right="113" w:hanging="14" w:hangingChars="7"/>
              <w:jc w:val="center"/>
              <w:rPr>
                <w:rFonts w:ascii="宋体" w:hAnsi="宋体" w:eastAsia="宋体" w:cs="宋体"/>
                <w:color w:val="000000"/>
                <w:spacing w:val="0"/>
                <w:sz w:val="21"/>
                <w:szCs w:val="24"/>
              </w:rPr>
            </w:pPr>
            <w:r>
              <w:rPr>
                <w:rFonts w:hint="eastAsia" w:ascii="宋体" w:hAnsi="宋体" w:eastAsia="宋体" w:cs="宋体"/>
                <w:color w:val="000000"/>
                <w:spacing w:val="0"/>
                <w:sz w:val="21"/>
                <w:szCs w:val="24"/>
              </w:rPr>
              <w:t>2.2.2(3)</w:t>
            </w:r>
          </w:p>
        </w:tc>
        <w:tc>
          <w:tcPr>
            <w:tcW w:w="1309" w:type="dxa"/>
            <w:vMerge w:val="restart"/>
            <w:noWrap w:val="0"/>
            <w:vAlign w:val="center"/>
          </w:tcPr>
          <w:p>
            <w:pPr>
              <w:widowControl/>
              <w:spacing w:line="400" w:lineRule="exact"/>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其他因素</w:t>
            </w:r>
          </w:p>
        </w:tc>
        <w:tc>
          <w:tcPr>
            <w:tcW w:w="713" w:type="dxa"/>
            <w:noWrap w:val="0"/>
            <w:vAlign w:val="center"/>
          </w:tcPr>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技</w:t>
            </w:r>
          </w:p>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术</w:t>
            </w:r>
          </w:p>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能</w:t>
            </w:r>
          </w:p>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力</w:t>
            </w:r>
          </w:p>
        </w:tc>
        <w:tc>
          <w:tcPr>
            <w:tcW w:w="1224" w:type="dxa"/>
            <w:noWrap w:val="0"/>
            <w:vAlign w:val="center"/>
          </w:tcPr>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20分</w:t>
            </w:r>
          </w:p>
        </w:tc>
        <w:tc>
          <w:tcPr>
            <w:tcW w:w="5645" w:type="dxa"/>
            <w:gridSpan w:val="2"/>
            <w:noWrap w:val="0"/>
            <w:vAlign w:val="center"/>
          </w:tcPr>
          <w:p>
            <w:pPr>
              <w:pStyle w:val="4"/>
              <w:spacing w:line="240" w:lineRule="auto"/>
              <w:rPr>
                <w:rFonts w:ascii="宋体" w:hAnsi="宋体" w:cs="宋体"/>
                <w:color w:val="000000"/>
                <w:spacing w:val="0"/>
                <w:sz w:val="21"/>
                <w:szCs w:val="24"/>
              </w:rPr>
            </w:pPr>
            <w:r>
              <w:rPr>
                <w:rFonts w:hint="eastAsia" w:ascii="宋体" w:hAnsi="宋体" w:cs="宋体"/>
                <w:color w:val="000000"/>
                <w:spacing w:val="0"/>
                <w:sz w:val="21"/>
                <w:szCs w:val="24"/>
              </w:rPr>
              <w:t>（1）投标人获得与项目施工有关的国家级工法、专利（发明专利或实用新型专利）、国家级科学技术进步奖、主编或参编过国家标准、鲁班奖、詹天佑奖，每项加 5 分</w:t>
            </w:r>
            <w:r>
              <w:rPr>
                <w:rFonts w:hint="eastAsia" w:ascii="宋体" w:hAnsi="宋体" w:cs="宋体"/>
                <w:color w:val="000000"/>
                <w:spacing w:val="0"/>
                <w:sz w:val="21"/>
                <w:szCs w:val="21"/>
              </w:rPr>
              <w:t>；</w:t>
            </w:r>
          </w:p>
          <w:p>
            <w:pPr>
              <w:pStyle w:val="4"/>
              <w:spacing w:line="240" w:lineRule="auto"/>
              <w:rPr>
                <w:rFonts w:ascii="宋体" w:hAnsi="宋体" w:cs="宋体"/>
                <w:color w:val="000000"/>
                <w:spacing w:val="0"/>
                <w:sz w:val="21"/>
                <w:szCs w:val="24"/>
              </w:rPr>
            </w:pPr>
            <w:r>
              <w:rPr>
                <w:rFonts w:hint="eastAsia" w:ascii="宋体" w:hAnsi="宋体" w:cs="宋体"/>
                <w:color w:val="000000"/>
                <w:spacing w:val="0"/>
                <w:sz w:val="21"/>
                <w:szCs w:val="24"/>
              </w:rPr>
              <w:t>（2）投标人获得省级科学技术进步奖，主编或参编过的行业或地方（指省级）标准，每项加 3 分</w:t>
            </w:r>
            <w:r>
              <w:rPr>
                <w:rFonts w:hint="eastAsia" w:ascii="宋体" w:hAnsi="宋体" w:cs="宋体"/>
                <w:color w:val="000000"/>
                <w:spacing w:val="0"/>
                <w:sz w:val="21"/>
                <w:szCs w:val="21"/>
              </w:rPr>
              <w:t>；</w:t>
            </w:r>
          </w:p>
          <w:p>
            <w:pPr>
              <w:pStyle w:val="4"/>
              <w:spacing w:line="240" w:lineRule="auto"/>
              <w:rPr>
                <w:color w:val="000000"/>
                <w:spacing w:val="0"/>
              </w:rPr>
            </w:pPr>
            <w:r>
              <w:rPr>
                <w:rFonts w:hint="eastAsia" w:ascii="宋体" w:hAnsi="宋体" w:cs="宋体"/>
                <w:color w:val="000000"/>
                <w:spacing w:val="0"/>
                <w:sz w:val="21"/>
                <w:szCs w:val="24"/>
              </w:rPr>
              <w:t>注：技术能力加分最高 20 分，同一事项按较高分只计一次。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981" w:type="dxa"/>
            <w:vMerge w:val="continue"/>
            <w:noWrap w:val="0"/>
            <w:vAlign w:val="center"/>
          </w:tcPr>
          <w:p>
            <w:pPr>
              <w:spacing w:line="400" w:lineRule="exact"/>
              <w:ind w:left="90" w:leftChars="36" w:right="113" w:hanging="14" w:hangingChars="7"/>
              <w:jc w:val="center"/>
              <w:rPr>
                <w:rFonts w:ascii="宋体" w:hAnsi="宋体" w:eastAsia="宋体" w:cs="宋体"/>
                <w:color w:val="000000"/>
                <w:spacing w:val="0"/>
                <w:sz w:val="21"/>
                <w:szCs w:val="24"/>
              </w:rPr>
            </w:pPr>
          </w:p>
        </w:tc>
        <w:tc>
          <w:tcPr>
            <w:tcW w:w="1309" w:type="dxa"/>
            <w:vMerge w:val="continue"/>
            <w:noWrap w:val="0"/>
            <w:vAlign w:val="center"/>
          </w:tcPr>
          <w:p>
            <w:pPr>
              <w:widowControl/>
              <w:spacing w:line="400" w:lineRule="exact"/>
              <w:jc w:val="left"/>
              <w:rPr>
                <w:rFonts w:ascii="宋体" w:hAnsi="宋体" w:eastAsia="宋体" w:cs="宋体"/>
                <w:color w:val="000000"/>
                <w:spacing w:val="0"/>
                <w:kern w:val="0"/>
                <w:sz w:val="21"/>
                <w:szCs w:val="24"/>
              </w:rPr>
            </w:pPr>
          </w:p>
        </w:tc>
        <w:tc>
          <w:tcPr>
            <w:tcW w:w="713" w:type="dxa"/>
            <w:noWrap w:val="0"/>
            <w:vAlign w:val="center"/>
          </w:tcPr>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履</w:t>
            </w:r>
          </w:p>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约</w:t>
            </w:r>
          </w:p>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信</w:t>
            </w:r>
          </w:p>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誉</w:t>
            </w:r>
          </w:p>
        </w:tc>
        <w:tc>
          <w:tcPr>
            <w:tcW w:w="1224" w:type="dxa"/>
            <w:noWrap w:val="0"/>
            <w:vAlign w:val="center"/>
          </w:tcPr>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15分</w:t>
            </w:r>
          </w:p>
        </w:tc>
        <w:tc>
          <w:tcPr>
            <w:tcW w:w="5645" w:type="dxa"/>
            <w:gridSpan w:val="2"/>
            <w:noWrap w:val="0"/>
            <w:vAlign w:val="center"/>
          </w:tcPr>
          <w:p>
            <w:pPr>
              <w:widowControl/>
              <w:spacing w:line="400" w:lineRule="exact"/>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1.信用等级分值（10 分）</w:t>
            </w:r>
          </w:p>
          <w:p>
            <w:pPr>
              <w:widowControl/>
              <w:spacing w:line="400" w:lineRule="exact"/>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 xml:space="preserve">AA、A、B、C 级单位的信用等级分得分分别为 </w:t>
            </w:r>
            <w:r>
              <w:rPr>
                <w:rFonts w:hint="eastAsia" w:ascii="宋体" w:hAnsi="宋体" w:eastAsia="宋体" w:cs="宋体"/>
                <w:color w:val="000000"/>
                <w:spacing w:val="0"/>
                <w:kern w:val="0"/>
                <w:sz w:val="21"/>
                <w:szCs w:val="24"/>
                <w:u w:val="single"/>
              </w:rPr>
              <w:t>10、9.5、8.9、7.3</w:t>
            </w:r>
            <w:r>
              <w:rPr>
                <w:rFonts w:hint="eastAsia" w:ascii="宋体" w:hAnsi="宋体" w:eastAsia="宋体" w:cs="宋体"/>
                <w:color w:val="000000"/>
                <w:spacing w:val="0"/>
                <w:kern w:val="0"/>
                <w:sz w:val="21"/>
                <w:szCs w:val="24"/>
              </w:rPr>
              <w:t>分。</w:t>
            </w:r>
          </w:p>
          <w:p>
            <w:pPr>
              <w:widowControl/>
              <w:spacing w:line="400" w:lineRule="exact"/>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注：信用等级的确定原则遵循投标人须知前附表 10.2 款的规定。</w:t>
            </w:r>
          </w:p>
          <w:p>
            <w:pPr>
              <w:widowControl/>
              <w:spacing w:line="400" w:lineRule="exact"/>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2. 履约情况（5分）</w:t>
            </w:r>
          </w:p>
          <w:p>
            <w:pPr>
              <w:widowControl/>
              <w:spacing w:line="400" w:lineRule="exact"/>
              <w:ind w:firstLine="420" w:firstLineChars="20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若没出现下述情形得满分；</w:t>
            </w:r>
          </w:p>
          <w:p>
            <w:pPr>
              <w:widowControl/>
              <w:spacing w:line="400" w:lineRule="exact"/>
              <w:ind w:firstLine="420" w:firstLineChars="20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若自2022年 5月1日至投标文件递交截止日止，因公路工程（含附属设施）质量、安全、履约或招标投标问题等原因被：</w:t>
            </w:r>
          </w:p>
          <w:p>
            <w:pPr>
              <w:widowControl/>
              <w:spacing w:line="400" w:lineRule="exact"/>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（1）交通运输部通报批评一次的，扣 5 分；</w:t>
            </w:r>
          </w:p>
          <w:p>
            <w:pPr>
              <w:widowControl/>
              <w:spacing w:line="400" w:lineRule="exact"/>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（2）广东省交通运输厅通报批评一次的，扣 3 分；</w:t>
            </w:r>
          </w:p>
          <w:p>
            <w:pPr>
              <w:widowControl/>
              <w:spacing w:line="400" w:lineRule="exact"/>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（3）招标项目所在地地级以上市交通运输局行政处罚的，扣 1.5 分/次。</w:t>
            </w:r>
          </w:p>
          <w:p>
            <w:pPr>
              <w:widowControl/>
              <w:spacing w:line="400" w:lineRule="exact"/>
              <w:jc w:val="left"/>
              <w:rPr>
                <w:rFonts w:ascii="宋体" w:hAnsi="宋体" w:eastAsia="宋体" w:cs="宋体"/>
                <w:color w:val="000000"/>
                <w:spacing w:val="0"/>
                <w:kern w:val="0"/>
                <w:sz w:val="21"/>
                <w:szCs w:val="24"/>
              </w:rPr>
            </w:pPr>
            <w:r>
              <w:rPr>
                <w:rFonts w:ascii="宋体" w:hAnsi="宋体" w:eastAsia="宋体" w:cs="宋体"/>
                <w:color w:val="000000"/>
                <w:spacing w:val="0"/>
                <w:kern w:val="0"/>
                <w:sz w:val="21"/>
                <w:szCs w:val="24"/>
              </w:rPr>
              <w:t>(4) 广东省交通运输厅正式约谈的，扣 0.1 分/次。</w:t>
            </w:r>
          </w:p>
          <w:p>
            <w:pPr>
              <w:widowControl/>
              <w:spacing w:line="400" w:lineRule="exact"/>
              <w:ind w:firstLine="420" w:firstLineChars="200"/>
              <w:jc w:val="left"/>
              <w:rPr>
                <w:rFonts w:ascii="宋体" w:hAnsi="宋体" w:eastAsia="宋体" w:cs="宋体"/>
                <w:color w:val="000000"/>
                <w:spacing w:val="0"/>
                <w:kern w:val="0"/>
                <w:sz w:val="21"/>
                <w:szCs w:val="24"/>
              </w:rPr>
            </w:pPr>
            <w:r>
              <w:rPr>
                <w:rFonts w:ascii="宋体" w:hAnsi="宋体" w:eastAsia="宋体" w:cs="宋体"/>
                <w:color w:val="000000"/>
                <w:spacing w:val="0"/>
                <w:kern w:val="0"/>
                <w:sz w:val="21"/>
                <w:szCs w:val="24"/>
              </w:rPr>
              <w:t>同一事项同时被多个部门行政处罚或正式约谈只按最高的扣分计算 1次 。如果扣完本项分值，可以从总分中扣。以联合体形式投标的，若各联合体成员任何一方或均存在上述情形的，对联合体各成员进行累计扣 分。</w:t>
            </w:r>
          </w:p>
        </w:tc>
      </w:tr>
    </w:tbl>
    <w:p>
      <w:pPr>
        <w:spacing w:line="400" w:lineRule="exact"/>
        <w:rPr>
          <w:rFonts w:ascii="Calibri" w:hAnsi="Calibri" w:eastAsia="宋体" w:cs="Times New Roman"/>
          <w:spacing w:val="0"/>
          <w:sz w:val="21"/>
          <w:szCs w:val="24"/>
        </w:rPr>
      </w:pPr>
    </w:p>
    <w:p>
      <w:pPr>
        <w:pStyle w:val="2"/>
        <w:spacing w:line="240" w:lineRule="auto"/>
        <w:rPr>
          <w:spacing w:val="0"/>
        </w:rPr>
      </w:pPr>
    </w:p>
    <w:p>
      <w:pPr>
        <w:pStyle w:val="2"/>
        <w:spacing w:line="240" w:lineRule="auto"/>
        <w:rPr>
          <w:spacing w:val="0"/>
        </w:rPr>
      </w:pPr>
    </w:p>
    <w:tbl>
      <w:tblPr>
        <w:tblStyle w:val="6"/>
        <w:tblW w:w="9854"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noWrap w:val="0"/>
            <w:vAlign w:val="top"/>
          </w:tcPr>
          <w:p>
            <w:pPr>
              <w:spacing w:line="400" w:lineRule="exact"/>
              <w:rPr>
                <w:rFonts w:ascii="宋体" w:hAnsi="宋体" w:eastAsia="宋体" w:cs="宋体"/>
                <w:b/>
                <w:bCs/>
                <w:color w:val="000000"/>
                <w:spacing w:val="0"/>
                <w:sz w:val="21"/>
                <w:szCs w:val="24"/>
              </w:rPr>
            </w:pPr>
            <w:r>
              <w:rPr>
                <w:rFonts w:hint="eastAsia" w:ascii="宋体" w:hAnsi="宋体" w:eastAsia="宋体" w:cs="宋体"/>
                <w:b/>
                <w:bCs/>
                <w:color w:val="000000"/>
                <w:spacing w:val="0"/>
                <w:kern w:val="0"/>
                <w:sz w:val="21"/>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top"/>
          </w:tcPr>
          <w:p>
            <w:pPr>
              <w:widowControl/>
              <w:spacing w:line="400" w:lineRule="exact"/>
              <w:jc w:val="center"/>
              <w:rPr>
                <w:rFonts w:ascii="宋体" w:hAnsi="宋体" w:eastAsia="宋体" w:cs="宋体"/>
                <w:b/>
                <w:bCs/>
                <w:color w:val="000000"/>
                <w:spacing w:val="0"/>
                <w:sz w:val="21"/>
                <w:szCs w:val="24"/>
              </w:rPr>
            </w:pPr>
            <w:r>
              <w:rPr>
                <w:rFonts w:hint="eastAsia" w:ascii="宋体" w:hAnsi="宋体" w:eastAsia="宋体" w:cs="宋体"/>
                <w:b/>
                <w:bCs/>
                <w:color w:val="000000"/>
                <w:spacing w:val="0"/>
                <w:kern w:val="0"/>
                <w:sz w:val="21"/>
                <w:szCs w:val="24"/>
              </w:rPr>
              <w:t>条款号</w:t>
            </w:r>
          </w:p>
        </w:tc>
        <w:tc>
          <w:tcPr>
            <w:tcW w:w="8000" w:type="dxa"/>
            <w:noWrap w:val="0"/>
            <w:vAlign w:val="top"/>
          </w:tcPr>
          <w:p>
            <w:pPr>
              <w:widowControl/>
              <w:spacing w:line="400" w:lineRule="exact"/>
              <w:jc w:val="center"/>
              <w:rPr>
                <w:rFonts w:ascii="宋体" w:hAnsi="宋体" w:eastAsia="宋体" w:cs="宋体"/>
                <w:b/>
                <w:bCs/>
                <w:color w:val="000000"/>
                <w:spacing w:val="0"/>
                <w:sz w:val="21"/>
                <w:szCs w:val="24"/>
              </w:rPr>
            </w:pPr>
            <w:r>
              <w:rPr>
                <w:rFonts w:hint="eastAsia" w:ascii="宋体" w:hAnsi="宋体" w:eastAsia="宋体" w:cs="宋体"/>
                <w:b/>
                <w:bCs/>
                <w:color w:val="000000"/>
                <w:spacing w:val="0"/>
                <w:kern w:val="0"/>
                <w:sz w:val="21"/>
                <w:szCs w:val="24"/>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center"/>
          </w:tcPr>
          <w:p>
            <w:pPr>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sz w:val="21"/>
                <w:szCs w:val="24"/>
              </w:rPr>
              <w:t>1</w:t>
            </w:r>
          </w:p>
        </w:tc>
        <w:tc>
          <w:tcPr>
            <w:tcW w:w="8000" w:type="dxa"/>
            <w:noWrap w:val="0"/>
            <w:vAlign w:val="top"/>
          </w:tcPr>
          <w:p>
            <w:pPr>
              <w:widowControl/>
              <w:spacing w:line="400" w:lineRule="exact"/>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将评标办法原文第 1 条“评标方法”改为“评标方法、组织及工作程序”，原文内容修改如下：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1.评标方法、组织及工作程序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1.1 评标方法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本次评标采用双信封的技术评分最低标价法。评标委员会对满足招标文件实质性要求的投标文件，按照本章第 2.2 款规定对通过初步评审的投标人的施工组织设计、主要人员、其他因素等进行评分，按照得分由高到低排序，对排名在招标文件规定数量</w:t>
            </w:r>
            <w:r>
              <w:rPr>
                <w:rFonts w:hint="eastAsia" w:ascii="宋体" w:hAnsi="宋体" w:eastAsia="宋体" w:cs="宋体"/>
                <w:color w:val="000000"/>
                <w:spacing w:val="0"/>
                <w:sz w:val="21"/>
                <w:szCs w:val="24"/>
                <w:u w:val="single"/>
              </w:rPr>
              <w:t>前 5 名（不少于 3 名但不足 5 名时，按全部实际数量）</w:t>
            </w:r>
            <w:r>
              <w:rPr>
                <w:rFonts w:hint="eastAsia" w:ascii="宋体" w:hAnsi="宋体" w:eastAsia="宋体" w:cs="宋体"/>
                <w:color w:val="000000"/>
                <w:spacing w:val="0"/>
                <w:sz w:val="21"/>
                <w:szCs w:val="24"/>
              </w:rPr>
              <w:t xml:space="preserve">的投标人的报价文件进行评审，按照评标价由低到高的顺序推荐中标候选人的评标方法。但投标报价低于其成本的除外。评标价相等时，评标委员会应按照评标办法前附表规定的优先次序推荐中标候选人或确定中标人。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1.2 评标组织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1.2.1 协助工作组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招标人可在评标工作开始前成立协助工作组，选派熟悉招标工作、政治素质高的人员组成，协助评标委员会工作。协助工作组人员的具体数量由招标人视评标工作量确定。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招标人可以协助评标委员会开展下列工作并提供相关信息：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（1）根据招标文件，编制评标使用的相应表格；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（2）对投标报价进行算术性校核 (如采用固化工程量清单，本步骤省略) ；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（3）以评标标准和方法为依据，列出投标文件相对于招标文件的所有偏差，并进行归类汇总；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（4）查询公路建设市场信用信息管理系统，对投标人的资质、业绩、主要人员资历和目前在岗情况、信用等级进行核实。</w:t>
            </w:r>
          </w:p>
          <w:p>
            <w:pPr>
              <w:widowControl/>
              <w:spacing w:line="400" w:lineRule="exact"/>
              <w:ind w:firstLine="399" w:firstLineChars="190"/>
              <w:jc w:val="left"/>
              <w:rPr>
                <w:rFonts w:ascii="宋体" w:hAnsi="宋体" w:eastAsia="宋体" w:cs="宋体"/>
                <w:color w:val="000000"/>
                <w:spacing w:val="0"/>
                <w:sz w:val="21"/>
                <w:szCs w:val="24"/>
                <w:highlight w:val="yellow"/>
              </w:rPr>
            </w:pPr>
            <w:r>
              <w:rPr>
                <w:rFonts w:hint="eastAsia" w:ascii="宋体" w:hAnsi="宋体" w:eastAsia="宋体" w:cs="宋体"/>
                <w:color w:val="000000"/>
                <w:spacing w:val="0"/>
                <w:sz w:val="21"/>
                <w:szCs w:val="24"/>
              </w:rPr>
              <w:t xml:space="preserve">招标人不得对投标文件作出任何评价，不得故意遗漏或者片面摘录，不得在评标委员会对所有偏差定性之前透露存有偏差的投标人名称。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1.2.2 评标委员会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评标委员会由招标人按国家、广东省等的有关规定依法组建。评标委员会的主要工作内容包括：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（1）评标委员会开始评标工作之前，首先听取招标人、协助工作组关于工程情况和辅助工作的说明，并认真研读招标文件，获取评标所需的重要信息和数据；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（2）对协助工作组提供的评标工作用表和评标内容进行核查。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（3）按照以下 1.3 款程序进行各项评审工作。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1.3 评审工作程序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（一）第一信封（商务及技术文件）：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l、初步评审：包括形式评审与响应性评审、资格评审；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2、详细评审（评审打分）：评标委员会首先对通过第一信封初步评审的投标文件进行详细评审，对投标人的施工组织设计、主要人员、其他因素等分别评审打分，并按照综合得分由高到低排序，排名在招标文件规定数量</w:t>
            </w:r>
            <w:r>
              <w:rPr>
                <w:rFonts w:hint="eastAsia" w:ascii="宋体" w:hAnsi="宋体" w:eastAsia="宋体" w:cs="宋体"/>
                <w:color w:val="000000"/>
                <w:spacing w:val="0"/>
                <w:kern w:val="0"/>
                <w:sz w:val="21"/>
                <w:szCs w:val="24"/>
                <w:u w:val="single"/>
              </w:rPr>
              <w:t>前 5 名（不少于3名但不足5名的，按全部实际数量）</w:t>
            </w:r>
            <w:r>
              <w:rPr>
                <w:rFonts w:hint="eastAsia" w:ascii="宋体" w:hAnsi="宋体" w:eastAsia="宋体" w:cs="宋体"/>
                <w:color w:val="000000"/>
                <w:spacing w:val="0"/>
                <w:kern w:val="0"/>
                <w:sz w:val="21"/>
                <w:szCs w:val="24"/>
              </w:rPr>
              <w:t xml:space="preserve">的投标人，其投标文件第一信封（商务及技术文件）通过详细评审。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（二）第二信封（报价文件）：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1、初步评审：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（1）只有对投标文件第一个信封通过详细评审的投标人的报价文件才能继续参加第二信封报价文件的形式评审与响应性评审。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（2）报价算术性修正(如采用固化工程量清单，本步骤省略)；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2、详细评审：计算评标价。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（三）投标文件相关信息的核查。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（四）投标文件的澄清和说明(如有)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（五）按评标办法规定按照第二信封的评标价由低到高的顺序推荐中标候选人，编写评标报告。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center"/>
          </w:tcPr>
          <w:p>
            <w:pPr>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sz w:val="21"/>
                <w:szCs w:val="24"/>
              </w:rPr>
              <w:t>3.2.2</w:t>
            </w:r>
          </w:p>
        </w:tc>
        <w:tc>
          <w:tcPr>
            <w:tcW w:w="8000" w:type="dxa"/>
            <w:noWrap w:val="0"/>
            <w:vAlign w:val="top"/>
          </w:tcPr>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将评标办法原文第 3.2.2 项修改如下：</w:t>
            </w:r>
          </w:p>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投标人的商务和技术得分分值计算保留小数点后三位，小数点后第四位“四舍五入”。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center"/>
          </w:tcPr>
          <w:p>
            <w:pPr>
              <w:widowControl/>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3.2.3</w:t>
            </w:r>
          </w:p>
        </w:tc>
        <w:tc>
          <w:tcPr>
            <w:tcW w:w="8000" w:type="dxa"/>
            <w:noWrap w:val="0"/>
            <w:vAlign w:val="top"/>
          </w:tcPr>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将评标办法范本原文第 3.2.3 项细化如下：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投标人的商务和技术得分=A+B+C。 </w:t>
            </w:r>
          </w:p>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除履约信誉、技术能力得分外，投标文件各评分因素细分项得分均不应低于其权重分的60%，评分低于权重分值60%的，评标委员会成员应当在评标报告中作出说明。计算投标人技术得分时:首先在评委技术评分中，采用取消同一评委对同一标段各投标人评分总分的差值最大的1名评委评分分值(若有2名或以上评委技术评分总分差值最大值相等时，则取消其中1名评委的所有评分，具体办法如下)，再对各评分因素细分项中取消一个最高、一个最低分后计算其算术平均值的和为投标人的最终技术得分，平均值计算保留小数点后三位，小数点后第四位“四舍五入”。</w:t>
            </w:r>
          </w:p>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 xml:space="preserve">取消其中1名评委所有评分的办法一(依次按照以下流程)：(1)对比上述出现技术评分总分差值最大值相等的评委的次大差值(次大差值＝某一评委技术评分总分的最高分－该评委技术评分总分的次低分)，取消次分差值最大的评委所有评分；  </w:t>
            </w:r>
          </w:p>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(2) 如次分差值仍相同，则按随机抽取的方式选定取消1名评委评分。</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示例:同一评委对 5 名投标人技术评分总分分别为:6.65 (最高分)、5.88、5.11、 4.90(次低分) 、4.55(最低分) ，则其最大差值为 2.1、次大差值为 6.65-4.90=1.75)。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center"/>
          </w:tcPr>
          <w:p>
            <w:pPr>
              <w:widowControl/>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3.6</w:t>
            </w:r>
          </w:p>
        </w:tc>
        <w:tc>
          <w:tcPr>
            <w:tcW w:w="8000" w:type="dxa"/>
            <w:noWrap w:val="0"/>
            <w:vAlign w:val="top"/>
          </w:tcPr>
          <w:p>
            <w:pPr>
              <w:widowControl/>
              <w:spacing w:line="400" w:lineRule="exact"/>
              <w:ind w:firstLine="399" w:firstLineChars="190"/>
              <w:jc w:val="left"/>
              <w:rPr>
                <w:rFonts w:ascii="宋体" w:hAnsi="宋体" w:eastAsia="宋体" w:cs="宋体"/>
                <w:color w:val="000000"/>
                <w:spacing w:val="0"/>
                <w:sz w:val="21"/>
                <w:szCs w:val="24"/>
              </w:rPr>
            </w:pPr>
            <w:r>
              <w:rPr>
                <w:rFonts w:ascii="宋体" w:hAnsi="宋体" w:eastAsia="宋体" w:cs="宋体"/>
                <w:color w:val="000000"/>
                <w:spacing w:val="0"/>
                <w:sz w:val="21"/>
                <w:szCs w:val="24"/>
              </w:rPr>
              <w:t>3.6.2项 (2) 目末增加以下条款：</w:t>
            </w:r>
          </w:p>
          <w:p>
            <w:pPr>
              <w:widowControl/>
              <w:spacing w:line="400" w:lineRule="exact"/>
              <w:ind w:firstLine="399" w:firstLineChars="190"/>
              <w:jc w:val="left"/>
              <w:rPr>
                <w:rFonts w:ascii="宋体" w:hAnsi="宋体" w:eastAsia="宋体" w:cs="宋体"/>
                <w:color w:val="000000"/>
                <w:spacing w:val="0"/>
                <w:sz w:val="21"/>
                <w:szCs w:val="24"/>
              </w:rPr>
            </w:pPr>
            <w:r>
              <w:rPr>
                <w:rFonts w:ascii="宋体" w:hAnsi="宋体" w:eastAsia="宋体" w:cs="宋体"/>
                <w:color w:val="000000"/>
                <w:spacing w:val="0"/>
                <w:sz w:val="21"/>
                <w:szCs w:val="24"/>
              </w:rPr>
              <w:t>g.当一家以上投标人评标价相同时，若各投标人工程量清单细目单价也相同， 视为串标 ( 一个标段仅一工作细目报价的除外) 。</w:t>
            </w:r>
          </w:p>
          <w:p>
            <w:pPr>
              <w:widowControl/>
              <w:spacing w:line="400" w:lineRule="exact"/>
              <w:ind w:firstLine="399" w:firstLineChars="190"/>
              <w:jc w:val="left"/>
              <w:rPr>
                <w:rFonts w:ascii="宋体" w:hAnsi="宋体" w:eastAsia="宋体" w:cs="宋体"/>
                <w:color w:val="000000"/>
                <w:spacing w:val="0"/>
                <w:sz w:val="21"/>
                <w:szCs w:val="24"/>
              </w:rPr>
            </w:pPr>
            <w:r>
              <w:rPr>
                <w:rFonts w:ascii="宋体" w:hAnsi="宋体" w:eastAsia="宋体" w:cs="宋体"/>
                <w:color w:val="000000"/>
                <w:spacing w:val="0"/>
                <w:sz w:val="21"/>
                <w:szCs w:val="24"/>
              </w:rPr>
              <w:t>h.广东省实施《中华人民共和国招标投标法》办法第十六条规定的情形。</w:t>
            </w:r>
          </w:p>
          <w:p>
            <w:pPr>
              <w:widowControl/>
              <w:spacing w:line="400" w:lineRule="exact"/>
              <w:ind w:firstLine="399" w:firstLineChars="190"/>
              <w:jc w:val="left"/>
              <w:rPr>
                <w:rFonts w:ascii="宋体" w:hAnsi="宋体" w:eastAsia="宋体" w:cs="宋体"/>
                <w:color w:val="000000"/>
                <w:spacing w:val="0"/>
                <w:sz w:val="21"/>
                <w:szCs w:val="24"/>
              </w:rPr>
            </w:pPr>
            <w:r>
              <w:rPr>
                <w:rFonts w:ascii="宋体" w:hAnsi="宋体" w:eastAsia="宋体" w:cs="宋体"/>
                <w:color w:val="000000"/>
                <w:spacing w:val="0"/>
                <w:sz w:val="21"/>
                <w:szCs w:val="24"/>
              </w:rPr>
              <w:t>增加3.6.3项：</w:t>
            </w:r>
          </w:p>
          <w:p>
            <w:pPr>
              <w:widowControl/>
              <w:spacing w:line="400" w:lineRule="exact"/>
              <w:ind w:firstLine="399" w:firstLineChars="190"/>
              <w:jc w:val="left"/>
              <w:rPr>
                <w:rFonts w:ascii="宋体" w:hAnsi="宋体" w:eastAsia="宋体" w:cs="宋体"/>
                <w:color w:val="000000"/>
                <w:spacing w:val="0"/>
                <w:sz w:val="21"/>
                <w:szCs w:val="24"/>
              </w:rPr>
            </w:pPr>
            <w:r>
              <w:rPr>
                <w:rFonts w:ascii="宋体" w:hAnsi="宋体" w:eastAsia="宋体" w:cs="宋体"/>
                <w:color w:val="000000"/>
                <w:spacing w:val="0"/>
                <w:sz w:val="21"/>
                <w:szCs w:val="24"/>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center"/>
          </w:tcPr>
          <w:p>
            <w:pPr>
              <w:widowControl/>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3.9</w:t>
            </w:r>
          </w:p>
          <w:p>
            <w:pPr>
              <w:widowControl/>
              <w:spacing w:line="400" w:lineRule="exact"/>
              <w:jc w:val="center"/>
              <w:rPr>
                <w:rFonts w:ascii="宋体" w:hAnsi="宋体" w:eastAsia="宋体" w:cs="宋体"/>
                <w:color w:val="000000"/>
                <w:spacing w:val="0"/>
                <w:kern w:val="0"/>
                <w:sz w:val="21"/>
                <w:szCs w:val="24"/>
              </w:rPr>
            </w:pPr>
          </w:p>
        </w:tc>
        <w:tc>
          <w:tcPr>
            <w:tcW w:w="8000" w:type="dxa"/>
            <w:noWrap w:val="0"/>
            <w:vAlign w:val="top"/>
          </w:tcPr>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增加 3.9.3-3.9.7 项：</w:t>
            </w:r>
          </w:p>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3.9.3 推荐中标候选人方式：(1) 已被推荐为某一标段的第一中标候选人，自动失去其在本次招标中其他标段的中标候选人资格。(2)按标段最高投标限价由高到低顺序依次选定各标段中标候选人，如果出现投标人在多个标段都排名第一，将 确定该投标人为最高投标限价较高的标段的第一中标候选人，同时该投标人自动失</w:t>
            </w:r>
          </w:p>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去在本次招标中其他标段的中标候选人资格，其他标段的综合排名名次高者自动上升为中标候选人，以此类推。</w:t>
            </w:r>
          </w:p>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3.9.4 通过第一个信封商务及技术文件评审的投标人少于 3 个的，评标委员会应 否决全部投标。</w:t>
            </w:r>
          </w:p>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3.9.5 通过第一个信封商务及技术文件评审的投标人在 3 个及以上的，招标人应当按照招标文件规定的程序进行第二个信封报价文件开标；在对报价文件进行评审 后，有效投标不足 3 个的，评标委员会可以否决全部投标。未否决全部投标的，评 标委员会应当在评标报告中阐明理由并推荐中标候选人。</w:t>
            </w:r>
          </w:p>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3.9.6 如果发生无法确定推荐中标候选人的其他意外情况，评标委员会可建议招</w:t>
            </w:r>
          </w:p>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标人重新招标。</w:t>
            </w:r>
          </w:p>
        </w:tc>
      </w:tr>
    </w:tbl>
    <w:p/>
    <w:sectPr>
      <w:pgSz w:w="11906" w:h="16838"/>
      <w:pgMar w:top="8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DAC78"/>
    <w:multiLevelType w:val="singleLevel"/>
    <w:tmpl w:val="B70DAC78"/>
    <w:lvl w:ilvl="0" w:tentative="0">
      <w:start w:val="1"/>
      <w:numFmt w:val="decimal"/>
      <w:suff w:val="nothing"/>
      <w:lvlText w:val="（%1）"/>
      <w:lvlJc w:val="left"/>
    </w:lvl>
  </w:abstractNum>
  <w:abstractNum w:abstractNumId="1">
    <w:nsid w:val="DD309055"/>
    <w:multiLevelType w:val="singleLevel"/>
    <w:tmpl w:val="DD309055"/>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zYTEyYTBhYTAxMTJlMmJlMGFkZDYzZDNkZGVkYTQifQ=="/>
  </w:docVars>
  <w:rsids>
    <w:rsidRoot w:val="305E6FF7"/>
    <w:rsid w:val="305E6FF7"/>
    <w:rsid w:val="5ED93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4">
    <w:name w:val="Body Text"/>
    <w:next w:val="5"/>
    <w:qFormat/>
    <w:uiPriority w:val="0"/>
    <w:pPr>
      <w:widowControl w:val="0"/>
      <w:spacing w:after="120"/>
      <w:jc w:val="both"/>
    </w:pPr>
    <w:rPr>
      <w:rFonts w:ascii="Calibri" w:hAnsi="Calibri" w:eastAsia="宋体" w:cs="Times New Roman"/>
      <w:kern w:val="0"/>
      <w:sz w:val="20"/>
      <w:szCs w:val="20"/>
      <w:lang w:val="en-US" w:eastAsia="zh-CN" w:bidi="ar-SA"/>
    </w:rPr>
  </w:style>
  <w:style w:type="paragraph" w:styleId="5">
    <w:name w:val="Body Text 2"/>
    <w:qFormat/>
    <w:uiPriority w:val="0"/>
    <w:pPr>
      <w:widowControl w:val="0"/>
      <w:jc w:val="both"/>
    </w:pPr>
    <w:rPr>
      <w:rFonts w:ascii="宋体" w:hAnsi="宋体" w:eastAsia="宋体" w:cs="Times New Roman"/>
      <w:color w:val="51585D"/>
      <w:kern w:val="0"/>
      <w:sz w:val="28"/>
      <w:szCs w:val="24"/>
      <w:lang w:val="en-US" w:eastAsia="zh-CN" w:bidi="ar-SA"/>
    </w:rPr>
  </w:style>
  <w:style w:type="paragraph" w:customStyle="1" w:styleId="8">
    <w:name w:val="Table Paragraph"/>
    <w:qFormat/>
    <w:uiPriority w:val="0"/>
    <w:pPr>
      <w:widowControl w:val="0"/>
      <w:autoSpaceDE w:val="0"/>
      <w:autoSpaceDN w:val="0"/>
      <w:jc w:val="left"/>
    </w:pPr>
    <w:rPr>
      <w:rFonts w:hint="eastAsia" w:ascii="宋体" w:hAnsi="宋体" w:eastAsia="宋体" w:cs="Times New Roman"/>
      <w:kern w:val="0"/>
      <w:sz w:val="22"/>
      <w:szCs w:val="22"/>
      <w:lang w:val="en-US" w:eastAsia="zh-CN" w:bidi="ar-SA"/>
    </w:rPr>
  </w:style>
  <w:style w:type="paragraph" w:customStyle="1" w:styleId="9">
    <w:name w:val="正文正"/>
    <w:qFormat/>
    <w:uiPriority w:val="99"/>
    <w:pPr>
      <w:widowControl w:val="0"/>
      <w:spacing w:line="560" w:lineRule="exact"/>
      <w:ind w:firstLine="561"/>
      <w:jc w:val="both"/>
    </w:pPr>
    <w:rPr>
      <w:rFonts w:ascii="Times New Roman" w:hAnsi="Times New Roman"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6007</Words>
  <Characters>6362</Characters>
  <Lines>0</Lines>
  <Paragraphs>0</Paragraphs>
  <TotalTime>0</TotalTime>
  <ScaleCrop>false</ScaleCrop>
  <LinksUpToDate>false</LinksUpToDate>
  <CharactersWithSpaces>6559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2023-05-26T03:21:00Z</dcterms:created>
  <dc:creator>李</dc:creator>
  <cp:lastModifiedBy>X。</cp:lastModifiedBy>
  <dcterms:modified xsi:type="dcterms:W3CDTF">2023-05-26T05:40:15Z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86BEFED270814CF48DFF029F11057F60_11</vt:lpwstr>
  </property>
</Properties>
</file>