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center"/>
        <w:rPr>
          <w:rFonts w:ascii="宋体" w:hAnsi="宋体"/>
          <w:b/>
          <w:color w:val="auto"/>
          <w:sz w:val="40"/>
          <w:szCs w:val="60"/>
          <w:highlight w:val="none"/>
        </w:rPr>
      </w:pPr>
      <w:bookmarkStart w:id="0" w:name="_Toc25072048"/>
    </w:p>
    <w:p>
      <w:pPr>
        <w:spacing w:before="2" w:line="276" w:lineRule="auto"/>
        <w:jc w:val="center"/>
        <w:rPr>
          <w:rFonts w:ascii="宋体" w:hAnsi="宋体"/>
          <w:b/>
          <w:color w:val="auto"/>
          <w:sz w:val="40"/>
          <w:szCs w:val="60"/>
          <w:highlight w:val="none"/>
        </w:rPr>
      </w:pPr>
    </w:p>
    <w:p>
      <w:pPr>
        <w:spacing w:before="2" w:line="276" w:lineRule="auto"/>
        <w:jc w:val="center"/>
        <w:rPr>
          <w:rFonts w:ascii="宋体" w:hAnsi="宋体"/>
          <w:b/>
          <w:color w:val="auto"/>
          <w:sz w:val="40"/>
          <w:szCs w:val="60"/>
          <w:highlight w:val="none"/>
        </w:rPr>
      </w:pPr>
      <w:r>
        <w:rPr>
          <w:rFonts w:hint="eastAsia" w:ascii="宋体" w:hAnsi="宋体"/>
          <w:b/>
          <w:color w:val="auto"/>
          <w:sz w:val="40"/>
          <w:szCs w:val="60"/>
          <w:highlight w:val="none"/>
        </w:rPr>
        <w:t>西濠涌流域清污分流工程勘察设计</w:t>
      </w: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rPr>
          <w:rFonts w:ascii="宋体" w:hAnsi="宋体" w:cs="宋体"/>
          <w:b/>
          <w:bCs/>
          <w:color w:val="auto"/>
          <w:sz w:val="20"/>
          <w:szCs w:val="20"/>
          <w:highlight w:val="none"/>
        </w:rPr>
      </w:pPr>
    </w:p>
    <w:p>
      <w:pPr>
        <w:jc w:val="center"/>
        <w:rPr>
          <w:rFonts w:ascii="宋体" w:hAnsi="宋体"/>
          <w:b/>
          <w:color w:val="auto"/>
          <w:sz w:val="96"/>
          <w:szCs w:val="84"/>
          <w:highlight w:val="none"/>
        </w:rPr>
      </w:pPr>
    </w:p>
    <w:p>
      <w:pPr>
        <w:jc w:val="center"/>
        <w:rPr>
          <w:rFonts w:ascii="宋体" w:hAnsi="宋体"/>
          <w:b/>
          <w:color w:val="auto"/>
          <w:sz w:val="96"/>
          <w:szCs w:val="84"/>
          <w:highlight w:val="none"/>
        </w:rPr>
      </w:pPr>
      <w:r>
        <w:rPr>
          <w:rFonts w:ascii="宋体" w:hAnsi="宋体"/>
          <w:b/>
          <w:color w:val="auto"/>
          <w:sz w:val="96"/>
          <w:szCs w:val="84"/>
          <w:highlight w:val="none"/>
        </w:rPr>
        <w:t>招标</w:t>
      </w:r>
      <w:r>
        <w:rPr>
          <w:rFonts w:hint="eastAsia" w:ascii="宋体" w:hAnsi="宋体"/>
          <w:b/>
          <w:color w:val="auto"/>
          <w:sz w:val="96"/>
          <w:szCs w:val="84"/>
          <w:highlight w:val="none"/>
        </w:rPr>
        <w:t>公告</w:t>
      </w: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rPr>
          <w:rFonts w:ascii="宋体" w:hAnsi="宋体" w:cs="宋体"/>
          <w:color w:val="auto"/>
          <w:sz w:val="44"/>
          <w:szCs w:val="44"/>
          <w:highlight w:val="none"/>
        </w:rPr>
      </w:pPr>
    </w:p>
    <w:p>
      <w:pPr>
        <w:spacing w:before="8"/>
        <w:rPr>
          <w:rFonts w:ascii="宋体" w:hAnsi="宋体" w:cs="宋体"/>
          <w:color w:val="auto"/>
          <w:sz w:val="33"/>
          <w:szCs w:val="33"/>
          <w:highlight w:val="none"/>
        </w:rPr>
      </w:pPr>
    </w:p>
    <w:p>
      <w:pPr>
        <w:spacing w:before="8"/>
        <w:rPr>
          <w:rFonts w:ascii="宋体" w:hAnsi="宋体" w:cs="宋体"/>
          <w:color w:val="auto"/>
          <w:sz w:val="33"/>
          <w:szCs w:val="33"/>
          <w:highlight w:val="none"/>
        </w:rPr>
      </w:pPr>
    </w:p>
    <w:p>
      <w:pPr>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招   标   人:</w:t>
      </w:r>
      <w:r>
        <w:rPr>
          <w:rFonts w:hint="eastAsia"/>
          <w:color w:val="auto"/>
          <w:highlight w:val="none"/>
        </w:rPr>
        <w:t xml:space="preserve"> </w:t>
      </w:r>
      <w:r>
        <w:rPr>
          <w:rFonts w:hint="eastAsia" w:ascii="宋体" w:hAnsi="宋体"/>
          <w:b/>
          <w:color w:val="auto"/>
          <w:sz w:val="32"/>
          <w:szCs w:val="32"/>
          <w:highlight w:val="none"/>
        </w:rPr>
        <w:t>广州市城市排水有限公司</w:t>
      </w:r>
    </w:p>
    <w:p>
      <w:pPr>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招标代理机构：广州珠江监理咨询集团有限公司</w:t>
      </w:r>
    </w:p>
    <w:p>
      <w:pPr>
        <w:tabs>
          <w:tab w:val="left" w:pos="561"/>
        </w:tabs>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日        期：2023年</w:t>
      </w:r>
      <w:r>
        <w:rPr>
          <w:rFonts w:ascii="宋体" w:hAnsi="宋体"/>
          <w:b/>
          <w:color w:val="auto"/>
          <w:sz w:val="32"/>
          <w:szCs w:val="32"/>
          <w:highlight w:val="none"/>
        </w:rPr>
        <w:t>5</w:t>
      </w:r>
      <w:r>
        <w:rPr>
          <w:rFonts w:hint="eastAsia" w:ascii="宋体" w:hAnsi="宋体"/>
          <w:b/>
          <w:color w:val="auto"/>
          <w:sz w:val="32"/>
          <w:szCs w:val="32"/>
          <w:highlight w:val="none"/>
        </w:rPr>
        <w:t>月</w:t>
      </w: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西濠涌流域清污分流工程勘察设计招标公告</w:t>
      </w:r>
    </w:p>
    <w:p>
      <w:pPr>
        <w:pStyle w:val="4"/>
        <w:spacing w:line="360" w:lineRule="auto"/>
        <w:rPr>
          <w:rFonts w:ascii="宋体" w:hAnsi="宋体"/>
          <w:b/>
          <w:color w:val="auto"/>
          <w:sz w:val="21"/>
          <w:szCs w:val="21"/>
          <w:highlight w:val="none"/>
        </w:rPr>
      </w:pPr>
      <w:r>
        <w:rPr>
          <w:rFonts w:hint="eastAsia" w:ascii="宋体" w:hAnsi="宋体"/>
          <w:b/>
          <w:color w:val="auto"/>
          <w:spacing w:val="1"/>
          <w:sz w:val="21"/>
          <w:szCs w:val="21"/>
          <w:highlight w:val="none"/>
        </w:rPr>
        <w:t>1</w:t>
      </w:r>
      <w:r>
        <w:rPr>
          <w:rFonts w:hint="eastAsia" w:ascii="宋体" w:hAnsi="宋体"/>
          <w:b/>
          <w:color w:val="auto"/>
          <w:sz w:val="21"/>
          <w:szCs w:val="21"/>
          <w:highlight w:val="none"/>
        </w:rPr>
        <w:t>.招标条件</w:t>
      </w:r>
      <w:bookmarkEnd w:id="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本招标项目</w:t>
      </w:r>
      <w:r>
        <w:rPr>
          <w:rFonts w:hint="eastAsia" w:ascii="宋体" w:hAnsi="宋体"/>
          <w:color w:val="auto"/>
          <w:szCs w:val="21"/>
          <w:highlight w:val="none"/>
          <w:u w:val="single"/>
        </w:rPr>
        <w:t>西濠涌流域清污分流工程</w:t>
      </w:r>
      <w:r>
        <w:rPr>
          <w:rFonts w:hint="eastAsia" w:ascii="宋体" w:hAnsi="宋体"/>
          <w:color w:val="auto"/>
          <w:szCs w:val="21"/>
          <w:highlight w:val="none"/>
        </w:rPr>
        <w:t>已由</w:t>
      </w:r>
      <w:r>
        <w:rPr>
          <w:rFonts w:hint="eastAsia" w:ascii="宋体" w:hAnsi="宋体"/>
          <w:color w:val="auto"/>
          <w:szCs w:val="21"/>
          <w:highlight w:val="none"/>
          <w:u w:val="single"/>
        </w:rPr>
        <w:t>广州市水务局</w:t>
      </w:r>
      <w:r>
        <w:rPr>
          <w:rFonts w:hint="default" w:ascii="宋体" w:hAnsi="宋体"/>
          <w:color w:val="auto"/>
          <w:szCs w:val="21"/>
          <w:highlight w:val="none"/>
          <w:lang w:val="en-US"/>
        </w:rPr>
        <w:t>以</w:t>
      </w:r>
      <w:bookmarkStart w:id="1" w:name="_Hlk109594478"/>
      <w:r>
        <w:rPr>
          <w:rFonts w:hint="default" w:ascii="宋体" w:hAnsi="宋体"/>
          <w:color w:val="auto"/>
          <w:szCs w:val="21"/>
          <w:highlight w:val="none"/>
          <w:u w:val="single"/>
          <w:lang w:val="en-US"/>
        </w:rPr>
        <w:t>《广州市水务发展“十四五”规划》（穗水规计[2022]12号）</w:t>
      </w:r>
      <w:bookmarkEnd w:id="1"/>
      <w:r>
        <w:rPr>
          <w:rFonts w:hint="default" w:ascii="宋体" w:hAnsi="宋体"/>
          <w:color w:val="auto"/>
          <w:szCs w:val="21"/>
          <w:highlight w:val="none"/>
          <w:lang w:val="en-US"/>
        </w:rPr>
        <w:t>批准建设，项目业主为</w:t>
      </w:r>
      <w:r>
        <w:rPr>
          <w:rFonts w:hint="default" w:ascii="宋体" w:hAnsi="宋体"/>
          <w:color w:val="auto"/>
          <w:szCs w:val="21"/>
          <w:highlight w:val="none"/>
          <w:u w:val="single"/>
          <w:lang w:val="en-US"/>
        </w:rPr>
        <w:t>广州市城市排</w:t>
      </w:r>
      <w:r>
        <w:rPr>
          <w:rFonts w:hint="eastAsia" w:ascii="宋体" w:hAnsi="宋体"/>
          <w:color w:val="auto"/>
          <w:szCs w:val="21"/>
          <w:highlight w:val="none"/>
          <w:u w:val="single"/>
        </w:rPr>
        <w:t>水有限公司</w:t>
      </w:r>
      <w:r>
        <w:rPr>
          <w:rFonts w:hint="eastAsia" w:ascii="宋体" w:hAnsi="宋体" w:cs="宋体"/>
          <w:color w:val="auto"/>
          <w:szCs w:val="21"/>
          <w:highlight w:val="none"/>
        </w:rPr>
        <w:t>，</w:t>
      </w:r>
      <w:r>
        <w:rPr>
          <w:rFonts w:ascii="宋体" w:hAnsi="宋体"/>
          <w:color w:val="auto"/>
          <w:szCs w:val="21"/>
          <w:highlight w:val="none"/>
        </w:rPr>
        <w:t>建设资金来自</w:t>
      </w:r>
      <w:r>
        <w:rPr>
          <w:rFonts w:hint="eastAsia" w:ascii="宋体" w:hAnsi="宋体"/>
          <w:color w:val="auto"/>
          <w:szCs w:val="21"/>
          <w:highlight w:val="none"/>
          <w:u w:val="single"/>
        </w:rPr>
        <w:t>财政资金</w:t>
      </w:r>
      <w:r>
        <w:rPr>
          <w:rFonts w:ascii="宋体" w:hAnsi="宋体"/>
          <w:color w:val="auto"/>
          <w:szCs w:val="21"/>
          <w:highlight w:val="none"/>
        </w:rPr>
        <w:t>，出资比例为</w:t>
      </w:r>
      <w:r>
        <w:rPr>
          <w:rFonts w:hint="eastAsia" w:ascii="宋体" w:hAnsi="宋体"/>
          <w:color w:val="auto"/>
          <w:szCs w:val="21"/>
          <w:highlight w:val="none"/>
          <w:u w:val="single"/>
        </w:rPr>
        <w:t>100%</w:t>
      </w:r>
      <w:r>
        <w:rPr>
          <w:rFonts w:ascii="宋体" w:hAnsi="宋体"/>
          <w:color w:val="auto"/>
          <w:szCs w:val="21"/>
          <w:highlight w:val="none"/>
        </w:rPr>
        <w:t>，</w:t>
      </w:r>
      <w:r>
        <w:rPr>
          <w:rFonts w:hint="eastAsia" w:ascii="宋体" w:hAnsi="宋体"/>
          <w:color w:val="auto"/>
          <w:szCs w:val="21"/>
          <w:highlight w:val="none"/>
        </w:rPr>
        <w:t>招标人为</w:t>
      </w:r>
      <w:r>
        <w:rPr>
          <w:rFonts w:hint="eastAsia" w:ascii="宋体" w:hAnsi="宋体"/>
          <w:color w:val="auto"/>
          <w:szCs w:val="21"/>
          <w:highlight w:val="none"/>
          <w:u w:val="single"/>
        </w:rPr>
        <w:t>广州市城市排水有限公司</w:t>
      </w:r>
      <w:r>
        <w:rPr>
          <w:rFonts w:hint="eastAsia" w:ascii="宋体" w:hAnsi="宋体"/>
          <w:color w:val="auto"/>
          <w:szCs w:val="21"/>
          <w:highlight w:val="none"/>
        </w:rPr>
        <w:t>。根据《广州市人民政府关于建设工程项目审批制度改革的实施意见》，现启动上述项目的</w:t>
      </w:r>
      <w:r>
        <w:rPr>
          <w:rFonts w:hint="eastAsia" w:ascii="宋体" w:hAnsi="宋体"/>
          <w:color w:val="auto"/>
          <w:szCs w:val="21"/>
          <w:highlight w:val="none"/>
          <w:u w:val="single"/>
        </w:rPr>
        <w:t>勘察设计</w:t>
      </w:r>
      <w:r>
        <w:rPr>
          <w:rFonts w:hint="eastAsia" w:ascii="宋体" w:hAnsi="宋体"/>
          <w:color w:val="auto"/>
          <w:szCs w:val="21"/>
          <w:highlight w:val="none"/>
        </w:rPr>
        <w:t>进行公开招标。</w:t>
      </w:r>
    </w:p>
    <w:p>
      <w:pPr>
        <w:pStyle w:val="4"/>
        <w:spacing w:line="360" w:lineRule="auto"/>
        <w:rPr>
          <w:rFonts w:ascii="宋体" w:hAnsi="宋体"/>
          <w:b/>
          <w:color w:val="auto"/>
          <w:spacing w:val="1"/>
          <w:sz w:val="21"/>
          <w:szCs w:val="21"/>
          <w:highlight w:val="none"/>
        </w:rPr>
      </w:pPr>
      <w:bookmarkStart w:id="2" w:name="_Toc25072049"/>
      <w:r>
        <w:rPr>
          <w:rFonts w:hint="eastAsia" w:ascii="宋体" w:hAnsi="宋体"/>
          <w:b/>
          <w:color w:val="auto"/>
          <w:spacing w:val="1"/>
          <w:sz w:val="21"/>
          <w:szCs w:val="21"/>
          <w:highlight w:val="none"/>
        </w:rPr>
        <w:t>2.项目概况与招标范围</w:t>
      </w:r>
      <w:bookmarkEnd w:id="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  招标项目概况</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2.1.1  招标项目名称：</w:t>
      </w:r>
      <w:r>
        <w:rPr>
          <w:rFonts w:hint="eastAsia" w:ascii="宋体" w:hAnsi="宋体"/>
          <w:color w:val="auto"/>
          <w:szCs w:val="21"/>
          <w:highlight w:val="none"/>
          <w:u w:val="single"/>
        </w:rPr>
        <w:t>西濠涌流域清污分流工程勘察设计</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2.1.2  工程建设地点：</w:t>
      </w:r>
      <w:r>
        <w:rPr>
          <w:rFonts w:hint="eastAsia" w:ascii="宋体" w:hAnsi="宋体"/>
          <w:color w:val="auto"/>
          <w:szCs w:val="21"/>
          <w:highlight w:val="none"/>
          <w:u w:val="single"/>
        </w:rPr>
        <w:t>广州市。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2.1.3  标段划分及招标内容、规模、最高投标限价：</w:t>
      </w:r>
    </w:p>
    <w:tbl>
      <w:tblPr>
        <w:tblStyle w:val="18"/>
        <w:tblpPr w:leftFromText="180" w:rightFromText="180" w:vertAnchor="text" w:horzAnchor="page" w:tblpX="1402" w:tblpY="961"/>
        <w:tblOverlap w:val="never"/>
        <w:tblW w:w="0" w:type="auto"/>
        <w:tblInd w:w="0" w:type="dxa"/>
        <w:tblLayout w:type="autofit"/>
        <w:tblCellMar>
          <w:top w:w="0" w:type="dxa"/>
          <w:left w:w="108" w:type="dxa"/>
          <w:bottom w:w="0" w:type="dxa"/>
          <w:right w:w="108" w:type="dxa"/>
        </w:tblCellMar>
      </w:tblPr>
      <w:tblGrid>
        <w:gridCol w:w="1350"/>
        <w:gridCol w:w="5139"/>
        <w:gridCol w:w="2356"/>
      </w:tblGrid>
      <w:tr>
        <w:tblPrEx>
          <w:tblCellMar>
            <w:top w:w="0" w:type="dxa"/>
            <w:left w:w="108" w:type="dxa"/>
            <w:bottom w:w="0" w:type="dxa"/>
            <w:right w:w="108" w:type="dxa"/>
          </w:tblCellMar>
        </w:tblPrEx>
        <w:trPr>
          <w:trHeight w:val="94" w:hRule="atLeast"/>
        </w:trPr>
        <w:tc>
          <w:tcPr>
            <w:tcW w:w="1350" w:type="dxa"/>
            <w:tcBorders>
              <w:top w:val="single" w:color="auto" w:sz="4" w:space="0"/>
              <w:left w:val="single" w:color="auto" w:sz="4" w:space="0"/>
              <w:bottom w:val="single" w:color="auto" w:sz="4" w:space="0"/>
              <w:right w:val="single" w:color="auto" w:sz="4" w:space="0"/>
            </w:tcBorders>
          </w:tcPr>
          <w:p>
            <w:pPr>
              <w:pStyle w:val="17"/>
              <w:ind w:left="0" w:leftChars="0" w:firstLine="0" w:firstLineChars="0"/>
              <w:jc w:val="center"/>
              <w:rPr>
                <w:b/>
                <w:bCs/>
                <w:color w:val="auto"/>
                <w:highlight w:val="none"/>
              </w:rPr>
            </w:pPr>
            <w:r>
              <w:rPr>
                <w:rFonts w:hint="eastAsia"/>
                <w:b/>
                <w:bCs/>
                <w:color w:val="auto"/>
                <w:highlight w:val="none"/>
              </w:rPr>
              <w:t>项目名称</w:t>
            </w:r>
          </w:p>
        </w:tc>
        <w:tc>
          <w:tcPr>
            <w:tcW w:w="5139" w:type="dxa"/>
            <w:tcBorders>
              <w:top w:val="single" w:color="auto" w:sz="4" w:space="0"/>
              <w:left w:val="nil"/>
              <w:bottom w:val="single" w:color="auto" w:sz="4" w:space="0"/>
              <w:right w:val="single" w:color="auto" w:sz="4" w:space="0"/>
            </w:tcBorders>
          </w:tcPr>
          <w:p>
            <w:pPr>
              <w:pStyle w:val="17"/>
              <w:ind w:left="0" w:leftChars="0" w:firstLine="0" w:firstLineChars="0"/>
              <w:jc w:val="center"/>
              <w:rPr>
                <w:b/>
                <w:bCs/>
                <w:color w:val="auto"/>
                <w:highlight w:val="none"/>
              </w:rPr>
            </w:pPr>
            <w:r>
              <w:rPr>
                <w:rFonts w:hint="eastAsia"/>
                <w:b/>
                <w:bCs/>
                <w:color w:val="auto"/>
                <w:highlight w:val="none"/>
              </w:rPr>
              <w:t>招标内容及规模</w:t>
            </w:r>
          </w:p>
        </w:tc>
        <w:tc>
          <w:tcPr>
            <w:tcW w:w="2356" w:type="dxa"/>
            <w:tcBorders>
              <w:top w:val="single" w:color="auto" w:sz="4" w:space="0"/>
              <w:left w:val="nil"/>
              <w:bottom w:val="single" w:color="auto" w:sz="4" w:space="0"/>
              <w:right w:val="single" w:color="auto" w:sz="4" w:space="0"/>
            </w:tcBorders>
          </w:tcPr>
          <w:p>
            <w:pPr>
              <w:pStyle w:val="17"/>
              <w:ind w:left="0" w:leftChars="0" w:firstLine="0" w:firstLineChars="0"/>
              <w:jc w:val="center"/>
              <w:rPr>
                <w:b/>
                <w:bCs/>
                <w:color w:val="auto"/>
                <w:highlight w:val="none"/>
              </w:rPr>
            </w:pPr>
            <w:r>
              <w:rPr>
                <w:rFonts w:hint="eastAsia"/>
                <w:b/>
                <w:bCs/>
                <w:color w:val="auto"/>
                <w:highlight w:val="none"/>
              </w:rPr>
              <w:t>最高投标限价</w:t>
            </w:r>
          </w:p>
        </w:tc>
      </w:tr>
      <w:tr>
        <w:tblPrEx>
          <w:tblCellMar>
            <w:top w:w="0" w:type="dxa"/>
            <w:left w:w="108" w:type="dxa"/>
            <w:bottom w:w="0" w:type="dxa"/>
            <w:right w:w="108" w:type="dxa"/>
          </w:tblCellMar>
        </w:tblPrEx>
        <w:trPr>
          <w:trHeight w:val="856" w:hRule="atLeast"/>
        </w:trPr>
        <w:tc>
          <w:tcPr>
            <w:tcW w:w="1350" w:type="dxa"/>
            <w:tcBorders>
              <w:top w:val="single" w:color="auto" w:sz="4" w:space="0"/>
              <w:left w:val="single" w:color="auto" w:sz="4" w:space="0"/>
              <w:bottom w:val="single" w:color="auto" w:sz="4" w:space="0"/>
              <w:right w:val="single" w:color="auto" w:sz="4" w:space="0"/>
            </w:tcBorders>
            <w:vAlign w:val="center"/>
          </w:tcPr>
          <w:p>
            <w:pPr>
              <w:pStyle w:val="17"/>
              <w:ind w:left="0" w:leftChars="0" w:firstLine="0" w:firstLineChars="0"/>
              <w:jc w:val="left"/>
              <w:rPr>
                <w:color w:val="auto"/>
                <w:highlight w:val="none"/>
              </w:rPr>
            </w:pPr>
            <w:r>
              <w:rPr>
                <w:rFonts w:hint="eastAsia" w:ascii="宋体" w:hAnsi="宋体"/>
                <w:color w:val="auto"/>
                <w:szCs w:val="21"/>
                <w:highlight w:val="none"/>
              </w:rPr>
              <w:t>西濠涌流域清污分流工程勘察设计</w:t>
            </w:r>
          </w:p>
        </w:tc>
        <w:tc>
          <w:tcPr>
            <w:tcW w:w="5139" w:type="dxa"/>
            <w:tcBorders>
              <w:top w:val="single" w:color="auto" w:sz="4" w:space="0"/>
              <w:left w:val="nil"/>
              <w:bottom w:val="single" w:color="auto" w:sz="4" w:space="0"/>
              <w:right w:val="single" w:color="auto" w:sz="4" w:space="0"/>
            </w:tcBorders>
          </w:tcPr>
          <w:p>
            <w:pPr>
              <w:pStyle w:val="17"/>
              <w:ind w:left="0" w:leftChars="0" w:firstLine="0" w:firstLineChars="0"/>
              <w:jc w:val="left"/>
              <w:rPr>
                <w:color w:val="auto"/>
                <w:highlight w:val="none"/>
              </w:rPr>
            </w:pPr>
            <w:r>
              <w:rPr>
                <w:rFonts w:hint="eastAsia"/>
                <w:color w:val="auto"/>
                <w:highlight w:val="none"/>
              </w:rPr>
              <w:t xml:space="preserve">工程服务范围：本项目建设范围北起越秀公园以南，南至珠江堤岸（前航道），西起康王路，东至文德路所围成的区域，服务范围面积为5.35km²。 </w:t>
            </w:r>
          </w:p>
          <w:p>
            <w:pPr>
              <w:pStyle w:val="17"/>
              <w:ind w:left="0" w:leftChars="0" w:firstLine="0" w:firstLineChars="0"/>
              <w:jc w:val="left"/>
              <w:rPr>
                <w:color w:val="auto"/>
                <w:highlight w:val="none"/>
              </w:rPr>
            </w:pPr>
            <w:r>
              <w:rPr>
                <w:color w:val="auto"/>
                <w:highlight w:val="none"/>
              </w:rPr>
              <w:t>工程拟建内容（以可研批复为准）：新建DN200-DN1350污水管53.3千米，新建DN200-DN1400雨水管渠13.2千米。其中公共污水管网工程新建DN200-DN1350污水管53.3千米（含压力钢管），新建4座一体化提升泵井；公共雨水管网工程新建DN200-DN1400 雨水管渠13.2千米，新建3座一体化提升泵井。</w:t>
            </w:r>
          </w:p>
          <w:p>
            <w:pPr>
              <w:pStyle w:val="17"/>
              <w:ind w:left="0" w:leftChars="0" w:firstLine="0" w:firstLineChars="0"/>
              <w:jc w:val="left"/>
              <w:rPr>
                <w:color w:val="auto"/>
                <w:highlight w:val="none"/>
              </w:rPr>
            </w:pPr>
            <w:r>
              <w:rPr>
                <w:rFonts w:hint="eastAsia"/>
                <w:color w:val="auto"/>
                <w:highlight w:val="none"/>
              </w:rPr>
              <w:t>具体详见勘察设计任务书。</w:t>
            </w:r>
          </w:p>
        </w:tc>
        <w:tc>
          <w:tcPr>
            <w:tcW w:w="2356" w:type="dxa"/>
            <w:tcBorders>
              <w:top w:val="single" w:color="auto" w:sz="4" w:space="0"/>
              <w:left w:val="nil"/>
              <w:bottom w:val="single" w:color="auto" w:sz="4" w:space="0"/>
              <w:right w:val="single" w:color="auto" w:sz="4" w:space="0"/>
            </w:tcBorders>
            <w:vAlign w:val="center"/>
          </w:tcPr>
          <w:p>
            <w:pPr>
              <w:pStyle w:val="17"/>
              <w:ind w:left="0" w:leftChars="0" w:firstLine="0" w:firstLineChars="0"/>
              <w:jc w:val="left"/>
              <w:rPr>
                <w:color w:val="auto"/>
                <w:highlight w:val="none"/>
              </w:rPr>
            </w:pPr>
          </w:p>
          <w:p>
            <w:pPr>
              <w:pStyle w:val="17"/>
              <w:ind w:left="0" w:leftChars="0" w:firstLine="0" w:firstLineChars="0"/>
              <w:jc w:val="left"/>
              <w:rPr>
                <w:rFonts w:ascii="宋体" w:hAnsi="宋体"/>
                <w:color w:val="auto"/>
                <w:szCs w:val="21"/>
                <w:highlight w:val="none"/>
              </w:rPr>
            </w:pPr>
            <w:r>
              <w:rPr>
                <w:rFonts w:hint="eastAsia" w:ascii="宋体" w:hAnsi="宋体"/>
                <w:color w:val="auto"/>
                <w:szCs w:val="21"/>
                <w:highlight w:val="none"/>
                <w:lang w:val="en-US" w:eastAsia="zh-CN"/>
              </w:rPr>
              <w:t>2250.93</w:t>
            </w:r>
            <w:r>
              <w:rPr>
                <w:rFonts w:hint="eastAsia" w:ascii="宋体" w:hAnsi="宋体"/>
                <w:color w:val="auto"/>
                <w:szCs w:val="21"/>
                <w:highlight w:val="none"/>
              </w:rPr>
              <w:t>万元（其中工程勘察费为：</w:t>
            </w:r>
            <w:r>
              <w:rPr>
                <w:rFonts w:hint="eastAsia" w:ascii="宋体" w:hAnsi="宋体"/>
                <w:color w:val="auto"/>
                <w:szCs w:val="21"/>
                <w:highlight w:val="none"/>
                <w:lang w:val="en-US" w:eastAsia="zh-CN"/>
              </w:rPr>
              <w:t>987.72</w:t>
            </w:r>
            <w:r>
              <w:rPr>
                <w:rFonts w:hint="eastAsia" w:ascii="宋体" w:hAnsi="宋体"/>
                <w:color w:val="auto"/>
                <w:szCs w:val="21"/>
                <w:highlight w:val="none"/>
              </w:rPr>
              <w:t>万元</w:t>
            </w:r>
            <w:r>
              <w:rPr>
                <w:rFonts w:hint="eastAsia" w:ascii="宋体" w:hAnsi="宋体"/>
                <w:color w:val="auto"/>
                <w:szCs w:val="21"/>
                <w:highlight w:val="none"/>
                <w:lang w:eastAsia="zh-CN"/>
              </w:rPr>
              <w:t>；</w:t>
            </w:r>
            <w:r>
              <w:rPr>
                <w:rFonts w:hint="eastAsia" w:ascii="宋体" w:hAnsi="宋体"/>
                <w:color w:val="auto"/>
                <w:szCs w:val="21"/>
                <w:highlight w:val="none"/>
              </w:rPr>
              <w:t>工程设计费为：</w:t>
            </w:r>
            <w:r>
              <w:rPr>
                <w:rFonts w:hint="eastAsia" w:ascii="宋体" w:hAnsi="宋体"/>
                <w:color w:val="auto"/>
                <w:szCs w:val="21"/>
                <w:highlight w:val="none"/>
                <w:lang w:val="en-US" w:eastAsia="zh-CN"/>
              </w:rPr>
              <w:t>1263.21</w:t>
            </w:r>
            <w:r>
              <w:rPr>
                <w:rFonts w:hint="eastAsia" w:ascii="宋体" w:hAnsi="宋体"/>
                <w:color w:val="auto"/>
                <w:szCs w:val="21"/>
                <w:highlight w:val="none"/>
              </w:rPr>
              <w:t>万元）</w:t>
            </w:r>
          </w:p>
          <w:p>
            <w:pPr>
              <w:pStyle w:val="17"/>
              <w:ind w:left="0" w:leftChars="0" w:firstLine="0" w:firstLineChars="0"/>
              <w:jc w:val="left"/>
              <w:rPr>
                <w:color w:val="auto"/>
                <w:highlight w:val="none"/>
              </w:rPr>
            </w:pPr>
          </w:p>
          <w:p>
            <w:pPr>
              <w:pStyle w:val="17"/>
              <w:ind w:left="0" w:leftChars="0" w:firstLine="0" w:firstLineChars="0"/>
              <w:jc w:val="left"/>
              <w:rPr>
                <w:color w:val="auto"/>
                <w:highlight w:val="none"/>
              </w:rPr>
            </w:pPr>
          </w:p>
          <w:p>
            <w:pPr>
              <w:pStyle w:val="17"/>
              <w:ind w:left="0" w:leftChars="0" w:firstLine="0" w:firstLineChars="0"/>
              <w:jc w:val="left"/>
              <w:rPr>
                <w:color w:val="auto"/>
                <w:highlight w:val="none"/>
              </w:rPr>
            </w:pPr>
          </w:p>
        </w:tc>
      </w:tr>
    </w:tbl>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2.1.4  规划用地文件：</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2.1.5  项目批准文件：</w:t>
      </w:r>
      <w:r>
        <w:rPr>
          <w:rFonts w:hint="eastAsia" w:ascii="宋体" w:hAnsi="宋体"/>
          <w:color w:val="auto"/>
          <w:szCs w:val="21"/>
          <w:highlight w:val="none"/>
          <w:u w:val="single"/>
        </w:rPr>
        <w:t>《广州市水务发展“十四五”规划》（穗水规计[2022]12号）、《广州市水务局关于印发广州市城市内涝治理行动方案（2021-2025年）的通知》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2.1.6  资金来源：</w:t>
      </w:r>
      <w:r>
        <w:rPr>
          <w:rFonts w:hint="eastAsia" w:ascii="宋体" w:hAnsi="宋体" w:cs="宋体"/>
          <w:color w:val="auto"/>
          <w:szCs w:val="21"/>
          <w:highlight w:val="none"/>
          <w:u w:val="single"/>
        </w:rPr>
        <w:t>财政资金</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2.1.7  投资总额：人民币</w:t>
      </w:r>
      <w:r>
        <w:rPr>
          <w:rFonts w:ascii="宋体" w:hAnsi="宋体"/>
          <w:color w:val="auto"/>
          <w:szCs w:val="21"/>
          <w:highlight w:val="none"/>
        </w:rPr>
        <w:t>52820.98</w:t>
      </w:r>
      <w:r>
        <w:rPr>
          <w:rFonts w:hint="eastAsia" w:ascii="宋体" w:hAnsi="宋体"/>
          <w:color w:val="auto"/>
          <w:szCs w:val="21"/>
          <w:highlight w:val="none"/>
        </w:rPr>
        <w:t>万元。其中，工程费用</w:t>
      </w:r>
      <w:bookmarkStart w:id="10" w:name="_GoBack"/>
      <w:bookmarkEnd w:id="10"/>
      <w:r>
        <w:rPr>
          <w:rFonts w:hint="eastAsia" w:ascii="宋体" w:hAnsi="宋体"/>
          <w:color w:val="auto"/>
          <w:szCs w:val="21"/>
          <w:highlight w:val="none"/>
        </w:rPr>
        <w:t>：人民币</w:t>
      </w:r>
      <w:r>
        <w:rPr>
          <w:rFonts w:ascii="宋体" w:hAnsi="宋体"/>
          <w:color w:val="auto"/>
          <w:szCs w:val="21"/>
          <w:highlight w:val="none"/>
        </w:rPr>
        <w:t>38992.94</w:t>
      </w:r>
      <w:r>
        <w:rPr>
          <w:rFonts w:hint="eastAsia" w:ascii="宋体" w:hAnsi="宋体"/>
          <w:color w:val="auto"/>
          <w:szCs w:val="21"/>
          <w:highlight w:val="none"/>
        </w:rPr>
        <w:t>万元</w:t>
      </w:r>
      <w:r>
        <w:rPr>
          <w:rFonts w:hint="eastAsia" w:ascii="宋体" w:hAnsi="宋体"/>
          <w:color w:val="auto"/>
          <w:szCs w:val="21"/>
          <w:highlight w:val="none"/>
          <w:lang w:eastAsia="zh-CN"/>
        </w:rPr>
        <w:t>，工程建设其他费用</w:t>
      </w:r>
      <w:r>
        <w:rPr>
          <w:rFonts w:hint="eastAsia" w:ascii="宋体" w:hAnsi="宋体"/>
          <w:color w:val="auto"/>
          <w:szCs w:val="21"/>
          <w:highlight w:val="none"/>
          <w:lang w:val="en-US" w:eastAsia="zh-CN"/>
        </w:rPr>
        <w:t>10090.38万元，预备费3737.66万元</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  招标范围及招标内容：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完成本项目所有的勘察设计工作，主要包括：（1）工程勘察工作：包括且不限于岩土工程勘察、物探、测试检测监测、工程测量等。（2）现状摸查及编制摸查报告：报告包含但不限于项目概况、项目现状、地下管线、周边市政条件、报批报建工作进展、勘察设计工作进展、建设工作界面、勘察设计工作计划、存在的问题及相关建议等内容，前期摸查报告需经发包人审核通过后视为完成。（3）设计主要阶段：方案设计、初步设计及概算编制、施工图设计及施工图预算编制、现场服务（含设计变更）、配合施工及配合发包人报规（如有）、报建（如有）、验收等工作内容。包括但不限于以下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(1)勘察：■岩土工程勘察、■工程测量（满足设计、规划、国土等报建需求）、■工程物探（含管线探测）、■现场服务、■排水管渠摸查检测和排口溯源。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（2）设计：■方案修改、□招标设计、■初步设计及概算、■施工图设计、□预算编制、□竣工图编制■相关报建及现场服务（含工程变更）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（3）其他：■设计跟踪服务及其他相关图纸设计、■配合规划报建验收；协助发包人办理其他专业报批手续及与地方行政主管部门协调等。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具体详见勘察设计任务书。</w:t>
      </w:r>
    </w:p>
    <w:p>
      <w:pPr>
        <w:spacing w:line="360" w:lineRule="auto"/>
        <w:ind w:firstLine="316" w:firstLineChars="150"/>
        <w:rPr>
          <w:rFonts w:ascii="宋体" w:hAnsi="宋体" w:cs="宋体"/>
          <w:b/>
          <w:bCs/>
          <w:color w:val="auto"/>
          <w:szCs w:val="21"/>
          <w:highlight w:val="none"/>
          <w:u w:val="single"/>
        </w:rPr>
      </w:pPr>
      <w:r>
        <w:rPr>
          <w:rFonts w:hint="eastAsia" w:ascii="宋体" w:hAnsi="宋体" w:cs="宋体"/>
          <w:b/>
          <w:bCs/>
          <w:color w:val="auto"/>
          <w:szCs w:val="21"/>
          <w:highlight w:val="none"/>
          <w:u w:val="single"/>
        </w:rPr>
        <w:t>各阶段的设计工作的服务深度需满足现行国家、省、市有关规范规定以及有关职能审批部门的要求。具体工作内容及要求详见本项目的合同条款的有关约定。</w:t>
      </w:r>
    </w:p>
    <w:p>
      <w:pPr>
        <w:pStyle w:val="4"/>
        <w:rPr>
          <w:rFonts w:ascii="宋体" w:hAnsi="宋体"/>
          <w:b/>
          <w:color w:val="auto"/>
          <w:spacing w:val="1"/>
          <w:sz w:val="21"/>
          <w:szCs w:val="21"/>
          <w:highlight w:val="none"/>
        </w:rPr>
      </w:pPr>
      <w:r>
        <w:rPr>
          <w:rFonts w:hint="eastAsia" w:ascii="宋体" w:hAnsi="宋体"/>
          <w:b/>
          <w:color w:val="auto"/>
          <w:spacing w:val="1"/>
          <w:sz w:val="21"/>
          <w:szCs w:val="21"/>
          <w:highlight w:val="none"/>
        </w:rPr>
        <w:t>3.</w:t>
      </w:r>
      <w:r>
        <w:rPr>
          <w:rFonts w:hint="eastAsia" w:ascii="宋体" w:hAnsi="宋体"/>
          <w:b/>
          <w:color w:val="auto"/>
          <w:spacing w:val="1"/>
          <w:sz w:val="21"/>
          <w:szCs w:val="21"/>
          <w:highlight w:val="none"/>
          <w:lang w:eastAsia="zh-CN"/>
        </w:rPr>
        <w:t>勘察、</w:t>
      </w:r>
      <w:r>
        <w:rPr>
          <w:rFonts w:hint="eastAsia" w:ascii="宋体" w:hAnsi="宋体"/>
          <w:b/>
          <w:color w:val="auto"/>
          <w:spacing w:val="1"/>
          <w:sz w:val="21"/>
          <w:szCs w:val="21"/>
          <w:highlight w:val="none"/>
        </w:rPr>
        <w:t>设计服务期、工作目标：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3.1勘察</w:t>
      </w:r>
      <w:r>
        <w:rPr>
          <w:rFonts w:hint="eastAsia" w:ascii="宋体" w:hAnsi="宋体" w:cs="宋体"/>
          <w:color w:val="auto"/>
          <w:szCs w:val="21"/>
          <w:highlight w:val="none"/>
          <w:lang w:eastAsia="zh-CN"/>
        </w:rPr>
        <w:t>服务期</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Calibri" w:hAnsi="Calibri"/>
          <w:color w:val="auto"/>
          <w:highlight w:val="none"/>
        </w:rPr>
        <w:t>具体详见各项目勘察、设计任务书要求</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3.2设计</w:t>
      </w:r>
      <w:r>
        <w:rPr>
          <w:rFonts w:hint="eastAsia" w:ascii="宋体" w:hAnsi="宋体" w:cs="宋体"/>
          <w:color w:val="auto"/>
          <w:szCs w:val="21"/>
          <w:highlight w:val="none"/>
          <w:lang w:eastAsia="zh-CN"/>
        </w:rPr>
        <w:t>服务期</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Calibri" w:hAnsi="Calibri"/>
          <w:color w:val="auto"/>
          <w:highlight w:val="none"/>
        </w:rPr>
        <w:t>具体详见各项目勘察、设计任务书要求</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3.3工作目标：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资控制目标：在保证设计质量的前提下，全过程实行限额设计,在包含完整批复初步设计概算全部建设内容的前提下，必须按照政府主管部门确定的投资额度和要求严格控制，实行投资控制，严格控制初步设计和施工图设计的变更，确保工程概、预算不突破投资目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（2）质量控制目标：满足国家关于设计行业相关技术规范条文的要求，严格执行国家工程建设标准强制性条文，</w:t>
      </w:r>
      <w:r>
        <w:rPr>
          <w:rStyle w:val="21"/>
          <w:rFonts w:hint="eastAsia"/>
          <w:color w:val="auto"/>
          <w:highlight w:val="none"/>
        </w:rPr>
        <w:t>符合《建设工程质量管理条例》、《建设工程勘察设计管理条例》、《建筑工程设计文件编制深度规定（2016年版）》、《市政公用工程设计文件编制深度的规定(2013年版)等国家及地方有关工程设计管理法规和规章，达到行业相关规范技术标准等要求。</w:t>
      </w:r>
    </w:p>
    <w:p>
      <w:pPr>
        <w:pStyle w:val="17"/>
        <w:ind w:left="0" w:leftChars="0" w:firstLine="0" w:firstLineChars="0"/>
        <w:jc w:val="left"/>
        <w:rPr>
          <w:rFonts w:ascii="宋体" w:hAnsi="宋体"/>
          <w:color w:val="auto"/>
          <w:szCs w:val="21"/>
          <w:highlight w:val="none"/>
        </w:rPr>
      </w:pPr>
      <w:r>
        <w:rPr>
          <w:rFonts w:hint="eastAsia" w:ascii="宋体" w:hAnsi="宋体"/>
          <w:b/>
          <w:color w:val="auto"/>
          <w:spacing w:val="1"/>
          <w:szCs w:val="21"/>
          <w:highlight w:val="none"/>
        </w:rPr>
        <w:t>4. 投标限价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4.1本项目工程勘察设计费最高投标限价总价为</w:t>
      </w:r>
      <w:r>
        <w:rPr>
          <w:rFonts w:hint="eastAsia" w:ascii="宋体" w:hAnsi="宋体"/>
          <w:b/>
          <w:color w:val="auto"/>
          <w:spacing w:val="1"/>
          <w:szCs w:val="21"/>
          <w:highlight w:val="none"/>
        </w:rPr>
        <w:t xml:space="preserve"> </w:t>
      </w:r>
      <w:r>
        <w:rPr>
          <w:rFonts w:hint="eastAsia" w:ascii="宋体" w:hAnsi="宋体"/>
          <w:color w:val="auto"/>
          <w:szCs w:val="21"/>
          <w:highlight w:val="none"/>
          <w:lang w:val="en-US" w:eastAsia="zh-CN"/>
        </w:rPr>
        <w:t>2250.93</w:t>
      </w:r>
      <w:r>
        <w:rPr>
          <w:rFonts w:hint="eastAsia" w:ascii="宋体" w:hAnsi="宋体"/>
          <w:color w:val="auto"/>
          <w:szCs w:val="21"/>
          <w:highlight w:val="none"/>
        </w:rPr>
        <w:t>万元（其中：工程勘察费最高投标限价为</w:t>
      </w:r>
      <w:r>
        <w:rPr>
          <w:rFonts w:hint="eastAsia" w:ascii="宋体" w:hAnsi="宋体"/>
          <w:color w:val="auto"/>
          <w:szCs w:val="21"/>
          <w:highlight w:val="none"/>
          <w:lang w:val="en-US" w:eastAsia="zh-CN"/>
        </w:rPr>
        <w:t>987.72</w:t>
      </w:r>
      <w:r>
        <w:rPr>
          <w:rFonts w:hint="eastAsia" w:ascii="宋体" w:hAnsi="宋体"/>
          <w:color w:val="auto"/>
          <w:szCs w:val="21"/>
          <w:highlight w:val="none"/>
        </w:rPr>
        <w:t>万元</w:t>
      </w:r>
      <w:r>
        <w:rPr>
          <w:rFonts w:hint="eastAsia" w:ascii="宋体" w:hAnsi="宋体"/>
          <w:color w:val="auto"/>
          <w:szCs w:val="21"/>
          <w:highlight w:val="none"/>
          <w:lang w:eastAsia="zh-CN"/>
        </w:rPr>
        <w:t>；</w:t>
      </w:r>
      <w:r>
        <w:rPr>
          <w:rFonts w:hint="eastAsia" w:ascii="宋体" w:hAnsi="宋体"/>
          <w:color w:val="auto"/>
          <w:szCs w:val="21"/>
          <w:highlight w:val="none"/>
        </w:rPr>
        <w:t>工程设计费最高投标限价为</w:t>
      </w:r>
      <w:r>
        <w:rPr>
          <w:rFonts w:hint="eastAsia" w:ascii="宋体" w:hAnsi="宋体"/>
          <w:color w:val="auto"/>
          <w:szCs w:val="21"/>
          <w:highlight w:val="none"/>
          <w:lang w:val="en-US" w:eastAsia="zh-CN"/>
        </w:rPr>
        <w:t>1263.21</w:t>
      </w:r>
      <w:r>
        <w:rPr>
          <w:rFonts w:hint="eastAsia" w:ascii="宋体" w:hAnsi="宋体"/>
          <w:color w:val="auto"/>
          <w:szCs w:val="21"/>
          <w:highlight w:val="none"/>
        </w:rPr>
        <w:t>万元；）。</w:t>
      </w:r>
    </w:p>
    <w:p>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投标报价不得高于最高投标总价限价、各分项限价，否则由评标委员否决其投标。</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rPr>
        <w:t>4.2</w:t>
      </w:r>
      <w:r>
        <w:rPr>
          <w:rFonts w:hint="eastAsia" w:ascii="宋体" w:hAnsi="宋体"/>
          <w:color w:val="auto"/>
          <w:szCs w:val="21"/>
          <w:highlight w:val="none"/>
        </w:rPr>
        <w:t>设计收费实行市场调节价，投标人自主报价，投标报价不得高于</w:t>
      </w:r>
      <w:r>
        <w:rPr>
          <w:rFonts w:hint="eastAsia" w:ascii="宋体" w:hAnsi="宋体" w:cs="宋体"/>
          <w:color w:val="auto"/>
          <w:kern w:val="0"/>
          <w:szCs w:val="21"/>
          <w:highlight w:val="none"/>
        </w:rPr>
        <w:t>设计费的最高投标限价</w:t>
      </w:r>
      <w:r>
        <w:rPr>
          <w:rFonts w:hint="eastAsia" w:ascii="宋体" w:hAnsi="宋体" w:cs="宋体"/>
          <w:color w:val="auto"/>
          <w:kern w:val="0"/>
          <w:szCs w:val="21"/>
          <w:highlight w:val="none"/>
          <w:lang w:eastAsia="zh-CN"/>
        </w:rPr>
        <w:t>。</w:t>
      </w:r>
    </w:p>
    <w:p>
      <w:pPr>
        <w:pStyle w:val="4"/>
        <w:spacing w:line="360" w:lineRule="auto"/>
        <w:rPr>
          <w:rFonts w:ascii="宋体" w:hAnsi="宋体"/>
          <w:b/>
          <w:color w:val="auto"/>
          <w:spacing w:val="1"/>
          <w:sz w:val="21"/>
          <w:szCs w:val="21"/>
          <w:highlight w:val="none"/>
        </w:rPr>
      </w:pPr>
      <w:bookmarkStart w:id="3" w:name="_Toc25072050"/>
      <w:r>
        <w:rPr>
          <w:rFonts w:hint="eastAsia" w:ascii="宋体" w:hAnsi="宋体"/>
          <w:b/>
          <w:color w:val="auto"/>
          <w:spacing w:val="1"/>
          <w:sz w:val="21"/>
          <w:szCs w:val="21"/>
          <w:highlight w:val="none"/>
        </w:rPr>
        <w:t>5.投标人资格要求</w:t>
      </w:r>
      <w:bookmarkEnd w:id="3"/>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  投标人（如为联合体，要求联合体各方）具有独立法人资格，持有工商行政管理部门核发的有效法人营业执照，按国家法律经营。</w:t>
      </w:r>
      <w:r>
        <w:rPr>
          <w:rStyle w:val="21"/>
          <w:rFonts w:hint="eastAsia"/>
          <w:color w:val="auto"/>
          <w:highlight w:val="none"/>
        </w:rPr>
        <w:t>香港企业提供在香港进行商业登记的证明文书。</w:t>
      </w:r>
    </w:p>
    <w:p>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  投标人须具备建设行政主管部门颁发的且现行有效的（1）和（2）资质：</w:t>
      </w:r>
    </w:p>
    <w:p>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（1）工程设计综合资质甲级，或市政行业工程设计乙级或以上资质，或市政行业（排水工程乙级或以上）专业设计资质；</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（2）工程勘察综合类甲级资质</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或工程勘察岩土工程专业乙级或以上资质和工程勘察（工程测量）专业甲级资质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或工程勘察岩土工程（分项：岩土工程勘察）专业乙级或以上资质和工程勘察岩土工程（分项：岩土工程物探测试检测监测）专业乙级或以上资质和</w:t>
      </w:r>
      <w:r>
        <w:rPr>
          <w:rFonts w:hint="eastAsia" w:ascii="宋体" w:hAnsi="宋体"/>
          <w:color w:val="auto"/>
          <w:kern w:val="0"/>
          <w:szCs w:val="21"/>
          <w:highlight w:val="none"/>
        </w:rPr>
        <w:t>工程勘察（工程测量）专业甲级资质</w:t>
      </w:r>
      <w:r>
        <w:rPr>
          <w:rFonts w:hint="eastAsia" w:ascii="宋体" w:hAnsi="宋体"/>
          <w:color w:val="auto"/>
          <w:kern w:val="0"/>
          <w:szCs w:val="21"/>
          <w:highlight w:val="none"/>
          <w:lang w:eastAsia="zh-CN"/>
        </w:rPr>
        <w:t>。</w:t>
      </w:r>
    </w:p>
    <w:p>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香港企业独立参加投标的，须在广东省住房和城乡建设主管部门备案且备案的业务范围满足本项目要求。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1）国内申请人具体资质要求按照《建设工程勘察设计资质管理规定》（建设部令第160号）、《工程勘察资质分级标准》（建设[2001]22号）、《工程勘察、工程设计资质分级标准补充规定》（建设[2001]178号）、《工程勘察资质标准》（建市[2013]9号）、《工程设计资质标准》（建市〔2007〕86号）、《建设工程勘察设计资质管理规定实施意见》（建市[2007]202号）、《住房城乡建设部关于促进建筑工程设计事务所发展有关事项的通知》（建市（2016）261号）填写。要求同时具备2项或以上资质证书的，申请人可以组成联合体投标。</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勘察、工程设计企业资质证书有效期按《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w:t>
      </w:r>
      <w:r>
        <w:rPr>
          <w:rFonts w:hint="eastAsia" w:ascii="宋体" w:hAnsi="宋体" w:cs="宋体"/>
          <w:color w:val="auto"/>
          <w:kern w:val="0"/>
          <w:szCs w:val="21"/>
          <w:highlight w:val="none"/>
          <w:lang w:val="en-US" w:eastAsia="zh-CN"/>
        </w:rPr>
        <w:t>《住房和城乡建设部办公厅关于建设工程企业资质有关事宜的通知》（建办市函</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361</w:t>
      </w:r>
      <w:r>
        <w:rPr>
          <w:rFonts w:hint="eastAsia" w:ascii="宋体" w:hAnsi="宋体" w:cs="宋体"/>
          <w:color w:val="auto"/>
          <w:kern w:val="0"/>
          <w:szCs w:val="21"/>
          <w:highlight w:val="none"/>
        </w:rPr>
        <w:t>号</w:t>
      </w:r>
      <w:r>
        <w:rPr>
          <w:rFonts w:hint="eastAsia" w:ascii="宋体" w:hAnsi="宋体" w:cs="宋体"/>
          <w:color w:val="auto"/>
          <w:kern w:val="0"/>
          <w:szCs w:val="21"/>
          <w:highlight w:val="none"/>
          <w:lang w:val="en-US" w:eastAsia="zh-CN"/>
        </w:rPr>
        <w:t>）、《广东省住房和城乡建设厅关于建设工程企业资质有关事宜的通知》（粤建许函</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846</w:t>
      </w:r>
      <w:r>
        <w:rPr>
          <w:rFonts w:hint="eastAsia" w:ascii="宋体" w:hAnsi="宋体" w:cs="宋体"/>
          <w:color w:val="auto"/>
          <w:kern w:val="0"/>
          <w:szCs w:val="21"/>
          <w:highlight w:val="none"/>
        </w:rPr>
        <w:t>号</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执行。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（3）香港企业备案的业务范围依据《广东省住房和城乡建设厅关于印发香港工程建设咨询企业和专业人士在粤港澳大湾区内地城市开业执业试点管理暂行办法的通知》（粤建规范〔2021〕1号，详见链接：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Style w:val="20"/>
          <w:rFonts w:hint="eastAsia" w:ascii="宋体" w:hAnsi="宋体" w:cs="宋体"/>
          <w:color w:val="auto"/>
          <w:kern w:val="0"/>
          <w:szCs w:val="21"/>
          <w:highlight w:val="none"/>
        </w:rPr>
        <w:t>http://zfcxjst.gd.gov.cn/xxgk/wjtz/content/post_3137220.html）确定。香港企业须提供满足招标文件要求的相应资质证书及备案证明资料扫描件。</w:t>
      </w:r>
      <w:r>
        <w:rPr>
          <w:rStyle w:val="20"/>
          <w:rFonts w:hint="eastAsia" w:ascii="宋体" w:hAnsi="宋体" w:cs="宋体"/>
          <w:color w:val="auto"/>
          <w:kern w:val="0"/>
          <w:szCs w:val="21"/>
          <w:highlight w:val="none"/>
        </w:rPr>
        <w:fldChar w:fldCharType="end"/>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3</w:t>
      </w:r>
      <w:r>
        <w:rPr>
          <w:rFonts w:hint="eastAsia" w:ascii="宋体" w:hAnsi="宋体"/>
          <w:color w:val="auto"/>
          <w:spacing w:val="7"/>
          <w:kern w:val="0"/>
          <w:szCs w:val="21"/>
          <w:highlight w:val="none"/>
        </w:rPr>
        <w:t xml:space="preserve">  本次招标接受联合体投标。联合体投标的，应满足下列要求：</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投标人可以组成联合体投标，但只接受最多由2家单位组成的联合体，组成联合体投标的须由负责设计工作的单位作为联合体投标主办方。联合体各方（包括主办方及联合体成员）不得再单独或与其他单位组成联合体参与本项目投标。出现上述情况者，其投标和与此有关的联合体的投标将被拒绝。若联合体投标的应签订联合体</w:t>
      </w:r>
      <w:r>
        <w:rPr>
          <w:rFonts w:hint="eastAsia" w:ascii="宋体" w:hAnsi="宋体"/>
          <w:color w:val="auto"/>
          <w:spacing w:val="7"/>
          <w:kern w:val="0"/>
          <w:szCs w:val="21"/>
          <w:highlight w:val="none"/>
          <w:lang w:val="en-US" w:eastAsia="zh-CN"/>
        </w:rPr>
        <w:t>投标</w:t>
      </w:r>
      <w:r>
        <w:rPr>
          <w:rFonts w:hint="eastAsia" w:ascii="宋体" w:hAnsi="宋体"/>
          <w:color w:val="auto"/>
          <w:spacing w:val="7"/>
          <w:kern w:val="0"/>
          <w:szCs w:val="21"/>
          <w:highlight w:val="none"/>
        </w:rPr>
        <w:t>协议书（详见招标公告附件三），明确约定联合体各方拟承担的工作和责任，除联合体</w:t>
      </w:r>
      <w:r>
        <w:rPr>
          <w:rFonts w:hint="eastAsia" w:ascii="宋体" w:hAnsi="宋体"/>
          <w:color w:val="auto"/>
          <w:spacing w:val="7"/>
          <w:kern w:val="0"/>
          <w:szCs w:val="21"/>
          <w:highlight w:val="none"/>
          <w:lang w:val="en-US" w:eastAsia="zh-CN"/>
        </w:rPr>
        <w:t>投标</w:t>
      </w:r>
      <w:r>
        <w:rPr>
          <w:rFonts w:hint="eastAsia" w:ascii="宋体" w:hAnsi="宋体"/>
          <w:color w:val="auto"/>
          <w:spacing w:val="7"/>
          <w:kern w:val="0"/>
          <w:szCs w:val="21"/>
          <w:highlight w:val="none"/>
        </w:rPr>
        <w:t>协议书须联合体各方均签字盖章外，其余文件均可由联合体主办方签字盖章。</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 xml:space="preserve">.4  </w:t>
      </w:r>
      <w:r>
        <w:rPr>
          <w:rFonts w:hint="eastAsia" w:ascii="宋体" w:hAnsi="宋体"/>
          <w:color w:val="auto"/>
          <w:spacing w:val="7"/>
          <w:kern w:val="0"/>
          <w:szCs w:val="21"/>
          <w:highlight w:val="none"/>
        </w:rPr>
        <w:t>其他要求：</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4.1</w:t>
      </w:r>
      <w:r>
        <w:rPr>
          <w:rFonts w:hint="eastAsia" w:ascii="宋体" w:hAnsi="宋体"/>
          <w:color w:val="auto"/>
          <w:spacing w:val="7"/>
          <w:kern w:val="0"/>
          <w:szCs w:val="21"/>
          <w:highlight w:val="none"/>
        </w:rPr>
        <w:t xml:space="preserve">  投标人已按照规定格式和内容签署盖章《投标申请人声明》和《投标人廉洁承诺书》（详见招标公告附件一和附件二）。</w:t>
      </w:r>
    </w:p>
    <w:p>
      <w:pPr>
        <w:autoSpaceDE w:val="0"/>
        <w:autoSpaceDN w:val="0"/>
        <w:adjustRightInd w:val="0"/>
        <w:spacing w:line="360" w:lineRule="auto"/>
        <w:ind w:firstLine="448" w:firstLineChars="200"/>
        <w:jc w:val="left"/>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4.2</w:t>
      </w:r>
      <w:r>
        <w:rPr>
          <w:rFonts w:hint="eastAsia" w:ascii="宋体" w:hAnsi="宋体"/>
          <w:color w:val="auto"/>
          <w:spacing w:val="7"/>
          <w:kern w:val="0"/>
          <w:szCs w:val="21"/>
          <w:highlight w:val="none"/>
        </w:rPr>
        <w:t xml:space="preserve">  投标人在广州公共资源交易中心已办理企业信息登记，拟担任本工程项目负责人须是本企业信息登记中的在册人员。</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4.3</w:t>
      </w:r>
      <w:r>
        <w:rPr>
          <w:rFonts w:hint="eastAsia" w:ascii="宋体" w:hAnsi="宋体"/>
          <w:color w:val="auto"/>
          <w:spacing w:val="7"/>
          <w:kern w:val="0"/>
          <w:szCs w:val="21"/>
          <w:highlight w:val="none"/>
        </w:rPr>
        <w:t xml:space="preserve">  投标人委派的项目负责人须具备给排水专业高级工程师（或以上级别）职称或注册公用设备工程师（给水排水），或备案的业务范围相当于注册公用设备工程师（给水排水）的香港专业人士。</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注：香港专业人士的备案业务范围依据《广东省住房和城乡建设厅关于印发香港工程建设咨询企业和专业人士在粤港澳大湾区内地城市开业执业试点管理暂行办法的通知》（粤建规范〔2021〕1号）确定）。香港专业人士须提供满足招标文件要求的相应执业证书及备案证明资料扫描件。</w:t>
      </w:r>
    </w:p>
    <w:p>
      <w:pPr>
        <w:spacing w:line="360" w:lineRule="auto"/>
        <w:ind w:firstLine="480"/>
        <w:rPr>
          <w:rFonts w:hint="eastAsia" w:ascii="宋体" w:hAnsi="宋体"/>
          <w:color w:val="auto"/>
          <w:spacing w:val="7"/>
          <w:kern w:val="0"/>
          <w:szCs w:val="21"/>
          <w:highlight w:val="none"/>
        </w:rPr>
      </w:pPr>
      <w:r>
        <w:rPr>
          <w:rFonts w:hint="eastAsia" w:ascii="宋体" w:hAnsi="宋体"/>
          <w:color w:val="auto"/>
          <w:spacing w:val="7"/>
          <w:kern w:val="0"/>
          <w:szCs w:val="21"/>
          <w:highlight w:val="none"/>
        </w:rPr>
        <w:t>5.</w:t>
      </w:r>
      <w:r>
        <w:rPr>
          <w:rFonts w:ascii="宋体" w:hAnsi="宋体"/>
          <w:color w:val="auto"/>
          <w:spacing w:val="7"/>
          <w:kern w:val="0"/>
          <w:szCs w:val="21"/>
          <w:highlight w:val="none"/>
        </w:rPr>
        <w:t>4.4</w:t>
      </w:r>
      <w:r>
        <w:rPr>
          <w:rFonts w:hint="eastAsia" w:ascii="宋体" w:hAnsi="宋体"/>
          <w:color w:val="auto"/>
          <w:spacing w:val="7"/>
          <w:kern w:val="0"/>
          <w:szCs w:val="21"/>
          <w:highlight w:val="none"/>
        </w:rPr>
        <w:t xml:space="preserve">  投标人自本项目招标公告发布之日起至本项目</w:t>
      </w:r>
      <w:r>
        <w:rPr>
          <w:rFonts w:hint="eastAsia" w:ascii="宋体" w:hAnsi="宋体"/>
          <w:color w:val="auto"/>
          <w:spacing w:val="7"/>
          <w:kern w:val="0"/>
          <w:szCs w:val="21"/>
          <w:highlight w:val="none"/>
          <w:lang w:eastAsia="zh-CN"/>
        </w:rPr>
        <w:t>投标</w:t>
      </w:r>
      <w:r>
        <w:rPr>
          <w:rFonts w:hint="eastAsia" w:ascii="宋体" w:hAnsi="宋体"/>
          <w:color w:val="auto"/>
          <w:spacing w:val="7"/>
          <w:kern w:val="0"/>
          <w:szCs w:val="21"/>
          <w:highlight w:val="none"/>
        </w:rPr>
        <w:t>截止日期止，未被纳入失信被执行人名单（失信黑名单），失信被执行人名单（失信黑名单）以“信用广州”网站（credit.gz.gov.cn）公布的“严重失信主体名单信息”为准。投标人须提供《信用记录承诺函》附“信用广州”网站（credit.gz.gov.cn）的严重失信主体名单信息查询结果截图</w:t>
      </w:r>
      <w:r>
        <w:rPr>
          <w:rFonts w:hint="eastAsia" w:ascii="宋体" w:hAnsi="宋体"/>
          <w:color w:val="auto"/>
          <w:spacing w:val="7"/>
          <w:kern w:val="0"/>
          <w:szCs w:val="21"/>
          <w:highlight w:val="none"/>
          <w:lang w:eastAsia="zh-CN"/>
        </w:rPr>
        <w:t>扫描件</w:t>
      </w:r>
      <w:r>
        <w:rPr>
          <w:rFonts w:hint="eastAsia" w:ascii="宋体" w:hAnsi="宋体"/>
          <w:color w:val="auto"/>
          <w:spacing w:val="7"/>
          <w:kern w:val="0"/>
          <w:szCs w:val="21"/>
          <w:highlight w:val="none"/>
        </w:rPr>
        <w:t>并加盖</w:t>
      </w:r>
      <w:r>
        <w:rPr>
          <w:rFonts w:hint="eastAsia" w:ascii="宋体" w:hAnsi="宋体"/>
          <w:color w:val="auto"/>
          <w:spacing w:val="7"/>
          <w:kern w:val="0"/>
          <w:szCs w:val="21"/>
          <w:highlight w:val="none"/>
          <w:lang w:eastAsia="zh-CN"/>
        </w:rPr>
        <w:t>电子</w:t>
      </w:r>
      <w:r>
        <w:rPr>
          <w:rFonts w:hint="eastAsia" w:ascii="宋体" w:hAnsi="宋体"/>
          <w:color w:val="auto"/>
          <w:spacing w:val="7"/>
          <w:kern w:val="0"/>
          <w:szCs w:val="21"/>
          <w:highlight w:val="none"/>
        </w:rPr>
        <w:t>公章。</w:t>
      </w:r>
    </w:p>
    <w:p>
      <w:pPr>
        <w:spacing w:line="360" w:lineRule="auto"/>
        <w:ind w:firstLine="480"/>
        <w:rPr>
          <w:rFonts w:hint="eastAsia" w:ascii="宋体" w:hAnsi="宋体"/>
          <w:color w:val="auto"/>
          <w:spacing w:val="7"/>
          <w:kern w:val="0"/>
          <w:szCs w:val="21"/>
          <w:highlight w:val="none"/>
        </w:rPr>
      </w:pPr>
      <w:r>
        <w:rPr>
          <w:rFonts w:hint="eastAsia" w:ascii="宋体" w:hAnsi="宋体"/>
          <w:color w:val="auto"/>
          <w:spacing w:val="7"/>
          <w:kern w:val="0"/>
          <w:szCs w:val="21"/>
          <w:highlight w:val="none"/>
          <w:lang w:eastAsia="zh-CN"/>
        </w:rPr>
        <w:t>注：</w:t>
      </w:r>
      <w:r>
        <w:rPr>
          <w:rFonts w:hint="eastAsia" w:ascii="宋体" w:hAnsi="宋体"/>
          <w:color w:val="auto"/>
          <w:spacing w:val="7"/>
          <w:kern w:val="0"/>
          <w:szCs w:val="21"/>
          <w:highlight w:val="none"/>
        </w:rPr>
        <w:t>网站截图为“信用广州”网站（credit.gz.gov.cn）首页“信用公示”→“红黑名单查询”→“严重失信主体名单信息”搜索一栏输入企业全称后得出的查询结果页面。</w:t>
      </w:r>
    </w:p>
    <w:p>
      <w:pPr>
        <w:spacing w:line="360" w:lineRule="auto"/>
        <w:ind w:firstLine="480"/>
        <w:rPr>
          <w:rFonts w:hint="default" w:ascii="宋体" w:hAnsi="宋体" w:eastAsia="宋体"/>
          <w:color w:val="auto"/>
          <w:spacing w:val="7"/>
          <w:kern w:val="0"/>
          <w:szCs w:val="21"/>
          <w:highlight w:val="none"/>
          <w:lang w:val="en-US" w:eastAsia="zh-CN"/>
        </w:rPr>
      </w:pPr>
      <w:r>
        <w:rPr>
          <w:rFonts w:hint="eastAsia" w:ascii="宋体" w:hAnsi="宋体"/>
          <w:color w:val="auto"/>
          <w:spacing w:val="7"/>
          <w:kern w:val="0"/>
          <w:szCs w:val="21"/>
          <w:highlight w:val="none"/>
          <w:lang w:val="en-US" w:eastAsia="zh-CN"/>
        </w:rPr>
        <w:t>5.4.5外国或香港、澳门、台湾的设计企业必须选择一家符合上述条件的企业进行合作设计。香港企业如不单独参加投标，也必须选择一家符合上述条件的企业进行合作设计（签订合作设计协议书）。</w:t>
      </w:r>
    </w:p>
    <w:p>
      <w:pPr>
        <w:autoSpaceDE w:val="0"/>
        <w:autoSpaceDN w:val="0"/>
        <w:adjustRightInd w:val="0"/>
        <w:spacing w:line="360" w:lineRule="auto"/>
        <w:ind w:firstLine="448" w:firstLineChars="200"/>
        <w:rPr>
          <w:rFonts w:ascii="宋体" w:hAnsi="宋体"/>
          <w:color w:val="auto"/>
          <w:spacing w:val="7"/>
          <w:kern w:val="0"/>
          <w:szCs w:val="21"/>
          <w:highlight w:val="none"/>
        </w:rPr>
      </w:pPr>
      <w:r>
        <w:rPr>
          <w:rFonts w:hint="eastAsia" w:ascii="宋体" w:hAnsi="宋体"/>
          <w:color w:val="auto"/>
          <w:spacing w:val="7"/>
          <w:kern w:val="0"/>
          <w:szCs w:val="21"/>
          <w:highlight w:val="none"/>
        </w:rPr>
        <w:t>注：因联合惩戒措施表述存在细微差别，惩戒措施与上文不完全一致但措施内容相同的，也应属于被限制参与相关项目的投标。</w:t>
      </w:r>
    </w:p>
    <w:p>
      <w:pPr>
        <w:pStyle w:val="4"/>
        <w:spacing w:line="360" w:lineRule="auto"/>
        <w:rPr>
          <w:rFonts w:ascii="宋体" w:hAnsi="宋体"/>
          <w:b/>
          <w:color w:val="auto"/>
          <w:spacing w:val="1"/>
          <w:sz w:val="21"/>
          <w:szCs w:val="21"/>
          <w:highlight w:val="none"/>
        </w:rPr>
      </w:pPr>
      <w:bookmarkStart w:id="4" w:name="_Toc25072051"/>
      <w:r>
        <w:rPr>
          <w:rFonts w:hint="eastAsia" w:ascii="宋体" w:hAnsi="宋体"/>
          <w:b/>
          <w:color w:val="auto"/>
          <w:spacing w:val="1"/>
          <w:sz w:val="21"/>
          <w:szCs w:val="21"/>
          <w:highlight w:val="none"/>
        </w:rPr>
        <w:t>6.技术成果经济补偿：</w:t>
      </w:r>
    </w:p>
    <w:p>
      <w:pPr>
        <w:widowControl/>
        <w:tabs>
          <w:tab w:val="left" w:pos="105"/>
        </w:tabs>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本次招标对未中标人投标文件中的技术成果不给予经济补偿。</w:t>
      </w:r>
    </w:p>
    <w:bookmarkEnd w:id="4"/>
    <w:p>
      <w:pPr>
        <w:pStyle w:val="4"/>
        <w:spacing w:line="360" w:lineRule="auto"/>
        <w:rPr>
          <w:rFonts w:ascii="宋体" w:hAnsi="宋体"/>
          <w:b/>
          <w:color w:val="auto"/>
          <w:spacing w:val="1"/>
          <w:sz w:val="21"/>
          <w:szCs w:val="21"/>
          <w:highlight w:val="none"/>
        </w:rPr>
      </w:pPr>
      <w:bookmarkStart w:id="5" w:name="_Toc25072052"/>
      <w:r>
        <w:rPr>
          <w:rFonts w:hint="eastAsia" w:ascii="宋体" w:hAnsi="宋体"/>
          <w:b/>
          <w:color w:val="auto"/>
          <w:spacing w:val="1"/>
          <w:sz w:val="21"/>
          <w:szCs w:val="21"/>
          <w:highlight w:val="none"/>
        </w:rPr>
        <w:t>7.</w:t>
      </w:r>
      <w:r>
        <w:rPr>
          <w:rFonts w:ascii="宋体" w:hAnsi="宋体"/>
          <w:b/>
          <w:color w:val="auto"/>
          <w:spacing w:val="1"/>
          <w:sz w:val="21"/>
          <w:szCs w:val="21"/>
          <w:highlight w:val="none"/>
        </w:rPr>
        <w:t>发布招标公告、招标文件获取</w:t>
      </w:r>
      <w:r>
        <w:rPr>
          <w:rFonts w:hint="eastAsia" w:ascii="宋体" w:hAnsi="宋体"/>
          <w:b/>
          <w:color w:val="auto"/>
          <w:spacing w:val="1"/>
          <w:sz w:val="21"/>
          <w:szCs w:val="21"/>
          <w:highlight w:val="none"/>
        </w:rPr>
        <w:t>：</w:t>
      </w:r>
      <w:bookmarkEnd w:id="5"/>
    </w:p>
    <w:p>
      <w:pPr>
        <w:spacing w:line="360" w:lineRule="auto"/>
        <w:ind w:left="210" w:leftChars="100" w:firstLine="210" w:firstLineChars="100"/>
        <w:jc w:val="left"/>
        <w:rPr>
          <w:rFonts w:ascii="宋体" w:hAnsi="宋体"/>
          <w:color w:val="auto"/>
          <w:kern w:val="0"/>
          <w:szCs w:val="21"/>
          <w:highlight w:val="none"/>
        </w:rPr>
      </w:pPr>
      <w:r>
        <w:rPr>
          <w:rFonts w:hint="eastAsia" w:ascii="宋体" w:hAnsi="宋体"/>
          <w:color w:val="auto"/>
          <w:kern w:val="0"/>
          <w:szCs w:val="21"/>
          <w:highlight w:val="none"/>
        </w:rPr>
        <w:t>7.1  发布招标公告时间（含本日）：</w:t>
      </w:r>
      <w:r>
        <w:rPr>
          <w:rFonts w:hint="eastAsia" w:ascii="宋体" w:hAnsi="宋体"/>
          <w:color w:val="auto"/>
          <w:kern w:val="0"/>
          <w:szCs w:val="21"/>
          <w:highlight w:val="none"/>
          <w:u w:val="single"/>
        </w:rPr>
        <w:t>2023年</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27</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分至2023年</w:t>
      </w:r>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kern w:val="0"/>
          <w:szCs w:val="21"/>
          <w:highlight w:val="none"/>
          <w:u w:val="single"/>
        </w:rPr>
        <w:t>分</w:t>
      </w:r>
      <w:r>
        <w:rPr>
          <w:rFonts w:hint="eastAsia" w:ascii="宋体" w:hAnsi="宋体"/>
          <w:color w:val="auto"/>
          <w:kern w:val="0"/>
          <w:szCs w:val="21"/>
          <w:highlight w:val="none"/>
        </w:rPr>
        <w:t>。（北京时间，下同）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注：发布招标公告的时间为招标公告发出之日起至递交投标文件截止时间止。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凡有意参加投标者，请于</w:t>
      </w:r>
      <w:r>
        <w:rPr>
          <w:rFonts w:hint="eastAsia" w:ascii="宋体" w:hAnsi="宋体"/>
          <w:color w:val="auto"/>
          <w:kern w:val="0"/>
          <w:szCs w:val="21"/>
          <w:highlight w:val="none"/>
          <w:u w:val="single"/>
        </w:rPr>
        <w:t>2023年</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27</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00</w:t>
      </w:r>
      <w:r>
        <w:rPr>
          <w:rFonts w:hint="eastAsia" w:ascii="宋体" w:hAnsi="宋体"/>
          <w:color w:val="auto"/>
          <w:kern w:val="0"/>
          <w:szCs w:val="21"/>
          <w:highlight w:val="none"/>
          <w:u w:val="single"/>
        </w:rPr>
        <w:t>分至2023年</w:t>
      </w:r>
      <w:r>
        <w:rPr>
          <w:rFonts w:hint="eastAsia" w:ascii="宋体" w:hAnsi="宋体"/>
          <w:color w:val="auto"/>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kern w:val="0"/>
          <w:szCs w:val="21"/>
          <w:highlight w:val="none"/>
          <w:u w:val="single"/>
        </w:rPr>
        <w:t>分</w:t>
      </w:r>
      <w:r>
        <w:rPr>
          <w:rFonts w:hint="eastAsia" w:ascii="宋体" w:hAnsi="宋体"/>
          <w:color w:val="auto"/>
          <w:kern w:val="0"/>
          <w:szCs w:val="21"/>
          <w:highlight w:val="none"/>
        </w:rPr>
        <w:t>。(北京时间，下同)，登录广州公共资源交易中心网站（http//www.gzggzy.cn）下载电子招标文件。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  本项目招标文件随招标公告一并在广州公共资源交易中心网站发布。招标文件一经在广州公共资源交易中心发布，视为送达给投标人，招标文件由投标人自行在广州公共资源交易中心网站下载。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  本项目采用资格后审方式，由评标委员会负责资格审查。</w:t>
      </w:r>
    </w:p>
    <w:p>
      <w:pPr>
        <w:pStyle w:val="4"/>
        <w:spacing w:line="360" w:lineRule="auto"/>
        <w:rPr>
          <w:rFonts w:ascii="宋体" w:hAnsi="宋体"/>
          <w:b/>
          <w:color w:val="auto"/>
          <w:spacing w:val="1"/>
          <w:sz w:val="21"/>
          <w:szCs w:val="21"/>
          <w:highlight w:val="none"/>
        </w:rPr>
      </w:pPr>
      <w:bookmarkStart w:id="6" w:name="_Toc25072053"/>
      <w:r>
        <w:rPr>
          <w:rFonts w:hint="eastAsia" w:ascii="宋体" w:hAnsi="宋体"/>
          <w:b/>
          <w:color w:val="auto"/>
          <w:spacing w:val="1"/>
          <w:sz w:val="21"/>
          <w:szCs w:val="21"/>
          <w:highlight w:val="none"/>
        </w:rPr>
        <w:t>8.</w:t>
      </w:r>
      <w:r>
        <w:rPr>
          <w:rFonts w:ascii="宋体" w:hAnsi="宋体"/>
          <w:b/>
          <w:color w:val="auto"/>
          <w:spacing w:val="1"/>
          <w:sz w:val="21"/>
          <w:szCs w:val="21"/>
          <w:highlight w:val="none"/>
        </w:rPr>
        <w:t>递交投标文件时间、开标时间及办理投标登记</w:t>
      </w:r>
      <w:r>
        <w:rPr>
          <w:rFonts w:hint="eastAsia" w:ascii="宋体" w:hAnsi="宋体"/>
          <w:b/>
          <w:color w:val="auto"/>
          <w:spacing w:val="1"/>
          <w:sz w:val="21"/>
          <w:szCs w:val="21"/>
          <w:highlight w:val="none"/>
        </w:rPr>
        <w:t>手续：</w:t>
      </w:r>
      <w:bookmarkEnd w:id="6"/>
    </w:p>
    <w:p>
      <w:pPr>
        <w:spacing w:line="360" w:lineRule="auto"/>
        <w:ind w:firstLine="420" w:firstLineChars="200"/>
        <w:jc w:val="left"/>
        <w:rPr>
          <w:rFonts w:ascii="宋体" w:hAnsi="宋体"/>
          <w:color w:val="auto"/>
          <w:spacing w:val="-2"/>
          <w:kern w:val="0"/>
          <w:szCs w:val="21"/>
          <w:highlight w:val="none"/>
        </w:rPr>
      </w:pPr>
      <w:r>
        <w:rPr>
          <w:rFonts w:hint="eastAsia" w:ascii="宋体" w:hAnsi="宋体"/>
          <w:color w:val="auto"/>
          <w:kern w:val="0"/>
          <w:szCs w:val="21"/>
          <w:highlight w:val="none"/>
        </w:rPr>
        <w:t xml:space="preserve">8.1  </w:t>
      </w:r>
      <w:r>
        <w:rPr>
          <w:rFonts w:hint="eastAsia" w:ascii="宋体" w:hAnsi="宋体"/>
          <w:color w:val="auto"/>
          <w:spacing w:val="-2"/>
          <w:kern w:val="0"/>
          <w:szCs w:val="21"/>
          <w:highlight w:val="none"/>
        </w:rPr>
        <w:t>投标截止时间为</w:t>
      </w:r>
      <w:r>
        <w:rPr>
          <w:rFonts w:hint="eastAsia" w:ascii="宋体" w:hAnsi="宋体"/>
          <w:color w:val="auto"/>
          <w:spacing w:val="-2"/>
          <w:kern w:val="0"/>
          <w:szCs w:val="21"/>
          <w:highlight w:val="none"/>
          <w:u w:val="single"/>
        </w:rPr>
        <w:t>2023年</w:t>
      </w:r>
      <w:r>
        <w:rPr>
          <w:rFonts w:hint="eastAsia" w:ascii="宋体" w:hAnsi="宋体"/>
          <w:color w:val="auto"/>
          <w:spacing w:val="-2"/>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，投标人应在截止时间前通过</w:t>
      </w:r>
      <w:r>
        <w:rPr>
          <w:rFonts w:hint="eastAsia" w:ascii="宋体" w:hAnsi="宋体"/>
          <w:color w:val="auto"/>
          <w:spacing w:val="-2"/>
          <w:kern w:val="0"/>
          <w:szCs w:val="21"/>
          <w:highlight w:val="none"/>
          <w:u w:val="single"/>
        </w:rPr>
        <w:t>广州公共资源交易中心</w:t>
      </w:r>
      <w:r>
        <w:rPr>
          <w:rFonts w:hint="eastAsia" w:ascii="宋体" w:hAnsi="宋体"/>
          <w:color w:val="auto"/>
          <w:spacing w:val="-2"/>
          <w:kern w:val="0"/>
          <w:szCs w:val="21"/>
          <w:highlight w:val="none"/>
        </w:rPr>
        <w:t>交易平台网站递交电子投标文件。投标人完成电子投标上传后，交易平台即时向投标人发出递交回执通知。递交时间以递交回执通知载明的传输时间为准。</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8.2  投标人应在递交投标文件截止时间前，登录交易平台网站办理网上投标登记手续。按照交易平台关于全流程电子化项目的相关指南进行操作。</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8.3  提交投标文件光盘备用（及保密信封）</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投标文件光盘（备用）（及保密信封）递交时间：</w:t>
      </w:r>
      <w:r>
        <w:rPr>
          <w:rFonts w:hint="eastAsia" w:ascii="宋体" w:hAnsi="宋体"/>
          <w:color w:val="auto"/>
          <w:spacing w:val="-2"/>
          <w:kern w:val="0"/>
          <w:szCs w:val="21"/>
          <w:highlight w:val="none"/>
          <w:u w:val="single"/>
        </w:rPr>
        <w:t>2023年</w:t>
      </w:r>
      <w:r>
        <w:rPr>
          <w:rFonts w:hint="eastAsia" w:ascii="宋体" w:hAnsi="宋体"/>
          <w:color w:val="auto"/>
          <w:spacing w:val="-2"/>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15</w:t>
      </w:r>
      <w:r>
        <w:rPr>
          <w:rFonts w:hint="eastAsia" w:ascii="宋体" w:hAnsi="宋体"/>
          <w:color w:val="auto"/>
          <w:spacing w:val="-2"/>
          <w:kern w:val="0"/>
          <w:szCs w:val="21"/>
          <w:highlight w:val="none"/>
          <w:u w:val="single"/>
        </w:rPr>
        <w:t>分至2023年</w:t>
      </w:r>
      <w:r>
        <w:rPr>
          <w:rFonts w:hint="eastAsia" w:ascii="宋体" w:hAnsi="宋体"/>
          <w:color w:val="auto"/>
          <w:spacing w:val="-2"/>
          <w:kern w:val="0"/>
          <w:szCs w:val="21"/>
          <w:highlight w:val="none"/>
          <w:u w:val="single"/>
          <w:lang w:val="en-US" w:eastAsia="zh-CN"/>
        </w:rPr>
        <w:t>6</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；地点：</w:t>
      </w:r>
      <w:r>
        <w:rPr>
          <w:rFonts w:hint="eastAsia" w:ascii="宋体" w:hAnsi="宋体"/>
          <w:color w:val="auto"/>
          <w:spacing w:val="-2"/>
          <w:kern w:val="0"/>
          <w:szCs w:val="21"/>
          <w:highlight w:val="none"/>
          <w:u w:val="single"/>
        </w:rPr>
        <w:t>广州公共资源交易中心（广州市天河区天润路333号）第</w:t>
      </w:r>
      <w:r>
        <w:rPr>
          <w:rFonts w:hint="eastAsia" w:ascii="宋体" w:hAnsi="宋体"/>
          <w:color w:val="auto"/>
          <w:spacing w:val="-2"/>
          <w:kern w:val="0"/>
          <w:szCs w:val="21"/>
          <w:highlight w:val="none"/>
          <w:u w:val="single"/>
          <w:lang w:val="en-US" w:eastAsia="zh-CN"/>
        </w:rPr>
        <w:t>4</w:t>
      </w:r>
      <w:r>
        <w:rPr>
          <w:rFonts w:hint="eastAsia" w:ascii="宋体" w:hAnsi="宋体"/>
          <w:color w:val="auto"/>
          <w:spacing w:val="-2"/>
          <w:kern w:val="0"/>
          <w:szCs w:val="21"/>
          <w:highlight w:val="none"/>
          <w:u w:val="single"/>
        </w:rPr>
        <w:t>开标室。</w:t>
      </w:r>
    </w:p>
    <w:p>
      <w:pPr>
        <w:spacing w:line="360" w:lineRule="auto"/>
        <w:ind w:firstLine="412" w:firstLineChars="200"/>
        <w:jc w:val="left"/>
        <w:rPr>
          <w:rFonts w:ascii="宋体" w:hAnsi="宋体"/>
          <w:bCs/>
          <w:color w:val="auto"/>
          <w:spacing w:val="-2"/>
          <w:kern w:val="0"/>
          <w:szCs w:val="21"/>
          <w:highlight w:val="none"/>
        </w:rPr>
      </w:pPr>
      <w:r>
        <w:rPr>
          <w:rFonts w:hint="eastAsia" w:ascii="宋体" w:hAnsi="宋体"/>
          <w:bCs/>
          <w:color w:val="auto"/>
          <w:spacing w:val="-2"/>
          <w:kern w:val="0"/>
          <w:szCs w:val="21"/>
          <w:highlight w:val="none"/>
        </w:rPr>
        <w:t>投标文件光盘（备用）应包含商务文件光盘、技术文件光盘各1个。递交投标文件光盘（备用）时应同时递交保密信封（备用）1份，递交时间、地点同投标文件光盘（备用）递交时间、地点。（电子光盘及保密信封需按规定封装。投标人将数据刻录到光盘之后，投标前自行检查文件是否可以读取。）</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投标文件解密时间为</w:t>
      </w:r>
      <w:r>
        <w:rPr>
          <w:rFonts w:hint="eastAsia" w:ascii="宋体" w:hAnsi="宋体"/>
          <w:color w:val="auto"/>
          <w:spacing w:val="-2"/>
          <w:kern w:val="0"/>
          <w:szCs w:val="21"/>
          <w:highlight w:val="none"/>
          <w:u w:val="single"/>
        </w:rPr>
        <w:t>2023年</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spacing w:val="-2"/>
          <w:kern w:val="0"/>
          <w:szCs w:val="21"/>
          <w:highlight w:val="none"/>
          <w:u w:val="single"/>
        </w:rPr>
        <w:t>分至2023年</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00分</w:t>
      </w:r>
      <w:r>
        <w:rPr>
          <w:rFonts w:hint="eastAsia" w:ascii="宋体" w:hAnsi="宋体"/>
          <w:color w:val="auto"/>
          <w:spacing w:val="-2"/>
          <w:kern w:val="0"/>
          <w:szCs w:val="21"/>
          <w:highlight w:val="none"/>
        </w:rPr>
        <w:t>，投标人应在截止时间前按照交易平台关于全流程电子化项目的相关指南进行操作。</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8.4  逾期送达的投标文件，交易平台将予以拒收。</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8.5  本招标项目采用电子开标，在交易平台上公开进行。开标开始时间：</w:t>
      </w:r>
      <w:r>
        <w:rPr>
          <w:rFonts w:hint="eastAsia" w:ascii="宋体" w:hAnsi="宋体"/>
          <w:color w:val="auto"/>
          <w:spacing w:val="-2"/>
          <w:kern w:val="0"/>
          <w:szCs w:val="21"/>
          <w:highlight w:val="none"/>
          <w:u w:val="single"/>
        </w:rPr>
        <w:t>2023年</w:t>
      </w:r>
      <w:r>
        <w:rPr>
          <w:rFonts w:hint="eastAsia" w:ascii="宋体" w:hAnsi="宋体"/>
          <w:color w:val="auto"/>
          <w:spacing w:val="-2"/>
          <w:kern w:val="0"/>
          <w:szCs w:val="21"/>
          <w:highlight w:val="none"/>
          <w:u w:val="single"/>
          <w:lang w:val="en-US" w:eastAsia="zh-CN"/>
        </w:rPr>
        <w:t>9</w:t>
      </w:r>
      <w:r>
        <w:rPr>
          <w:rFonts w:hint="eastAsia" w:ascii="宋体" w:hAnsi="宋体"/>
          <w:color w:val="auto"/>
          <w:kern w:val="0"/>
          <w:szCs w:val="21"/>
          <w:highlight w:val="none"/>
          <w:u w:val="single"/>
        </w:rPr>
        <w:t>月</w:t>
      </w:r>
      <w:r>
        <w:rPr>
          <w:rFonts w:hint="eastAsia" w:ascii="宋体" w:hAnsi="宋体"/>
          <w:color w:val="auto"/>
          <w:kern w:val="0"/>
          <w:szCs w:val="21"/>
          <w:highlight w:val="none"/>
          <w:u w:val="single"/>
          <w:lang w:val="en-US" w:eastAsia="zh-CN"/>
        </w:rPr>
        <w:t>19</w:t>
      </w:r>
      <w:r>
        <w:rPr>
          <w:rFonts w:hint="eastAsia" w:ascii="宋体" w:hAnsi="宋体"/>
          <w:color w:val="auto"/>
          <w:kern w:val="0"/>
          <w:szCs w:val="21"/>
          <w:highlight w:val="none"/>
          <w:u w:val="single"/>
        </w:rPr>
        <w:t>日</w:t>
      </w:r>
      <w:r>
        <w:rPr>
          <w:rFonts w:hint="eastAsia" w:ascii="宋体" w:hAnsi="宋体"/>
          <w:color w:val="auto"/>
          <w:kern w:val="0"/>
          <w:szCs w:val="21"/>
          <w:highlight w:val="none"/>
          <w:u w:val="single"/>
          <w:lang w:val="en-US" w:eastAsia="zh-CN"/>
        </w:rPr>
        <w:t>9</w:t>
      </w:r>
      <w:r>
        <w:rPr>
          <w:rFonts w:hint="eastAsia" w:ascii="宋体" w:hAnsi="宋体"/>
          <w:color w:val="auto"/>
          <w:kern w:val="0"/>
          <w:szCs w:val="21"/>
          <w:highlight w:val="none"/>
          <w:u w:val="single"/>
        </w:rPr>
        <w:t>时</w:t>
      </w:r>
      <w:r>
        <w:rPr>
          <w:rFonts w:hint="eastAsia" w:ascii="宋体" w:hAnsi="宋体"/>
          <w:color w:val="auto"/>
          <w:kern w:val="0"/>
          <w:szCs w:val="21"/>
          <w:highlight w:val="none"/>
          <w:u w:val="single"/>
          <w:lang w:val="en-US" w:eastAsia="zh-CN"/>
        </w:rPr>
        <w:t>30</w:t>
      </w:r>
      <w:r>
        <w:rPr>
          <w:rFonts w:hint="eastAsia" w:ascii="宋体" w:hAnsi="宋体"/>
          <w:color w:val="auto"/>
          <w:spacing w:val="-2"/>
          <w:kern w:val="0"/>
          <w:szCs w:val="21"/>
          <w:highlight w:val="none"/>
          <w:u w:val="single"/>
        </w:rPr>
        <w:t>分</w:t>
      </w:r>
      <w:r>
        <w:rPr>
          <w:rFonts w:hint="eastAsia" w:ascii="宋体" w:hAnsi="宋体"/>
          <w:color w:val="auto"/>
          <w:spacing w:val="-2"/>
          <w:kern w:val="0"/>
          <w:szCs w:val="21"/>
          <w:highlight w:val="none"/>
        </w:rPr>
        <w:t>（与投标截止时间为同一时间）。邀请所有投标人准时在线参加开标。</w:t>
      </w:r>
      <w:r>
        <w:rPr>
          <w:rFonts w:ascii="宋体" w:hAnsi="宋体"/>
          <w:color w:val="auto"/>
          <w:spacing w:val="-2"/>
          <w:kern w:val="0"/>
          <w:szCs w:val="21"/>
          <w:highlight w:val="none"/>
        </w:rPr>
        <w:t>投标人</w:t>
      </w:r>
      <w:r>
        <w:rPr>
          <w:rFonts w:hint="eastAsia" w:ascii="宋体" w:hAnsi="宋体"/>
          <w:color w:val="auto"/>
          <w:spacing w:val="-2"/>
          <w:kern w:val="0"/>
          <w:szCs w:val="21"/>
          <w:highlight w:val="none"/>
        </w:rPr>
        <w:t>参与电子</w:t>
      </w:r>
      <w:r>
        <w:rPr>
          <w:rFonts w:ascii="宋体" w:hAnsi="宋体"/>
          <w:color w:val="auto"/>
          <w:spacing w:val="-2"/>
          <w:kern w:val="0"/>
          <w:szCs w:val="21"/>
          <w:highlight w:val="none"/>
        </w:rPr>
        <w:t>开标</w:t>
      </w:r>
      <w:r>
        <w:rPr>
          <w:rFonts w:hint="eastAsia" w:ascii="宋体" w:hAnsi="宋体"/>
          <w:color w:val="auto"/>
          <w:spacing w:val="-2"/>
          <w:kern w:val="0"/>
          <w:szCs w:val="21"/>
          <w:highlight w:val="none"/>
        </w:rPr>
        <w:t>的</w:t>
      </w:r>
      <w:r>
        <w:rPr>
          <w:rFonts w:ascii="宋体" w:hAnsi="宋体"/>
          <w:color w:val="auto"/>
          <w:spacing w:val="-2"/>
          <w:kern w:val="0"/>
          <w:szCs w:val="21"/>
          <w:highlight w:val="none"/>
        </w:rPr>
        <w:t>具体操作详见交易平台</w:t>
      </w:r>
      <w:r>
        <w:rPr>
          <w:rFonts w:hint="eastAsia" w:ascii="宋体" w:hAnsi="宋体"/>
          <w:color w:val="auto"/>
          <w:spacing w:val="-2"/>
          <w:kern w:val="0"/>
          <w:szCs w:val="21"/>
          <w:highlight w:val="none"/>
        </w:rPr>
        <w:t>发布</w:t>
      </w:r>
      <w:r>
        <w:rPr>
          <w:rFonts w:ascii="宋体" w:hAnsi="宋体"/>
          <w:color w:val="auto"/>
          <w:spacing w:val="-2"/>
          <w:kern w:val="0"/>
          <w:szCs w:val="21"/>
          <w:highlight w:val="none"/>
        </w:rPr>
        <w:t>的相关操作指引</w:t>
      </w:r>
      <w:r>
        <w:rPr>
          <w:rFonts w:hint="eastAsia" w:ascii="宋体" w:hAnsi="宋体"/>
          <w:color w:val="auto"/>
          <w:spacing w:val="-2"/>
          <w:kern w:val="0"/>
          <w:szCs w:val="21"/>
          <w:highlight w:val="none"/>
        </w:rPr>
        <w:t>。</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8.6  在规定的投标截止时间，投标登记的申请单位不足3名时，招标人有权：</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（1）发布公告延长接受投标登记时间。在延期投标登记时间内，已投标登记申请单位的资料仍有效并可自行补充资料，未投标登记的申请单位可根据公告的约定参与投标登记。</w:t>
      </w:r>
    </w:p>
    <w:p>
      <w:pPr>
        <w:spacing w:line="360" w:lineRule="auto"/>
        <w:ind w:firstLine="412" w:firstLineChars="200"/>
        <w:jc w:val="left"/>
        <w:rPr>
          <w:rFonts w:ascii="宋体" w:hAnsi="宋体"/>
          <w:color w:val="auto"/>
          <w:spacing w:val="-2"/>
          <w:kern w:val="0"/>
          <w:szCs w:val="21"/>
          <w:highlight w:val="none"/>
        </w:rPr>
      </w:pPr>
      <w:r>
        <w:rPr>
          <w:rFonts w:hint="eastAsia" w:ascii="宋体" w:hAnsi="宋体"/>
          <w:color w:val="auto"/>
          <w:spacing w:val="-2"/>
          <w:kern w:val="0"/>
          <w:szCs w:val="21"/>
          <w:highlight w:val="none"/>
        </w:rPr>
        <w:t>（2）依法重新招标。</w:t>
      </w:r>
    </w:p>
    <w:p>
      <w:pPr>
        <w:pStyle w:val="4"/>
        <w:spacing w:line="360" w:lineRule="auto"/>
        <w:rPr>
          <w:rFonts w:ascii="宋体" w:hAnsi="宋体"/>
          <w:b/>
          <w:color w:val="auto"/>
          <w:spacing w:val="1"/>
          <w:sz w:val="21"/>
          <w:szCs w:val="21"/>
          <w:highlight w:val="none"/>
        </w:rPr>
      </w:pPr>
      <w:bookmarkStart w:id="7" w:name="_Toc25072054"/>
      <w:r>
        <w:rPr>
          <w:rFonts w:hint="eastAsia" w:ascii="宋体" w:hAnsi="宋体"/>
          <w:b/>
          <w:color w:val="auto"/>
          <w:spacing w:val="1"/>
          <w:sz w:val="21"/>
          <w:szCs w:val="21"/>
          <w:highlight w:val="none"/>
        </w:rPr>
        <w:t>9.发布公告的媒介</w:t>
      </w:r>
      <w:bookmarkEnd w:id="7"/>
    </w:p>
    <w:p>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position w:val="-4"/>
          <w:szCs w:val="21"/>
          <w:highlight w:val="none"/>
        </w:rPr>
        <w:t>本次</w:t>
      </w:r>
      <w:r>
        <w:rPr>
          <w:rFonts w:hint="eastAsia" w:ascii="宋体" w:hAnsi="宋体"/>
          <w:color w:val="auto"/>
          <w:spacing w:val="-2"/>
          <w:kern w:val="0"/>
          <w:position w:val="-4"/>
          <w:szCs w:val="21"/>
          <w:highlight w:val="none"/>
        </w:rPr>
        <w:t>招标公告同时在：广州公共资源中心交易网站（网址：http://www.gzggzy.cn）、广东省招标投标监管网（网址：http://zbtb.gd.gov.cn）和中国招标投标公共服务平台（网址：http://www.cebpubservice.com/）发布，本公告的修改、补充，在广州公共资源交易网发布。</w:t>
      </w:r>
    </w:p>
    <w:p>
      <w:pPr>
        <w:pStyle w:val="4"/>
        <w:spacing w:line="360" w:lineRule="auto"/>
        <w:rPr>
          <w:rFonts w:ascii="宋体" w:hAnsi="宋体"/>
          <w:b/>
          <w:color w:val="auto"/>
          <w:spacing w:val="1"/>
          <w:sz w:val="21"/>
          <w:szCs w:val="21"/>
          <w:highlight w:val="none"/>
        </w:rPr>
      </w:pPr>
      <w:bookmarkStart w:id="8" w:name="_Toc25072055"/>
      <w:r>
        <w:rPr>
          <w:rFonts w:hint="eastAsia" w:ascii="宋体" w:hAnsi="宋体"/>
          <w:b/>
          <w:color w:val="auto"/>
          <w:spacing w:val="1"/>
          <w:sz w:val="21"/>
          <w:szCs w:val="21"/>
          <w:highlight w:val="none"/>
        </w:rPr>
        <w:t>10.其它事项</w:t>
      </w:r>
      <w:bookmarkEnd w:id="8"/>
    </w:p>
    <w:p>
      <w:pPr>
        <w:spacing w:line="360" w:lineRule="auto"/>
        <w:ind w:firstLine="420" w:firstLineChars="200"/>
        <w:jc w:val="left"/>
        <w:rPr>
          <w:rFonts w:ascii="宋体" w:hAnsi="宋体"/>
          <w:b/>
          <w:color w:val="auto"/>
          <w:szCs w:val="21"/>
          <w:highlight w:val="none"/>
          <w:u w:val="single"/>
        </w:rPr>
      </w:pPr>
      <w:r>
        <w:rPr>
          <w:rFonts w:hint="eastAsia" w:ascii="宋体" w:hAnsi="宋体"/>
          <w:color w:val="auto"/>
          <w:szCs w:val="21"/>
          <w:highlight w:val="none"/>
        </w:rPr>
        <w:t>10.1  投标时是否需要提交设计模型：</w:t>
      </w:r>
      <w:r>
        <w:rPr>
          <w:rFonts w:hint="eastAsia" w:ascii="宋体" w:hAnsi="宋体"/>
          <w:b/>
          <w:color w:val="auto"/>
          <w:szCs w:val="21"/>
          <w:highlight w:val="none"/>
          <w:u w:val="single"/>
        </w:rPr>
        <w:t>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  投标人可自行通过相关的地图网址（如高德、百度等）观察本项目的周边环境。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10.3  项目的其他情况在设计任务书中详细介绍。本公告为招标文件的组成部分，更详细的信息以招标文件为准。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  电子招投标操作流程详见广州公共资源交易中心交易平台发布的相关操作指引。</w:t>
      </w:r>
    </w:p>
    <w:p>
      <w:pPr>
        <w:shd w:val="clear" w:color="auto" w:fill="FFFFFF"/>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10.5  潜在投标人或利害关系人对本招标公告及招标文件有异议的，</w:t>
      </w:r>
      <w:r>
        <w:rPr>
          <w:rFonts w:hint="eastAsia" w:ascii="宋体" w:hAnsi="宋体"/>
          <w:color w:val="auto"/>
          <w:szCs w:val="21"/>
          <w:highlight w:val="none"/>
          <w:lang w:eastAsia="zh-CN"/>
        </w:rPr>
        <w:t>应当在投标截止时间</w:t>
      </w:r>
      <w:r>
        <w:rPr>
          <w:rFonts w:hint="eastAsia" w:ascii="宋体" w:hAnsi="宋体"/>
          <w:color w:val="auto"/>
          <w:szCs w:val="21"/>
          <w:highlight w:val="none"/>
          <w:lang w:val="en-US" w:eastAsia="zh-CN"/>
        </w:rPr>
        <w:t>10日前</w:t>
      </w:r>
      <w:r>
        <w:rPr>
          <w:rFonts w:hint="eastAsia" w:ascii="宋体" w:hAnsi="宋体"/>
          <w:color w:val="auto"/>
          <w:szCs w:val="21"/>
          <w:highlight w:val="none"/>
        </w:rPr>
        <w:t>向招标人书面提出。</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异议受理部门：</w:t>
      </w:r>
      <w:r>
        <w:rPr>
          <w:rFonts w:hint="eastAsia" w:ascii="宋体" w:hAnsi="宋体"/>
          <w:color w:val="auto"/>
          <w:szCs w:val="21"/>
          <w:highlight w:val="none"/>
          <w:u w:val="single"/>
        </w:rPr>
        <w:t>广州市城市排水有限公司</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异议受理</w:t>
      </w:r>
      <w:r>
        <w:rPr>
          <w:rFonts w:ascii="宋体" w:hAnsi="宋体"/>
          <w:color w:val="auto"/>
          <w:szCs w:val="21"/>
          <w:highlight w:val="none"/>
        </w:rPr>
        <w:t>电话：</w:t>
      </w:r>
      <w:r>
        <w:rPr>
          <w:rFonts w:hint="eastAsia" w:ascii="宋体" w:hAnsi="宋体"/>
          <w:color w:val="auto"/>
          <w:szCs w:val="21"/>
          <w:highlight w:val="none"/>
          <w:lang w:val="en-US" w:eastAsia="zh-CN"/>
        </w:rPr>
        <w:t>020-</w:t>
      </w:r>
      <w:r>
        <w:rPr>
          <w:rFonts w:hint="eastAsia" w:ascii="宋体" w:hAnsi="宋体" w:cs="宋体"/>
          <w:color w:val="auto"/>
          <w:szCs w:val="21"/>
          <w:highlight w:val="none"/>
          <w:u w:val="single"/>
        </w:rPr>
        <w:t>34397651</w:t>
      </w:r>
    </w:p>
    <w:p>
      <w:pPr>
        <w:snapToGrid w:val="0"/>
        <w:spacing w:line="360" w:lineRule="auto"/>
        <w:ind w:firstLine="420" w:firstLineChars="200"/>
        <w:rPr>
          <w:rStyle w:val="21"/>
          <w:color w:val="auto"/>
          <w:highlight w:val="none"/>
        </w:rPr>
      </w:pPr>
      <w:r>
        <w:rPr>
          <w:rFonts w:ascii="宋体" w:hAnsi="宋体"/>
          <w:color w:val="auto"/>
          <w:szCs w:val="21"/>
          <w:highlight w:val="none"/>
        </w:rPr>
        <w:t>地址：</w:t>
      </w:r>
      <w:r>
        <w:rPr>
          <w:rFonts w:hint="eastAsia" w:ascii="宋体" w:hAnsi="宋体"/>
          <w:color w:val="auto"/>
          <w:szCs w:val="21"/>
          <w:highlight w:val="none"/>
        </w:rPr>
        <w:t>广州市海珠区琶洲大道东1号保利国际广场南塔8楼</w:t>
      </w:r>
    </w:p>
    <w:p>
      <w:pPr>
        <w:snapToGrid w:val="0"/>
        <w:spacing w:line="360" w:lineRule="auto"/>
        <w:ind w:firstLine="420" w:firstLineChars="200"/>
        <w:rPr>
          <w:rFonts w:hint="eastAsia" w:ascii="宋体" w:hAnsi="宋体" w:eastAsia="宋体"/>
          <w:color w:val="auto"/>
          <w:szCs w:val="21"/>
          <w:highlight w:val="none"/>
          <w:lang w:eastAsia="zh-CN"/>
        </w:rPr>
      </w:pPr>
      <w:r>
        <w:rPr>
          <w:rStyle w:val="21"/>
          <w:rFonts w:hint="eastAsia"/>
          <w:color w:val="auto"/>
          <w:highlight w:val="non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10.6  招标人不集中组织现场考察，由投标人自行考察。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  前期服务机构名称：</w:t>
      </w:r>
      <w:r>
        <w:rPr>
          <w:rFonts w:hint="eastAsia" w:ascii="宋体" w:hAnsi="宋体"/>
          <w:color w:val="auto"/>
          <w:szCs w:val="21"/>
          <w:highlight w:val="none"/>
          <w:u w:val="single"/>
        </w:rPr>
        <w:t>广州市水务规划勘测设计研究院有限公司（建设方案编制单位）</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注：如果有前期服务机构，应公开披露其名称。如果前期服务机构参加本次投标，应将本公告发布前最终完成的工作成果（含电子文件）在投标人购买（或下载）招标文件的同时提供给所有投标人参考，否则前期参与的服务机构中标无效。</w:t>
      </w:r>
    </w:p>
    <w:p>
      <w:pPr>
        <w:pStyle w:val="4"/>
        <w:spacing w:line="360" w:lineRule="auto"/>
        <w:rPr>
          <w:rFonts w:ascii="宋体" w:hAnsi="宋体"/>
          <w:b/>
          <w:color w:val="auto"/>
          <w:spacing w:val="1"/>
          <w:sz w:val="21"/>
          <w:szCs w:val="21"/>
          <w:highlight w:val="none"/>
        </w:rPr>
      </w:pPr>
      <w:bookmarkStart w:id="9" w:name="_Toc25072056"/>
      <w:r>
        <w:rPr>
          <w:rFonts w:hint="eastAsia" w:ascii="宋体" w:hAnsi="宋体"/>
          <w:b/>
          <w:color w:val="auto"/>
          <w:spacing w:val="1"/>
          <w:sz w:val="21"/>
          <w:szCs w:val="21"/>
          <w:highlight w:val="none"/>
        </w:rPr>
        <w:t>11.联系方式</w:t>
      </w:r>
      <w:bookmarkEnd w:id="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招标人名称：</w:t>
      </w:r>
      <w:r>
        <w:rPr>
          <w:rFonts w:hint="eastAsia" w:ascii="宋体" w:hAnsi="宋体"/>
          <w:color w:val="auto"/>
          <w:szCs w:val="21"/>
          <w:highlight w:val="none"/>
          <w:u w:val="single"/>
        </w:rPr>
        <w:t>广州市城市排水有限公司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邮政编码、地址：</w:t>
      </w:r>
      <w:r>
        <w:rPr>
          <w:rFonts w:ascii="宋体" w:hAnsi="宋体"/>
          <w:color w:val="auto"/>
          <w:szCs w:val="21"/>
          <w:highlight w:val="none"/>
          <w:u w:val="single"/>
        </w:rPr>
        <w:t>510000</w:t>
      </w:r>
      <w:r>
        <w:rPr>
          <w:rFonts w:hint="eastAsia" w:ascii="宋体" w:hAnsi="宋体"/>
          <w:color w:val="auto"/>
          <w:szCs w:val="21"/>
          <w:highlight w:val="none"/>
          <w:u w:val="single"/>
        </w:rPr>
        <w:t>、广州市海珠区琶洲大道东1号保利国际广场南塔8楼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陈工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电话（手机）号码：</w:t>
      </w:r>
      <w:r>
        <w:rPr>
          <w:rFonts w:hint="eastAsia" w:ascii="宋体" w:hAnsi="宋体" w:cs="宋体"/>
          <w:color w:val="auto"/>
          <w:szCs w:val="21"/>
          <w:highlight w:val="none"/>
          <w:u w:val="single"/>
        </w:rPr>
        <w:t>020-34397651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  </w:t>
      </w:r>
    </w:p>
    <w:p>
      <w:pPr>
        <w:pStyle w:val="17"/>
        <w:ind w:left="420" w:firstLine="42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招标代理名称：</w:t>
      </w:r>
      <w:r>
        <w:rPr>
          <w:rFonts w:hint="eastAsia" w:ascii="宋体" w:hAnsi="宋体"/>
          <w:color w:val="auto"/>
          <w:szCs w:val="21"/>
          <w:highlight w:val="none"/>
          <w:u w:val="single"/>
        </w:rPr>
        <w:t>广州珠江监理咨询集团有限公司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邮政编码、地址：</w:t>
      </w:r>
      <w:r>
        <w:rPr>
          <w:rFonts w:hint="eastAsia" w:ascii="宋体" w:hAnsi="宋体"/>
          <w:color w:val="auto"/>
          <w:szCs w:val="21"/>
          <w:highlight w:val="none"/>
          <w:u w:val="single"/>
        </w:rPr>
        <w:t>510095、广州市越秀区永泰路50号101房</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联系人：张</w:t>
      </w:r>
      <w:r>
        <w:rPr>
          <w:rFonts w:hint="eastAsia" w:ascii="宋体" w:hAnsi="宋体"/>
          <w:color w:val="auto"/>
          <w:szCs w:val="21"/>
          <w:highlight w:val="none"/>
          <w:u w:val="single"/>
        </w:rPr>
        <w:t>工、赵工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电话（手机）号码：020-83492175</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u w:val="single"/>
        </w:rPr>
      </w:pPr>
      <w:r>
        <w:rPr>
          <w:rFonts w:hint="eastAsia" w:ascii="宋体" w:hAnsi="宋体" w:cs="宋体"/>
          <w:color w:val="auto"/>
          <w:szCs w:val="21"/>
          <w:highlight w:val="none"/>
        </w:rPr>
        <w:t>电子</w:t>
      </w:r>
      <w:r>
        <w:rPr>
          <w:rFonts w:hint="eastAsia" w:ascii="宋体" w:hAnsi="宋体"/>
          <w:color w:val="auto"/>
          <w:szCs w:val="21"/>
          <w:highlight w:val="none"/>
        </w:rPr>
        <w:t>邮</w:t>
      </w:r>
      <w:r>
        <w:rPr>
          <w:rFonts w:hint="eastAsia" w:ascii="宋体" w:hAnsi="宋体" w:cs="宋体"/>
          <w:color w:val="auto"/>
          <w:szCs w:val="21"/>
          <w:highlight w:val="none"/>
        </w:rPr>
        <w:t>箱</w:t>
      </w:r>
      <w:r>
        <w:rPr>
          <w:rFonts w:hint="eastAsia" w:ascii="宋体" w:hAnsi="宋体"/>
          <w:color w:val="auto"/>
          <w:szCs w:val="21"/>
          <w:highlight w:val="none"/>
        </w:rPr>
        <w:t>：</w:t>
      </w:r>
      <w:r>
        <w:rPr>
          <w:rFonts w:hint="eastAsia" w:ascii="宋体" w:hAnsi="宋体"/>
          <w:color w:val="auto"/>
          <w:szCs w:val="21"/>
          <w:highlight w:val="none"/>
          <w:u w:val="single"/>
        </w:rPr>
        <w:t xml:space="preserve">  /  </w:t>
      </w:r>
    </w:p>
    <w:p>
      <w:pPr>
        <w:pStyle w:val="17"/>
        <w:ind w:left="420" w:firstLine="42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交易服务机构名称：</w:t>
      </w:r>
      <w:r>
        <w:rPr>
          <w:rFonts w:hint="eastAsia" w:ascii="宋体" w:hAnsi="宋体"/>
          <w:color w:val="auto"/>
          <w:szCs w:val="21"/>
          <w:highlight w:val="none"/>
          <w:u w:val="single"/>
        </w:rPr>
        <w:t>广州公共资源交易中心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邮政编码、地址：</w:t>
      </w:r>
      <w:r>
        <w:rPr>
          <w:rFonts w:ascii="宋体" w:hAnsi="宋体"/>
          <w:color w:val="auto"/>
          <w:szCs w:val="21"/>
          <w:highlight w:val="none"/>
          <w:u w:val="single"/>
        </w:rPr>
        <w:t>510635</w:t>
      </w:r>
      <w:r>
        <w:rPr>
          <w:rFonts w:hint="eastAsia" w:ascii="宋体" w:hAnsi="宋体"/>
          <w:color w:val="auto"/>
          <w:szCs w:val="21"/>
          <w:highlight w:val="none"/>
          <w:u w:val="single"/>
        </w:rPr>
        <w:t xml:space="preserve">   广州市天河区天润路333号4楼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电话（手机）号码：</w:t>
      </w:r>
      <w:r>
        <w:rPr>
          <w:rFonts w:hint="eastAsia" w:ascii="宋体" w:hAnsi="宋体"/>
          <w:color w:val="auto"/>
          <w:szCs w:val="21"/>
          <w:highlight w:val="none"/>
          <w:u w:val="single"/>
        </w:rPr>
        <w:t>020-</w:t>
      </w:r>
      <w:r>
        <w:rPr>
          <w:rFonts w:hint="eastAsia" w:ascii="宋体" w:hAnsi="宋体"/>
          <w:bCs/>
          <w:color w:val="auto"/>
          <w:szCs w:val="21"/>
          <w:highlight w:val="none"/>
          <w:u w:val="single"/>
        </w:rPr>
        <w:t>28866076</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020-28866141</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网址：</w:t>
      </w:r>
      <w:r>
        <w:rPr>
          <w:rFonts w:ascii="宋体" w:hAnsi="宋体"/>
          <w:color w:val="auto"/>
          <w:szCs w:val="21"/>
          <w:highlight w:val="none"/>
          <w:u w:val="single"/>
        </w:rPr>
        <w:t>http://www.gzggzy.cn</w:t>
      </w:r>
    </w:p>
    <w:p>
      <w:pPr>
        <w:pStyle w:val="17"/>
        <w:ind w:left="420" w:firstLine="420"/>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招标管理机构名称：</w:t>
      </w:r>
      <w:r>
        <w:rPr>
          <w:rFonts w:hint="eastAsia" w:ascii="宋体" w:hAnsi="宋体"/>
          <w:color w:val="auto"/>
          <w:szCs w:val="21"/>
          <w:highlight w:val="none"/>
          <w:u w:val="single"/>
        </w:rPr>
        <w:t>广州市水务工程招标投标管理中心</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邮政编码、地址：</w:t>
      </w:r>
      <w:r>
        <w:rPr>
          <w:rFonts w:hint="eastAsia" w:ascii="宋体" w:hAnsi="宋体"/>
          <w:color w:val="auto"/>
          <w:szCs w:val="21"/>
          <w:highlight w:val="none"/>
          <w:u w:val="single"/>
        </w:rPr>
        <w:t>510000、广州市天河区瘦狗岭路555号402室</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电话号码：</w:t>
      </w:r>
      <w:r>
        <w:rPr>
          <w:rFonts w:ascii="宋体" w:hAnsi="宋体"/>
          <w:color w:val="auto"/>
          <w:szCs w:val="21"/>
          <w:highlight w:val="none"/>
          <w:u w:val="single"/>
        </w:rPr>
        <w:t>020-88521061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  </w:t>
      </w:r>
    </w:p>
    <w:p>
      <w:pPr>
        <w:pStyle w:val="17"/>
        <w:ind w:left="420" w:firstLine="420"/>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s="宋体"/>
          <w:color w:val="auto"/>
          <w:szCs w:val="21"/>
          <w:highlight w:val="none"/>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p>
    <w:p>
      <w:pPr>
        <w:pStyle w:val="2"/>
        <w:autoSpaceDE w:val="0"/>
        <w:spacing w:line="360" w:lineRule="auto"/>
        <w:ind w:firstLine="0" w:firstLineChars="0"/>
        <w:rPr>
          <w:rFonts w:ascii="宋体" w:hAnsi="宋体" w:eastAsia="宋体"/>
          <w:color w:val="auto"/>
          <w:sz w:val="21"/>
          <w:szCs w:val="21"/>
          <w:highlight w:val="none"/>
          <w:lang w:eastAsia="zh-CN"/>
        </w:rPr>
      </w:pPr>
    </w:p>
    <w:p>
      <w:pPr>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附件一：</w:t>
      </w:r>
    </w:p>
    <w:p>
      <w:pPr>
        <w:spacing w:before="260" w:after="260" w:line="415"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投标申请人声明</w:t>
      </w:r>
    </w:p>
    <w:p>
      <w:pPr>
        <w:snapToGrid w:val="0"/>
        <w:spacing w:before="312" w:beforeLines="100" w:after="312" w:afterLines="100" w:line="360" w:lineRule="auto"/>
        <w:rPr>
          <w:color w:val="auto"/>
          <w:szCs w:val="21"/>
          <w:highlight w:val="none"/>
        </w:rPr>
      </w:pPr>
      <w:r>
        <w:rPr>
          <w:rFonts w:hint="eastAsia"/>
          <w:color w:val="auto"/>
          <w:szCs w:val="21"/>
          <w:highlight w:val="none"/>
        </w:rPr>
        <w:t>广州市水务局、本招标项目招标人及招标监管机构：</w:t>
      </w:r>
    </w:p>
    <w:p>
      <w:pPr>
        <w:snapToGrid w:val="0"/>
        <w:spacing w:line="360" w:lineRule="auto"/>
        <w:ind w:firstLine="420" w:firstLineChars="200"/>
        <w:rPr>
          <w:color w:val="auto"/>
          <w:szCs w:val="21"/>
          <w:highlight w:val="none"/>
        </w:rPr>
      </w:pPr>
      <w:r>
        <w:rPr>
          <w:rFonts w:hint="eastAsia"/>
          <w:color w:val="auto"/>
          <w:szCs w:val="21"/>
          <w:highlight w:val="none"/>
        </w:rPr>
        <w:t>本公司就参加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项目投标工作，作出郑重声明：</w:t>
      </w:r>
    </w:p>
    <w:p>
      <w:pPr>
        <w:snapToGrid w:val="0"/>
        <w:spacing w:line="360" w:lineRule="auto"/>
        <w:ind w:firstLine="420" w:firstLineChars="200"/>
        <w:rPr>
          <w:color w:val="auto"/>
          <w:szCs w:val="21"/>
          <w:highlight w:val="none"/>
        </w:rPr>
      </w:pPr>
      <w:r>
        <w:rPr>
          <w:rFonts w:hint="eastAsia"/>
          <w:color w:val="auto"/>
          <w:szCs w:val="21"/>
          <w:highlight w:val="none"/>
        </w:rPr>
        <w:t>一、本公司保证投标投标登记及其后提供的一切材料都是真实的。</w:t>
      </w:r>
    </w:p>
    <w:p>
      <w:pPr>
        <w:snapToGrid w:val="0"/>
        <w:spacing w:line="360" w:lineRule="auto"/>
        <w:ind w:firstLine="420" w:firstLineChars="200"/>
        <w:rPr>
          <w:color w:val="auto"/>
          <w:szCs w:val="21"/>
          <w:highlight w:val="none"/>
        </w:rPr>
      </w:pPr>
      <w:r>
        <w:rPr>
          <w:rFonts w:hint="eastAsia"/>
          <w:color w:val="auto"/>
          <w:szCs w:val="21"/>
          <w:highlight w:val="none"/>
        </w:rPr>
        <w:t>二、本公司保证在本项目投标中不与其他单位围标、串标，不出让投标资格，不向招标人或评标委员会成员行贿。</w:t>
      </w:r>
    </w:p>
    <w:p>
      <w:pPr>
        <w:snapToGrid w:val="0"/>
        <w:spacing w:line="360" w:lineRule="auto"/>
        <w:ind w:firstLine="420" w:firstLineChars="200"/>
        <w:rPr>
          <w:color w:val="auto"/>
          <w:szCs w:val="21"/>
          <w:highlight w:val="none"/>
        </w:rPr>
      </w:pPr>
      <w:r>
        <w:rPr>
          <w:rFonts w:hint="eastAsia"/>
          <w:color w:val="auto"/>
          <w:szCs w:val="21"/>
          <w:highlight w:val="none"/>
        </w:rPr>
        <w:t>三、本公司保证不存在以下情形之一：</w:t>
      </w:r>
    </w:p>
    <w:p>
      <w:pPr>
        <w:snapToGrid w:val="0"/>
        <w:spacing w:line="360" w:lineRule="auto"/>
        <w:ind w:firstLine="420" w:firstLineChars="200"/>
        <w:rPr>
          <w:color w:val="auto"/>
          <w:szCs w:val="21"/>
          <w:highlight w:val="none"/>
        </w:rPr>
      </w:pPr>
      <w:r>
        <w:rPr>
          <w:rFonts w:hint="eastAsia"/>
          <w:color w:val="auto"/>
          <w:szCs w:val="21"/>
          <w:highlight w:val="none"/>
        </w:rPr>
        <w:t>（1）与招标人存在利害关系且可能影响招标公正性；</w:t>
      </w:r>
    </w:p>
    <w:p>
      <w:pPr>
        <w:snapToGrid w:val="0"/>
        <w:spacing w:line="360" w:lineRule="auto"/>
        <w:ind w:firstLine="420" w:firstLineChars="200"/>
        <w:rPr>
          <w:color w:val="auto"/>
          <w:szCs w:val="21"/>
          <w:highlight w:val="none"/>
        </w:rPr>
      </w:pPr>
      <w:r>
        <w:rPr>
          <w:rFonts w:hint="eastAsia"/>
          <w:color w:val="auto"/>
          <w:szCs w:val="21"/>
          <w:highlight w:val="none"/>
        </w:rPr>
        <w:t>（2）与本招标项目的其他投标人为同一个单位负责人；</w:t>
      </w:r>
    </w:p>
    <w:p>
      <w:pPr>
        <w:snapToGrid w:val="0"/>
        <w:spacing w:line="360" w:lineRule="auto"/>
        <w:ind w:firstLine="420" w:firstLineChars="200"/>
        <w:rPr>
          <w:color w:val="auto"/>
          <w:szCs w:val="21"/>
          <w:highlight w:val="none"/>
        </w:rPr>
      </w:pPr>
      <w:r>
        <w:rPr>
          <w:rFonts w:hint="eastAsia"/>
          <w:color w:val="auto"/>
          <w:szCs w:val="21"/>
          <w:highlight w:val="none"/>
        </w:rPr>
        <w:t>（3）与本招标项目的其他投标人存在控股、管理关系；</w:t>
      </w:r>
    </w:p>
    <w:p>
      <w:pPr>
        <w:snapToGrid w:val="0"/>
        <w:spacing w:line="360" w:lineRule="auto"/>
        <w:ind w:firstLine="420" w:firstLineChars="200"/>
        <w:rPr>
          <w:color w:val="auto"/>
          <w:szCs w:val="21"/>
          <w:highlight w:val="none"/>
        </w:rPr>
      </w:pPr>
      <w:r>
        <w:rPr>
          <w:rFonts w:hint="eastAsia"/>
          <w:color w:val="auto"/>
          <w:szCs w:val="21"/>
          <w:highlight w:val="none"/>
        </w:rPr>
        <w:t>（4）为本招标项目的代建人；</w:t>
      </w:r>
    </w:p>
    <w:p>
      <w:pPr>
        <w:snapToGrid w:val="0"/>
        <w:spacing w:line="360" w:lineRule="auto"/>
        <w:ind w:firstLine="420" w:firstLineChars="200"/>
        <w:rPr>
          <w:color w:val="auto"/>
          <w:szCs w:val="21"/>
          <w:highlight w:val="none"/>
        </w:rPr>
      </w:pPr>
      <w:r>
        <w:rPr>
          <w:rFonts w:hint="eastAsia"/>
          <w:color w:val="auto"/>
          <w:szCs w:val="21"/>
          <w:highlight w:val="none"/>
        </w:rPr>
        <w:t>（5）为本招标项目的招标代理机构；</w:t>
      </w:r>
    </w:p>
    <w:p>
      <w:pPr>
        <w:snapToGrid w:val="0"/>
        <w:spacing w:line="360" w:lineRule="auto"/>
        <w:ind w:firstLine="420" w:firstLineChars="200"/>
        <w:rPr>
          <w:color w:val="auto"/>
          <w:szCs w:val="21"/>
          <w:highlight w:val="none"/>
        </w:rPr>
      </w:pPr>
      <w:r>
        <w:rPr>
          <w:rFonts w:hint="eastAsia"/>
          <w:color w:val="auto"/>
          <w:szCs w:val="21"/>
          <w:highlight w:val="none"/>
        </w:rPr>
        <w:t>（6）与本招标项目的代建人或招标代理机构同为一个法定代表人；</w:t>
      </w:r>
    </w:p>
    <w:p>
      <w:pPr>
        <w:snapToGrid w:val="0"/>
        <w:spacing w:line="360" w:lineRule="auto"/>
        <w:ind w:firstLine="420" w:firstLineChars="200"/>
        <w:rPr>
          <w:color w:val="auto"/>
          <w:szCs w:val="21"/>
          <w:highlight w:val="none"/>
        </w:rPr>
      </w:pPr>
      <w:r>
        <w:rPr>
          <w:rFonts w:hint="eastAsia"/>
          <w:color w:val="auto"/>
          <w:szCs w:val="21"/>
          <w:highlight w:val="none"/>
        </w:rPr>
        <w:t>（7）与本招标项目的代建人或招标代理机构存在控股或参股关系；</w:t>
      </w:r>
    </w:p>
    <w:p>
      <w:pPr>
        <w:snapToGrid w:val="0"/>
        <w:spacing w:line="360" w:lineRule="auto"/>
        <w:ind w:firstLine="420" w:firstLineChars="200"/>
        <w:rPr>
          <w:color w:val="auto"/>
          <w:szCs w:val="21"/>
          <w:highlight w:val="none"/>
        </w:rPr>
      </w:pPr>
      <w:r>
        <w:rPr>
          <w:rFonts w:hint="eastAsia"/>
          <w:color w:val="auto"/>
          <w:szCs w:val="21"/>
          <w:highlight w:val="none"/>
        </w:rPr>
        <w:t>（8）被依法暂停或者取消投标资格；</w:t>
      </w:r>
    </w:p>
    <w:p>
      <w:pPr>
        <w:snapToGrid w:val="0"/>
        <w:spacing w:line="360" w:lineRule="auto"/>
        <w:ind w:firstLine="420" w:firstLineChars="200"/>
        <w:rPr>
          <w:color w:val="auto"/>
          <w:szCs w:val="21"/>
          <w:highlight w:val="none"/>
        </w:rPr>
      </w:pPr>
      <w:r>
        <w:rPr>
          <w:rFonts w:hint="eastAsia"/>
          <w:color w:val="auto"/>
          <w:szCs w:val="21"/>
          <w:highlight w:val="none"/>
        </w:rPr>
        <w:t>（9）被责令停产停业、暂扣或者吊销许可证、暂扣或者吊销执照；</w:t>
      </w:r>
    </w:p>
    <w:p>
      <w:pPr>
        <w:snapToGrid w:val="0"/>
        <w:spacing w:line="360" w:lineRule="auto"/>
        <w:ind w:firstLine="420" w:firstLineChars="200"/>
        <w:rPr>
          <w:color w:val="auto"/>
          <w:szCs w:val="21"/>
          <w:highlight w:val="none"/>
        </w:rPr>
      </w:pPr>
      <w:r>
        <w:rPr>
          <w:rFonts w:hint="eastAsia"/>
          <w:color w:val="auto"/>
          <w:szCs w:val="21"/>
          <w:highlight w:val="none"/>
        </w:rPr>
        <w:t>（10）进入清算程序，或被宣告破产，或其他丧失履约能力的情形；</w:t>
      </w:r>
    </w:p>
    <w:p>
      <w:pPr>
        <w:snapToGrid w:val="0"/>
        <w:spacing w:line="360" w:lineRule="auto"/>
        <w:ind w:firstLine="420" w:firstLineChars="200"/>
        <w:rPr>
          <w:color w:val="auto"/>
          <w:szCs w:val="21"/>
          <w:highlight w:val="none"/>
        </w:rPr>
      </w:pPr>
      <w:r>
        <w:rPr>
          <w:rFonts w:hint="eastAsia"/>
          <w:color w:val="auto"/>
          <w:szCs w:val="21"/>
          <w:highlight w:val="none"/>
        </w:rPr>
        <w:t>（11）在最近三年内发生重大产品质量问题（以相关行业主管部门的行政处罚决定或司法机关出具的有关法律文书为准）；</w:t>
      </w:r>
    </w:p>
    <w:p>
      <w:pPr>
        <w:snapToGrid w:val="0"/>
        <w:spacing w:line="360" w:lineRule="auto"/>
        <w:ind w:firstLine="420" w:firstLineChars="200"/>
        <w:rPr>
          <w:color w:val="auto"/>
          <w:szCs w:val="21"/>
          <w:highlight w:val="none"/>
        </w:rPr>
      </w:pPr>
      <w:r>
        <w:rPr>
          <w:rFonts w:hint="eastAsia"/>
          <w:color w:val="auto"/>
          <w:szCs w:val="21"/>
          <w:highlight w:val="none"/>
        </w:rPr>
        <w:t>（12）被工商行政管理机关在全国企业信用信息公示系统中列入严重违法失信企业名单；</w:t>
      </w:r>
    </w:p>
    <w:p>
      <w:pPr>
        <w:snapToGrid w:val="0"/>
        <w:spacing w:line="360" w:lineRule="auto"/>
        <w:ind w:firstLine="420" w:firstLineChars="200"/>
        <w:rPr>
          <w:color w:val="auto"/>
          <w:szCs w:val="21"/>
          <w:highlight w:val="none"/>
        </w:rPr>
      </w:pPr>
      <w:r>
        <w:rPr>
          <w:rFonts w:hint="eastAsia"/>
          <w:color w:val="auto"/>
          <w:szCs w:val="21"/>
          <w:highlight w:val="none"/>
        </w:rPr>
        <w:t>（13）被最高人民法院在“信用中国”网站（www.creditchina.gov.cn）或各级信用信息共享平台中列入失信被执行人名单；</w:t>
      </w:r>
    </w:p>
    <w:p>
      <w:pPr>
        <w:snapToGrid w:val="0"/>
        <w:spacing w:line="360" w:lineRule="auto"/>
        <w:ind w:firstLine="420" w:firstLineChars="200"/>
        <w:rPr>
          <w:color w:val="auto"/>
          <w:szCs w:val="21"/>
          <w:highlight w:val="none"/>
        </w:rPr>
      </w:pPr>
      <w:r>
        <w:rPr>
          <w:rFonts w:hint="eastAsia"/>
          <w:color w:val="auto"/>
          <w:szCs w:val="21"/>
          <w:highlight w:val="none"/>
        </w:rPr>
        <w:t>（14）被“信用广州”网站纳入失信被执行人名单（失信黑名单）</w:t>
      </w:r>
    </w:p>
    <w:p>
      <w:pPr>
        <w:snapToGrid w:val="0"/>
        <w:spacing w:line="360" w:lineRule="auto"/>
        <w:ind w:firstLine="420" w:firstLineChars="200"/>
        <w:rPr>
          <w:color w:val="auto"/>
          <w:szCs w:val="21"/>
          <w:highlight w:val="none"/>
        </w:rPr>
      </w:pPr>
      <w:r>
        <w:rPr>
          <w:rFonts w:hint="eastAsia"/>
          <w:color w:val="auto"/>
          <w:szCs w:val="21"/>
          <w:highlight w:val="none"/>
        </w:rPr>
        <w:t>（15）法律法规或投标人须知规定的其他情形。</w:t>
      </w:r>
    </w:p>
    <w:p>
      <w:pPr>
        <w:snapToGrid w:val="0"/>
        <w:spacing w:line="360" w:lineRule="auto"/>
        <w:ind w:firstLine="420" w:firstLineChars="200"/>
        <w:rPr>
          <w:color w:val="auto"/>
          <w:szCs w:val="21"/>
          <w:highlight w:val="none"/>
        </w:rPr>
      </w:pPr>
      <w:r>
        <w:rPr>
          <w:rFonts w:hint="eastAsia"/>
          <w:color w:val="auto"/>
          <w:szCs w:val="21"/>
          <w:highlight w:val="none"/>
        </w:rPr>
        <w:t>四、本公司及其有隶属关系的机构没有参加本项目的招标文件编写工作。</w:t>
      </w:r>
    </w:p>
    <w:p>
      <w:pPr>
        <w:snapToGrid w:val="0"/>
        <w:spacing w:line="360" w:lineRule="auto"/>
        <w:ind w:firstLine="420" w:firstLineChars="200"/>
        <w:rPr>
          <w:color w:val="auto"/>
          <w:szCs w:val="21"/>
          <w:highlight w:val="none"/>
        </w:rPr>
      </w:pPr>
      <w:r>
        <w:rPr>
          <w:rFonts w:hint="eastAsia"/>
          <w:color w:val="auto"/>
          <w:szCs w:val="21"/>
          <w:highlight w:val="none"/>
        </w:rPr>
        <w:t>五、本公司承诺，中标后不转包或违法分包。</w:t>
      </w:r>
    </w:p>
    <w:p>
      <w:pPr>
        <w:snapToGrid w:val="0"/>
        <w:spacing w:line="360" w:lineRule="auto"/>
        <w:ind w:firstLine="420" w:firstLineChars="200"/>
        <w:rPr>
          <w:color w:val="auto"/>
          <w:szCs w:val="21"/>
          <w:highlight w:val="none"/>
        </w:rPr>
      </w:pPr>
      <w:r>
        <w:rPr>
          <w:rFonts w:hint="eastAsia"/>
          <w:color w:val="auto"/>
          <w:szCs w:val="21"/>
          <w:highlight w:val="none"/>
        </w:rPr>
        <w:t>六、如我司通过本项目的资格审查或成为本项目中标候选人，我司同意并授权招标人将我司响应招标文件（或资格预审文件）资格能力条件（资质、营业执照等证书名称、等级、编号，人员、业绩）、投标文件商务部分（报价清单、勘察设计方案等涉及商业秘密的内容除外）等资料进行公示。</w:t>
      </w:r>
    </w:p>
    <w:p>
      <w:pPr>
        <w:snapToGrid w:val="0"/>
        <w:spacing w:line="360" w:lineRule="auto"/>
        <w:ind w:firstLine="420" w:firstLineChars="200"/>
        <w:rPr>
          <w:color w:val="auto"/>
          <w:szCs w:val="21"/>
          <w:highlight w:val="none"/>
        </w:rPr>
      </w:pPr>
      <w:r>
        <w:rPr>
          <w:rFonts w:hint="eastAsia"/>
          <w:color w:val="auto"/>
          <w:szCs w:val="21"/>
          <w:highlight w:val="none"/>
        </w:rPr>
        <w:t>本公司违反上述保证，或本声明陈述与事实不符，经查实，本公司除按招标文件或合同约定自愿接受招标人的处理外，还愿意接受公开通报或相应行政处罚，承担由此带来的所有法律后果。</w:t>
      </w:r>
    </w:p>
    <w:p>
      <w:pPr>
        <w:shd w:val="clear" w:color="auto" w:fill="FFFFFF"/>
        <w:spacing w:line="360" w:lineRule="auto"/>
        <w:ind w:firstLine="420" w:firstLineChars="200"/>
        <w:rPr>
          <w:color w:val="auto"/>
          <w:szCs w:val="21"/>
          <w:highlight w:val="none"/>
        </w:rPr>
      </w:pPr>
      <w:r>
        <w:rPr>
          <w:rFonts w:hint="eastAsia"/>
          <w:color w:val="auto"/>
          <w:szCs w:val="21"/>
          <w:highlight w:val="none"/>
        </w:rPr>
        <w:t>特此声明。</w:t>
      </w:r>
    </w:p>
    <w:p>
      <w:pPr>
        <w:snapToGrid w:val="0"/>
        <w:spacing w:line="360" w:lineRule="auto"/>
        <w:ind w:firstLine="3780" w:firstLineChars="1800"/>
        <w:rPr>
          <w:color w:val="auto"/>
          <w:szCs w:val="21"/>
          <w:highlight w:val="none"/>
        </w:rPr>
      </w:pPr>
    </w:p>
    <w:p>
      <w:pPr>
        <w:snapToGrid w:val="0"/>
        <w:spacing w:line="360" w:lineRule="auto"/>
        <w:ind w:firstLine="3780" w:firstLineChars="1800"/>
        <w:rPr>
          <w:color w:val="auto"/>
          <w:szCs w:val="21"/>
          <w:highlight w:val="none"/>
        </w:rPr>
      </w:pPr>
      <w:r>
        <w:rPr>
          <w:rFonts w:hint="eastAsia"/>
          <w:color w:val="auto"/>
          <w:szCs w:val="21"/>
          <w:highlight w:val="none"/>
        </w:rPr>
        <w:t>声明企业：           (企业公章)</w:t>
      </w:r>
    </w:p>
    <w:p>
      <w:pPr>
        <w:snapToGrid w:val="0"/>
        <w:spacing w:line="360" w:lineRule="auto"/>
        <w:ind w:firstLine="3721" w:firstLineChars="1772"/>
        <w:rPr>
          <w:color w:val="auto"/>
          <w:szCs w:val="21"/>
          <w:highlight w:val="none"/>
        </w:rPr>
      </w:pPr>
    </w:p>
    <w:p>
      <w:pPr>
        <w:snapToGrid w:val="0"/>
        <w:spacing w:line="360" w:lineRule="auto"/>
        <w:ind w:firstLine="3721" w:firstLineChars="1772"/>
        <w:rPr>
          <w:color w:val="auto"/>
          <w:szCs w:val="21"/>
          <w:highlight w:val="none"/>
        </w:rPr>
      </w:pPr>
      <w:r>
        <w:rPr>
          <w:rFonts w:hint="eastAsia"/>
          <w:color w:val="auto"/>
          <w:szCs w:val="21"/>
          <w:highlight w:val="none"/>
        </w:rPr>
        <w:t>法定代表人签字或盖章：</w:t>
      </w:r>
    </w:p>
    <w:p>
      <w:pPr>
        <w:spacing w:line="360" w:lineRule="auto"/>
        <w:ind w:firstLine="4305" w:firstLineChars="2050"/>
        <w:rPr>
          <w:color w:val="auto"/>
          <w:szCs w:val="21"/>
          <w:highlight w:val="none"/>
        </w:rPr>
      </w:pPr>
    </w:p>
    <w:p>
      <w:pPr>
        <w:spacing w:line="360" w:lineRule="auto"/>
        <w:ind w:firstLine="4305" w:firstLineChars="2050"/>
        <w:rPr>
          <w:rFonts w:ascii="宋体" w:hAnsi="宋体"/>
          <w:color w:val="auto"/>
          <w:spacing w:val="2"/>
          <w:kern w:val="0"/>
          <w:position w:val="-1"/>
          <w:sz w:val="32"/>
          <w:szCs w:val="32"/>
          <w:highlight w:val="none"/>
        </w:rPr>
      </w:pPr>
      <w:r>
        <w:rPr>
          <w:rFonts w:hint="eastAsia"/>
          <w:color w:val="auto"/>
          <w:szCs w:val="21"/>
          <w:highlight w:val="none"/>
        </w:rPr>
        <w:t>年  月  日</w:t>
      </w:r>
    </w:p>
    <w:p>
      <w:pPr>
        <w:pStyle w:val="32"/>
        <w:ind w:firstLine="2520" w:firstLineChars="1200"/>
        <w:jc w:val="right"/>
        <w:rPr>
          <w:rFonts w:ascii="宋体" w:hAnsi="宋体" w:eastAsia="宋体"/>
          <w:bCs/>
          <w:color w:val="auto"/>
          <w:sz w:val="21"/>
          <w:szCs w:val="21"/>
          <w:highlight w:val="none"/>
        </w:rPr>
      </w:pPr>
    </w:p>
    <w:p>
      <w:pPr>
        <w:pStyle w:val="32"/>
        <w:ind w:firstLine="2520" w:firstLineChars="1200"/>
        <w:jc w:val="right"/>
        <w:rPr>
          <w:rFonts w:ascii="宋体" w:hAnsi="宋体" w:eastAsia="宋体"/>
          <w:bCs/>
          <w:color w:val="auto"/>
          <w:sz w:val="21"/>
          <w:szCs w:val="21"/>
          <w:highlight w:val="none"/>
        </w:rPr>
      </w:pPr>
    </w:p>
    <w:p>
      <w:pPr>
        <w:adjustRightInd w:val="0"/>
        <w:snapToGrid w:val="0"/>
        <w:spacing w:line="360" w:lineRule="auto"/>
        <w:jc w:val="left"/>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7"/>
        <w:rPr>
          <w:rFonts w:ascii="宋体" w:hAnsi="宋体"/>
          <w:color w:val="auto"/>
          <w:sz w:val="24"/>
          <w:highlight w:val="none"/>
        </w:rPr>
      </w:pPr>
    </w:p>
    <w:p>
      <w:pPr>
        <w:rPr>
          <w:rFonts w:ascii="宋体" w:hAnsi="宋体"/>
          <w:color w:val="auto"/>
          <w:sz w:val="24"/>
          <w:highlight w:val="none"/>
        </w:rPr>
      </w:pPr>
    </w:p>
    <w:p>
      <w:pPr>
        <w:pStyle w:val="2"/>
        <w:ind w:firstLine="480"/>
        <w:rPr>
          <w:rFonts w:ascii="宋体" w:hAnsi="宋体"/>
          <w:color w:val="auto"/>
          <w:sz w:val="24"/>
          <w:highlight w:val="none"/>
          <w:lang w:eastAsia="zh-CN"/>
        </w:rPr>
      </w:pPr>
    </w:p>
    <w:p>
      <w:pPr>
        <w:pStyle w:val="2"/>
        <w:ind w:firstLine="480"/>
        <w:rPr>
          <w:rFonts w:ascii="宋体" w:hAnsi="宋体"/>
          <w:color w:val="auto"/>
          <w:sz w:val="24"/>
          <w:highlight w:val="none"/>
          <w:lang w:eastAsia="zh-CN"/>
        </w:rPr>
      </w:pPr>
    </w:p>
    <w:p>
      <w:pPr>
        <w:pStyle w:val="2"/>
        <w:ind w:firstLine="480"/>
        <w:rPr>
          <w:rFonts w:ascii="宋体" w:hAnsi="宋体"/>
          <w:color w:val="auto"/>
          <w:sz w:val="24"/>
          <w:highlight w:val="none"/>
          <w:lang w:eastAsia="zh-CN"/>
        </w:rPr>
      </w:pPr>
    </w:p>
    <w:p>
      <w:pPr>
        <w:pStyle w:val="2"/>
        <w:ind w:firstLine="480"/>
        <w:rPr>
          <w:rFonts w:ascii="宋体" w:hAnsi="宋体" w:eastAsia="宋体"/>
          <w:color w:val="auto"/>
          <w:sz w:val="24"/>
          <w:highlight w:val="none"/>
          <w:lang w:eastAsia="zh-CN"/>
        </w:rPr>
      </w:pPr>
    </w:p>
    <w:p>
      <w:pPr>
        <w:rPr>
          <w:color w:val="auto"/>
          <w:highlight w:val="none"/>
        </w:rPr>
      </w:pPr>
    </w:p>
    <w:p>
      <w:pPr>
        <w:pStyle w:val="2"/>
        <w:ind w:firstLine="440"/>
        <w:rPr>
          <w:rFonts w:eastAsia="宋体"/>
          <w:color w:val="auto"/>
          <w:highlight w:val="none"/>
          <w:lang w:eastAsia="zh-CN"/>
        </w:rPr>
      </w:pPr>
    </w:p>
    <w:p>
      <w:pPr>
        <w:rPr>
          <w:color w:val="auto"/>
          <w:highlight w:val="none"/>
        </w:rPr>
      </w:pPr>
    </w:p>
    <w:p>
      <w:pPr>
        <w:pStyle w:val="2"/>
        <w:ind w:firstLine="440"/>
        <w:rPr>
          <w:rFonts w:eastAsia="宋体"/>
          <w:color w:val="auto"/>
          <w:highlight w:val="none"/>
          <w:lang w:eastAsia="zh-CN"/>
        </w:rPr>
      </w:pPr>
    </w:p>
    <w:p>
      <w:pPr>
        <w:pStyle w:val="7"/>
        <w:rPr>
          <w:color w:val="auto"/>
          <w:highlight w:val="none"/>
        </w:rPr>
      </w:pPr>
    </w:p>
    <w:p>
      <w:pPr>
        <w:pStyle w:val="15"/>
        <w:spacing w:line="480" w:lineRule="exact"/>
        <w:ind w:firstLine="480"/>
        <w:rPr>
          <w:color w:val="auto"/>
          <w:highlight w:val="none"/>
        </w:rPr>
      </w:pPr>
      <w:r>
        <w:rPr>
          <w:rFonts w:hint="eastAsia"/>
          <w:color w:val="auto"/>
          <w:highlight w:val="none"/>
        </w:rPr>
        <w:t xml:space="preserve">附件二：               </w:t>
      </w:r>
    </w:p>
    <w:p>
      <w:pPr>
        <w:pStyle w:val="15"/>
        <w:spacing w:line="480" w:lineRule="exact"/>
        <w:ind w:firstLine="480"/>
        <w:jc w:val="center"/>
        <w:rPr>
          <w:rFonts w:cs="宋体"/>
          <w:b/>
          <w:bCs/>
          <w:color w:val="auto"/>
          <w:sz w:val="32"/>
          <w:szCs w:val="32"/>
          <w:highlight w:val="none"/>
        </w:rPr>
      </w:pPr>
      <w:r>
        <w:rPr>
          <w:rFonts w:hint="eastAsia" w:cs="宋体"/>
          <w:b/>
          <w:bCs/>
          <w:color w:val="auto"/>
          <w:sz w:val="32"/>
          <w:szCs w:val="32"/>
          <w:highlight w:val="none"/>
        </w:rPr>
        <w:t>投标人廉洁承诺书</w:t>
      </w:r>
    </w:p>
    <w:p>
      <w:pPr>
        <w:pStyle w:val="15"/>
        <w:shd w:val="clear" w:color="auto" w:fill="FFFFFF"/>
        <w:spacing w:line="480" w:lineRule="exact"/>
        <w:ind w:firstLine="480"/>
        <w:rPr>
          <w:rFonts w:cs="宋体"/>
          <w:color w:val="auto"/>
          <w:highlight w:val="none"/>
        </w:rPr>
      </w:pPr>
      <w:r>
        <w:rPr>
          <w:rFonts w:hint="eastAsia" w:cs="宋体"/>
          <w:color w:val="auto"/>
          <w:highlight w:val="none"/>
        </w:rPr>
        <w:t>广州市水务局、本招标项目招标人及招标监管机构：</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本公司参加了</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一、自觉遵守国家有关法律法规及廉洁规定。</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二、不与招标单位工作人员串通投标，损害国家利益、企业利益以及他人的合法利益；</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三、不与其他单位围标、串标，不出让投标资格，不向招标人或评标委员会成员行贿。</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五、不以任何名义接受或暗示为参与招标、评标工作的有关人员装修住房、婚丧嫁取、配偶子女的工作安排以及境内外旅游等提供方便；</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六、不以谋取非正当利益为目的，擅自与参与招标、评标工作的有关人员就业务问题进行私下商谈或者达成利益默契；</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七、按法律规定及合同约定保修合同工程，履行本合同所约定的全部义务。</w:t>
      </w:r>
    </w:p>
    <w:p>
      <w:pPr>
        <w:pStyle w:val="10"/>
        <w:spacing w:line="480" w:lineRule="exact"/>
        <w:ind w:right="420" w:firstLine="720" w:firstLineChars="300"/>
        <w:rPr>
          <w:rFonts w:hAnsi="宋体" w:cs="宋体"/>
          <w:color w:val="auto"/>
          <w:sz w:val="24"/>
          <w:szCs w:val="24"/>
          <w:highlight w:val="none"/>
        </w:rPr>
      </w:pPr>
      <w:r>
        <w:rPr>
          <w:rFonts w:hint="eastAsia"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pStyle w:val="10"/>
        <w:spacing w:line="480" w:lineRule="exact"/>
        <w:ind w:right="420" w:firstLine="720" w:firstLineChars="300"/>
        <w:rPr>
          <w:rFonts w:hAnsi="宋体" w:cs="宋体"/>
          <w:color w:val="auto"/>
          <w:sz w:val="24"/>
          <w:szCs w:val="24"/>
          <w:highlight w:val="none"/>
        </w:rPr>
      </w:pPr>
      <w:r>
        <w:rPr>
          <w:rFonts w:hint="eastAsia"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pStyle w:val="10"/>
        <w:spacing w:line="480" w:lineRule="exact"/>
        <w:ind w:right="420" w:firstLine="480" w:firstLineChars="200"/>
        <w:rPr>
          <w:rFonts w:hAnsi="宋体" w:cs="宋体"/>
          <w:color w:val="auto"/>
          <w:sz w:val="24"/>
          <w:szCs w:val="24"/>
          <w:highlight w:val="none"/>
        </w:rPr>
      </w:pPr>
      <w:r>
        <w:rPr>
          <w:rFonts w:hint="eastAsia" w:hAnsi="宋体" w:cs="宋体"/>
          <w:color w:val="auto"/>
          <w:sz w:val="24"/>
          <w:szCs w:val="24"/>
          <w:highlight w:val="none"/>
        </w:rPr>
        <w:t xml:space="preserve"> 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pStyle w:val="10"/>
        <w:spacing w:line="480" w:lineRule="exact"/>
        <w:ind w:right="420" w:firstLine="645"/>
        <w:rPr>
          <w:rFonts w:hAnsi="宋体" w:cs="宋体"/>
          <w:color w:val="auto"/>
          <w:sz w:val="24"/>
          <w:szCs w:val="24"/>
          <w:highlight w:val="none"/>
        </w:rPr>
      </w:pPr>
      <w:r>
        <w:rPr>
          <w:rFonts w:hint="eastAsia"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pStyle w:val="15"/>
        <w:shd w:val="clear" w:color="auto" w:fill="FFFFFF"/>
        <w:spacing w:line="480" w:lineRule="exact"/>
        <w:ind w:firstLine="645"/>
        <w:rPr>
          <w:rFonts w:cs="宋体"/>
          <w:color w:val="auto"/>
          <w:highlight w:val="none"/>
        </w:rPr>
      </w:pPr>
      <w:r>
        <w:rPr>
          <w:rFonts w:hint="eastAsia" w:cs="宋体"/>
          <w:color w:val="auto"/>
          <w:highlight w:val="none"/>
        </w:rPr>
        <w:t>本公司违反上述承诺，或本承诺陈述与事实不符，经查实，本公司愿意接受公开通报，承担由此带来的法律后果，并自愿停止参加广州市行政辖区内的招标投标活动三个月。</w:t>
      </w:r>
    </w:p>
    <w:p>
      <w:pPr>
        <w:pStyle w:val="15"/>
        <w:shd w:val="clear" w:color="auto" w:fill="FFFFFF"/>
        <w:spacing w:line="480" w:lineRule="exact"/>
        <w:ind w:firstLine="645"/>
        <w:rPr>
          <w:rFonts w:cs="宋体"/>
          <w:color w:val="auto"/>
          <w:highlight w:val="none"/>
        </w:rPr>
      </w:pPr>
      <w:r>
        <w:rPr>
          <w:rFonts w:hint="eastAsia" w:cs="宋体"/>
          <w:color w:val="auto"/>
          <w:highlight w:val="none"/>
        </w:rPr>
        <w:t>特此承诺</w:t>
      </w:r>
    </w:p>
    <w:p>
      <w:pPr>
        <w:pStyle w:val="15"/>
        <w:shd w:val="clear" w:color="auto" w:fill="FFFFFF"/>
        <w:spacing w:line="480" w:lineRule="exact"/>
        <w:ind w:right="1455" w:firstLine="2880"/>
        <w:jc w:val="right"/>
        <w:rPr>
          <w:rFonts w:cs="宋体"/>
          <w:color w:val="auto"/>
          <w:highlight w:val="none"/>
        </w:rPr>
      </w:pPr>
    </w:p>
    <w:p>
      <w:pPr>
        <w:pStyle w:val="15"/>
        <w:shd w:val="clear" w:color="auto" w:fill="FFFFFF"/>
        <w:spacing w:line="480" w:lineRule="exact"/>
        <w:ind w:right="1455" w:firstLine="2880"/>
        <w:jc w:val="right"/>
        <w:rPr>
          <w:rFonts w:cs="宋体"/>
          <w:color w:val="auto"/>
          <w:highlight w:val="none"/>
        </w:rPr>
      </w:pPr>
    </w:p>
    <w:p>
      <w:pPr>
        <w:pStyle w:val="15"/>
        <w:shd w:val="clear" w:color="auto" w:fill="FFFFFF"/>
        <w:spacing w:line="480" w:lineRule="exact"/>
        <w:ind w:right="1455" w:firstLine="2880"/>
        <w:jc w:val="right"/>
        <w:rPr>
          <w:rFonts w:cs="宋体"/>
          <w:color w:val="auto"/>
          <w:highlight w:val="none"/>
        </w:rPr>
      </w:pPr>
      <w:r>
        <w:rPr>
          <w:rFonts w:hint="eastAsia" w:cs="宋体"/>
          <w:color w:val="auto"/>
          <w:highlight w:val="none"/>
        </w:rPr>
        <w:t xml:space="preserve">      承诺企业：      </w:t>
      </w:r>
    </w:p>
    <w:p>
      <w:pPr>
        <w:pStyle w:val="15"/>
        <w:shd w:val="clear" w:color="auto" w:fill="FFFFFF"/>
        <w:spacing w:line="480" w:lineRule="exact"/>
        <w:ind w:firstLine="480"/>
        <w:jc w:val="right"/>
        <w:rPr>
          <w:rFonts w:cs="宋体"/>
          <w:color w:val="auto"/>
          <w:highlight w:val="none"/>
        </w:rPr>
      </w:pPr>
      <w:r>
        <w:rPr>
          <w:rFonts w:hint="eastAsia" w:cs="宋体"/>
          <w:color w:val="auto"/>
          <w:highlight w:val="none"/>
        </w:rPr>
        <w:t xml:space="preserve">         年   月   日</w:t>
      </w:r>
    </w:p>
    <w:p>
      <w:pPr>
        <w:pStyle w:val="15"/>
        <w:shd w:val="clear" w:color="auto" w:fill="FFFFFF"/>
        <w:spacing w:line="480" w:lineRule="exact"/>
        <w:ind w:firstLine="480"/>
        <w:jc w:val="right"/>
        <w:rPr>
          <w:rFonts w:cs="宋体"/>
          <w:color w:val="auto"/>
          <w:highlight w:val="none"/>
        </w:rPr>
      </w:pPr>
      <w:r>
        <w:rPr>
          <w:rFonts w:hint="eastAsia" w:cs="宋体"/>
          <w:color w:val="auto"/>
          <w:highlight w:val="none"/>
        </w:rPr>
        <w:t>法定代表人签字：（企业公章）</w:t>
      </w:r>
    </w:p>
    <w:p>
      <w:pPr>
        <w:pStyle w:val="4"/>
        <w:rPr>
          <w:rFonts w:ascii="宋体" w:hAnsi="宋体"/>
          <w:color w:val="auto"/>
          <w:sz w:val="21"/>
          <w:szCs w:val="21"/>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4"/>
        <w:rPr>
          <w:rFonts w:ascii="宋体" w:hAnsi="宋体"/>
          <w:color w:val="auto"/>
          <w:sz w:val="21"/>
          <w:szCs w:val="21"/>
          <w:highlight w:val="none"/>
        </w:rPr>
      </w:pPr>
      <w:r>
        <w:rPr>
          <w:rFonts w:hint="eastAsia" w:ascii="宋体" w:hAnsi="宋体"/>
          <w:color w:val="auto"/>
          <w:sz w:val="21"/>
          <w:szCs w:val="21"/>
          <w:highlight w:val="none"/>
        </w:rPr>
        <w:t>附件三</w:t>
      </w:r>
    </w:p>
    <w:p>
      <w:pPr>
        <w:pStyle w:val="2"/>
        <w:autoSpaceDE w:val="0"/>
        <w:spacing w:line="360" w:lineRule="auto"/>
        <w:ind w:firstLine="0" w:firstLineChars="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（参考格式）</w:t>
      </w:r>
    </w:p>
    <w:p>
      <w:pPr>
        <w:autoSpaceDE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联合体投标协议书</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（所有成员单位名称）自愿组成</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（联合体名称）联合体，共同参加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（项目名称）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招标项目投标。现就联合体投标事宜订立如下协议。</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（某成员单位名称）为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w:t>
      </w:r>
      <w:r>
        <w:rPr>
          <w:rFonts w:hint="eastAsia" w:ascii="宋体" w:hAnsi="宋体" w:cs="宋体"/>
          <w:color w:val="auto"/>
          <w:kern w:val="0"/>
          <w:sz w:val="24"/>
          <w:highlight w:val="none"/>
        </w:rPr>
        <w:t>主办方</w:t>
      </w:r>
      <w:r>
        <w:rPr>
          <w:rFonts w:hint="eastAsia" w:ascii="宋体" w:hAnsi="宋体"/>
          <w:color w:val="auto"/>
          <w:kern w:val="0"/>
          <w:sz w:val="24"/>
          <w:highlight w:val="none"/>
        </w:rPr>
        <w:t>。</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2.联合体各成员授权</w:t>
      </w:r>
      <w:r>
        <w:rPr>
          <w:rFonts w:hint="eastAsia" w:ascii="宋体" w:hAnsi="宋体" w:cs="宋体"/>
          <w:color w:val="auto"/>
          <w:kern w:val="0"/>
          <w:sz w:val="24"/>
          <w:highlight w:val="none"/>
        </w:rPr>
        <w:t>主办方</w:t>
      </w:r>
      <w:r>
        <w:rPr>
          <w:rFonts w:hint="eastAsia" w:ascii="宋体" w:hAnsi="宋体"/>
          <w:color w:val="auto"/>
          <w:kern w:val="0"/>
          <w:sz w:val="24"/>
          <w:highlight w:val="none"/>
        </w:rPr>
        <w:t>代表联合体参加投标活动，签署文件，提交和接收相关的资料、 信息及指示，进行合同谈判活动，负责合同实施阶段的组织和协调工作，以及处理与本招标项 目有关的一切事宜。</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3.联合体</w:t>
      </w:r>
      <w:r>
        <w:rPr>
          <w:rFonts w:hint="eastAsia" w:ascii="宋体" w:hAnsi="宋体" w:cs="宋体"/>
          <w:color w:val="auto"/>
          <w:kern w:val="0"/>
          <w:sz w:val="24"/>
          <w:highlight w:val="none"/>
        </w:rPr>
        <w:t>主办方</w:t>
      </w:r>
      <w:r>
        <w:rPr>
          <w:rFonts w:hint="eastAsia" w:ascii="宋体" w:hAnsi="宋体"/>
          <w:color w:val="auto"/>
          <w:kern w:val="0"/>
          <w:sz w:val="24"/>
          <w:highlight w:val="none"/>
        </w:rPr>
        <w:t>在本项目中签署的一切文件和处理的一切事宜，联合体各成员均予以承认。 联合体各成员将严格按照招标文件、投标文件和合同的要求全面履行义务，并向招标人承担连 带责任。</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4.联合体各成员单位内部的职责分工如下：</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pPr>
        <w:autoSpaceDE w:val="0"/>
        <w:autoSpaceDN w:val="0"/>
        <w:adjustRightInd w:val="0"/>
        <w:spacing w:line="40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5.本协议书自所有成员单位法定代表人或其委托代理人签字或盖单位章之日起生效，合同 履行完毕后自动失效。</w:t>
      </w:r>
    </w:p>
    <w:p>
      <w:pPr>
        <w:autoSpaceDE w:val="0"/>
        <w:autoSpaceDN w:val="0"/>
        <w:adjustRightInd w:val="0"/>
        <w:spacing w:line="400" w:lineRule="exact"/>
        <w:ind w:firstLine="480" w:firstLineChars="200"/>
        <w:jc w:val="left"/>
        <w:rPr>
          <w:rFonts w:ascii="宋体" w:hAnsi="宋体"/>
          <w:color w:val="auto"/>
          <w:kern w:val="21"/>
          <w:sz w:val="24"/>
          <w:highlight w:val="none"/>
        </w:rPr>
      </w:pPr>
      <w:r>
        <w:rPr>
          <w:rFonts w:hint="eastAsia" w:ascii="宋体" w:hAnsi="宋体"/>
          <w:color w:val="auto"/>
          <w:kern w:val="0"/>
          <w:sz w:val="24"/>
          <w:highlight w:val="none"/>
        </w:rPr>
        <w:t>6.本协议书一式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份，联合体成员和招标人各执一份。</w:t>
      </w:r>
    </w:p>
    <w:p>
      <w:pPr>
        <w:autoSpaceDE w:val="0"/>
        <w:autoSpaceDN w:val="0"/>
        <w:adjustRightInd w:val="0"/>
        <w:spacing w:line="400" w:lineRule="exact"/>
        <w:ind w:firstLine="480" w:firstLineChars="200"/>
        <w:jc w:val="left"/>
        <w:rPr>
          <w:rFonts w:ascii="宋体" w:hAnsi="宋体"/>
          <w:color w:val="auto"/>
          <w:kern w:val="21"/>
          <w:sz w:val="24"/>
          <w:highlight w:val="none"/>
        </w:rPr>
      </w:pPr>
      <w:r>
        <w:rPr>
          <w:rFonts w:hint="eastAsia" w:ascii="宋体" w:hAnsi="宋体"/>
          <w:color w:val="auto"/>
          <w:kern w:val="21"/>
          <w:sz w:val="24"/>
          <w:highlight w:val="none"/>
        </w:rPr>
        <w:t>注：本协议书由法定代表人签字的，应附法定代表人身份证明；由委托代理人签字的，应附授权委托书。</w:t>
      </w:r>
    </w:p>
    <w:p>
      <w:pPr>
        <w:autoSpaceDE w:val="0"/>
        <w:autoSpaceDN w:val="0"/>
        <w:adjustRightInd w:val="0"/>
        <w:spacing w:line="400" w:lineRule="exact"/>
        <w:jc w:val="left"/>
        <w:rPr>
          <w:rFonts w:ascii="宋体" w:hAnsi="宋体"/>
          <w:color w:val="auto"/>
          <w:kern w:val="21"/>
          <w:sz w:val="24"/>
          <w:highlight w:val="none"/>
        </w:rPr>
      </w:pP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联合体</w:t>
      </w:r>
      <w:r>
        <w:rPr>
          <w:rFonts w:hint="eastAsia" w:ascii="宋体" w:hAnsi="宋体" w:cs="宋体"/>
          <w:color w:val="auto"/>
          <w:kern w:val="21"/>
          <w:sz w:val="24"/>
          <w:highlight w:val="none"/>
        </w:rPr>
        <w:t>主办方</w:t>
      </w:r>
      <w:r>
        <w:rPr>
          <w:rFonts w:hint="eastAsia" w:ascii="宋体" w:hAnsi="宋体"/>
          <w:color w:val="auto"/>
          <w:kern w:val="21"/>
          <w:sz w:val="24"/>
          <w:highlight w:val="none"/>
        </w:rPr>
        <w:t>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（签字）</w:t>
      </w:r>
    </w:p>
    <w:p>
      <w:pPr>
        <w:autoSpaceDE w:val="0"/>
        <w:autoSpaceDN w:val="0"/>
        <w:adjustRightInd w:val="0"/>
        <w:spacing w:line="400" w:lineRule="exact"/>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联合体成员名称：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（签字）</w:t>
      </w:r>
    </w:p>
    <w:p>
      <w:pPr>
        <w:autoSpaceDE w:val="0"/>
        <w:autoSpaceDN w:val="0"/>
        <w:adjustRightInd w:val="0"/>
        <w:spacing w:line="400" w:lineRule="exact"/>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pPr>
        <w:autoSpaceDE w:val="0"/>
        <w:autoSpaceDN w:val="0"/>
        <w:adjustRightInd w:val="0"/>
        <w:spacing w:line="400" w:lineRule="exact"/>
        <w:jc w:val="left"/>
        <w:rPr>
          <w:rFonts w:ascii="宋体" w:hAnsi="宋体"/>
          <w:color w:val="auto"/>
          <w:kern w:val="21"/>
          <w:sz w:val="24"/>
          <w:highlight w:val="none"/>
        </w:rPr>
      </w:pP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年</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月</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日</w:t>
      </w:r>
    </w:p>
    <w:p>
      <w:pPr>
        <w:pStyle w:val="17"/>
        <w:spacing w:after="0" w:line="400" w:lineRule="exact"/>
        <w:ind w:left="0" w:leftChars="0" w:firstLine="482"/>
        <w:rPr>
          <w:rFonts w:ascii="宋体" w:hAnsi="宋体"/>
          <w:b/>
          <w:color w:val="auto"/>
          <w:kern w:val="0"/>
          <w:sz w:val="24"/>
          <w:highlight w:val="none"/>
        </w:rPr>
      </w:pPr>
      <w:r>
        <w:rPr>
          <w:rFonts w:hint="eastAsia" w:ascii="宋体" w:hAnsi="宋体"/>
          <w:b/>
          <w:color w:val="auto"/>
          <w:kern w:val="0"/>
          <w:sz w:val="24"/>
          <w:highlight w:val="none"/>
        </w:rPr>
        <w:t>注：非联合体投标人，无需提</w:t>
      </w:r>
      <w:r>
        <w:rPr>
          <w:rFonts w:hint="eastAsia" w:ascii="宋体" w:hAnsi="宋体"/>
          <w:b/>
          <w:color w:val="auto"/>
          <w:kern w:val="0"/>
          <w:sz w:val="24"/>
          <w:highlight w:val="none"/>
          <w:lang w:eastAsia="zh-CN"/>
        </w:rPr>
        <w:t>供</w:t>
      </w:r>
      <w:r>
        <w:rPr>
          <w:rFonts w:hint="eastAsia" w:ascii="宋体" w:hAnsi="宋体"/>
          <w:b/>
          <w:color w:val="auto"/>
          <w:kern w:val="0"/>
          <w:sz w:val="24"/>
          <w:highlight w:val="none"/>
        </w:rPr>
        <w:t>本协议书。</w:t>
      </w:r>
    </w:p>
    <w:p>
      <w:pPr>
        <w:pStyle w:val="17"/>
        <w:spacing w:after="0" w:line="400" w:lineRule="exact"/>
        <w:ind w:left="0" w:leftChars="0" w:firstLine="482"/>
        <w:rPr>
          <w:rFonts w:ascii="宋体" w:hAnsi="宋体"/>
          <w:b/>
          <w:color w:val="auto"/>
          <w:kern w:val="0"/>
          <w:sz w:val="24"/>
          <w:highlight w:val="none"/>
        </w:rPr>
      </w:pPr>
    </w:p>
    <w:p>
      <w:pPr>
        <w:pStyle w:val="17"/>
        <w:spacing w:after="0" w:line="400" w:lineRule="exact"/>
        <w:ind w:left="0" w:leftChars="0" w:firstLine="482"/>
        <w:rPr>
          <w:rFonts w:ascii="宋体" w:hAnsi="宋体"/>
          <w:b/>
          <w:color w:val="auto"/>
          <w:kern w:val="0"/>
          <w:sz w:val="24"/>
          <w:highlight w:val="none"/>
        </w:rPr>
      </w:pPr>
    </w:p>
    <w:p>
      <w:pPr>
        <w:pStyle w:val="17"/>
        <w:ind w:left="0" w:leftChars="0" w:firstLine="0" w:firstLineChars="0"/>
        <w:rPr>
          <w:rFonts w:ascii="宋体" w:hAnsi="宋体" w:cs="仿宋_GB2312"/>
          <w:bCs/>
          <w:color w:val="auto"/>
          <w:sz w:val="32"/>
          <w:szCs w:val="32"/>
          <w:highlight w:val="none"/>
        </w:rPr>
      </w:pPr>
    </w:p>
    <w:sectPr>
      <w:footerReference r:id="rId3" w:type="default"/>
      <w:pgSz w:w="11906" w:h="16838"/>
      <w:pgMar w:top="1440" w:right="1278" w:bottom="1440"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14</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mUzY2U0ZDdhNjk5ZGEyZjdiZjkwMzVlM2FkMWUifQ=="/>
  </w:docVars>
  <w:rsids>
    <w:rsidRoot w:val="008D7E6C"/>
    <w:rsid w:val="00023CE3"/>
    <w:rsid w:val="00025226"/>
    <w:rsid w:val="00031031"/>
    <w:rsid w:val="00032175"/>
    <w:rsid w:val="0003653F"/>
    <w:rsid w:val="00044B36"/>
    <w:rsid w:val="00045F90"/>
    <w:rsid w:val="000469B4"/>
    <w:rsid w:val="00050E32"/>
    <w:rsid w:val="00052BBD"/>
    <w:rsid w:val="00055817"/>
    <w:rsid w:val="00061F4B"/>
    <w:rsid w:val="00072354"/>
    <w:rsid w:val="0008193D"/>
    <w:rsid w:val="000A009B"/>
    <w:rsid w:val="000A23DC"/>
    <w:rsid w:val="000A68BD"/>
    <w:rsid w:val="000A71D0"/>
    <w:rsid w:val="000B2635"/>
    <w:rsid w:val="000C1778"/>
    <w:rsid w:val="000C2B20"/>
    <w:rsid w:val="000C3E28"/>
    <w:rsid w:val="000C6207"/>
    <w:rsid w:val="000E62EC"/>
    <w:rsid w:val="000F1129"/>
    <w:rsid w:val="000F3CEA"/>
    <w:rsid w:val="00116060"/>
    <w:rsid w:val="00116A06"/>
    <w:rsid w:val="00130575"/>
    <w:rsid w:val="00130FD2"/>
    <w:rsid w:val="001347AD"/>
    <w:rsid w:val="00136A9B"/>
    <w:rsid w:val="00136E68"/>
    <w:rsid w:val="00136F96"/>
    <w:rsid w:val="001372C6"/>
    <w:rsid w:val="001404D8"/>
    <w:rsid w:val="00140A3C"/>
    <w:rsid w:val="00142E43"/>
    <w:rsid w:val="0014369D"/>
    <w:rsid w:val="0015341B"/>
    <w:rsid w:val="001570EC"/>
    <w:rsid w:val="001613B6"/>
    <w:rsid w:val="001676A1"/>
    <w:rsid w:val="00171991"/>
    <w:rsid w:val="00184564"/>
    <w:rsid w:val="00187569"/>
    <w:rsid w:val="00193898"/>
    <w:rsid w:val="001A6F07"/>
    <w:rsid w:val="001B4F49"/>
    <w:rsid w:val="001B51B0"/>
    <w:rsid w:val="001B637A"/>
    <w:rsid w:val="001C110D"/>
    <w:rsid w:val="001D17F3"/>
    <w:rsid w:val="001E1F96"/>
    <w:rsid w:val="001E3296"/>
    <w:rsid w:val="001E46E5"/>
    <w:rsid w:val="001E535D"/>
    <w:rsid w:val="001E61EA"/>
    <w:rsid w:val="0020165E"/>
    <w:rsid w:val="0020227E"/>
    <w:rsid w:val="00226629"/>
    <w:rsid w:val="002348B6"/>
    <w:rsid w:val="00245A45"/>
    <w:rsid w:val="00256A80"/>
    <w:rsid w:val="002572D1"/>
    <w:rsid w:val="00261550"/>
    <w:rsid w:val="00265992"/>
    <w:rsid w:val="00266A4F"/>
    <w:rsid w:val="0027205F"/>
    <w:rsid w:val="00280488"/>
    <w:rsid w:val="002818D2"/>
    <w:rsid w:val="0029139D"/>
    <w:rsid w:val="00297BDC"/>
    <w:rsid w:val="002A1324"/>
    <w:rsid w:val="002A2300"/>
    <w:rsid w:val="002B4DBF"/>
    <w:rsid w:val="002B5FD1"/>
    <w:rsid w:val="002C1610"/>
    <w:rsid w:val="002C1E37"/>
    <w:rsid w:val="002C4466"/>
    <w:rsid w:val="002D6127"/>
    <w:rsid w:val="002E2231"/>
    <w:rsid w:val="002E713F"/>
    <w:rsid w:val="002F02BA"/>
    <w:rsid w:val="002F38D3"/>
    <w:rsid w:val="00306694"/>
    <w:rsid w:val="0031270D"/>
    <w:rsid w:val="00313686"/>
    <w:rsid w:val="00313E7D"/>
    <w:rsid w:val="00316A7B"/>
    <w:rsid w:val="003209C0"/>
    <w:rsid w:val="0032440D"/>
    <w:rsid w:val="00334CB5"/>
    <w:rsid w:val="003366EA"/>
    <w:rsid w:val="0034495C"/>
    <w:rsid w:val="003640F8"/>
    <w:rsid w:val="0037737D"/>
    <w:rsid w:val="00391962"/>
    <w:rsid w:val="003A067A"/>
    <w:rsid w:val="003A14DA"/>
    <w:rsid w:val="003C4E10"/>
    <w:rsid w:val="003C65BF"/>
    <w:rsid w:val="003D16CB"/>
    <w:rsid w:val="003E2106"/>
    <w:rsid w:val="003F7AB2"/>
    <w:rsid w:val="00403B3E"/>
    <w:rsid w:val="004100BD"/>
    <w:rsid w:val="004102D4"/>
    <w:rsid w:val="0041507E"/>
    <w:rsid w:val="004157CC"/>
    <w:rsid w:val="004175D1"/>
    <w:rsid w:val="00420127"/>
    <w:rsid w:val="00422874"/>
    <w:rsid w:val="004264BA"/>
    <w:rsid w:val="00426679"/>
    <w:rsid w:val="00427AD8"/>
    <w:rsid w:val="0043030B"/>
    <w:rsid w:val="004303F7"/>
    <w:rsid w:val="0043067B"/>
    <w:rsid w:val="00430AA0"/>
    <w:rsid w:val="004311FC"/>
    <w:rsid w:val="00442531"/>
    <w:rsid w:val="00460608"/>
    <w:rsid w:val="0046135A"/>
    <w:rsid w:val="004631A5"/>
    <w:rsid w:val="00475FB1"/>
    <w:rsid w:val="00480CB3"/>
    <w:rsid w:val="00482E2E"/>
    <w:rsid w:val="00486F1F"/>
    <w:rsid w:val="004A476F"/>
    <w:rsid w:val="004A6F1F"/>
    <w:rsid w:val="004B3C62"/>
    <w:rsid w:val="004D51EA"/>
    <w:rsid w:val="004E10D9"/>
    <w:rsid w:val="004E16B1"/>
    <w:rsid w:val="004E20A1"/>
    <w:rsid w:val="004E3E2C"/>
    <w:rsid w:val="004E486E"/>
    <w:rsid w:val="004E49A6"/>
    <w:rsid w:val="004E4B72"/>
    <w:rsid w:val="004E5C60"/>
    <w:rsid w:val="004E6095"/>
    <w:rsid w:val="004F10EC"/>
    <w:rsid w:val="004F6384"/>
    <w:rsid w:val="00500C07"/>
    <w:rsid w:val="0051079E"/>
    <w:rsid w:val="00514EDE"/>
    <w:rsid w:val="0052425E"/>
    <w:rsid w:val="0052487C"/>
    <w:rsid w:val="00533845"/>
    <w:rsid w:val="005338E9"/>
    <w:rsid w:val="00543E48"/>
    <w:rsid w:val="00544306"/>
    <w:rsid w:val="00550908"/>
    <w:rsid w:val="00555FC6"/>
    <w:rsid w:val="00557A87"/>
    <w:rsid w:val="00561485"/>
    <w:rsid w:val="005653BB"/>
    <w:rsid w:val="005705D8"/>
    <w:rsid w:val="005727D4"/>
    <w:rsid w:val="00576C29"/>
    <w:rsid w:val="0058052E"/>
    <w:rsid w:val="005825F4"/>
    <w:rsid w:val="0059452C"/>
    <w:rsid w:val="005A4082"/>
    <w:rsid w:val="005B56E3"/>
    <w:rsid w:val="005B686B"/>
    <w:rsid w:val="005B717A"/>
    <w:rsid w:val="005C04DF"/>
    <w:rsid w:val="005C245A"/>
    <w:rsid w:val="005C42D7"/>
    <w:rsid w:val="005C5E78"/>
    <w:rsid w:val="005D336D"/>
    <w:rsid w:val="005D695F"/>
    <w:rsid w:val="005E070D"/>
    <w:rsid w:val="005E6BA1"/>
    <w:rsid w:val="005F14D7"/>
    <w:rsid w:val="005F2A8B"/>
    <w:rsid w:val="005F4344"/>
    <w:rsid w:val="005F77FE"/>
    <w:rsid w:val="006033C3"/>
    <w:rsid w:val="00604187"/>
    <w:rsid w:val="0060529B"/>
    <w:rsid w:val="006236EE"/>
    <w:rsid w:val="00650498"/>
    <w:rsid w:val="0065500F"/>
    <w:rsid w:val="006661F3"/>
    <w:rsid w:val="00673C89"/>
    <w:rsid w:val="00674112"/>
    <w:rsid w:val="00687AC7"/>
    <w:rsid w:val="006A3DFA"/>
    <w:rsid w:val="006B0B4F"/>
    <w:rsid w:val="006B2032"/>
    <w:rsid w:val="006B51A2"/>
    <w:rsid w:val="006C1E61"/>
    <w:rsid w:val="006C7077"/>
    <w:rsid w:val="006D47FB"/>
    <w:rsid w:val="006E03B4"/>
    <w:rsid w:val="006E199D"/>
    <w:rsid w:val="006E4106"/>
    <w:rsid w:val="006E671E"/>
    <w:rsid w:val="006E7409"/>
    <w:rsid w:val="006F513C"/>
    <w:rsid w:val="006F5EE7"/>
    <w:rsid w:val="00700352"/>
    <w:rsid w:val="00701533"/>
    <w:rsid w:val="00703684"/>
    <w:rsid w:val="007274A6"/>
    <w:rsid w:val="00727B6D"/>
    <w:rsid w:val="00733F5D"/>
    <w:rsid w:val="00736FD2"/>
    <w:rsid w:val="00740E41"/>
    <w:rsid w:val="00751646"/>
    <w:rsid w:val="00753886"/>
    <w:rsid w:val="00753C12"/>
    <w:rsid w:val="0075690B"/>
    <w:rsid w:val="0076153D"/>
    <w:rsid w:val="007644BF"/>
    <w:rsid w:val="00771CBC"/>
    <w:rsid w:val="00773080"/>
    <w:rsid w:val="00774E90"/>
    <w:rsid w:val="007778C3"/>
    <w:rsid w:val="00780BD4"/>
    <w:rsid w:val="0078337E"/>
    <w:rsid w:val="00783586"/>
    <w:rsid w:val="00787F5B"/>
    <w:rsid w:val="00790A8A"/>
    <w:rsid w:val="0079208A"/>
    <w:rsid w:val="007931CF"/>
    <w:rsid w:val="007A2592"/>
    <w:rsid w:val="007B29D9"/>
    <w:rsid w:val="007B4EF1"/>
    <w:rsid w:val="007C102B"/>
    <w:rsid w:val="007C3539"/>
    <w:rsid w:val="007C4F0E"/>
    <w:rsid w:val="007D016A"/>
    <w:rsid w:val="007D3694"/>
    <w:rsid w:val="007D7D8D"/>
    <w:rsid w:val="007E0BBC"/>
    <w:rsid w:val="007E2B0A"/>
    <w:rsid w:val="007F112E"/>
    <w:rsid w:val="007F2D14"/>
    <w:rsid w:val="00804572"/>
    <w:rsid w:val="0081017A"/>
    <w:rsid w:val="00811E21"/>
    <w:rsid w:val="00817C48"/>
    <w:rsid w:val="00830A0F"/>
    <w:rsid w:val="008355BC"/>
    <w:rsid w:val="00855E75"/>
    <w:rsid w:val="0086441C"/>
    <w:rsid w:val="008727F3"/>
    <w:rsid w:val="008750C9"/>
    <w:rsid w:val="00875B38"/>
    <w:rsid w:val="008800A0"/>
    <w:rsid w:val="00881F87"/>
    <w:rsid w:val="00883E2D"/>
    <w:rsid w:val="008A06DD"/>
    <w:rsid w:val="008B2D77"/>
    <w:rsid w:val="008B2EC7"/>
    <w:rsid w:val="008C1E5E"/>
    <w:rsid w:val="008C2435"/>
    <w:rsid w:val="008C36F7"/>
    <w:rsid w:val="008C3D0A"/>
    <w:rsid w:val="008C6B34"/>
    <w:rsid w:val="008D4F8D"/>
    <w:rsid w:val="008D6536"/>
    <w:rsid w:val="008D7E6C"/>
    <w:rsid w:val="008E124C"/>
    <w:rsid w:val="008E714D"/>
    <w:rsid w:val="008F0330"/>
    <w:rsid w:val="008F2DA8"/>
    <w:rsid w:val="008F39E0"/>
    <w:rsid w:val="008F5D90"/>
    <w:rsid w:val="00911F2F"/>
    <w:rsid w:val="00912225"/>
    <w:rsid w:val="009147E5"/>
    <w:rsid w:val="00915C13"/>
    <w:rsid w:val="00915DCD"/>
    <w:rsid w:val="00927B62"/>
    <w:rsid w:val="00930C82"/>
    <w:rsid w:val="00942D0D"/>
    <w:rsid w:val="00944687"/>
    <w:rsid w:val="009571D5"/>
    <w:rsid w:val="0096066E"/>
    <w:rsid w:val="0096526B"/>
    <w:rsid w:val="00972994"/>
    <w:rsid w:val="00974FB6"/>
    <w:rsid w:val="0097636C"/>
    <w:rsid w:val="0098128F"/>
    <w:rsid w:val="009A5021"/>
    <w:rsid w:val="009A6AFB"/>
    <w:rsid w:val="009B024F"/>
    <w:rsid w:val="009B7FAA"/>
    <w:rsid w:val="009C17BF"/>
    <w:rsid w:val="009C199D"/>
    <w:rsid w:val="009C3A4D"/>
    <w:rsid w:val="009C572A"/>
    <w:rsid w:val="009E0951"/>
    <w:rsid w:val="009E3797"/>
    <w:rsid w:val="009F51CD"/>
    <w:rsid w:val="009F66CA"/>
    <w:rsid w:val="009F7AE1"/>
    <w:rsid w:val="00A009BC"/>
    <w:rsid w:val="00A06A05"/>
    <w:rsid w:val="00A13611"/>
    <w:rsid w:val="00A2050F"/>
    <w:rsid w:val="00A24D73"/>
    <w:rsid w:val="00A25148"/>
    <w:rsid w:val="00A346AB"/>
    <w:rsid w:val="00A45FC6"/>
    <w:rsid w:val="00A7102D"/>
    <w:rsid w:val="00A733E4"/>
    <w:rsid w:val="00A77397"/>
    <w:rsid w:val="00A77517"/>
    <w:rsid w:val="00A822A7"/>
    <w:rsid w:val="00A8711A"/>
    <w:rsid w:val="00A9444D"/>
    <w:rsid w:val="00A9567C"/>
    <w:rsid w:val="00AA1F85"/>
    <w:rsid w:val="00AB65ED"/>
    <w:rsid w:val="00AC615A"/>
    <w:rsid w:val="00AD5B68"/>
    <w:rsid w:val="00AF5AF4"/>
    <w:rsid w:val="00B05104"/>
    <w:rsid w:val="00B0545D"/>
    <w:rsid w:val="00B102D2"/>
    <w:rsid w:val="00B21FFB"/>
    <w:rsid w:val="00B2316A"/>
    <w:rsid w:val="00B24F75"/>
    <w:rsid w:val="00B27BD5"/>
    <w:rsid w:val="00B74C07"/>
    <w:rsid w:val="00B84DAD"/>
    <w:rsid w:val="00B91A9C"/>
    <w:rsid w:val="00B9702A"/>
    <w:rsid w:val="00BA3727"/>
    <w:rsid w:val="00BA4271"/>
    <w:rsid w:val="00BB030D"/>
    <w:rsid w:val="00BD71F3"/>
    <w:rsid w:val="00BE20DF"/>
    <w:rsid w:val="00BE69B5"/>
    <w:rsid w:val="00BF7658"/>
    <w:rsid w:val="00C00AFC"/>
    <w:rsid w:val="00C01F9B"/>
    <w:rsid w:val="00C038AF"/>
    <w:rsid w:val="00C04FCC"/>
    <w:rsid w:val="00C05472"/>
    <w:rsid w:val="00C17B85"/>
    <w:rsid w:val="00C216F4"/>
    <w:rsid w:val="00C3306C"/>
    <w:rsid w:val="00C34D60"/>
    <w:rsid w:val="00C35D79"/>
    <w:rsid w:val="00C3719C"/>
    <w:rsid w:val="00C371CF"/>
    <w:rsid w:val="00C430F2"/>
    <w:rsid w:val="00C70BB9"/>
    <w:rsid w:val="00C716FC"/>
    <w:rsid w:val="00C91896"/>
    <w:rsid w:val="00C945D1"/>
    <w:rsid w:val="00C95C97"/>
    <w:rsid w:val="00CB32D8"/>
    <w:rsid w:val="00CC27D6"/>
    <w:rsid w:val="00CD4652"/>
    <w:rsid w:val="00CD5D70"/>
    <w:rsid w:val="00CE33CF"/>
    <w:rsid w:val="00D02198"/>
    <w:rsid w:val="00D04C6A"/>
    <w:rsid w:val="00D05DFA"/>
    <w:rsid w:val="00D06360"/>
    <w:rsid w:val="00D23619"/>
    <w:rsid w:val="00D2672E"/>
    <w:rsid w:val="00D3569D"/>
    <w:rsid w:val="00D40319"/>
    <w:rsid w:val="00D4444C"/>
    <w:rsid w:val="00D453FF"/>
    <w:rsid w:val="00D60E05"/>
    <w:rsid w:val="00D6227B"/>
    <w:rsid w:val="00D63FCE"/>
    <w:rsid w:val="00D6441F"/>
    <w:rsid w:val="00D74951"/>
    <w:rsid w:val="00D74B63"/>
    <w:rsid w:val="00D752A4"/>
    <w:rsid w:val="00D86247"/>
    <w:rsid w:val="00D929EE"/>
    <w:rsid w:val="00DB30C2"/>
    <w:rsid w:val="00DB4481"/>
    <w:rsid w:val="00DB49BF"/>
    <w:rsid w:val="00DC5F3D"/>
    <w:rsid w:val="00DE0A02"/>
    <w:rsid w:val="00DE3CBF"/>
    <w:rsid w:val="00DE4468"/>
    <w:rsid w:val="00DE46C6"/>
    <w:rsid w:val="00DE494B"/>
    <w:rsid w:val="00DE5743"/>
    <w:rsid w:val="00DE71AE"/>
    <w:rsid w:val="00DF1B9B"/>
    <w:rsid w:val="00E07E5C"/>
    <w:rsid w:val="00E12881"/>
    <w:rsid w:val="00E13815"/>
    <w:rsid w:val="00E155CF"/>
    <w:rsid w:val="00E158A1"/>
    <w:rsid w:val="00E21594"/>
    <w:rsid w:val="00E2359C"/>
    <w:rsid w:val="00E27AB5"/>
    <w:rsid w:val="00E36293"/>
    <w:rsid w:val="00E42215"/>
    <w:rsid w:val="00E5371B"/>
    <w:rsid w:val="00E56AAA"/>
    <w:rsid w:val="00E637BF"/>
    <w:rsid w:val="00E6781D"/>
    <w:rsid w:val="00E67C22"/>
    <w:rsid w:val="00E67EDF"/>
    <w:rsid w:val="00E71433"/>
    <w:rsid w:val="00E71800"/>
    <w:rsid w:val="00E753E2"/>
    <w:rsid w:val="00E75686"/>
    <w:rsid w:val="00E7609F"/>
    <w:rsid w:val="00E84398"/>
    <w:rsid w:val="00E87D2B"/>
    <w:rsid w:val="00E949F0"/>
    <w:rsid w:val="00EA2C8E"/>
    <w:rsid w:val="00EA2DEE"/>
    <w:rsid w:val="00EA3AD0"/>
    <w:rsid w:val="00EA70A6"/>
    <w:rsid w:val="00EA7F8E"/>
    <w:rsid w:val="00EB187E"/>
    <w:rsid w:val="00EC0494"/>
    <w:rsid w:val="00EC1395"/>
    <w:rsid w:val="00EC560D"/>
    <w:rsid w:val="00EC73B6"/>
    <w:rsid w:val="00ED07E5"/>
    <w:rsid w:val="00EF0615"/>
    <w:rsid w:val="00EF0C10"/>
    <w:rsid w:val="00EF197F"/>
    <w:rsid w:val="00EF22FF"/>
    <w:rsid w:val="00EF33A3"/>
    <w:rsid w:val="00EF50B9"/>
    <w:rsid w:val="00F006E1"/>
    <w:rsid w:val="00F1187B"/>
    <w:rsid w:val="00F12EFB"/>
    <w:rsid w:val="00F223F3"/>
    <w:rsid w:val="00F27A36"/>
    <w:rsid w:val="00F31620"/>
    <w:rsid w:val="00F37451"/>
    <w:rsid w:val="00F44539"/>
    <w:rsid w:val="00F4531B"/>
    <w:rsid w:val="00F519F0"/>
    <w:rsid w:val="00F54283"/>
    <w:rsid w:val="00F628A3"/>
    <w:rsid w:val="00F63E95"/>
    <w:rsid w:val="00F77B8D"/>
    <w:rsid w:val="00F83019"/>
    <w:rsid w:val="00F83847"/>
    <w:rsid w:val="00F86D71"/>
    <w:rsid w:val="00F94085"/>
    <w:rsid w:val="00F97603"/>
    <w:rsid w:val="00FA0B43"/>
    <w:rsid w:val="00FA4050"/>
    <w:rsid w:val="00FA4A6E"/>
    <w:rsid w:val="00FA4E6F"/>
    <w:rsid w:val="00FA6794"/>
    <w:rsid w:val="00FB2D42"/>
    <w:rsid w:val="00FB594F"/>
    <w:rsid w:val="00FB7174"/>
    <w:rsid w:val="00FC0082"/>
    <w:rsid w:val="00FC32B4"/>
    <w:rsid w:val="00FD14D1"/>
    <w:rsid w:val="00FD59CA"/>
    <w:rsid w:val="00FD72D1"/>
    <w:rsid w:val="00FD7D9E"/>
    <w:rsid w:val="00FE21CE"/>
    <w:rsid w:val="00FE6244"/>
    <w:rsid w:val="00FF1FD3"/>
    <w:rsid w:val="0194055C"/>
    <w:rsid w:val="030072DA"/>
    <w:rsid w:val="03332B05"/>
    <w:rsid w:val="0348159A"/>
    <w:rsid w:val="03B76507"/>
    <w:rsid w:val="045363AB"/>
    <w:rsid w:val="05EA4E72"/>
    <w:rsid w:val="06525BDE"/>
    <w:rsid w:val="07024528"/>
    <w:rsid w:val="077C7A64"/>
    <w:rsid w:val="0791707F"/>
    <w:rsid w:val="07AE7DDB"/>
    <w:rsid w:val="07DF4802"/>
    <w:rsid w:val="0801789B"/>
    <w:rsid w:val="08B92787"/>
    <w:rsid w:val="0AC24F48"/>
    <w:rsid w:val="0AE0651F"/>
    <w:rsid w:val="0B03497B"/>
    <w:rsid w:val="0B2C4B54"/>
    <w:rsid w:val="0BCE30E7"/>
    <w:rsid w:val="0C600B67"/>
    <w:rsid w:val="0CA20E8E"/>
    <w:rsid w:val="0CAE380F"/>
    <w:rsid w:val="0CC14D21"/>
    <w:rsid w:val="0CC23915"/>
    <w:rsid w:val="0D855190"/>
    <w:rsid w:val="0EED36A3"/>
    <w:rsid w:val="0FD454AF"/>
    <w:rsid w:val="0FE66E7E"/>
    <w:rsid w:val="104529ED"/>
    <w:rsid w:val="10611EED"/>
    <w:rsid w:val="1107235F"/>
    <w:rsid w:val="11662A70"/>
    <w:rsid w:val="116E7244"/>
    <w:rsid w:val="11CC23A2"/>
    <w:rsid w:val="11E9219A"/>
    <w:rsid w:val="12695A53"/>
    <w:rsid w:val="13CC61FD"/>
    <w:rsid w:val="14B53DB9"/>
    <w:rsid w:val="14E153AA"/>
    <w:rsid w:val="15400765"/>
    <w:rsid w:val="15690523"/>
    <w:rsid w:val="15947F5C"/>
    <w:rsid w:val="16413DFA"/>
    <w:rsid w:val="16D22E6A"/>
    <w:rsid w:val="16DB2B04"/>
    <w:rsid w:val="170C2D16"/>
    <w:rsid w:val="186036F6"/>
    <w:rsid w:val="18624A2B"/>
    <w:rsid w:val="19F65087"/>
    <w:rsid w:val="1A497C7A"/>
    <w:rsid w:val="1B4717BB"/>
    <w:rsid w:val="1B650D9C"/>
    <w:rsid w:val="1BBA7246"/>
    <w:rsid w:val="1CC72184"/>
    <w:rsid w:val="1D3775A1"/>
    <w:rsid w:val="1D773929"/>
    <w:rsid w:val="1E4B38DF"/>
    <w:rsid w:val="1F9602C6"/>
    <w:rsid w:val="1FB31510"/>
    <w:rsid w:val="1FD8603F"/>
    <w:rsid w:val="206155F1"/>
    <w:rsid w:val="21625720"/>
    <w:rsid w:val="22A24133"/>
    <w:rsid w:val="22C21DFC"/>
    <w:rsid w:val="22CE78BA"/>
    <w:rsid w:val="22FD25EF"/>
    <w:rsid w:val="23B8052B"/>
    <w:rsid w:val="23ED3D6C"/>
    <w:rsid w:val="24A52071"/>
    <w:rsid w:val="24D159B7"/>
    <w:rsid w:val="255049CD"/>
    <w:rsid w:val="25650E80"/>
    <w:rsid w:val="257930A6"/>
    <w:rsid w:val="27DD66C1"/>
    <w:rsid w:val="28596BAE"/>
    <w:rsid w:val="28DA3860"/>
    <w:rsid w:val="29766231"/>
    <w:rsid w:val="2A4367D8"/>
    <w:rsid w:val="2A587A65"/>
    <w:rsid w:val="2BD7069D"/>
    <w:rsid w:val="2C056C12"/>
    <w:rsid w:val="2CAC3C25"/>
    <w:rsid w:val="2CCB6C14"/>
    <w:rsid w:val="2CD662BD"/>
    <w:rsid w:val="2D033C80"/>
    <w:rsid w:val="2DB11C3F"/>
    <w:rsid w:val="2DC6525D"/>
    <w:rsid w:val="2DD9491E"/>
    <w:rsid w:val="2E053C56"/>
    <w:rsid w:val="2E3E5E8A"/>
    <w:rsid w:val="2E653566"/>
    <w:rsid w:val="2E8803B2"/>
    <w:rsid w:val="2F1F6390"/>
    <w:rsid w:val="2F3924AD"/>
    <w:rsid w:val="2F5A6DAA"/>
    <w:rsid w:val="310F2A34"/>
    <w:rsid w:val="3164652A"/>
    <w:rsid w:val="31970590"/>
    <w:rsid w:val="32BF23CB"/>
    <w:rsid w:val="32CA2B82"/>
    <w:rsid w:val="32F9568D"/>
    <w:rsid w:val="333F14EB"/>
    <w:rsid w:val="33B5365F"/>
    <w:rsid w:val="34053F1A"/>
    <w:rsid w:val="340F7243"/>
    <w:rsid w:val="344E3ECD"/>
    <w:rsid w:val="34904354"/>
    <w:rsid w:val="34A27474"/>
    <w:rsid w:val="34BE2027"/>
    <w:rsid w:val="351F6BA1"/>
    <w:rsid w:val="36444128"/>
    <w:rsid w:val="36E3772B"/>
    <w:rsid w:val="37B04B31"/>
    <w:rsid w:val="37BE6B94"/>
    <w:rsid w:val="38137719"/>
    <w:rsid w:val="38A5656B"/>
    <w:rsid w:val="38CF7268"/>
    <w:rsid w:val="399A48D8"/>
    <w:rsid w:val="39E96DBE"/>
    <w:rsid w:val="3AAD2378"/>
    <w:rsid w:val="3ADB127E"/>
    <w:rsid w:val="3B1E3A34"/>
    <w:rsid w:val="3B1F5495"/>
    <w:rsid w:val="3B967BC8"/>
    <w:rsid w:val="3C0F6BA7"/>
    <w:rsid w:val="3CA1644A"/>
    <w:rsid w:val="3CC26DB4"/>
    <w:rsid w:val="3CF03B2D"/>
    <w:rsid w:val="3D9E6D23"/>
    <w:rsid w:val="3DCC00F6"/>
    <w:rsid w:val="3E5201BC"/>
    <w:rsid w:val="3E544F20"/>
    <w:rsid w:val="3E901EED"/>
    <w:rsid w:val="3E9728E4"/>
    <w:rsid w:val="3F934C39"/>
    <w:rsid w:val="401A668F"/>
    <w:rsid w:val="40C07F2B"/>
    <w:rsid w:val="41211AA5"/>
    <w:rsid w:val="41266155"/>
    <w:rsid w:val="41B460ED"/>
    <w:rsid w:val="41DD0B24"/>
    <w:rsid w:val="433D406E"/>
    <w:rsid w:val="44614375"/>
    <w:rsid w:val="44C1361A"/>
    <w:rsid w:val="453620E5"/>
    <w:rsid w:val="45B4754F"/>
    <w:rsid w:val="45D36A02"/>
    <w:rsid w:val="474D02F1"/>
    <w:rsid w:val="47532256"/>
    <w:rsid w:val="4783050C"/>
    <w:rsid w:val="47990CC2"/>
    <w:rsid w:val="48467702"/>
    <w:rsid w:val="48D828ED"/>
    <w:rsid w:val="49267254"/>
    <w:rsid w:val="49C36A7A"/>
    <w:rsid w:val="4B0215FB"/>
    <w:rsid w:val="4BC62629"/>
    <w:rsid w:val="4CE9176C"/>
    <w:rsid w:val="4D796175"/>
    <w:rsid w:val="4DBA29C1"/>
    <w:rsid w:val="4E0A6C2F"/>
    <w:rsid w:val="4E777472"/>
    <w:rsid w:val="4E807FB7"/>
    <w:rsid w:val="4EC55DFF"/>
    <w:rsid w:val="4F222B9D"/>
    <w:rsid w:val="500633DD"/>
    <w:rsid w:val="50502716"/>
    <w:rsid w:val="50B52C92"/>
    <w:rsid w:val="522D5F9F"/>
    <w:rsid w:val="538565E9"/>
    <w:rsid w:val="53DF24DA"/>
    <w:rsid w:val="54142638"/>
    <w:rsid w:val="542A2E8B"/>
    <w:rsid w:val="555B56F2"/>
    <w:rsid w:val="55C65186"/>
    <w:rsid w:val="56397DD1"/>
    <w:rsid w:val="56A318C0"/>
    <w:rsid w:val="570D5ED5"/>
    <w:rsid w:val="57AE39D9"/>
    <w:rsid w:val="57B62E70"/>
    <w:rsid w:val="57DB4848"/>
    <w:rsid w:val="581A0A0C"/>
    <w:rsid w:val="58C3123D"/>
    <w:rsid w:val="59933141"/>
    <w:rsid w:val="5A2C4124"/>
    <w:rsid w:val="5A943FA5"/>
    <w:rsid w:val="5AD312FA"/>
    <w:rsid w:val="5C814491"/>
    <w:rsid w:val="5D36031C"/>
    <w:rsid w:val="5DC421E6"/>
    <w:rsid w:val="5E516176"/>
    <w:rsid w:val="5E773366"/>
    <w:rsid w:val="5EA42C9D"/>
    <w:rsid w:val="5F002AEE"/>
    <w:rsid w:val="5F294C72"/>
    <w:rsid w:val="5FA6034F"/>
    <w:rsid w:val="5FAB5C9C"/>
    <w:rsid w:val="62794D5A"/>
    <w:rsid w:val="64A932E2"/>
    <w:rsid w:val="655045D5"/>
    <w:rsid w:val="65BC7B44"/>
    <w:rsid w:val="65EE4C68"/>
    <w:rsid w:val="67127473"/>
    <w:rsid w:val="67AA167A"/>
    <w:rsid w:val="68224C33"/>
    <w:rsid w:val="68D21A92"/>
    <w:rsid w:val="6951757E"/>
    <w:rsid w:val="69593A31"/>
    <w:rsid w:val="69A54855"/>
    <w:rsid w:val="69E027B0"/>
    <w:rsid w:val="6A140057"/>
    <w:rsid w:val="6A2C2B27"/>
    <w:rsid w:val="6A8C715B"/>
    <w:rsid w:val="6A91127D"/>
    <w:rsid w:val="6ACC79B6"/>
    <w:rsid w:val="6BA950C0"/>
    <w:rsid w:val="6BB36EEF"/>
    <w:rsid w:val="6C0A31BB"/>
    <w:rsid w:val="6C9D4D3E"/>
    <w:rsid w:val="6CD57D77"/>
    <w:rsid w:val="6D1F1CE2"/>
    <w:rsid w:val="6E3D2D64"/>
    <w:rsid w:val="6E5A0421"/>
    <w:rsid w:val="6F207B36"/>
    <w:rsid w:val="70513374"/>
    <w:rsid w:val="70545811"/>
    <w:rsid w:val="70A67BCF"/>
    <w:rsid w:val="714637B5"/>
    <w:rsid w:val="715A71EC"/>
    <w:rsid w:val="71A60E62"/>
    <w:rsid w:val="71F61E2F"/>
    <w:rsid w:val="73AA2652"/>
    <w:rsid w:val="74805FCE"/>
    <w:rsid w:val="75B20B64"/>
    <w:rsid w:val="76B703EB"/>
    <w:rsid w:val="772A1C1B"/>
    <w:rsid w:val="77E83812"/>
    <w:rsid w:val="7A7764C5"/>
    <w:rsid w:val="7B2670F4"/>
    <w:rsid w:val="7B7D69AA"/>
    <w:rsid w:val="7C45143F"/>
    <w:rsid w:val="7C635AEE"/>
    <w:rsid w:val="7C962514"/>
    <w:rsid w:val="7DAC6664"/>
    <w:rsid w:val="7E4603A6"/>
    <w:rsid w:val="7E786F03"/>
    <w:rsid w:val="7E7F4735"/>
    <w:rsid w:val="7F4D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99"/>
    <w:pPr>
      <w:keepNext/>
      <w:keepLines/>
      <w:spacing w:before="260" w:after="260" w:line="416" w:lineRule="auto"/>
      <w:jc w:val="center"/>
      <w:outlineLvl w:val="1"/>
    </w:pPr>
    <w:rPr>
      <w:rFonts w:ascii="Cambria" w:hAnsi="Cambria"/>
      <w:b/>
      <w:bCs/>
      <w:kern w:val="0"/>
      <w:sz w:val="30"/>
      <w:szCs w:val="30"/>
    </w:rPr>
  </w:style>
  <w:style w:type="paragraph" w:styleId="4">
    <w:name w:val="heading 3"/>
    <w:basedOn w:val="1"/>
    <w:next w:val="1"/>
    <w:link w:val="23"/>
    <w:qFormat/>
    <w:uiPriority w:val="1"/>
    <w:pPr>
      <w:keepNext/>
      <w:keepLines/>
      <w:spacing w:before="260" w:after="260" w:line="416" w:lineRule="auto"/>
      <w:outlineLvl w:val="2"/>
    </w:pPr>
    <w:rPr>
      <w:bCs/>
      <w:kern w:val="0"/>
      <w:sz w:val="20"/>
      <w:szCs w:val="32"/>
    </w:rPr>
  </w:style>
  <w:style w:type="paragraph" w:styleId="5">
    <w:name w:val="heading 4"/>
    <w:basedOn w:val="1"/>
    <w:next w:val="1"/>
    <w:qFormat/>
    <w:uiPriority w:val="9"/>
    <w:pPr>
      <w:keepNext/>
      <w:keepLines/>
      <w:spacing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jc w:val="left"/>
    </w:pPr>
    <w:rPr>
      <w:rFonts w:eastAsia="Calibri"/>
      <w:kern w:val="0"/>
      <w:sz w:val="22"/>
      <w:szCs w:val="22"/>
      <w:lang w:eastAsia="en-US"/>
    </w:rPr>
  </w:style>
  <w:style w:type="paragraph" w:styleId="6">
    <w:name w:val="annotation text"/>
    <w:basedOn w:val="1"/>
    <w:link w:val="24"/>
    <w:unhideWhenUsed/>
    <w:qFormat/>
    <w:uiPriority w:val="99"/>
    <w:pPr>
      <w:jc w:val="left"/>
    </w:pPr>
  </w:style>
  <w:style w:type="paragraph" w:styleId="7">
    <w:name w:val="Body Text"/>
    <w:basedOn w:val="1"/>
    <w:next w:val="1"/>
    <w:link w:val="25"/>
    <w:unhideWhenUsed/>
    <w:qFormat/>
    <w:uiPriority w:val="99"/>
    <w:pPr>
      <w:spacing w:after="120"/>
    </w:pPr>
  </w:style>
  <w:style w:type="paragraph" w:styleId="8">
    <w:name w:val="Body Text Indent"/>
    <w:basedOn w:val="1"/>
    <w:next w:val="9"/>
    <w:qFormat/>
    <w:uiPriority w:val="99"/>
    <w:pPr>
      <w:ind w:firstLine="570"/>
    </w:pPr>
    <w:rPr>
      <w:kern w:val="0"/>
      <w:sz w:val="28"/>
      <w:szCs w:val="20"/>
    </w:rPr>
  </w:style>
  <w:style w:type="paragraph" w:styleId="9">
    <w:name w:val="envelope return"/>
    <w:basedOn w:val="1"/>
    <w:qFormat/>
    <w:uiPriority w:val="0"/>
    <w:pPr>
      <w:snapToGrid w:val="0"/>
    </w:pPr>
    <w:rPr>
      <w:rFonts w:ascii="Arial" w:hAnsi="Arial"/>
    </w:rPr>
  </w:style>
  <w:style w:type="paragraph" w:styleId="10">
    <w:name w:val="Plain Text"/>
    <w:basedOn w:val="1"/>
    <w:next w:val="1"/>
    <w:unhideWhenUsed/>
    <w:qFormat/>
    <w:uiPriority w:val="0"/>
    <w:rPr>
      <w:rFonts w:ascii="宋体" w:hAnsi="Courier New"/>
      <w:kern w:val="0"/>
      <w:sz w:val="20"/>
      <w:szCs w:val="21"/>
    </w:rPr>
  </w:style>
  <w:style w:type="paragraph" w:styleId="11">
    <w:name w:val="Balloon Text"/>
    <w:basedOn w:val="1"/>
    <w:link w:val="26"/>
    <w:unhideWhenUsed/>
    <w:qFormat/>
    <w:uiPriority w:val="99"/>
    <w:rPr>
      <w:kern w:val="0"/>
      <w:sz w:val="18"/>
      <w:szCs w:val="18"/>
    </w:rPr>
  </w:style>
  <w:style w:type="paragraph" w:styleId="12">
    <w:name w:val="footer"/>
    <w:basedOn w:val="1"/>
    <w:link w:val="27"/>
    <w:unhideWhenUsed/>
    <w:qFormat/>
    <w:uiPriority w:val="99"/>
    <w:pPr>
      <w:tabs>
        <w:tab w:val="center" w:pos="4153"/>
        <w:tab w:val="right" w:pos="8306"/>
      </w:tabs>
      <w:snapToGrid w:val="0"/>
      <w:jc w:val="left"/>
    </w:pPr>
    <w:rPr>
      <w:kern w:val="0"/>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Autospacing="1" w:afterAutospacing="1"/>
      <w:jc w:val="left"/>
    </w:pPr>
    <w:rPr>
      <w:rFonts w:ascii="宋体" w:hAnsi="宋体"/>
      <w:kern w:val="0"/>
      <w:sz w:val="24"/>
    </w:rPr>
  </w:style>
  <w:style w:type="paragraph" w:styleId="16">
    <w:name w:val="annotation subject"/>
    <w:basedOn w:val="6"/>
    <w:next w:val="6"/>
    <w:link w:val="29"/>
    <w:unhideWhenUsed/>
    <w:qFormat/>
    <w:uiPriority w:val="99"/>
    <w:rPr>
      <w:b/>
      <w:bCs/>
    </w:rPr>
  </w:style>
  <w:style w:type="paragraph" w:styleId="17">
    <w:name w:val="Body Text First Indent 2"/>
    <w:basedOn w:val="8"/>
    <w:qFormat/>
    <w:uiPriority w:val="0"/>
    <w:pPr>
      <w:spacing w:after="120"/>
      <w:ind w:left="200" w:leftChars="200" w:firstLine="200" w:firstLineChars="200"/>
    </w:pPr>
    <w:rPr>
      <w:rFonts w:ascii="Calibri" w:hAnsi="Calibri"/>
      <w:kern w:val="2"/>
      <w:sz w:val="21"/>
      <w:szCs w:val="24"/>
    </w:rPr>
  </w:style>
  <w:style w:type="character" w:styleId="20">
    <w:name w:val="Hyperlink"/>
    <w:qFormat/>
    <w:uiPriority w:val="0"/>
    <w:rPr>
      <w:color w:val="000000"/>
      <w:u w:val="none"/>
    </w:rPr>
  </w:style>
  <w:style w:type="character" w:styleId="21">
    <w:name w:val="annotation reference"/>
    <w:unhideWhenUsed/>
    <w:qFormat/>
    <w:uiPriority w:val="99"/>
    <w:rPr>
      <w:sz w:val="21"/>
      <w:szCs w:val="21"/>
    </w:rPr>
  </w:style>
  <w:style w:type="character" w:customStyle="1" w:styleId="22">
    <w:name w:val="标题 2 字符"/>
    <w:link w:val="3"/>
    <w:qFormat/>
    <w:uiPriority w:val="99"/>
    <w:rPr>
      <w:rFonts w:ascii="Cambria" w:hAnsi="Cambria" w:eastAsia="宋体" w:cs="Times New Roman"/>
      <w:b/>
      <w:bCs/>
      <w:kern w:val="0"/>
      <w:sz w:val="30"/>
      <w:szCs w:val="30"/>
    </w:rPr>
  </w:style>
  <w:style w:type="character" w:customStyle="1" w:styleId="23">
    <w:name w:val="标题 3 字符"/>
    <w:link w:val="4"/>
    <w:qFormat/>
    <w:uiPriority w:val="1"/>
    <w:rPr>
      <w:rFonts w:ascii="Times New Roman" w:hAnsi="Times New Roman" w:eastAsia="宋体" w:cs="Times New Roman"/>
      <w:bCs/>
      <w:szCs w:val="32"/>
    </w:rPr>
  </w:style>
  <w:style w:type="character" w:customStyle="1" w:styleId="24">
    <w:name w:val="批注文字 字符"/>
    <w:link w:val="6"/>
    <w:semiHidden/>
    <w:qFormat/>
    <w:uiPriority w:val="99"/>
    <w:rPr>
      <w:kern w:val="2"/>
      <w:sz w:val="21"/>
      <w:szCs w:val="24"/>
    </w:rPr>
  </w:style>
  <w:style w:type="character" w:customStyle="1" w:styleId="25">
    <w:name w:val="正文文本 字符"/>
    <w:link w:val="7"/>
    <w:semiHidden/>
    <w:qFormat/>
    <w:uiPriority w:val="99"/>
    <w:rPr>
      <w:kern w:val="2"/>
      <w:sz w:val="21"/>
      <w:szCs w:val="24"/>
    </w:rPr>
  </w:style>
  <w:style w:type="character" w:customStyle="1" w:styleId="26">
    <w:name w:val="批注框文本 字符"/>
    <w:link w:val="11"/>
    <w:semiHidden/>
    <w:qFormat/>
    <w:uiPriority w:val="99"/>
    <w:rPr>
      <w:sz w:val="18"/>
      <w:szCs w:val="18"/>
    </w:rPr>
  </w:style>
  <w:style w:type="character" w:customStyle="1" w:styleId="27">
    <w:name w:val="页脚 字符"/>
    <w:link w:val="12"/>
    <w:qFormat/>
    <w:uiPriority w:val="99"/>
    <w:rPr>
      <w:sz w:val="18"/>
      <w:szCs w:val="18"/>
    </w:rPr>
  </w:style>
  <w:style w:type="character" w:customStyle="1" w:styleId="28">
    <w:name w:val="页眉 字符"/>
    <w:link w:val="13"/>
    <w:semiHidden/>
    <w:qFormat/>
    <w:uiPriority w:val="99"/>
    <w:rPr>
      <w:sz w:val="18"/>
      <w:szCs w:val="18"/>
    </w:rPr>
  </w:style>
  <w:style w:type="character" w:customStyle="1" w:styleId="29">
    <w:name w:val="批注主题 字符"/>
    <w:link w:val="16"/>
    <w:semiHidden/>
    <w:qFormat/>
    <w:uiPriority w:val="99"/>
    <w:rPr>
      <w:b/>
      <w:bCs/>
      <w:kern w:val="2"/>
      <w:sz w:val="21"/>
      <w:szCs w:val="24"/>
    </w:rPr>
  </w:style>
  <w:style w:type="character" w:customStyle="1" w:styleId="30">
    <w:name w:val="16"/>
    <w:qFormat/>
    <w:uiPriority w:val="0"/>
    <w:rPr>
      <w:rFonts w:hint="default" w:ascii="Calibri" w:hAnsi="Calibri" w:cs="Calibri"/>
      <w:color w:val="0000FF"/>
      <w:u w:val="single"/>
    </w:rPr>
  </w:style>
  <w:style w:type="paragraph" w:customStyle="1" w:styleId="31">
    <w:name w:val="_Style 15"/>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33">
    <w:name w:val="_Style 31"/>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p0"/>
    <w:basedOn w:val="1"/>
    <w:qFormat/>
    <w:uiPriority w:val="99"/>
    <w:pPr>
      <w:widowControl/>
    </w:pPr>
    <w:rPr>
      <w:kern w:val="0"/>
      <w:szCs w:val="21"/>
    </w:rPr>
  </w:style>
  <w:style w:type="paragraph" w:customStyle="1" w:styleId="35">
    <w:name w:val="报告正文"/>
    <w:basedOn w:val="1"/>
    <w:qFormat/>
    <w:uiPriority w:val="0"/>
    <w:pPr>
      <w:adjustRightInd w:val="0"/>
      <w:snapToGrid w:val="0"/>
      <w:ind w:firstLine="480" w:firstLineChars="200"/>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14</Pages>
  <Words>8025</Words>
  <Characters>8773</Characters>
  <Lines>66</Lines>
  <Paragraphs>18</Paragraphs>
  <TotalTime>54</TotalTime>
  <ScaleCrop>false</ScaleCrop>
  <LinksUpToDate>false</LinksUpToDate>
  <CharactersWithSpaces>9228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2022-11-02T04:05:00Z</dcterms:created>
  <dc:creator>NTKO</dc:creator>
  <cp:lastModifiedBy>ye</cp:lastModifiedBy>
  <cp:lastPrinted>2023-05-12T00:46:00Z</cp:lastPrinted>
  <dcterms:modified xsi:type="dcterms:W3CDTF">2023-05-26T03:32:03Z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B983E03DF3C34674B22E0894AFC33AC7_13</vt:lpwstr>
  </property>
</Properties>
</file>