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ascii="宋体" w:hAnsi="宋体" w:eastAsia="宋体" w:cs="宋体"/>
          <w:b/>
          <w:bCs/>
          <w:spacing w:val="0"/>
          <w:sz w:val="28"/>
          <w:szCs w:val="28"/>
          <w:highlight w:val="none"/>
        </w:rPr>
      </w:pPr>
    </w:p>
    <w:p>
      <w:pPr>
        <w:adjustRightInd w:val="0"/>
        <w:snapToGrid w:val="0"/>
        <w:spacing w:line="400" w:lineRule="atLeast"/>
        <w:jc w:val="center"/>
        <w:rPr>
          <w:rFonts w:ascii="宋体" w:hAnsi="Calibri" w:eastAsia="宋体" w:cs="Times New Roman"/>
          <w:b/>
          <w:bCs/>
          <w:spacing w:val="0"/>
          <w:sz w:val="28"/>
          <w:szCs w:val="28"/>
          <w:highlight w:val="none"/>
        </w:rPr>
      </w:pPr>
      <w:r>
        <w:rPr>
          <w:rFonts w:hint="eastAsia" w:ascii="宋体" w:hAnsi="宋体" w:eastAsia="宋体" w:cs="宋体"/>
          <w:b/>
          <w:bCs/>
          <w:spacing w:val="0"/>
          <w:sz w:val="28"/>
          <w:szCs w:val="28"/>
          <w:highlight w:val="none"/>
        </w:rPr>
        <w:t>附录</w:t>
      </w:r>
      <w:r>
        <w:rPr>
          <w:rFonts w:ascii="宋体" w:hAnsi="宋体" w:eastAsia="宋体" w:cs="宋体"/>
          <w:b/>
          <w:bCs/>
          <w:spacing w:val="0"/>
          <w:sz w:val="28"/>
          <w:szCs w:val="28"/>
          <w:highlight w:val="none"/>
        </w:rPr>
        <w:t xml:space="preserve">1  </w:t>
      </w:r>
      <w:r>
        <w:rPr>
          <w:rFonts w:hint="eastAsia" w:ascii="宋体" w:hAnsi="宋体" w:eastAsia="宋体" w:cs="宋体"/>
          <w:b/>
          <w:bCs/>
          <w:spacing w:val="0"/>
          <w:sz w:val="28"/>
          <w:szCs w:val="28"/>
          <w:highlight w:val="none"/>
        </w:rPr>
        <w:t>资格审查条件</w:t>
      </w:r>
      <w:r>
        <w:rPr>
          <w:rFonts w:ascii="宋体" w:hAnsi="宋体" w:eastAsia="宋体" w:cs="宋体"/>
          <w:b/>
          <w:bCs/>
          <w:spacing w:val="0"/>
          <w:sz w:val="28"/>
          <w:szCs w:val="28"/>
          <w:highlight w:val="none"/>
        </w:rPr>
        <w:t>(</w:t>
      </w:r>
      <w:r>
        <w:rPr>
          <w:rFonts w:hint="eastAsia" w:ascii="宋体" w:hAnsi="宋体" w:eastAsia="宋体" w:cs="宋体"/>
          <w:b/>
          <w:bCs/>
          <w:spacing w:val="0"/>
          <w:sz w:val="28"/>
          <w:szCs w:val="28"/>
          <w:highlight w:val="none"/>
        </w:rPr>
        <w:t>资质最低要求</w:t>
      </w:r>
      <w:r>
        <w:rPr>
          <w:rFonts w:ascii="宋体" w:hAnsi="宋体" w:eastAsia="宋体" w:cs="宋体"/>
          <w:b/>
          <w:bCs/>
          <w:spacing w:val="0"/>
          <w:sz w:val="28"/>
          <w:szCs w:val="28"/>
          <w:highlight w:val="none"/>
        </w:rPr>
        <w:t>)</w:t>
      </w:r>
    </w:p>
    <w:p>
      <w:pPr>
        <w:adjustRightInd w:val="0"/>
        <w:snapToGrid w:val="0"/>
        <w:spacing w:line="400" w:lineRule="atLeast"/>
        <w:jc w:val="center"/>
        <w:rPr>
          <w:rFonts w:ascii="宋体" w:hAnsi="Calibri" w:eastAsia="宋体" w:cs="Times New Roman"/>
          <w:b/>
          <w:bCs/>
          <w:spacing w:val="0"/>
          <w:sz w:val="21"/>
          <w:szCs w:val="24"/>
          <w:highlight w:val="none"/>
        </w:rPr>
      </w:pPr>
    </w:p>
    <w:tbl>
      <w:tblPr>
        <w:tblStyle w:val="3"/>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160" w:type="dxa"/>
            <w:noWrap/>
            <w:vAlign w:val="center"/>
          </w:tcPr>
          <w:p>
            <w:pPr>
              <w:adjustRightInd w:val="0"/>
              <w:snapToGrid w:val="0"/>
              <w:spacing w:line="400" w:lineRule="atLeast"/>
              <w:jc w:val="center"/>
              <w:rPr>
                <w:rFonts w:ascii="宋体" w:hAnsi="Calibri" w:eastAsia="宋体" w:cs="Times New Roman"/>
                <w:spacing w:val="0"/>
                <w:sz w:val="21"/>
                <w:szCs w:val="24"/>
                <w:highlight w:val="none"/>
              </w:rPr>
            </w:pPr>
            <w:r>
              <w:rPr>
                <w:rFonts w:hint="eastAsia" w:ascii="宋体" w:hAnsi="宋体" w:eastAsia="宋体" w:cs="宋体"/>
                <w:spacing w:val="0"/>
                <w:sz w:val="21"/>
                <w:szCs w:val="24"/>
                <w:highlight w:val="none"/>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8160" w:type="dxa"/>
            <w:noWrap/>
            <w:vAlign w:val="center"/>
          </w:tcPr>
          <w:p>
            <w:pPr>
              <w:adjustRightInd w:val="0"/>
              <w:snapToGrid w:val="0"/>
              <w:spacing w:line="360" w:lineRule="auto"/>
              <w:rPr>
                <w:rFonts w:ascii="宋体" w:hAnsi="Calibri" w:eastAsia="宋体" w:cs="Times New Roman"/>
                <w:spacing w:val="0"/>
                <w:sz w:val="21"/>
                <w:szCs w:val="24"/>
                <w:highlight w:val="none"/>
              </w:rPr>
            </w:pPr>
            <w:r>
              <w:rPr>
                <w:rFonts w:hint="eastAsia" w:ascii="宋体" w:hAnsi="Calibri" w:eastAsia="宋体" w:cs="Times New Roman"/>
                <w:spacing w:val="0"/>
                <w:sz w:val="21"/>
                <w:szCs w:val="24"/>
                <w:highlight w:val="none"/>
              </w:rPr>
              <w:t>具备住建部门核发公路工程施工总承包三级(或以上)资质，具有有效的安全生产许可证。</w:t>
            </w:r>
          </w:p>
        </w:tc>
      </w:tr>
    </w:tbl>
    <w:p>
      <w:pPr>
        <w:adjustRightInd w:val="0"/>
        <w:snapToGrid w:val="0"/>
        <w:spacing w:line="400" w:lineRule="atLeast"/>
        <w:rPr>
          <w:rFonts w:ascii="宋体" w:hAnsi="Calibri" w:eastAsia="宋体" w:cs="Times New Roman"/>
          <w:spacing w:val="0"/>
          <w:sz w:val="21"/>
          <w:szCs w:val="24"/>
          <w:highlight w:val="none"/>
        </w:rPr>
      </w:pPr>
    </w:p>
    <w:p>
      <w:pPr>
        <w:spacing w:line="360" w:lineRule="auto"/>
        <w:ind w:firstLine="1050" w:firstLineChars="500"/>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注：投标人应根据投标文件第二章“投标人须知”第 3.5.1 项的要求附相关证明材料。</w:t>
      </w:r>
    </w:p>
    <w:p>
      <w:pPr>
        <w:spacing w:line="360" w:lineRule="auto"/>
        <w:jc w:val="left"/>
        <w:rPr>
          <w:rFonts w:ascii="宋体" w:hAnsi="宋体" w:eastAsia="宋体" w:cs="宋体"/>
          <w:spacing w:val="0"/>
          <w:sz w:val="21"/>
          <w:szCs w:val="24"/>
          <w:highlight w:val="none"/>
        </w:rPr>
      </w:pPr>
    </w:p>
    <w:p>
      <w:pPr>
        <w:spacing w:line="360" w:lineRule="auto"/>
        <w:jc w:val="left"/>
        <w:rPr>
          <w:rFonts w:ascii="宋体" w:hAnsi="宋体" w:eastAsia="宋体" w:cs="宋体"/>
          <w:spacing w:val="0"/>
          <w:sz w:val="24"/>
          <w:szCs w:val="24"/>
          <w:highlight w:val="none"/>
        </w:rPr>
      </w:pPr>
      <w:r>
        <w:rPr>
          <w:rFonts w:hint="eastAsia" w:ascii="宋体" w:hAnsi="宋体" w:eastAsia="宋体" w:cs="宋体"/>
          <w:spacing w:val="0"/>
          <w:sz w:val="24"/>
          <w:szCs w:val="24"/>
          <w:highlight w:val="none"/>
        </w:rPr>
        <w:br w:type="page"/>
      </w:r>
    </w:p>
    <w:p>
      <w:pPr>
        <w:adjustRightInd w:val="0"/>
        <w:snapToGrid w:val="0"/>
        <w:spacing w:line="400" w:lineRule="atLeast"/>
        <w:jc w:val="center"/>
        <w:rPr>
          <w:rFonts w:ascii="宋体" w:hAnsi="Calibri" w:eastAsia="宋体" w:cs="Times New Roman"/>
          <w:b/>
          <w:bCs/>
          <w:spacing w:val="0"/>
          <w:sz w:val="21"/>
          <w:szCs w:val="24"/>
          <w:highlight w:val="none"/>
        </w:rPr>
      </w:pPr>
    </w:p>
    <w:p>
      <w:pPr>
        <w:adjustRightInd w:val="0"/>
        <w:snapToGrid w:val="0"/>
        <w:spacing w:line="400" w:lineRule="atLeast"/>
        <w:jc w:val="center"/>
        <w:rPr>
          <w:rFonts w:ascii="宋体" w:hAnsi="Calibri" w:eastAsia="宋体" w:cs="Times New Roman"/>
          <w:b/>
          <w:bCs/>
          <w:spacing w:val="0"/>
          <w:sz w:val="21"/>
          <w:szCs w:val="24"/>
          <w:highlight w:val="none"/>
        </w:rPr>
      </w:pPr>
    </w:p>
    <w:p>
      <w:pPr>
        <w:adjustRightInd w:val="0"/>
        <w:snapToGrid w:val="0"/>
        <w:spacing w:line="400" w:lineRule="atLeast"/>
        <w:rPr>
          <w:rFonts w:ascii="宋体" w:hAnsi="Calibri" w:eastAsia="宋体" w:cs="Times New Roman"/>
          <w:b/>
          <w:bCs/>
          <w:spacing w:val="0"/>
          <w:sz w:val="21"/>
          <w:szCs w:val="24"/>
          <w:highlight w:val="none"/>
        </w:rPr>
      </w:pPr>
    </w:p>
    <w:p>
      <w:pPr>
        <w:adjustRightInd w:val="0"/>
        <w:snapToGrid w:val="0"/>
        <w:spacing w:line="400" w:lineRule="atLeast"/>
        <w:jc w:val="center"/>
        <w:rPr>
          <w:rFonts w:ascii="宋体" w:hAnsi="Calibri" w:eastAsia="宋体" w:cs="Times New Roman"/>
          <w:b/>
          <w:bCs/>
          <w:spacing w:val="0"/>
          <w:sz w:val="21"/>
          <w:szCs w:val="24"/>
          <w:highlight w:val="none"/>
        </w:rPr>
      </w:pPr>
      <w:r>
        <w:rPr>
          <w:rFonts w:hint="eastAsia" w:ascii="宋体" w:hAnsi="宋体" w:eastAsia="宋体" w:cs="宋体"/>
          <w:b/>
          <w:bCs/>
          <w:spacing w:val="0"/>
          <w:sz w:val="21"/>
          <w:szCs w:val="24"/>
          <w:highlight w:val="none"/>
        </w:rPr>
        <w:t>附录</w:t>
      </w:r>
      <w:r>
        <w:rPr>
          <w:rFonts w:ascii="宋体" w:hAnsi="宋体" w:eastAsia="宋体" w:cs="宋体"/>
          <w:b/>
          <w:bCs/>
          <w:spacing w:val="0"/>
          <w:sz w:val="21"/>
          <w:szCs w:val="24"/>
          <w:highlight w:val="none"/>
        </w:rPr>
        <w:t xml:space="preserve">2  </w:t>
      </w:r>
      <w:r>
        <w:rPr>
          <w:rFonts w:hint="eastAsia" w:ascii="宋体" w:hAnsi="宋体" w:eastAsia="宋体" w:cs="宋体"/>
          <w:b/>
          <w:bCs/>
          <w:spacing w:val="0"/>
          <w:sz w:val="21"/>
          <w:szCs w:val="24"/>
          <w:highlight w:val="none"/>
        </w:rPr>
        <w:t>资格审查条件</w:t>
      </w:r>
      <w:r>
        <w:rPr>
          <w:rFonts w:ascii="宋体" w:hAnsi="宋体" w:eastAsia="宋体" w:cs="宋体"/>
          <w:b/>
          <w:bCs/>
          <w:spacing w:val="0"/>
          <w:sz w:val="21"/>
          <w:szCs w:val="24"/>
          <w:highlight w:val="none"/>
        </w:rPr>
        <w:t>(</w:t>
      </w:r>
      <w:r>
        <w:rPr>
          <w:rFonts w:hint="eastAsia" w:ascii="宋体" w:hAnsi="宋体" w:eastAsia="宋体" w:cs="宋体"/>
          <w:b/>
          <w:bCs/>
          <w:spacing w:val="0"/>
          <w:sz w:val="21"/>
          <w:szCs w:val="24"/>
          <w:highlight w:val="none"/>
        </w:rPr>
        <w:t>财务最低要求</w:t>
      </w:r>
      <w:r>
        <w:rPr>
          <w:rFonts w:ascii="宋体" w:hAnsi="宋体" w:eastAsia="宋体" w:cs="宋体"/>
          <w:b/>
          <w:bCs/>
          <w:spacing w:val="0"/>
          <w:sz w:val="21"/>
          <w:szCs w:val="24"/>
          <w:highlight w:val="none"/>
        </w:rPr>
        <w:t>)</w:t>
      </w:r>
    </w:p>
    <w:p>
      <w:pPr>
        <w:adjustRightInd w:val="0"/>
        <w:snapToGrid w:val="0"/>
        <w:spacing w:line="400" w:lineRule="atLeast"/>
        <w:rPr>
          <w:rFonts w:ascii="宋体" w:hAnsi="Calibri" w:eastAsia="宋体" w:cs="Times New Roman"/>
          <w:b/>
          <w:bCs/>
          <w:spacing w:val="0"/>
          <w:sz w:val="21"/>
          <w:szCs w:val="24"/>
          <w:highlight w:val="none"/>
        </w:rPr>
      </w:pPr>
    </w:p>
    <w:tbl>
      <w:tblPr>
        <w:tblStyle w:val="3"/>
        <w:tblW w:w="7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7995" w:type="dxa"/>
            <w:noWrap/>
            <w:vAlign w:val="center"/>
          </w:tcPr>
          <w:p>
            <w:pPr>
              <w:adjustRightInd w:val="0"/>
              <w:snapToGrid w:val="0"/>
              <w:spacing w:line="400" w:lineRule="atLeast"/>
              <w:jc w:val="center"/>
              <w:rPr>
                <w:rFonts w:ascii="宋体" w:hAnsi="Calibri" w:eastAsia="宋体" w:cs="Times New Roman"/>
                <w:b/>
                <w:bCs/>
                <w:spacing w:val="0"/>
                <w:sz w:val="21"/>
                <w:szCs w:val="24"/>
                <w:highlight w:val="none"/>
              </w:rPr>
            </w:pPr>
            <w:r>
              <w:rPr>
                <w:rFonts w:hint="eastAsia" w:ascii="宋体" w:hAnsi="宋体" w:eastAsia="宋体" w:cs="宋体"/>
                <w:b/>
                <w:bCs/>
                <w:spacing w:val="0"/>
                <w:sz w:val="21"/>
                <w:szCs w:val="24"/>
                <w:highlight w: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jc w:val="center"/>
        </w:trPr>
        <w:tc>
          <w:tcPr>
            <w:tcW w:w="7995" w:type="dxa"/>
            <w:noWrap/>
            <w:vAlign w:val="center"/>
          </w:tcPr>
          <w:p>
            <w:pPr>
              <w:numPr>
                <w:ilvl w:val="0"/>
                <w:numId w:val="1"/>
              </w:numPr>
              <w:spacing w:line="480" w:lineRule="auto"/>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企业净资产（总资产-总负债）不少于</w:t>
            </w:r>
            <w:r>
              <w:rPr>
                <w:rFonts w:hint="eastAsia" w:ascii="宋体" w:hAnsi="宋体" w:eastAsia="宋体" w:cs="宋体"/>
                <w:spacing w:val="0"/>
                <w:sz w:val="21"/>
                <w:szCs w:val="24"/>
                <w:highlight w:val="none"/>
                <w:u w:val="single"/>
              </w:rPr>
              <w:t>1000</w:t>
            </w:r>
            <w:r>
              <w:rPr>
                <w:rFonts w:hint="eastAsia" w:ascii="宋体" w:hAnsi="宋体" w:eastAsia="宋体" w:cs="宋体"/>
                <w:spacing w:val="0"/>
                <w:sz w:val="21"/>
                <w:szCs w:val="24"/>
                <w:highlight w:val="none"/>
              </w:rPr>
              <w:t>万元人民币；</w:t>
            </w:r>
          </w:p>
          <w:p>
            <w:pPr>
              <w:pStyle w:val="2"/>
              <w:numPr>
                <w:ilvl w:val="0"/>
                <w:numId w:val="0"/>
              </w:numPr>
              <w:spacing w:line="480" w:lineRule="auto"/>
              <w:rPr>
                <w:rFonts w:ascii="宋体" w:hAnsi="宋体" w:cs="宋体"/>
                <w:spacing w:val="0"/>
                <w:highlight w:val="none"/>
              </w:rPr>
            </w:pPr>
            <w:r>
              <w:rPr>
                <w:rFonts w:hint="eastAsia" w:ascii="宋体" w:hAnsi="宋体" w:cs="宋体"/>
                <w:spacing w:val="0"/>
                <w:highlight w:val="none"/>
              </w:rPr>
              <w:t xml:space="preserve">2、营运资金 (流动资产－流动负债) 不少于 </w:t>
            </w:r>
            <w:r>
              <w:rPr>
                <w:rFonts w:hint="eastAsia" w:ascii="宋体" w:hAnsi="宋体" w:cs="宋体"/>
                <w:spacing w:val="0"/>
                <w:highlight w:val="none"/>
                <w:u w:val="single"/>
              </w:rPr>
              <w:t xml:space="preserve"> 1000 </w:t>
            </w:r>
            <w:r>
              <w:rPr>
                <w:rFonts w:hint="eastAsia" w:ascii="宋体" w:hAnsi="宋体" w:cs="宋体"/>
                <w:spacing w:val="0"/>
                <w:highlight w:val="none"/>
              </w:rPr>
              <w:t>万元人民币。</w:t>
            </w:r>
          </w:p>
          <w:p>
            <w:pPr>
              <w:spacing w:line="480" w:lineRule="auto"/>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3、最近三个年度的平均营业总收入不少于</w:t>
            </w:r>
            <w:r>
              <w:rPr>
                <w:rFonts w:hint="eastAsia" w:ascii="宋体" w:hAnsi="宋体" w:eastAsia="宋体" w:cs="宋体"/>
                <w:spacing w:val="0"/>
                <w:sz w:val="21"/>
                <w:szCs w:val="24"/>
                <w:highlight w:val="none"/>
                <w:u w:val="single"/>
              </w:rPr>
              <w:t>1000</w:t>
            </w:r>
            <w:r>
              <w:rPr>
                <w:rFonts w:hint="eastAsia" w:ascii="宋体" w:hAnsi="宋体" w:eastAsia="宋体" w:cs="宋体"/>
                <w:spacing w:val="0"/>
                <w:sz w:val="21"/>
                <w:szCs w:val="24"/>
                <w:highlight w:val="none"/>
              </w:rPr>
              <w:t>万元人民币；</w:t>
            </w:r>
          </w:p>
          <w:p>
            <w:pPr>
              <w:adjustRightInd w:val="0"/>
              <w:snapToGrid w:val="0"/>
              <w:spacing w:line="480" w:lineRule="auto"/>
              <w:rPr>
                <w:rFonts w:ascii="宋体" w:hAnsi="Calibri" w:eastAsia="宋体" w:cs="Times New Roman"/>
                <w:spacing w:val="0"/>
                <w:sz w:val="21"/>
                <w:szCs w:val="24"/>
                <w:highlight w:val="none"/>
              </w:rPr>
            </w:pPr>
            <w:r>
              <w:rPr>
                <w:rFonts w:hint="eastAsia" w:ascii="宋体" w:hAnsi="宋体" w:eastAsia="宋体" w:cs="宋体"/>
                <w:spacing w:val="0"/>
                <w:sz w:val="21"/>
                <w:szCs w:val="24"/>
                <w:highlight w:val="none"/>
              </w:rPr>
              <w:t>4、最近三个年度至少有</w:t>
            </w:r>
            <w:r>
              <w:rPr>
                <w:rFonts w:hint="eastAsia" w:ascii="宋体" w:hAnsi="宋体" w:eastAsia="宋体" w:cs="宋体"/>
                <w:spacing w:val="0"/>
                <w:sz w:val="21"/>
                <w:szCs w:val="24"/>
                <w:highlight w:val="none"/>
                <w:u w:val="single"/>
              </w:rPr>
              <w:t xml:space="preserve"> 2 </w:t>
            </w:r>
            <w:r>
              <w:rPr>
                <w:rFonts w:hint="eastAsia" w:ascii="宋体" w:hAnsi="宋体" w:eastAsia="宋体" w:cs="宋体"/>
                <w:spacing w:val="0"/>
                <w:sz w:val="21"/>
                <w:szCs w:val="24"/>
                <w:highlight w:val="none"/>
              </w:rPr>
              <w:t>年盈利；</w:t>
            </w:r>
          </w:p>
        </w:tc>
      </w:tr>
    </w:tbl>
    <w:p>
      <w:pPr>
        <w:spacing w:line="360" w:lineRule="auto"/>
        <w:jc w:val="left"/>
        <w:rPr>
          <w:rFonts w:ascii="宋体" w:hAnsi="宋体" w:eastAsia="宋体" w:cs="宋体"/>
          <w:spacing w:val="0"/>
          <w:sz w:val="21"/>
          <w:szCs w:val="24"/>
          <w:highlight w:val="none"/>
        </w:rPr>
      </w:pPr>
    </w:p>
    <w:p>
      <w:pPr>
        <w:adjustRightInd w:val="0"/>
        <w:snapToGrid w:val="0"/>
        <w:spacing w:line="400" w:lineRule="atLeast"/>
        <w:ind w:firstLine="420" w:firstLineChars="200"/>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注：1、企业净资产、营运资金是按交通运输部“全国公路建设市场信用信息管理系统”登记</w:t>
      </w:r>
    </w:p>
    <w:p>
      <w:pPr>
        <w:adjustRightInd w:val="0"/>
        <w:snapToGrid w:val="0"/>
        <w:spacing w:line="400" w:lineRule="atLeast"/>
        <w:ind w:firstLine="420" w:firstLineChars="200"/>
        <w:jc w:val="left"/>
        <w:rPr>
          <w:rFonts w:ascii="宋体" w:hAnsi="宋体" w:eastAsia="宋体" w:cs="宋体"/>
          <w:spacing w:val="0"/>
          <w:sz w:val="21"/>
          <w:szCs w:val="24"/>
          <w:highlight w:val="none"/>
          <w:u w:val="single"/>
        </w:rPr>
      </w:pPr>
      <w:r>
        <w:rPr>
          <w:rFonts w:hint="eastAsia" w:ascii="宋体" w:hAnsi="宋体" w:eastAsia="宋体" w:cs="宋体"/>
          <w:spacing w:val="0"/>
          <w:sz w:val="21"/>
          <w:szCs w:val="24"/>
          <w:highlight w:val="none"/>
        </w:rPr>
        <w:t>的最新年度 (近三个年度的最后一年，下同) 数据计算得出。近三个年度是指</w:t>
      </w:r>
      <w:r>
        <w:rPr>
          <w:rFonts w:hint="eastAsia" w:ascii="宋体" w:hAnsi="宋体" w:eastAsia="宋体" w:cs="宋体"/>
          <w:spacing w:val="0"/>
          <w:sz w:val="21"/>
          <w:szCs w:val="24"/>
          <w:highlight w:val="none"/>
          <w:u w:val="single"/>
        </w:rPr>
        <w:t xml:space="preserve"> 2019年、2020</w:t>
      </w:r>
    </w:p>
    <w:p>
      <w:pPr>
        <w:adjustRightInd w:val="0"/>
        <w:snapToGrid w:val="0"/>
        <w:spacing w:line="400" w:lineRule="atLeast"/>
        <w:ind w:firstLine="420" w:firstLineChars="200"/>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u w:val="single"/>
        </w:rPr>
        <w:t>年、2021 年</w:t>
      </w:r>
      <w:r>
        <w:rPr>
          <w:rFonts w:hint="eastAsia" w:ascii="宋体" w:hAnsi="宋体" w:eastAsia="宋体" w:cs="宋体"/>
          <w:spacing w:val="0"/>
          <w:sz w:val="21"/>
          <w:szCs w:val="24"/>
          <w:highlight w:val="none"/>
        </w:rPr>
        <w:t>。</w:t>
      </w:r>
    </w:p>
    <w:p>
      <w:pPr>
        <w:adjustRightInd w:val="0"/>
        <w:snapToGrid w:val="0"/>
        <w:spacing w:line="400" w:lineRule="atLeast"/>
        <w:ind w:firstLine="420" w:firstLineChars="200"/>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2、投标人应根据招标文件第二章“投标人须知”第 3.5.2 项的要求附相关证明材料。</w:t>
      </w:r>
    </w:p>
    <w:p>
      <w:pPr>
        <w:adjustRightInd w:val="0"/>
        <w:snapToGrid w:val="0"/>
        <w:spacing w:line="400" w:lineRule="atLeast"/>
        <w:jc w:val="center"/>
        <w:rPr>
          <w:rFonts w:ascii="宋体" w:hAnsi="Calibri" w:eastAsia="宋体" w:cs="Times New Roman"/>
          <w:b/>
          <w:bCs/>
          <w:spacing w:val="0"/>
          <w:sz w:val="21"/>
          <w:szCs w:val="24"/>
          <w:highlight w:val="none"/>
        </w:rPr>
      </w:pPr>
      <w:r>
        <w:rPr>
          <w:rFonts w:ascii="宋体" w:hAnsi="Calibri" w:eastAsia="宋体" w:cs="Times New Roman"/>
          <w:spacing w:val="0"/>
          <w:sz w:val="21"/>
          <w:szCs w:val="24"/>
          <w:highlight w:val="none"/>
        </w:rPr>
        <w:br w:type="page"/>
      </w:r>
      <w:r>
        <w:rPr>
          <w:rFonts w:hint="eastAsia" w:ascii="宋体" w:hAnsi="宋体" w:eastAsia="宋体" w:cs="宋体"/>
          <w:b/>
          <w:bCs/>
          <w:spacing w:val="0"/>
          <w:sz w:val="21"/>
          <w:szCs w:val="24"/>
          <w:highlight w:val="none"/>
        </w:rPr>
        <w:t>附录</w:t>
      </w:r>
      <w:r>
        <w:rPr>
          <w:rFonts w:ascii="宋体" w:hAnsi="宋体" w:eastAsia="宋体" w:cs="宋体"/>
          <w:b/>
          <w:bCs/>
          <w:spacing w:val="0"/>
          <w:sz w:val="21"/>
          <w:szCs w:val="24"/>
          <w:highlight w:val="none"/>
        </w:rPr>
        <w:t xml:space="preserve">3  </w:t>
      </w:r>
      <w:r>
        <w:rPr>
          <w:rFonts w:hint="eastAsia" w:ascii="宋体" w:hAnsi="宋体" w:eastAsia="宋体" w:cs="宋体"/>
          <w:b/>
          <w:bCs/>
          <w:spacing w:val="0"/>
          <w:sz w:val="21"/>
          <w:szCs w:val="24"/>
          <w:highlight w:val="none"/>
        </w:rPr>
        <w:t>资格审查条件</w:t>
      </w:r>
      <w:r>
        <w:rPr>
          <w:rFonts w:ascii="宋体" w:hAnsi="宋体" w:eastAsia="宋体" w:cs="宋体"/>
          <w:b/>
          <w:bCs/>
          <w:spacing w:val="0"/>
          <w:sz w:val="21"/>
          <w:szCs w:val="24"/>
          <w:highlight w:val="none"/>
        </w:rPr>
        <w:t>(</w:t>
      </w:r>
      <w:r>
        <w:rPr>
          <w:rFonts w:hint="eastAsia" w:ascii="宋体" w:hAnsi="宋体" w:eastAsia="宋体" w:cs="宋体"/>
          <w:b/>
          <w:bCs/>
          <w:spacing w:val="0"/>
          <w:sz w:val="21"/>
          <w:szCs w:val="24"/>
          <w:highlight w:val="none"/>
        </w:rPr>
        <w:t>业绩最低要求</w:t>
      </w:r>
      <w:r>
        <w:rPr>
          <w:rFonts w:ascii="宋体" w:hAnsi="宋体" w:eastAsia="宋体" w:cs="宋体"/>
          <w:b/>
          <w:bCs/>
          <w:spacing w:val="0"/>
          <w:sz w:val="21"/>
          <w:szCs w:val="24"/>
          <w:highlight w:val="none"/>
        </w:rPr>
        <w:t>)</w:t>
      </w:r>
    </w:p>
    <w:p>
      <w:pPr>
        <w:adjustRightInd w:val="0"/>
        <w:snapToGrid w:val="0"/>
        <w:spacing w:line="400" w:lineRule="atLeast"/>
        <w:rPr>
          <w:rFonts w:ascii="宋体" w:hAnsi="Calibri" w:eastAsia="宋体" w:cs="Times New Roman"/>
          <w:b/>
          <w:bCs/>
          <w:spacing w:val="0"/>
          <w:sz w:val="21"/>
          <w:szCs w:val="24"/>
          <w:highlight w:val="none"/>
        </w:rPr>
      </w:pPr>
    </w:p>
    <w:tbl>
      <w:tblPr>
        <w:tblStyle w:val="3"/>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60" w:type="dxa"/>
            <w:noWrap/>
            <w:vAlign w:val="center"/>
          </w:tcPr>
          <w:p>
            <w:pPr>
              <w:adjustRightInd w:val="0"/>
              <w:snapToGrid w:val="0"/>
              <w:spacing w:line="400" w:lineRule="atLeast"/>
              <w:jc w:val="center"/>
              <w:rPr>
                <w:rFonts w:ascii="宋体" w:hAnsi="Calibri" w:eastAsia="宋体" w:cs="Times New Roman"/>
                <w:b/>
                <w:bCs/>
                <w:spacing w:val="0"/>
                <w:sz w:val="21"/>
                <w:szCs w:val="24"/>
                <w:highlight w:val="none"/>
              </w:rPr>
            </w:pPr>
            <w:r>
              <w:rPr>
                <w:rFonts w:hint="eastAsia" w:ascii="宋体" w:hAnsi="宋体" w:eastAsia="宋体" w:cs="宋体"/>
                <w:b/>
                <w:bCs/>
                <w:spacing w:val="0"/>
                <w:sz w:val="21"/>
                <w:szCs w:val="24"/>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460" w:type="dxa"/>
            <w:noWrap/>
            <w:vAlign w:val="center"/>
          </w:tcPr>
          <w:p>
            <w:pPr>
              <w:spacing w:line="360" w:lineRule="auto"/>
              <w:ind w:firstLine="420" w:firstLineChars="200"/>
              <w:jc w:val="left"/>
              <w:rPr>
                <w:rFonts w:ascii="宋体" w:hAnsi="宋体" w:eastAsia="宋体" w:cs="宋体"/>
                <w:spacing w:val="0"/>
                <w:sz w:val="21"/>
                <w:szCs w:val="24"/>
                <w:highlight w:val="none"/>
              </w:rPr>
            </w:pPr>
            <w:r>
              <w:rPr>
                <w:rFonts w:hint="eastAsia" w:ascii="Calibri" w:hAnsi="Calibri" w:eastAsia="宋体" w:cs="Times New Roman"/>
                <w:spacing w:val="0"/>
                <w:sz w:val="21"/>
                <w:szCs w:val="21"/>
                <w:highlight w:val="none"/>
              </w:rPr>
              <w:t>近五年内，成功地独立完成过累计不少于15公里（其中至少 1 项不少于10公里）的三级（或以上等级）公路施工项目</w:t>
            </w:r>
            <w:r>
              <w:rPr>
                <w:rFonts w:hint="eastAsia" w:ascii="Calibri" w:hAnsi="Calibri" w:eastAsia="宋体" w:cs="Times New Roman"/>
                <w:spacing w:val="0"/>
                <w:sz w:val="21"/>
                <w:szCs w:val="21"/>
                <w:highlight w:val="none"/>
                <w:lang w:eastAsia="zh-CN"/>
              </w:rPr>
              <w:t>（施工业绩</w:t>
            </w:r>
            <w:r>
              <w:rPr>
                <w:rFonts w:hint="eastAsia" w:ascii="Calibri" w:hAnsi="Calibri" w:eastAsia="宋体" w:cs="Times New Roman"/>
                <w:spacing w:val="0"/>
                <w:sz w:val="21"/>
                <w:szCs w:val="21"/>
                <w:highlight w:val="none"/>
              </w:rPr>
              <w:t>至少 1 项</w:t>
            </w:r>
            <w:r>
              <w:rPr>
                <w:rFonts w:hint="eastAsia" w:ascii="Calibri" w:hAnsi="Calibri" w:eastAsia="宋体" w:cs="Times New Roman"/>
                <w:spacing w:val="0"/>
                <w:sz w:val="21"/>
                <w:szCs w:val="21"/>
                <w:highlight w:val="none"/>
                <w:lang w:eastAsia="zh-CN"/>
              </w:rPr>
              <w:t>须包含沥青混凝土路面工程）</w:t>
            </w:r>
            <w:r>
              <w:rPr>
                <w:rFonts w:hint="eastAsia" w:ascii="Calibri" w:hAnsi="Calibri" w:eastAsia="宋体" w:cs="Times New Roman"/>
                <w:spacing w:val="0"/>
                <w:sz w:val="21"/>
                <w:szCs w:val="21"/>
                <w:highlight w:val="none"/>
              </w:rPr>
              <w:t>。</w:t>
            </w:r>
          </w:p>
        </w:tc>
      </w:tr>
    </w:tbl>
    <w:p>
      <w:pPr>
        <w:spacing w:line="360" w:lineRule="auto"/>
        <w:jc w:val="left"/>
        <w:rPr>
          <w:rFonts w:ascii="宋体" w:hAnsi="宋体" w:eastAsia="宋体" w:cs="宋体"/>
          <w:spacing w:val="0"/>
          <w:sz w:val="21"/>
          <w:szCs w:val="24"/>
          <w:highlight w:val="none"/>
        </w:rPr>
      </w:pPr>
    </w:p>
    <w:p>
      <w:pPr>
        <w:spacing w:line="360" w:lineRule="auto"/>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注：1、本附录所要求的业绩仅限中华人民共和国境内业绩。</w:t>
      </w:r>
    </w:p>
    <w:p>
      <w:pPr>
        <w:spacing w:line="360" w:lineRule="auto"/>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2、近年完成的类似项目情况的时间要求：2018年5月1日至投标文件递交截止之日止（近5年），以“全国公路建设市场信用信息管理系统”上的交工验收或一次性竣工验收的时间为准，不包含改善、配套完善、房建配套、单项交安设施、交安生命防护工程等工程。</w:t>
      </w:r>
    </w:p>
    <w:p>
      <w:pPr>
        <w:spacing w:line="360" w:lineRule="auto"/>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3、投标人应根据招标文件第二章“投标人须知”第 3.5.3 项的要求附相关证明材料。</w:t>
      </w:r>
    </w:p>
    <w:p>
      <w:pPr>
        <w:spacing w:line="360" w:lineRule="auto"/>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 xml:space="preserve">4、如投标人未提供相关项目网页截图复印件或相关项目网页截图中的信息无法证实投标人满足招标文件规定的资格审查条件（业绩最低要求）或评标办法评分标准（如有）， 则该项目业绩不予认定。 </w:t>
      </w:r>
    </w:p>
    <w:p>
      <w:pPr>
        <w:widowControl/>
        <w:spacing w:line="360" w:lineRule="auto"/>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5、如近年来，投标人法人机构发生合法变更或重组或法人名称变更时，应提供相关部门的合法批件或其他相关证明材料来证明其所附业绩的继承性，否则视为无效业绩。</w:t>
      </w:r>
    </w:p>
    <w:p>
      <w:pPr>
        <w:widowControl/>
        <w:spacing w:line="360" w:lineRule="auto"/>
        <w:jc w:val="center"/>
        <w:rPr>
          <w:rFonts w:ascii="宋体" w:hAnsi="Calibri" w:eastAsia="宋体" w:cs="Times New Roman"/>
          <w:b/>
          <w:bCs/>
          <w:spacing w:val="0"/>
          <w:sz w:val="21"/>
          <w:szCs w:val="24"/>
          <w:highlight w:val="none"/>
        </w:rPr>
      </w:pPr>
      <w:r>
        <w:rPr>
          <w:rFonts w:hint="eastAsia" w:ascii="宋体" w:hAnsi="宋体" w:eastAsia="宋体" w:cs="宋体"/>
          <w:spacing w:val="0"/>
          <w:sz w:val="24"/>
          <w:szCs w:val="24"/>
          <w:highlight w:val="none"/>
        </w:rPr>
        <w:br w:type="page"/>
      </w:r>
      <w:r>
        <w:rPr>
          <w:rFonts w:hint="eastAsia" w:ascii="宋体" w:hAnsi="宋体" w:eastAsia="宋体" w:cs="宋体"/>
          <w:b/>
          <w:bCs/>
          <w:spacing w:val="0"/>
          <w:sz w:val="21"/>
          <w:szCs w:val="24"/>
          <w:highlight w:val="none"/>
        </w:rPr>
        <w:t>附录</w:t>
      </w:r>
      <w:r>
        <w:rPr>
          <w:rFonts w:ascii="宋体" w:hAnsi="宋体" w:eastAsia="宋体" w:cs="宋体"/>
          <w:b/>
          <w:bCs/>
          <w:spacing w:val="0"/>
          <w:sz w:val="21"/>
          <w:szCs w:val="24"/>
          <w:highlight w:val="none"/>
        </w:rPr>
        <w:t xml:space="preserve">4  </w:t>
      </w:r>
      <w:r>
        <w:rPr>
          <w:rFonts w:hint="eastAsia" w:ascii="宋体" w:hAnsi="宋体" w:eastAsia="宋体" w:cs="宋体"/>
          <w:b/>
          <w:bCs/>
          <w:spacing w:val="0"/>
          <w:sz w:val="21"/>
          <w:szCs w:val="24"/>
          <w:highlight w:val="none"/>
        </w:rPr>
        <w:t>资格审查条件</w:t>
      </w:r>
      <w:r>
        <w:rPr>
          <w:rFonts w:ascii="宋体" w:hAnsi="宋体" w:eastAsia="宋体" w:cs="宋体"/>
          <w:b/>
          <w:bCs/>
          <w:spacing w:val="0"/>
          <w:sz w:val="21"/>
          <w:szCs w:val="24"/>
          <w:highlight w:val="none"/>
        </w:rPr>
        <w:t>(</w:t>
      </w:r>
      <w:r>
        <w:rPr>
          <w:rFonts w:hint="eastAsia" w:ascii="宋体" w:hAnsi="宋体" w:eastAsia="宋体" w:cs="宋体"/>
          <w:b/>
          <w:bCs/>
          <w:spacing w:val="0"/>
          <w:sz w:val="21"/>
          <w:szCs w:val="24"/>
          <w:highlight w:val="none"/>
        </w:rPr>
        <w:t>信誉最低要求</w:t>
      </w:r>
      <w:r>
        <w:rPr>
          <w:rFonts w:ascii="宋体" w:hAnsi="宋体" w:eastAsia="宋体" w:cs="宋体"/>
          <w:b/>
          <w:bCs/>
          <w:spacing w:val="0"/>
          <w:sz w:val="21"/>
          <w:szCs w:val="24"/>
          <w:highlight w:val="none"/>
        </w:rPr>
        <w:t>)</w:t>
      </w:r>
    </w:p>
    <w:p>
      <w:pPr>
        <w:adjustRightInd w:val="0"/>
        <w:snapToGrid w:val="0"/>
        <w:spacing w:line="400" w:lineRule="atLeast"/>
        <w:ind w:firstLine="840" w:firstLineChars="400"/>
        <w:jc w:val="center"/>
        <w:rPr>
          <w:rFonts w:ascii="宋体" w:hAnsi="Calibri" w:eastAsia="宋体" w:cs="Times New Roman"/>
          <w:spacing w:val="0"/>
          <w:sz w:val="21"/>
          <w:szCs w:val="24"/>
          <w:highlight w:val="none"/>
        </w:rPr>
      </w:pPr>
    </w:p>
    <w:tbl>
      <w:tblPr>
        <w:tblStyle w:val="3"/>
        <w:tblW w:w="8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8250" w:type="dxa"/>
            <w:noWrap/>
            <w:vAlign w:val="center"/>
          </w:tcPr>
          <w:p>
            <w:pPr>
              <w:adjustRightInd w:val="0"/>
              <w:snapToGrid w:val="0"/>
              <w:spacing w:line="400" w:lineRule="atLeast"/>
              <w:jc w:val="center"/>
              <w:rPr>
                <w:rFonts w:ascii="宋体" w:hAnsi="Calibri" w:eastAsia="宋体" w:cs="Times New Roman"/>
                <w:spacing w:val="0"/>
                <w:sz w:val="21"/>
                <w:szCs w:val="24"/>
                <w:highlight w:val="none"/>
              </w:rPr>
            </w:pPr>
            <w:r>
              <w:rPr>
                <w:rFonts w:hint="eastAsia" w:ascii="宋体" w:hAnsi="宋体" w:eastAsia="宋体" w:cs="宋体"/>
                <w:spacing w:val="0"/>
                <w:sz w:val="21"/>
                <w:szCs w:val="24"/>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8250" w:type="dxa"/>
            <w:noWrap/>
            <w:vAlign w:val="center"/>
          </w:tcPr>
          <w:p>
            <w:pPr>
              <w:spacing w:before="75" w:line="375" w:lineRule="auto"/>
              <w:ind w:left="108" w:right="160" w:firstLine="498"/>
              <w:rPr>
                <w:rFonts w:ascii="Calibri" w:hAnsi="Calibri" w:eastAsia="宋体" w:cs="Times New Roman"/>
                <w:spacing w:val="0"/>
                <w:sz w:val="21"/>
                <w:szCs w:val="24"/>
                <w:highlight w:val="none"/>
              </w:rPr>
            </w:pPr>
            <w:r>
              <w:rPr>
                <w:rFonts w:ascii="Calibri" w:hAnsi="Calibri" w:eastAsia="宋体" w:cs="Times New Roman"/>
                <w:spacing w:val="0"/>
                <w:sz w:val="21"/>
                <w:szCs w:val="24"/>
                <w:highlight w:val="none"/>
              </w:rPr>
              <w:t>在最新年度广东省公路工程从业单位(施工单位)信用评价(含无最新年度而上一年度有信用评价)中，信用等级未被评为 D 级；</w:t>
            </w:r>
          </w:p>
          <w:p>
            <w:pPr>
              <w:adjustRightInd w:val="0"/>
              <w:snapToGrid w:val="0"/>
              <w:spacing w:line="360" w:lineRule="auto"/>
              <w:ind w:firstLine="502"/>
              <w:rPr>
                <w:rFonts w:ascii="Calibri" w:hAnsi="Calibri" w:eastAsia="宋体" w:cs="Times New Roman"/>
                <w:spacing w:val="0"/>
                <w:sz w:val="21"/>
                <w:szCs w:val="24"/>
                <w:highlight w:val="none"/>
              </w:rPr>
            </w:pPr>
            <w:r>
              <w:rPr>
                <w:rFonts w:ascii="Calibri" w:hAnsi="Calibri" w:eastAsia="宋体" w:cs="Times New Roman"/>
                <w:spacing w:val="0"/>
                <w:sz w:val="21"/>
                <w:szCs w:val="24"/>
                <w:highlight w:val="none"/>
              </w:rPr>
              <w:t>初次进入广东省的投标人，在最新年度的全国公路从业单位(施工单位)信用评价结果中未被评为 D 级。</w:t>
            </w:r>
          </w:p>
          <w:p>
            <w:pPr>
              <w:pStyle w:val="2"/>
              <w:spacing w:line="240" w:lineRule="auto"/>
              <w:rPr>
                <w:spacing w:val="0"/>
                <w:highlight w:val="none"/>
              </w:rPr>
            </w:pPr>
            <w:r>
              <w:rPr>
                <w:rFonts w:ascii="Calibri" w:hAnsi="Calibri"/>
                <w:spacing w:val="0"/>
                <w:highlight w:val="none"/>
              </w:rPr>
              <w:t>未被梅州市交通运输局通报且取消相应投标资格（处于有效期内）。</w:t>
            </w:r>
          </w:p>
        </w:tc>
      </w:tr>
    </w:tbl>
    <w:p>
      <w:pPr>
        <w:adjustRightInd w:val="0"/>
        <w:snapToGrid w:val="0"/>
        <w:spacing w:line="360" w:lineRule="auto"/>
        <w:rPr>
          <w:rFonts w:ascii="宋体" w:hAnsi="Calibri" w:eastAsia="宋体" w:cs="Times New Roman"/>
          <w:vanish/>
          <w:spacing w:val="0"/>
          <w:sz w:val="21"/>
          <w:szCs w:val="24"/>
          <w:highlight w:val="none"/>
        </w:rPr>
      </w:pPr>
    </w:p>
    <w:p>
      <w:pPr>
        <w:adjustRightInd w:val="0"/>
        <w:snapToGrid w:val="0"/>
        <w:spacing w:line="360" w:lineRule="auto"/>
        <w:ind w:firstLine="735" w:firstLineChars="350"/>
        <w:rPr>
          <w:rFonts w:ascii="宋体" w:hAnsi="Calibri" w:eastAsia="宋体" w:cs="Times New Roman"/>
          <w:spacing w:val="0"/>
          <w:sz w:val="21"/>
          <w:szCs w:val="24"/>
          <w:highlight w:val="none"/>
        </w:rPr>
      </w:pPr>
      <w:r>
        <w:rPr>
          <w:rFonts w:hint="eastAsia" w:ascii="宋体" w:hAnsi="宋体" w:eastAsia="宋体" w:cs="宋体"/>
          <w:spacing w:val="0"/>
          <w:sz w:val="21"/>
          <w:szCs w:val="24"/>
          <w:highlight w:val="none"/>
        </w:rPr>
        <w:t>注：</w:t>
      </w:r>
      <w:r>
        <w:rPr>
          <w:rFonts w:ascii="宋体" w:hAnsi="宋体" w:eastAsia="宋体" w:cs="宋体"/>
          <w:spacing w:val="0"/>
          <w:sz w:val="21"/>
          <w:szCs w:val="24"/>
          <w:highlight w:val="none"/>
        </w:rPr>
        <w:t>1</w:t>
      </w:r>
      <w:r>
        <w:rPr>
          <w:rFonts w:hint="eastAsia" w:ascii="宋体" w:hAnsi="宋体" w:eastAsia="宋体" w:cs="宋体"/>
          <w:spacing w:val="0"/>
          <w:sz w:val="21"/>
          <w:szCs w:val="24"/>
          <w:highlight w:val="none"/>
        </w:rPr>
        <w:t>、信用等级的确定原则遵遁投标人须知前附表</w:t>
      </w:r>
      <w:r>
        <w:rPr>
          <w:rFonts w:ascii="宋体" w:hAnsi="宋体" w:eastAsia="宋体" w:cs="宋体"/>
          <w:spacing w:val="0"/>
          <w:sz w:val="21"/>
          <w:szCs w:val="24"/>
          <w:highlight w:val="none"/>
        </w:rPr>
        <w:t>10.</w:t>
      </w:r>
      <w:r>
        <w:rPr>
          <w:rFonts w:hint="eastAsia" w:ascii="宋体" w:hAnsi="宋体" w:eastAsia="宋体" w:cs="宋体"/>
          <w:spacing w:val="0"/>
          <w:sz w:val="21"/>
          <w:szCs w:val="24"/>
          <w:highlight w:val="none"/>
        </w:rPr>
        <w:t>2款的规定。</w:t>
      </w:r>
    </w:p>
    <w:p>
      <w:pPr>
        <w:adjustRightInd w:val="0"/>
        <w:snapToGrid w:val="0"/>
        <w:spacing w:line="360" w:lineRule="auto"/>
        <w:ind w:firstLine="840" w:firstLineChars="400"/>
        <w:rPr>
          <w:rFonts w:ascii="宋体" w:hAnsi="宋体" w:eastAsia="宋体" w:cs="宋体"/>
          <w:spacing w:val="0"/>
          <w:sz w:val="21"/>
          <w:szCs w:val="24"/>
          <w:highlight w:val="none"/>
        </w:rPr>
      </w:pPr>
      <w:r>
        <w:rPr>
          <w:rFonts w:ascii="宋体" w:hAnsi="宋体" w:eastAsia="宋体" w:cs="宋体"/>
          <w:spacing w:val="0"/>
          <w:sz w:val="21"/>
          <w:szCs w:val="24"/>
          <w:highlight w:val="none"/>
        </w:rPr>
        <w:t>2</w:t>
      </w:r>
      <w:r>
        <w:rPr>
          <w:rFonts w:hint="eastAsia" w:ascii="宋体" w:hAnsi="宋体" w:eastAsia="宋体" w:cs="宋体"/>
          <w:spacing w:val="0"/>
          <w:sz w:val="21"/>
          <w:szCs w:val="24"/>
          <w:highlight w:val="none"/>
        </w:rPr>
        <w:t>、投标人应根据第九章“投标文件格式”中“七、资格审查资料  (五) 投标人的信誉情况</w:t>
      </w:r>
    </w:p>
    <w:p>
      <w:pPr>
        <w:adjustRightInd w:val="0"/>
        <w:snapToGrid w:val="0"/>
        <w:spacing w:line="360" w:lineRule="auto"/>
        <w:ind w:firstLine="840" w:firstLineChars="400"/>
        <w:rPr>
          <w:rFonts w:ascii="宋体" w:hAnsi="Calibri" w:eastAsia="宋体" w:cs="Times New Roman"/>
          <w:spacing w:val="0"/>
          <w:sz w:val="21"/>
          <w:szCs w:val="24"/>
          <w:highlight w:val="none"/>
        </w:rPr>
      </w:pPr>
      <w:r>
        <w:rPr>
          <w:rFonts w:hint="eastAsia" w:ascii="宋体" w:hAnsi="宋体" w:eastAsia="宋体" w:cs="宋体"/>
          <w:spacing w:val="0"/>
          <w:sz w:val="21"/>
          <w:szCs w:val="24"/>
          <w:highlight w:val="none"/>
        </w:rPr>
        <w:t>表”填写情况说明。</w:t>
      </w:r>
    </w:p>
    <w:p>
      <w:pPr>
        <w:adjustRightInd w:val="0"/>
        <w:snapToGrid w:val="0"/>
        <w:spacing w:line="360" w:lineRule="auto"/>
        <w:rPr>
          <w:rFonts w:ascii="宋体" w:hAnsi="Calibri" w:eastAsia="宋体" w:cs="Times New Roman"/>
          <w:spacing w:val="0"/>
          <w:sz w:val="21"/>
          <w:szCs w:val="24"/>
          <w:highlight w:val="none"/>
        </w:rPr>
      </w:pPr>
    </w:p>
    <w:p>
      <w:pPr>
        <w:adjustRightInd w:val="0"/>
        <w:snapToGrid w:val="0"/>
        <w:spacing w:line="360" w:lineRule="auto"/>
        <w:rPr>
          <w:rFonts w:ascii="宋体" w:hAnsi="Calibri" w:eastAsia="宋体" w:cs="Times New Roman"/>
          <w:spacing w:val="0"/>
          <w:sz w:val="21"/>
          <w:szCs w:val="24"/>
          <w:highlight w:val="none"/>
        </w:rPr>
      </w:pPr>
    </w:p>
    <w:p>
      <w:pPr>
        <w:adjustRightInd w:val="0"/>
        <w:snapToGrid w:val="0"/>
        <w:spacing w:line="360" w:lineRule="auto"/>
        <w:rPr>
          <w:rFonts w:ascii="宋体" w:hAnsi="Calibri" w:eastAsia="宋体" w:cs="Times New Roman"/>
          <w:spacing w:val="0"/>
          <w:sz w:val="21"/>
          <w:szCs w:val="24"/>
          <w:highlight w:val="none"/>
        </w:rPr>
      </w:pPr>
    </w:p>
    <w:p>
      <w:pPr>
        <w:adjustRightInd w:val="0"/>
        <w:snapToGrid w:val="0"/>
        <w:spacing w:line="360" w:lineRule="auto"/>
        <w:jc w:val="center"/>
        <w:rPr>
          <w:rFonts w:ascii="宋体" w:hAnsi="Calibri" w:eastAsia="宋体" w:cs="Times New Roman"/>
          <w:spacing w:val="0"/>
          <w:sz w:val="21"/>
          <w:szCs w:val="24"/>
          <w:highlight w:val="none"/>
        </w:rPr>
      </w:pPr>
      <w:r>
        <w:rPr>
          <w:rFonts w:ascii="宋体" w:hAnsi="Calibri" w:eastAsia="宋体" w:cs="Times New Roman"/>
          <w:spacing w:val="0"/>
          <w:sz w:val="21"/>
          <w:szCs w:val="24"/>
          <w:highlight w:val="none"/>
        </w:rPr>
        <w:br w:type="page"/>
      </w:r>
      <w:r>
        <w:rPr>
          <w:rFonts w:hint="eastAsia" w:ascii="宋体" w:hAnsi="宋体" w:eastAsia="宋体" w:cs="宋体"/>
          <w:b/>
          <w:bCs/>
          <w:spacing w:val="0"/>
          <w:sz w:val="21"/>
          <w:szCs w:val="24"/>
          <w:highlight w:val="none"/>
        </w:rPr>
        <w:t>附录</w:t>
      </w:r>
      <w:r>
        <w:rPr>
          <w:rFonts w:ascii="宋体" w:hAnsi="宋体" w:eastAsia="宋体" w:cs="宋体"/>
          <w:b/>
          <w:bCs/>
          <w:spacing w:val="0"/>
          <w:sz w:val="21"/>
          <w:szCs w:val="24"/>
          <w:highlight w:val="none"/>
        </w:rPr>
        <w:t xml:space="preserve">5  </w:t>
      </w:r>
      <w:r>
        <w:rPr>
          <w:rFonts w:hint="eastAsia" w:ascii="宋体" w:hAnsi="宋体" w:eastAsia="宋体" w:cs="宋体"/>
          <w:b/>
          <w:bCs/>
          <w:spacing w:val="0"/>
          <w:sz w:val="21"/>
          <w:szCs w:val="24"/>
          <w:highlight w:val="none"/>
        </w:rPr>
        <w:t>资格审查条件</w:t>
      </w:r>
      <w:r>
        <w:rPr>
          <w:rFonts w:ascii="宋体" w:hAnsi="宋体" w:eastAsia="宋体" w:cs="宋体"/>
          <w:b/>
          <w:bCs/>
          <w:spacing w:val="0"/>
          <w:sz w:val="21"/>
          <w:szCs w:val="24"/>
          <w:highlight w:val="none"/>
        </w:rPr>
        <w:t>(</w:t>
      </w:r>
      <w:r>
        <w:rPr>
          <w:rFonts w:hint="eastAsia" w:ascii="宋体" w:hAnsi="宋体" w:eastAsia="宋体" w:cs="宋体"/>
          <w:b/>
          <w:bCs/>
          <w:spacing w:val="0"/>
          <w:sz w:val="21"/>
          <w:szCs w:val="24"/>
          <w:highlight w:val="none"/>
        </w:rPr>
        <w:t>项目经理和项目总工最低要求</w:t>
      </w:r>
      <w:r>
        <w:rPr>
          <w:rFonts w:ascii="宋体" w:hAnsi="宋体" w:eastAsia="宋体" w:cs="宋体"/>
          <w:b/>
          <w:bCs/>
          <w:spacing w:val="0"/>
          <w:sz w:val="21"/>
          <w:szCs w:val="24"/>
          <w:highlight w:val="none"/>
        </w:rPr>
        <w:t>)</w:t>
      </w:r>
    </w:p>
    <w:tbl>
      <w:tblPr>
        <w:tblStyle w:val="3"/>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831"/>
        <w:gridCol w:w="4878"/>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84" w:type="dxa"/>
            <w:noWrap/>
            <w:vAlign w:val="center"/>
          </w:tcPr>
          <w:p>
            <w:pPr>
              <w:adjustRightInd w:val="0"/>
              <w:snapToGrid w:val="0"/>
              <w:spacing w:line="400" w:lineRule="atLeast"/>
              <w:jc w:val="center"/>
              <w:rPr>
                <w:rFonts w:ascii="宋体" w:hAnsi="Calibri" w:eastAsia="宋体" w:cs="Times New Roman"/>
                <w:spacing w:val="0"/>
                <w:sz w:val="21"/>
                <w:szCs w:val="24"/>
                <w:highlight w:val="none"/>
              </w:rPr>
            </w:pPr>
            <w:r>
              <w:rPr>
                <w:rFonts w:hint="eastAsia" w:ascii="宋体" w:hAnsi="宋体" w:eastAsia="宋体" w:cs="宋体"/>
                <w:spacing w:val="0"/>
                <w:sz w:val="21"/>
                <w:szCs w:val="24"/>
                <w:highlight w:val="none"/>
              </w:rPr>
              <w:t>人员</w:t>
            </w:r>
          </w:p>
        </w:tc>
        <w:tc>
          <w:tcPr>
            <w:tcW w:w="831" w:type="dxa"/>
            <w:tcBorders>
              <w:left w:val="nil"/>
            </w:tcBorders>
            <w:noWrap/>
            <w:vAlign w:val="center"/>
          </w:tcPr>
          <w:p>
            <w:pPr>
              <w:adjustRightInd w:val="0"/>
              <w:snapToGrid w:val="0"/>
              <w:spacing w:line="400" w:lineRule="atLeast"/>
              <w:jc w:val="center"/>
              <w:rPr>
                <w:rFonts w:ascii="宋体" w:hAnsi="Calibri" w:eastAsia="宋体" w:cs="Times New Roman"/>
                <w:spacing w:val="0"/>
                <w:sz w:val="21"/>
                <w:szCs w:val="24"/>
                <w:highlight w:val="none"/>
              </w:rPr>
            </w:pPr>
            <w:r>
              <w:rPr>
                <w:rFonts w:hint="eastAsia" w:ascii="宋体" w:hAnsi="宋体" w:eastAsia="宋体" w:cs="宋体"/>
                <w:spacing w:val="0"/>
                <w:sz w:val="21"/>
                <w:szCs w:val="24"/>
                <w:highlight w:val="none"/>
              </w:rPr>
              <w:t>数量</w:t>
            </w:r>
          </w:p>
        </w:tc>
        <w:tc>
          <w:tcPr>
            <w:tcW w:w="4878" w:type="dxa"/>
            <w:tcBorders>
              <w:left w:val="nil"/>
            </w:tcBorders>
            <w:noWrap/>
            <w:vAlign w:val="center"/>
          </w:tcPr>
          <w:p>
            <w:pPr>
              <w:adjustRightInd w:val="0"/>
              <w:snapToGrid w:val="0"/>
              <w:spacing w:line="400" w:lineRule="atLeast"/>
              <w:jc w:val="center"/>
              <w:rPr>
                <w:rFonts w:ascii="宋体" w:hAnsi="Calibri" w:eastAsia="宋体" w:cs="Times New Roman"/>
                <w:spacing w:val="0"/>
                <w:sz w:val="21"/>
                <w:szCs w:val="24"/>
                <w:highlight w:val="none"/>
              </w:rPr>
            </w:pPr>
            <w:r>
              <w:rPr>
                <w:rFonts w:hint="eastAsia" w:ascii="宋体" w:hAnsi="宋体" w:eastAsia="宋体" w:cs="宋体"/>
                <w:spacing w:val="0"/>
                <w:sz w:val="21"/>
                <w:szCs w:val="24"/>
                <w:highlight w:val="none"/>
              </w:rPr>
              <w:t>资格要求</w:t>
            </w:r>
          </w:p>
        </w:tc>
        <w:tc>
          <w:tcPr>
            <w:tcW w:w="1977" w:type="dxa"/>
            <w:tcBorders>
              <w:left w:val="nil"/>
            </w:tcBorders>
            <w:noWrap/>
            <w:vAlign w:val="center"/>
          </w:tcPr>
          <w:p>
            <w:pPr>
              <w:adjustRightInd w:val="0"/>
              <w:snapToGrid w:val="0"/>
              <w:spacing w:line="400" w:lineRule="atLeast"/>
              <w:jc w:val="center"/>
              <w:rPr>
                <w:rFonts w:ascii="宋体" w:hAnsi="Calibri" w:eastAsia="宋体" w:cs="Times New Roman"/>
                <w:spacing w:val="0"/>
                <w:sz w:val="21"/>
                <w:szCs w:val="24"/>
                <w:highlight w:val="none"/>
              </w:rPr>
            </w:pPr>
            <w:r>
              <w:rPr>
                <w:rFonts w:hint="eastAsia" w:ascii="宋体" w:hAnsi="宋体" w:eastAsia="宋体" w:cs="宋体"/>
                <w:spacing w:val="0"/>
                <w:sz w:val="21"/>
                <w:szCs w:val="24"/>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6" w:hRule="atLeast"/>
          <w:jc w:val="center"/>
        </w:trPr>
        <w:tc>
          <w:tcPr>
            <w:tcW w:w="1184" w:type="dxa"/>
            <w:noWrap/>
            <w:vAlign w:val="center"/>
          </w:tcPr>
          <w:p>
            <w:pPr>
              <w:spacing w:line="400" w:lineRule="atLeast"/>
              <w:jc w:val="center"/>
              <w:rPr>
                <w:rFonts w:ascii="宋体" w:hAnsi="Calibri" w:eastAsia="宋体" w:cs="Times New Roman"/>
                <w:spacing w:val="0"/>
                <w:sz w:val="21"/>
                <w:szCs w:val="24"/>
                <w:highlight w:val="none"/>
              </w:rPr>
            </w:pPr>
            <w:r>
              <w:rPr>
                <w:rFonts w:hint="eastAsia" w:ascii="宋体" w:hAnsi="宋体" w:eastAsia="宋体" w:cs="宋体"/>
                <w:spacing w:val="0"/>
                <w:sz w:val="21"/>
                <w:szCs w:val="24"/>
                <w:highlight w:val="none"/>
              </w:rPr>
              <w:t>项目经理</w:t>
            </w:r>
          </w:p>
        </w:tc>
        <w:tc>
          <w:tcPr>
            <w:tcW w:w="831" w:type="dxa"/>
            <w:tcBorders>
              <w:left w:val="nil"/>
            </w:tcBorders>
            <w:noWrap/>
            <w:vAlign w:val="center"/>
          </w:tcPr>
          <w:p>
            <w:pPr>
              <w:adjustRightInd w:val="0"/>
              <w:snapToGrid w:val="0"/>
              <w:spacing w:line="400" w:lineRule="atLeast"/>
              <w:jc w:val="center"/>
              <w:rPr>
                <w:rFonts w:ascii="宋体" w:hAnsi="Calibri" w:eastAsia="宋体" w:cs="Times New Roman"/>
                <w:spacing w:val="0"/>
                <w:sz w:val="21"/>
                <w:szCs w:val="24"/>
                <w:highlight w:val="none"/>
              </w:rPr>
            </w:pPr>
            <w:r>
              <w:rPr>
                <w:rFonts w:ascii="宋体" w:hAnsi="宋体" w:eastAsia="宋体" w:cs="宋体"/>
                <w:spacing w:val="0"/>
                <w:sz w:val="21"/>
                <w:szCs w:val="24"/>
                <w:highlight w:val="none"/>
              </w:rPr>
              <w:t>1</w:t>
            </w:r>
          </w:p>
        </w:tc>
        <w:tc>
          <w:tcPr>
            <w:tcW w:w="4878" w:type="dxa"/>
            <w:vMerge w:val="restart"/>
            <w:tcBorders>
              <w:left w:val="nil"/>
            </w:tcBorders>
            <w:noWrap/>
            <w:vAlign w:val="center"/>
          </w:tcPr>
          <w:p>
            <w:pPr>
              <w:adjustRightInd w:val="0"/>
              <w:snapToGrid w:val="0"/>
              <w:spacing w:line="400" w:lineRule="atLeast"/>
              <w:rPr>
                <w:rFonts w:ascii="宋体" w:hAnsi="Calibri" w:eastAsia="宋体" w:cs="Times New Roman"/>
                <w:spacing w:val="0"/>
                <w:sz w:val="21"/>
                <w:szCs w:val="24"/>
                <w:highlight w:val="none"/>
              </w:rPr>
            </w:pPr>
            <w:r>
              <w:rPr>
                <w:rFonts w:hint="eastAsia" w:ascii="宋体" w:hAnsi="Calibri" w:eastAsia="宋体" w:cs="宋体"/>
                <w:spacing w:val="-3"/>
                <w:sz w:val="21"/>
                <w:szCs w:val="24"/>
                <w:highlight w:val="none"/>
              </w:rPr>
              <w:t>具有路桥工程相关专业工程师或以上职称，担任类似工程项目经理（或项目副经理或项目总工）岗位累计不少于</w:t>
            </w:r>
            <w:r>
              <w:rPr>
                <w:rFonts w:hint="eastAsia" w:ascii="宋体" w:hAnsi="Calibri" w:eastAsia="宋体" w:cs="宋体"/>
                <w:spacing w:val="-3"/>
                <w:sz w:val="21"/>
                <w:szCs w:val="24"/>
                <w:highlight w:val="none"/>
                <w:u w:val="single"/>
              </w:rPr>
              <w:t>12</w:t>
            </w:r>
            <w:r>
              <w:rPr>
                <w:rFonts w:hint="eastAsia" w:ascii="宋体" w:hAnsi="Calibri" w:eastAsia="宋体" w:cs="宋体"/>
                <w:spacing w:val="-3"/>
                <w:sz w:val="21"/>
                <w:szCs w:val="24"/>
                <w:highlight w:val="none"/>
              </w:rPr>
              <w:t>个月，并持有住房和城乡建设部门颁发的公路工程专业贰级注册建造师注册证书，具有交通主管部门颁发的有效安全生产“三类人员”B 类证书。</w:t>
            </w:r>
          </w:p>
        </w:tc>
        <w:tc>
          <w:tcPr>
            <w:tcW w:w="1977" w:type="dxa"/>
            <w:vMerge w:val="restart"/>
            <w:tcBorders>
              <w:top w:val="nil"/>
              <w:left w:val="nil"/>
            </w:tcBorders>
            <w:noWrap/>
            <w:vAlign w:val="center"/>
          </w:tcPr>
          <w:p>
            <w:pPr>
              <w:adjustRightInd w:val="0"/>
              <w:snapToGrid w:val="0"/>
              <w:spacing w:line="400" w:lineRule="atLeast"/>
              <w:rPr>
                <w:rFonts w:ascii="宋体" w:hAnsi="Calibri" w:eastAsia="宋体" w:cs="Times New Roman"/>
                <w:spacing w:val="0"/>
                <w:sz w:val="21"/>
                <w:szCs w:val="24"/>
                <w:highlight w:val="none"/>
              </w:rPr>
            </w:pPr>
            <w:r>
              <w:rPr>
                <w:rFonts w:hint="eastAsia" w:ascii="宋体" w:hAnsi="Calibri" w:eastAsia="宋体" w:cs="宋体"/>
                <w:spacing w:val="-3"/>
                <w:sz w:val="21"/>
                <w:szCs w:val="24"/>
                <w:highlight w:val="none"/>
              </w:rPr>
              <w:t>无在岗项目（指目前未在其他项目上任职，或虽在其他项目上任职但本项目中标后能够从该项目撤离）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0" w:hRule="atLeast"/>
          <w:jc w:val="center"/>
        </w:trPr>
        <w:tc>
          <w:tcPr>
            <w:tcW w:w="1184" w:type="dxa"/>
            <w:noWrap/>
            <w:vAlign w:val="center"/>
          </w:tcPr>
          <w:p>
            <w:pPr>
              <w:spacing w:line="400" w:lineRule="atLeast"/>
              <w:jc w:val="center"/>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项目总工</w:t>
            </w:r>
          </w:p>
          <w:p>
            <w:pPr>
              <w:spacing w:line="400" w:lineRule="atLeast"/>
              <w:jc w:val="center"/>
              <w:rPr>
                <w:rFonts w:ascii="宋体" w:hAnsi="宋体" w:eastAsia="宋体" w:cs="宋体"/>
                <w:spacing w:val="0"/>
                <w:sz w:val="21"/>
                <w:szCs w:val="24"/>
                <w:highlight w:val="none"/>
              </w:rPr>
            </w:pPr>
          </w:p>
        </w:tc>
        <w:tc>
          <w:tcPr>
            <w:tcW w:w="831" w:type="dxa"/>
            <w:tcBorders>
              <w:left w:val="nil"/>
            </w:tcBorders>
            <w:noWrap/>
            <w:vAlign w:val="center"/>
          </w:tcPr>
          <w:p>
            <w:pPr>
              <w:adjustRightInd w:val="0"/>
              <w:snapToGrid w:val="0"/>
              <w:spacing w:line="400" w:lineRule="atLeast"/>
              <w:jc w:val="center"/>
              <w:rPr>
                <w:rFonts w:ascii="宋体" w:hAnsi="宋体" w:eastAsia="宋体" w:cs="宋体"/>
                <w:spacing w:val="0"/>
                <w:sz w:val="21"/>
                <w:szCs w:val="24"/>
                <w:highlight w:val="none"/>
              </w:rPr>
            </w:pPr>
            <w:r>
              <w:rPr>
                <w:rFonts w:ascii="宋体" w:hAnsi="宋体" w:eastAsia="宋体" w:cs="宋体"/>
                <w:spacing w:val="0"/>
                <w:sz w:val="21"/>
                <w:szCs w:val="24"/>
                <w:highlight w:val="none"/>
              </w:rPr>
              <w:t>1</w:t>
            </w:r>
          </w:p>
          <w:p>
            <w:pPr>
              <w:adjustRightInd w:val="0"/>
              <w:snapToGrid w:val="0"/>
              <w:spacing w:line="400" w:lineRule="atLeast"/>
              <w:jc w:val="center"/>
              <w:rPr>
                <w:rFonts w:ascii="宋体" w:hAnsi="宋体" w:eastAsia="宋体" w:cs="宋体"/>
                <w:spacing w:val="0"/>
                <w:sz w:val="21"/>
                <w:szCs w:val="24"/>
                <w:highlight w:val="none"/>
              </w:rPr>
            </w:pPr>
          </w:p>
        </w:tc>
        <w:tc>
          <w:tcPr>
            <w:tcW w:w="4878" w:type="dxa"/>
            <w:tcBorders>
              <w:left w:val="nil"/>
            </w:tcBorders>
            <w:noWrap/>
            <w:vAlign w:val="center"/>
          </w:tcPr>
          <w:p>
            <w:pPr>
              <w:adjustRightInd w:val="0"/>
              <w:snapToGrid w:val="0"/>
              <w:spacing w:line="400" w:lineRule="atLeast"/>
              <w:rPr>
                <w:rFonts w:ascii="宋体" w:hAnsi="Calibri" w:eastAsia="宋体" w:cs="Times New Roman"/>
                <w:spacing w:val="0"/>
                <w:sz w:val="24"/>
                <w:szCs w:val="24"/>
                <w:highlight w:val="none"/>
              </w:rPr>
            </w:pPr>
            <w:r>
              <w:rPr>
                <w:rFonts w:hint="eastAsia" w:ascii="宋体" w:hAnsi="Calibri" w:eastAsia="宋体" w:cs="宋体"/>
                <w:spacing w:val="-3"/>
                <w:sz w:val="21"/>
                <w:szCs w:val="24"/>
                <w:highlight w:val="none"/>
              </w:rPr>
              <w:t>具有路桥工程相关专业工程师或以上职称，主管类似工程技术工作岗位累计不少于</w:t>
            </w:r>
            <w:r>
              <w:rPr>
                <w:rFonts w:hint="eastAsia" w:ascii="宋体" w:hAnsi="Calibri" w:eastAsia="宋体" w:cs="宋体"/>
                <w:spacing w:val="-3"/>
                <w:sz w:val="21"/>
                <w:szCs w:val="24"/>
                <w:highlight w:val="none"/>
                <w:u w:val="single"/>
              </w:rPr>
              <w:t>12</w:t>
            </w:r>
            <w:r>
              <w:rPr>
                <w:rFonts w:hint="eastAsia" w:ascii="宋体" w:hAnsi="Calibri" w:eastAsia="宋体" w:cs="宋体"/>
                <w:spacing w:val="-3"/>
                <w:sz w:val="21"/>
                <w:szCs w:val="24"/>
                <w:highlight w:val="none"/>
              </w:rPr>
              <w:t>个月，具有交通运输主管部门核发的有效的安全生产“三类人员”B 类证书。</w:t>
            </w:r>
          </w:p>
        </w:tc>
        <w:tc>
          <w:tcPr>
            <w:tcW w:w="1977" w:type="dxa"/>
            <w:vMerge w:val="continue"/>
            <w:tcBorders>
              <w:left w:val="nil"/>
            </w:tcBorders>
            <w:noWrap/>
            <w:vAlign w:val="center"/>
          </w:tcPr>
          <w:p>
            <w:pPr>
              <w:spacing w:line="240" w:lineRule="auto"/>
              <w:rPr>
                <w:rFonts w:ascii="Calibri" w:hAnsi="Calibri" w:eastAsia="宋体" w:cs="Times New Roman"/>
                <w:spacing w:val="0"/>
                <w:sz w:val="20"/>
                <w:szCs w:val="20"/>
                <w:highlight w:val="none"/>
              </w:rPr>
            </w:pPr>
          </w:p>
        </w:tc>
      </w:tr>
    </w:tbl>
    <w:p>
      <w:pPr>
        <w:adjustRightInd w:val="0"/>
        <w:snapToGrid w:val="0"/>
        <w:spacing w:line="360" w:lineRule="auto"/>
        <w:jc w:val="left"/>
        <w:rPr>
          <w:rFonts w:ascii="宋体" w:hAnsi="Calibri" w:eastAsia="宋体" w:cs="宋体"/>
          <w:spacing w:val="-3"/>
          <w:sz w:val="21"/>
          <w:szCs w:val="24"/>
          <w:highlight w:val="none"/>
        </w:rPr>
      </w:pPr>
    </w:p>
    <w:p>
      <w:pPr>
        <w:adjustRightInd w:val="0"/>
        <w:snapToGrid w:val="0"/>
        <w:spacing w:line="360" w:lineRule="auto"/>
        <w:jc w:val="left"/>
        <w:rPr>
          <w:rFonts w:ascii="宋体" w:hAnsi="Calibri" w:eastAsia="宋体" w:cs="宋体"/>
          <w:spacing w:val="-3"/>
          <w:sz w:val="21"/>
          <w:szCs w:val="24"/>
          <w:highlight w:val="none"/>
        </w:rPr>
      </w:pPr>
    </w:p>
    <w:p>
      <w:pPr>
        <w:adjustRightInd w:val="0"/>
        <w:snapToGrid w:val="0"/>
        <w:spacing w:line="360" w:lineRule="auto"/>
        <w:jc w:val="left"/>
        <w:rPr>
          <w:rFonts w:ascii="宋体" w:hAnsi="Calibri" w:eastAsia="宋体" w:cs="宋体"/>
          <w:spacing w:val="-3"/>
          <w:sz w:val="21"/>
          <w:szCs w:val="24"/>
          <w:highlight w:val="none"/>
        </w:rPr>
      </w:pPr>
      <w:r>
        <w:rPr>
          <w:rFonts w:hint="eastAsia" w:ascii="宋体" w:hAnsi="Calibri" w:eastAsia="宋体" w:cs="宋体"/>
          <w:spacing w:val="-3"/>
          <w:sz w:val="21"/>
          <w:szCs w:val="24"/>
          <w:highlight w:val="none"/>
        </w:rPr>
        <w:t>注：1、资格要求的人员建造师注册证书、安全生产“三类人员”B类证书均应在投标人所在单位，否则视为无效。</w:t>
      </w:r>
    </w:p>
    <w:p>
      <w:pPr>
        <w:adjustRightInd w:val="0"/>
        <w:snapToGrid w:val="0"/>
        <w:spacing w:line="360" w:lineRule="auto"/>
        <w:jc w:val="left"/>
        <w:rPr>
          <w:rFonts w:ascii="Calibri" w:hAnsi="Calibri" w:eastAsia="宋体" w:cs="Times New Roman"/>
          <w:spacing w:val="0"/>
          <w:sz w:val="21"/>
          <w:szCs w:val="24"/>
          <w:highlight w:val="none"/>
        </w:rPr>
      </w:pPr>
      <w:r>
        <w:rPr>
          <w:rFonts w:hint="eastAsia" w:ascii="宋体" w:hAnsi="Calibri" w:eastAsia="宋体" w:cs="宋体"/>
          <w:spacing w:val="-3"/>
          <w:sz w:val="21"/>
          <w:szCs w:val="24"/>
          <w:highlight w:val="none"/>
        </w:rPr>
        <w:t>2、主管技术工作指：担任过项目经理、项目副经理、总工程师、质检部门负责人、工程部门负责人。担任类似工程项目经理 (或项目副经理或项目总工) 岗位经验累计时间、主管类似工程技术工作岗位经验累计时间统计至月，计算时尾数如不少于 15 天的按 1 个月计，不足 15 天部分不计。岗位经验以“全国公路建设市场信用信息管理系统” （下称“全国信用系统”）相关网页截图“个人业绩”相对应工作岗位的“在岗起始日期”和“</w:t>
      </w:r>
      <w:bookmarkStart w:id="0" w:name="_GoBack"/>
      <w:bookmarkEnd w:id="0"/>
      <w:r>
        <w:rPr>
          <w:rFonts w:hint="eastAsia" w:ascii="宋体" w:hAnsi="Calibri" w:eastAsia="宋体" w:cs="宋体"/>
          <w:spacing w:val="-3"/>
          <w:sz w:val="21"/>
          <w:szCs w:val="24"/>
          <w:highlight w:val="none"/>
        </w:rPr>
        <w:t>在岗截止日期”所载内容为准。</w:t>
      </w:r>
    </w:p>
    <w:p>
      <w:pPr>
        <w:tabs>
          <w:tab w:val="left" w:pos="5387"/>
        </w:tabs>
        <w:spacing w:line="360" w:lineRule="auto"/>
        <w:jc w:val="left"/>
        <w:rPr>
          <w:rFonts w:ascii="宋体" w:hAnsi="宋体" w:eastAsia="宋体" w:cs="宋体"/>
          <w:spacing w:val="0"/>
          <w:sz w:val="21"/>
          <w:szCs w:val="21"/>
          <w:highlight w:val="none"/>
        </w:rPr>
      </w:pPr>
      <w:r>
        <w:rPr>
          <w:rFonts w:hint="eastAsia" w:ascii="宋体" w:hAnsi="Calibri" w:eastAsia="宋体" w:cs="宋体"/>
          <w:spacing w:val="-3"/>
          <w:sz w:val="21"/>
          <w:szCs w:val="24"/>
          <w:highlight w:val="none"/>
        </w:rPr>
        <w:t>3、投标人应根据招标文件第二章“投标人须知”第 3.5.5 项的要求附相关证明材料。</w:t>
      </w:r>
    </w:p>
    <w:p>
      <w:pPr>
        <w:widowControl/>
        <w:numPr>
          <w:ilvl w:val="0"/>
          <w:numId w:val="0"/>
        </w:numPr>
        <w:tabs>
          <w:tab w:val="left" w:pos="5387"/>
        </w:tabs>
        <w:adjustRightInd w:val="0"/>
        <w:snapToGrid w:val="0"/>
        <w:spacing w:line="360" w:lineRule="auto"/>
        <w:jc w:val="left"/>
        <w:rPr>
          <w:rFonts w:ascii="宋体" w:hAnsi="Calibri" w:eastAsia="宋体" w:cs="宋体"/>
          <w:spacing w:val="-3"/>
          <w:sz w:val="21"/>
          <w:szCs w:val="24"/>
          <w:highlight w:val="none"/>
        </w:rPr>
      </w:pPr>
      <w:r>
        <w:rPr>
          <w:rFonts w:hint="eastAsia" w:ascii="宋体" w:hAnsi="Calibri" w:eastAsia="宋体" w:cs="宋体"/>
          <w:spacing w:val="-3"/>
          <w:sz w:val="21"/>
          <w:szCs w:val="24"/>
          <w:highlight w:val="none"/>
        </w:rPr>
        <w:t>4、路桥工程相关专业指：路桥工程相关专业指：公路工程、桥梁工程、道桥工程、市政路桥工程、公路与桥梁工程、交通土建、隧道（地下结构）工程、交通工程专业职称。</w:t>
      </w:r>
    </w:p>
    <w:p>
      <w:pPr>
        <w:rPr>
          <w:highlight w:val="none"/>
        </w:rPr>
      </w:pPr>
      <w:r>
        <w:rPr>
          <w:rFonts w:hint="eastAsia" w:ascii="宋体" w:hAnsi="宋体"/>
          <w:spacing w:val="0"/>
          <w:szCs w:val="21"/>
          <w:highlight w:val="none"/>
        </w:rPr>
        <w:t>5、类似工程指：三级（或以上等级）公路工程施工业绩</w:t>
      </w:r>
      <w:r>
        <w:rPr>
          <w:rFonts w:hint="eastAsia" w:ascii="宋体" w:hAnsi="宋体"/>
          <w:spacing w:val="0"/>
          <w:szCs w:val="21"/>
          <w:highlight w:val="none"/>
          <w:lang w:eastAsia="zh-CN"/>
        </w:rPr>
        <w:t>，</w:t>
      </w:r>
      <w:r>
        <w:rPr>
          <w:rFonts w:hint="eastAsia" w:ascii="宋体" w:hAnsi="宋体" w:cs="宋体"/>
          <w:spacing w:val="0"/>
          <w:highlight w:val="none"/>
        </w:rPr>
        <w:t>不包含改善、配套完善、房建配套、单项交安设施、</w:t>
      </w:r>
      <w:r>
        <w:rPr>
          <w:rFonts w:hint="eastAsia" w:ascii="宋体" w:hAnsi="宋体" w:cs="宋体"/>
          <w:spacing w:val="0"/>
          <w:highlight w:val="none"/>
          <w:lang w:val="en-US" w:eastAsia="zh-CN"/>
        </w:rPr>
        <w:t>安全</w:t>
      </w:r>
      <w:r>
        <w:rPr>
          <w:rFonts w:hint="eastAsia" w:ascii="宋体" w:hAnsi="宋体" w:cs="宋体"/>
          <w:spacing w:val="0"/>
          <w:highlight w:val="none"/>
        </w:rPr>
        <w:t>生命防护工程等工程</w:t>
      </w:r>
      <w:r>
        <w:rPr>
          <w:rFonts w:hint="eastAsia" w:ascii="宋体" w:hAnsi="宋体"/>
          <w:spacing w:val="0"/>
          <w:szCs w:val="21"/>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35A62"/>
    <w:multiLevelType w:val="singleLevel"/>
    <w:tmpl w:val="95735A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NzRiZGYwNTI0ZDNjZjZjNjE3MDlmNzk3MDA5ZGEifQ=="/>
  </w:docVars>
  <w:rsids>
    <w:rsidRoot w:val="3295459F"/>
    <w:rsid w:val="3295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2023-05-26T03:21:00Z</dcterms:created>
  <dc:creator>李</dc:creator>
  <cp:lastModifiedBy>李</cp:lastModifiedBy>
  <dcterms:modified xsi:type="dcterms:W3CDTF">2023-05-26T03:22:20Z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6933B89142D44B479D9340EE53AEFF3A_11</vt:lpwstr>
  </property>
</Properties>
</file>