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color w:val="auto"/>
          <w:highlight w:val="none"/>
        </w:rPr>
      </w:pPr>
      <w:bookmarkStart w:id="0" w:name="_Toc234832863"/>
      <w:bookmarkStart w:id="1" w:name="_Hlk84840258"/>
      <w:r>
        <w:rPr>
          <w:rFonts w:eastAsia="黑体"/>
          <w:color w:val="auto"/>
          <w:sz w:val="28"/>
          <w:szCs w:val="28"/>
          <w:highlight w:val="none"/>
        </w:rPr>
        <w:t>附录1  资格审查条件（资质最低要求）</w:t>
      </w:r>
      <w:bookmarkEnd w:id="0"/>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rPr>
          <w:cantSplit/>
          <w:trHeight w:val="975" w:hRule="atLeast"/>
          <w:jc w:val="center"/>
        </w:trPr>
        <w:tc>
          <w:tcPr>
            <w:tcW w:w="8708" w:type="dxa"/>
            <w:noWrap w:val="0"/>
            <w:vAlign w:val="center"/>
          </w:tcPr>
          <w:p>
            <w:pPr>
              <w:adjustRightInd w:val="0"/>
              <w:snapToGrid w:val="0"/>
              <w:spacing w:line="400" w:lineRule="atLeast"/>
              <w:jc w:val="center"/>
              <w:rPr>
                <w:color w:val="auto"/>
                <w:szCs w:val="21"/>
                <w:highlight w:val="none"/>
              </w:rPr>
            </w:pPr>
            <w:r>
              <w:rPr>
                <w:color w:val="auto"/>
                <w:sz w:val="24"/>
                <w:szCs w:val="24"/>
                <w:highlight w:val="none"/>
              </w:rPr>
              <w:t>监理企业资质等级要求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23" w:hRule="atLeast"/>
          <w:jc w:val="center"/>
        </w:trPr>
        <w:tc>
          <w:tcPr>
            <w:tcW w:w="8708" w:type="dxa"/>
            <w:noWrap w:val="0"/>
            <w:vAlign w:val="center"/>
          </w:tcPr>
          <w:p>
            <w:pPr>
              <w:adjustRightInd w:val="0"/>
              <w:snapToGrid w:val="0"/>
              <w:spacing w:line="400" w:lineRule="atLeast"/>
              <w:jc w:val="center"/>
              <w:rPr>
                <w:color w:val="auto"/>
                <w:szCs w:val="21"/>
                <w:highlight w:val="none"/>
              </w:rPr>
            </w:pPr>
          </w:p>
          <w:p>
            <w:pPr>
              <w:spacing w:line="360" w:lineRule="auto"/>
              <w:ind w:firstLine="480" w:firstLineChars="200"/>
              <w:rPr>
                <w:color w:val="auto"/>
                <w:sz w:val="24"/>
                <w:highlight w:val="none"/>
              </w:rPr>
            </w:pPr>
            <w:r>
              <w:rPr>
                <w:color w:val="auto"/>
                <w:sz w:val="24"/>
                <w:highlight w:val="none"/>
              </w:rPr>
              <w:t>1、持有工商行政管理部门核发的企业法人营业执照。</w:t>
            </w:r>
          </w:p>
          <w:p>
            <w:pPr>
              <w:spacing w:line="360" w:lineRule="auto"/>
              <w:ind w:firstLine="480" w:firstLineChars="200"/>
              <w:rPr>
                <w:b/>
                <w:color w:val="auto"/>
                <w:sz w:val="24"/>
                <w:highlight w:val="none"/>
                <w:u w:val="single"/>
              </w:rPr>
            </w:pPr>
            <w:r>
              <w:rPr>
                <w:color w:val="auto"/>
                <w:sz w:val="24"/>
                <w:highlight w:val="none"/>
              </w:rPr>
              <w:t>2、</w:t>
            </w:r>
            <w:r>
              <w:rPr>
                <w:rFonts w:hint="eastAsia"/>
                <w:color w:val="auto"/>
                <w:sz w:val="24"/>
                <w:highlight w:val="none"/>
                <w:lang w:val="en-US" w:eastAsia="zh-CN"/>
              </w:rPr>
              <w:t>持有</w:t>
            </w:r>
            <w:r>
              <w:rPr>
                <w:rFonts w:hint="eastAsia" w:eastAsia="宋体"/>
                <w:color w:val="auto"/>
                <w:sz w:val="24"/>
                <w:szCs w:val="24"/>
                <w:highlight w:val="none"/>
                <w:lang w:eastAsia="zh-CN"/>
              </w:rPr>
              <w:t>交通运输主管部门颁发</w:t>
            </w:r>
            <w:r>
              <w:rPr>
                <w:rFonts w:hint="eastAsia" w:eastAsia="宋体"/>
                <w:color w:val="auto"/>
                <w:sz w:val="24"/>
                <w:szCs w:val="24"/>
                <w:highlight w:val="none"/>
                <w:lang w:val="en-US" w:eastAsia="zh-CN"/>
              </w:rPr>
              <w:t>在有效期内</w:t>
            </w:r>
            <w:r>
              <w:rPr>
                <w:rFonts w:hint="eastAsia" w:eastAsia="宋体"/>
                <w:color w:val="auto"/>
                <w:sz w:val="24"/>
                <w:szCs w:val="24"/>
                <w:highlight w:val="none"/>
                <w:lang w:eastAsia="zh-CN"/>
              </w:rPr>
              <w:t>的公路工程乙级或以上监理资质</w:t>
            </w:r>
            <w:r>
              <w:rPr>
                <w:color w:val="auto"/>
                <w:sz w:val="24"/>
                <w:highlight w:val="none"/>
              </w:rPr>
              <w:t>。</w:t>
            </w: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tc>
      </w:tr>
    </w:tbl>
    <w:p>
      <w:pPr>
        <w:adjustRightInd w:val="0"/>
        <w:snapToGrid w:val="0"/>
        <w:spacing w:line="300" w:lineRule="exact"/>
        <w:rPr>
          <w:rFonts w:eastAsia="隶书"/>
          <w:b/>
          <w:color w:val="auto"/>
          <w:sz w:val="32"/>
          <w:highlight w:val="none"/>
        </w:rPr>
      </w:pPr>
    </w:p>
    <w:p>
      <w:pPr>
        <w:adjustRightInd w:val="0"/>
        <w:snapToGrid w:val="0"/>
        <w:spacing w:line="300" w:lineRule="exact"/>
        <w:rPr>
          <w:rFonts w:eastAsia="隶书"/>
          <w:b/>
          <w:color w:val="auto"/>
          <w:sz w:val="32"/>
          <w:highlight w:val="none"/>
        </w:rPr>
      </w:pPr>
    </w:p>
    <w:p>
      <w:pPr>
        <w:pStyle w:val="2"/>
        <w:spacing w:before="240" w:after="240" w:line="240" w:lineRule="atLeast"/>
        <w:jc w:val="center"/>
        <w:rPr>
          <w:rFonts w:eastAsia="黑体"/>
          <w:color w:val="auto"/>
          <w:sz w:val="28"/>
          <w:szCs w:val="28"/>
          <w:highlight w:val="none"/>
        </w:rPr>
      </w:pPr>
      <w:bookmarkStart w:id="2" w:name="_Toc234832865"/>
      <w:bookmarkStart w:id="3" w:name="_Toc514589343"/>
      <w:r>
        <w:rPr>
          <w:rFonts w:eastAsia="黑体"/>
          <w:color w:val="auto"/>
          <w:sz w:val="28"/>
          <w:szCs w:val="28"/>
          <w:highlight w:val="none"/>
        </w:rPr>
        <w:t>附录2  资格审查条件（业绩最低要求）</w:t>
      </w:r>
      <w:bookmarkEnd w:id="2"/>
      <w:bookmarkEnd w:id="3"/>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5" w:hRule="atLeast"/>
          <w:jc w:val="center"/>
        </w:trPr>
        <w:tc>
          <w:tcPr>
            <w:tcW w:w="8708"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24"/>
                <w:szCs w:val="24"/>
                <w:highlight w:val="none"/>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23" w:hRule="atLeast"/>
          <w:jc w:val="center"/>
        </w:trPr>
        <w:tc>
          <w:tcPr>
            <w:tcW w:w="8708" w:type="dxa"/>
            <w:noWrap w:val="0"/>
            <w:vAlign w:val="center"/>
          </w:tcPr>
          <w:p>
            <w:pPr>
              <w:numPr>
                <w:ilvl w:val="0"/>
                <w:numId w:val="0"/>
              </w:numPr>
              <w:autoSpaceDE/>
              <w:autoSpaceDN/>
              <w:adjustRightInd w:val="0"/>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近5年（201</w:t>
            </w:r>
            <w:r>
              <w:rPr>
                <w:rFonts w:hint="eastAsia"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年</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月1日至投标截止日）完成过新建或改建或扩建一级公路（或以上等级）施工监理任务累计里程</w:t>
            </w:r>
            <w:r>
              <w:rPr>
                <w:rFonts w:hint="eastAsia" w:ascii="Times New Roman" w:hAnsi="Times New Roman" w:cs="Times New Roman"/>
                <w:color w:val="auto"/>
                <w:sz w:val="24"/>
                <w:highlight w:val="none"/>
                <w:lang w:val="en-US" w:eastAsia="zh-CN"/>
              </w:rPr>
              <w:t>12</w:t>
            </w:r>
            <w:r>
              <w:rPr>
                <w:rFonts w:hint="default" w:ascii="Times New Roman" w:hAnsi="Times New Roman" w:cs="Times New Roman"/>
                <w:color w:val="auto"/>
                <w:sz w:val="24"/>
                <w:highlight w:val="none"/>
              </w:rPr>
              <w:t>km（或以上）</w:t>
            </w:r>
            <w:r>
              <w:rPr>
                <w:rFonts w:hint="eastAsia" w:ascii="Times New Roman" w:hAnsi="Times New Roman" w:cs="Times New Roman"/>
                <w:color w:val="auto"/>
                <w:sz w:val="24"/>
                <w:highlight w:val="none"/>
                <w:lang w:eastAsia="zh-CN"/>
              </w:rPr>
              <w:t>。</w:t>
            </w:r>
          </w:p>
          <w:p>
            <w:pPr>
              <w:pStyle w:val="10"/>
              <w:snapToGrid w:val="0"/>
              <w:spacing w:line="360" w:lineRule="auto"/>
              <w:rPr>
                <w:rFonts w:hint="default" w:ascii="Times New Roman" w:hAnsi="Times New Roman" w:cs="Times New Roman"/>
                <w:color w:val="auto"/>
                <w:highlight w:val="none"/>
              </w:rPr>
            </w:pPr>
          </w:p>
          <w:p>
            <w:pPr>
              <w:pStyle w:val="1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rPr>
                <w:rFonts w:hint="default" w:ascii="Times New Roman" w:hAnsi="Times New Roman" w:cs="Times New Roman"/>
                <w:color w:val="auto"/>
                <w:szCs w:val="21"/>
                <w:highlight w:val="none"/>
              </w:rPr>
            </w:pPr>
          </w:p>
        </w:tc>
      </w:tr>
    </w:tbl>
    <w:p>
      <w:pPr>
        <w:spacing w:line="360" w:lineRule="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注：1、“近 5 年”指 201</w:t>
      </w:r>
      <w:r>
        <w:rPr>
          <w:rFonts w:hint="eastAsia" w:ascii="Times New Roman" w:hAnsi="Times New Roman" w:cs="Times New Roman"/>
          <w:color w:val="auto"/>
          <w:sz w:val="18"/>
          <w:szCs w:val="18"/>
          <w:highlight w:val="none"/>
          <w:lang w:val="en-US" w:eastAsia="zh-CN"/>
        </w:rPr>
        <w:t>8</w:t>
      </w:r>
      <w:r>
        <w:rPr>
          <w:rFonts w:hint="default" w:ascii="Times New Roman" w:hAnsi="Times New Roman" w:cs="Times New Roman"/>
          <w:color w:val="auto"/>
          <w:sz w:val="18"/>
          <w:szCs w:val="18"/>
          <w:highlight w:val="none"/>
        </w:rPr>
        <w:t xml:space="preserve"> 年 </w:t>
      </w:r>
      <w:r>
        <w:rPr>
          <w:rFonts w:hint="eastAsia" w:ascii="Times New Roman" w:hAnsi="Times New Roman" w:cs="Times New Roman"/>
          <w:color w:val="auto"/>
          <w:sz w:val="18"/>
          <w:szCs w:val="18"/>
          <w:highlight w:val="none"/>
          <w:lang w:val="en-US" w:eastAsia="zh-CN"/>
        </w:rPr>
        <w:t>5</w:t>
      </w:r>
      <w:r>
        <w:rPr>
          <w:rFonts w:hint="default" w:ascii="Times New Roman" w:hAnsi="Times New Roman" w:cs="Times New Roman"/>
          <w:color w:val="auto"/>
          <w:sz w:val="18"/>
          <w:szCs w:val="18"/>
          <w:highlight w:val="none"/>
        </w:rPr>
        <w:t>月 1 日至投标文件递交截止日（以“全国公路建设市场信用信息管理系统”上交工验收或无交工验收一次性竣工验收的时间为准）。</w:t>
      </w:r>
    </w:p>
    <w:p>
      <w:pPr>
        <w:spacing w:line="360" w:lineRule="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2、“完成过”指工程完工并交工验收（时间以载明的交工验收或无交工验收一次性竣工验收时间为准），经评定合格，本文提到的交工验收是指交工验收或一次性竣工验收。</w:t>
      </w:r>
    </w:p>
    <w:p>
      <w:pPr>
        <w:spacing w:line="360" w:lineRule="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本表要求业绩指由投标人承接并完成的业绩，投标人上级单位（如总公司、集团公司等）的监理业绩和投标人具备独立法人资格的下属机构的监理业绩均不予认定。若投标人提供的业绩证明为联合体业绩，则按交通运输部“全国公路建设市场信用信息管理系统”业绩信息的网页截图）体现其完成的工作量和专业认定，无法界定其完成的工作量和专业，此业绩不予认定。</w:t>
      </w:r>
    </w:p>
    <w:p>
      <w:pPr>
        <w:spacing w:line="360" w:lineRule="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4、业绩证明材料需提供交通运输部“全国公路建设市场信用信息管理系统”业绩信息的网页截图。</w:t>
      </w:r>
    </w:p>
    <w:p>
      <w:pPr>
        <w:spacing w:line="360" w:lineRule="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5、招标人如发现业绩有不实或做假，将导致资格审查不通过。</w:t>
      </w:r>
    </w:p>
    <w:p>
      <w:pPr>
        <w:spacing w:line="360" w:lineRule="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18"/>
          <w:szCs w:val="18"/>
          <w:highlight w:val="none"/>
          <w:lang w:val="en-US" w:eastAsia="zh-CN"/>
        </w:rPr>
        <w:t>6</w:t>
      </w:r>
      <w:r>
        <w:rPr>
          <w:rFonts w:hint="default" w:ascii="Times New Roman" w:hAnsi="Times New Roman" w:cs="Times New Roman"/>
          <w:color w:val="auto"/>
          <w:sz w:val="18"/>
          <w:szCs w:val="18"/>
          <w:highlight w:val="none"/>
        </w:rPr>
        <w:t>、如近年来，投标人法人机构发生合法变更或投标人单位名称变更时，应提供相关部门的合法批件或其他相关证明材料来证明其所附业绩的继承性。</w:t>
      </w:r>
    </w:p>
    <w:p>
      <w:pPr>
        <w:pStyle w:val="10"/>
        <w:snapToGrid w:val="0"/>
        <w:spacing w:line="400" w:lineRule="exact"/>
        <w:rPr>
          <w:rFonts w:ascii="Times New Roman" w:cs="Times New Roman"/>
          <w:color w:val="auto"/>
          <w:sz w:val="21"/>
          <w:szCs w:val="21"/>
          <w:highlight w:val="none"/>
        </w:rPr>
      </w:pPr>
      <w:r>
        <w:rPr>
          <w:rFonts w:ascii="Times New Roman" w:cs="Times New Roman"/>
          <w:color w:val="auto"/>
          <w:sz w:val="21"/>
          <w:szCs w:val="21"/>
          <w:highlight w:val="none"/>
        </w:rPr>
        <w:t xml:space="preserve"> </w:t>
      </w:r>
    </w:p>
    <w:p>
      <w:pPr>
        <w:pStyle w:val="2"/>
        <w:spacing w:before="240" w:after="240" w:line="240" w:lineRule="atLeast"/>
        <w:jc w:val="center"/>
        <w:rPr>
          <w:rFonts w:eastAsia="黑体"/>
          <w:color w:val="auto"/>
          <w:sz w:val="28"/>
          <w:szCs w:val="28"/>
          <w:highlight w:val="none"/>
        </w:rPr>
      </w:pPr>
      <w:bookmarkStart w:id="4" w:name="_Toc234832866"/>
      <w:bookmarkStart w:id="5" w:name="_Toc514589344"/>
      <w:r>
        <w:rPr>
          <w:rFonts w:eastAsia="黑体"/>
          <w:color w:val="auto"/>
          <w:sz w:val="28"/>
          <w:szCs w:val="28"/>
          <w:highlight w:val="none"/>
        </w:rPr>
        <w:t>附录3  资格审查条件（信誉最低要求）</w:t>
      </w:r>
      <w:bookmarkEnd w:id="4"/>
      <w:bookmarkEnd w:id="5"/>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5" w:hRule="atLeast"/>
          <w:jc w:val="center"/>
        </w:trPr>
        <w:tc>
          <w:tcPr>
            <w:tcW w:w="8708" w:type="dxa"/>
            <w:noWrap w:val="0"/>
            <w:vAlign w:val="center"/>
          </w:tcPr>
          <w:p>
            <w:pPr>
              <w:adjustRightInd w:val="0"/>
              <w:snapToGrid w:val="0"/>
              <w:spacing w:line="400" w:lineRule="atLeast"/>
              <w:jc w:val="center"/>
              <w:rPr>
                <w:color w:val="auto"/>
                <w:szCs w:val="21"/>
                <w:highlight w:val="none"/>
              </w:rPr>
            </w:pPr>
            <w:r>
              <w:rPr>
                <w:color w:val="auto"/>
                <w:sz w:val="24"/>
                <w:szCs w:val="24"/>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23" w:hRule="atLeast"/>
          <w:jc w:val="center"/>
        </w:trPr>
        <w:tc>
          <w:tcPr>
            <w:tcW w:w="8708" w:type="dxa"/>
            <w:noWrap w:val="0"/>
            <w:vAlign w:val="center"/>
          </w:tcPr>
          <w:p>
            <w:pPr>
              <w:adjustRightInd w:val="0"/>
              <w:snapToGrid w:val="0"/>
              <w:spacing w:line="400" w:lineRule="atLeast"/>
              <w:jc w:val="center"/>
              <w:rPr>
                <w:color w:val="auto"/>
                <w:szCs w:val="21"/>
                <w:highlight w:val="none"/>
              </w:rPr>
            </w:pPr>
          </w:p>
          <w:p>
            <w:pPr>
              <w:adjustRightInd w:val="0"/>
              <w:snapToGrid w:val="0"/>
              <w:spacing w:before="120" w:beforeLines="50" w:line="400" w:lineRule="exact"/>
              <w:rPr>
                <w:color w:val="auto"/>
                <w:sz w:val="24"/>
                <w:highlight w:val="none"/>
              </w:rPr>
            </w:pPr>
            <w:r>
              <w:rPr>
                <w:color w:val="auto"/>
                <w:sz w:val="24"/>
                <w:highlight w:val="none"/>
              </w:rPr>
              <w:t xml:space="preserve">最新年度（含无广东省最新年度信用等级而上一年度有广东省信用等级的）在广东省公路工程从业单位信用评价（监理单位）中，信用等级未被评为D级；初次进入广东省的投标人，在最新全国公路从业单位（监理单位）信用评价结果中未被评为D级。 </w:t>
            </w:r>
          </w:p>
          <w:p>
            <w:pPr>
              <w:adjustRightInd w:val="0"/>
              <w:snapToGrid w:val="0"/>
              <w:spacing w:before="120" w:beforeLines="50" w:line="400" w:lineRule="exact"/>
              <w:rPr>
                <w:color w:val="auto"/>
                <w:sz w:val="24"/>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tc>
      </w:tr>
    </w:tbl>
    <w:p>
      <w:pPr>
        <w:adjustRightInd w:val="0"/>
        <w:snapToGrid w:val="0"/>
        <w:spacing w:line="300" w:lineRule="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注：1、信用等级的确定原则遵循投标人须知前附表第10.2 款的规定。</w:t>
      </w:r>
    </w:p>
    <w:p>
      <w:pPr>
        <w:adjustRightInd w:val="0"/>
        <w:snapToGrid w:val="0"/>
        <w:spacing w:line="300" w:lineRule="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2、以联合体形式参与投标的，上述信用等级的要求以联合体中信用等级较低的为准。</w:t>
      </w:r>
    </w:p>
    <w:p>
      <w:pPr>
        <w:adjustRightInd w:val="0"/>
        <w:snapToGrid w:val="0"/>
        <w:spacing w:line="300" w:lineRule="auto"/>
        <w:ind w:firstLine="961" w:firstLineChars="400"/>
        <w:jc w:val="center"/>
        <w:rPr>
          <w:rFonts w:eastAsia="黑体"/>
          <w:b/>
          <w:color w:val="auto"/>
          <w:sz w:val="24"/>
          <w:highlight w:val="none"/>
        </w:rPr>
      </w:pPr>
    </w:p>
    <w:p>
      <w:pPr>
        <w:adjustRightInd w:val="0"/>
        <w:snapToGrid w:val="0"/>
        <w:spacing w:line="300" w:lineRule="auto"/>
        <w:ind w:firstLine="961" w:firstLineChars="400"/>
        <w:jc w:val="center"/>
        <w:rPr>
          <w:rFonts w:eastAsia="黑体"/>
          <w:b/>
          <w:color w:val="auto"/>
          <w:sz w:val="24"/>
          <w:highlight w:val="none"/>
        </w:rPr>
      </w:pPr>
    </w:p>
    <w:p>
      <w:pPr>
        <w:adjustRightInd w:val="0"/>
        <w:snapToGrid w:val="0"/>
        <w:spacing w:line="300" w:lineRule="auto"/>
        <w:ind w:firstLine="961" w:firstLineChars="400"/>
        <w:jc w:val="center"/>
        <w:rPr>
          <w:rFonts w:eastAsia="黑体"/>
          <w:b/>
          <w:color w:val="auto"/>
          <w:sz w:val="24"/>
          <w:highlight w:val="none"/>
        </w:rPr>
      </w:pPr>
    </w:p>
    <w:p>
      <w:pPr>
        <w:adjustRightInd w:val="0"/>
        <w:snapToGrid w:val="0"/>
        <w:spacing w:line="300" w:lineRule="auto"/>
        <w:ind w:firstLine="961" w:firstLineChars="400"/>
        <w:jc w:val="center"/>
        <w:rPr>
          <w:rFonts w:eastAsia="黑体"/>
          <w:b/>
          <w:color w:val="auto"/>
          <w:sz w:val="24"/>
          <w:highlight w:val="none"/>
        </w:rPr>
      </w:pPr>
    </w:p>
    <w:p>
      <w:pPr>
        <w:adjustRightInd w:val="0"/>
        <w:snapToGrid w:val="0"/>
        <w:spacing w:line="300" w:lineRule="auto"/>
        <w:ind w:firstLine="961" w:firstLineChars="400"/>
        <w:jc w:val="center"/>
        <w:rPr>
          <w:rFonts w:eastAsia="黑体"/>
          <w:b/>
          <w:color w:val="auto"/>
          <w:sz w:val="24"/>
          <w:highlight w:val="none"/>
        </w:rPr>
      </w:pPr>
    </w:p>
    <w:p>
      <w:pPr>
        <w:adjustRightInd w:val="0"/>
        <w:snapToGrid w:val="0"/>
        <w:spacing w:line="300" w:lineRule="auto"/>
        <w:ind w:firstLine="961" w:firstLineChars="400"/>
        <w:jc w:val="center"/>
        <w:rPr>
          <w:rFonts w:eastAsia="黑体"/>
          <w:b/>
          <w:color w:val="auto"/>
          <w:sz w:val="24"/>
          <w:highlight w:val="none"/>
        </w:rPr>
      </w:pPr>
    </w:p>
    <w:bookmarkEnd w:id="1"/>
    <w:p>
      <w:pPr>
        <w:pStyle w:val="2"/>
        <w:spacing w:before="240" w:after="240" w:line="240" w:lineRule="atLeast"/>
        <w:jc w:val="center"/>
        <w:rPr>
          <w:rFonts w:hint="default" w:ascii="黑体" w:hAnsi="黑体" w:eastAsia="黑体" w:cs="黑体"/>
          <w:b w:val="0"/>
          <w:bCs w:val="0"/>
          <w:color w:val="auto"/>
          <w:kern w:val="2"/>
          <w:sz w:val="28"/>
          <w:szCs w:val="28"/>
          <w:highlight w:val="none"/>
          <w:lang w:val="en-US" w:eastAsia="zh-CN" w:bidi="ar-SA"/>
        </w:rPr>
      </w:pPr>
      <w:bookmarkStart w:id="6" w:name="_Toc514589345"/>
      <w:bookmarkStart w:id="7" w:name="_Toc234832867"/>
      <w:r>
        <w:rPr>
          <w:rFonts w:hint="default" w:eastAsia="黑体"/>
          <w:b/>
          <w:bCs/>
          <w:color w:val="auto"/>
          <w:sz w:val="28"/>
          <w:szCs w:val="28"/>
          <w:highlight w:val="none"/>
          <w:lang w:val="en-US" w:eastAsia="zh-CN"/>
        </w:rPr>
        <w:t xml:space="preserve">附录4 </w:t>
      </w:r>
      <w:r>
        <w:rPr>
          <w:rFonts w:hint="default" w:ascii="黑体" w:hAnsi="黑体" w:eastAsia="黑体" w:cs="黑体"/>
          <w:b w:val="0"/>
          <w:bCs w:val="0"/>
          <w:color w:val="auto"/>
          <w:kern w:val="2"/>
          <w:sz w:val="28"/>
          <w:szCs w:val="28"/>
          <w:highlight w:val="none"/>
          <w:lang w:val="en-US" w:eastAsia="zh-CN" w:bidi="ar-SA"/>
        </w:rPr>
        <w:t xml:space="preserve"> </w:t>
      </w:r>
      <w:r>
        <w:rPr>
          <w:rFonts w:hint="default" w:eastAsia="黑体"/>
          <w:b/>
          <w:bCs/>
          <w:color w:val="auto"/>
          <w:sz w:val="28"/>
          <w:szCs w:val="28"/>
          <w:highlight w:val="none"/>
          <w:lang w:val="en-US" w:eastAsia="zh-CN"/>
        </w:rPr>
        <w:t>资格审查条件（总监理工程师</w:t>
      </w:r>
      <w:r>
        <w:rPr>
          <w:rFonts w:hint="eastAsia" w:eastAsia="黑体"/>
          <w:b/>
          <w:bCs/>
          <w:color w:val="auto"/>
          <w:sz w:val="28"/>
          <w:szCs w:val="28"/>
          <w:highlight w:val="none"/>
          <w:lang w:val="en-US" w:eastAsia="zh-CN"/>
        </w:rPr>
        <w:t>最低要求</w:t>
      </w:r>
      <w:r>
        <w:rPr>
          <w:rFonts w:hint="default" w:eastAsia="黑体"/>
          <w:b/>
          <w:bCs/>
          <w:color w:val="auto"/>
          <w:sz w:val="28"/>
          <w:szCs w:val="28"/>
          <w:highlight w:val="none"/>
          <w:lang w:val="en-US" w:eastAsia="zh-CN"/>
        </w:rPr>
        <w:t>）</w:t>
      </w:r>
      <w:bookmarkEnd w:id="6"/>
      <w:bookmarkEnd w:id="7"/>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392"/>
        <w:gridCol w:w="4179"/>
        <w:gridCol w:w="1858"/>
      </w:tblGrid>
      <w:tr>
        <w:tc>
          <w:tcPr>
            <w:tcW w:w="1857" w:type="dxa"/>
            <w:noWrap w:val="0"/>
            <w:vAlign w:val="center"/>
          </w:tcPr>
          <w:p>
            <w:pPr>
              <w:spacing w:before="350" w:beforeLines="100" w:after="350" w:afterLines="100" w:line="240" w:lineRule="auto"/>
              <w:jc w:val="center"/>
              <w:rPr>
                <w:rFonts w:eastAsia="黑体" w:cs="Times New Roman"/>
                <w:color w:val="auto"/>
                <w:sz w:val="24"/>
                <w:szCs w:val="24"/>
                <w:highlight w:val="none"/>
              </w:rPr>
            </w:pPr>
            <w:r>
              <w:rPr>
                <w:rFonts w:eastAsia="黑体" w:cs="Times New Roman"/>
                <w:color w:val="auto"/>
                <w:sz w:val="24"/>
                <w:szCs w:val="24"/>
                <w:highlight w:val="none"/>
              </w:rPr>
              <w:t>人员</w:t>
            </w:r>
          </w:p>
        </w:tc>
        <w:tc>
          <w:tcPr>
            <w:tcW w:w="1392" w:type="dxa"/>
            <w:noWrap w:val="0"/>
            <w:vAlign w:val="center"/>
          </w:tcPr>
          <w:p>
            <w:pPr>
              <w:spacing w:before="350" w:beforeLines="100" w:after="350" w:afterLines="100" w:line="240" w:lineRule="auto"/>
              <w:jc w:val="center"/>
              <w:rPr>
                <w:rFonts w:eastAsia="黑体" w:cs="Times New Roman"/>
                <w:color w:val="auto"/>
                <w:sz w:val="24"/>
                <w:szCs w:val="24"/>
                <w:highlight w:val="none"/>
              </w:rPr>
            </w:pPr>
            <w:r>
              <w:rPr>
                <w:rFonts w:eastAsia="黑体" w:cs="Times New Roman"/>
                <w:color w:val="auto"/>
                <w:sz w:val="24"/>
                <w:szCs w:val="24"/>
                <w:highlight w:val="none"/>
              </w:rPr>
              <w:t>数量</w:t>
            </w:r>
          </w:p>
        </w:tc>
        <w:tc>
          <w:tcPr>
            <w:tcW w:w="4179" w:type="dxa"/>
            <w:noWrap w:val="0"/>
            <w:vAlign w:val="center"/>
          </w:tcPr>
          <w:p>
            <w:pPr>
              <w:spacing w:before="350" w:beforeLines="100" w:after="350" w:afterLines="100" w:line="240" w:lineRule="auto"/>
              <w:jc w:val="center"/>
              <w:rPr>
                <w:rFonts w:eastAsia="黑体" w:cs="Times New Roman"/>
                <w:color w:val="auto"/>
                <w:sz w:val="24"/>
                <w:szCs w:val="24"/>
                <w:highlight w:val="none"/>
              </w:rPr>
            </w:pPr>
            <w:r>
              <w:rPr>
                <w:rFonts w:eastAsia="黑体" w:cs="Times New Roman"/>
                <w:color w:val="auto"/>
                <w:sz w:val="24"/>
                <w:szCs w:val="24"/>
                <w:highlight w:val="none"/>
              </w:rPr>
              <w:t>资格要求</w:t>
            </w:r>
          </w:p>
        </w:tc>
        <w:tc>
          <w:tcPr>
            <w:tcW w:w="1858" w:type="dxa"/>
            <w:noWrap w:val="0"/>
            <w:vAlign w:val="center"/>
          </w:tcPr>
          <w:p>
            <w:pPr>
              <w:spacing w:before="350" w:beforeLines="100" w:after="350" w:afterLines="100" w:line="240" w:lineRule="auto"/>
              <w:jc w:val="center"/>
              <w:rPr>
                <w:rFonts w:eastAsia="黑体" w:cs="Times New Roman"/>
                <w:color w:val="auto"/>
                <w:sz w:val="24"/>
                <w:szCs w:val="24"/>
                <w:highlight w:val="none"/>
              </w:rPr>
            </w:pPr>
            <w:r>
              <w:rPr>
                <w:rFonts w:eastAsia="黑体" w:cs="Times New Roman"/>
                <w:color w:val="auto"/>
                <w:sz w:val="24"/>
                <w:szCs w:val="24"/>
                <w:highlight w:val="none"/>
              </w:rPr>
              <w:t>在岗要求</w:t>
            </w:r>
          </w:p>
        </w:tc>
      </w:tr>
      <w:tr>
        <w:trPr>
          <w:trHeight w:val="1698" w:hRule="atLeast"/>
        </w:trPr>
        <w:tc>
          <w:tcPr>
            <w:tcW w:w="1857" w:type="dxa"/>
            <w:noWrap w:val="0"/>
            <w:vAlign w:val="center"/>
          </w:tcPr>
          <w:p>
            <w:pPr>
              <w:spacing w:line="240" w:lineRule="auto"/>
              <w:jc w:val="center"/>
              <w:rPr>
                <w:rFonts w:cs="Times New Roman"/>
                <w:color w:val="auto"/>
                <w:sz w:val="24"/>
                <w:szCs w:val="24"/>
                <w:highlight w:val="none"/>
              </w:rPr>
            </w:pPr>
            <w:r>
              <w:rPr>
                <w:rFonts w:cs="Times New Roman"/>
                <w:color w:val="auto"/>
                <w:sz w:val="24"/>
                <w:szCs w:val="24"/>
                <w:highlight w:val="none"/>
              </w:rPr>
              <w:t>总监理工程师</w:t>
            </w:r>
          </w:p>
        </w:tc>
        <w:tc>
          <w:tcPr>
            <w:tcW w:w="1392" w:type="dxa"/>
            <w:noWrap w:val="0"/>
            <w:vAlign w:val="center"/>
          </w:tcPr>
          <w:p>
            <w:pPr>
              <w:spacing w:line="240" w:lineRule="auto"/>
              <w:jc w:val="center"/>
              <w:rPr>
                <w:rFonts w:cs="Times New Roman"/>
                <w:color w:val="auto"/>
                <w:sz w:val="24"/>
                <w:szCs w:val="24"/>
                <w:highlight w:val="none"/>
              </w:rPr>
            </w:pPr>
            <w:r>
              <w:rPr>
                <w:rFonts w:cs="Times New Roman"/>
                <w:color w:val="auto"/>
                <w:sz w:val="24"/>
                <w:szCs w:val="24"/>
                <w:highlight w:val="none"/>
              </w:rPr>
              <w:t>1</w:t>
            </w:r>
          </w:p>
        </w:tc>
        <w:tc>
          <w:tcPr>
            <w:tcW w:w="4179" w:type="dxa"/>
            <w:noWrap w:val="0"/>
            <w:vAlign w:val="center"/>
          </w:tcPr>
          <w:p>
            <w:pPr>
              <w:spacing w:line="240" w:lineRule="auto"/>
              <w:rPr>
                <w:rFonts w:cs="Times New Roman"/>
                <w:color w:val="auto"/>
                <w:sz w:val="24"/>
                <w:szCs w:val="24"/>
                <w:highlight w:val="none"/>
              </w:rPr>
            </w:pPr>
            <w:r>
              <w:rPr>
                <w:rFonts w:hint="eastAsia" w:cs="Times New Roman"/>
                <w:color w:val="auto"/>
                <w:sz w:val="24"/>
                <w:szCs w:val="24"/>
                <w:highlight w:val="none"/>
                <w:lang w:val="en-US" w:eastAsia="zh-CN"/>
              </w:rPr>
              <w:t>公路工程</w:t>
            </w:r>
            <w:r>
              <w:rPr>
                <w:rFonts w:hint="eastAsia" w:cs="Times New Roman"/>
                <w:color w:val="auto"/>
                <w:sz w:val="24"/>
                <w:szCs w:val="24"/>
                <w:highlight w:val="none"/>
              </w:rPr>
              <w:t>相关专业高级工程师</w:t>
            </w:r>
            <w:r>
              <w:rPr>
                <w:rFonts w:hint="eastAsia" w:cs="Times New Roman"/>
                <w:color w:val="auto"/>
                <w:sz w:val="24"/>
                <w:szCs w:val="24"/>
                <w:highlight w:val="none"/>
                <w:lang w:val="en-US" w:eastAsia="zh-CN"/>
              </w:rPr>
              <w:t>或以上职称</w:t>
            </w:r>
            <w:r>
              <w:rPr>
                <w:rFonts w:hint="eastAsia" w:cs="Times New Roman"/>
                <w:color w:val="auto"/>
                <w:sz w:val="24"/>
                <w:szCs w:val="24"/>
                <w:highlight w:val="none"/>
              </w:rPr>
              <w:t>，至少担任过</w:t>
            </w:r>
            <w:r>
              <w:rPr>
                <w:rFonts w:hint="eastAsia" w:cs="Times New Roman"/>
                <w:color w:val="auto"/>
                <w:sz w:val="24"/>
                <w:szCs w:val="24"/>
                <w:highlight w:val="none"/>
                <w:lang w:val="en-US" w:eastAsia="zh-CN"/>
              </w:rPr>
              <w:t>1</w:t>
            </w:r>
            <w:r>
              <w:rPr>
                <w:rFonts w:hint="eastAsia" w:cs="Times New Roman"/>
                <w:color w:val="auto"/>
                <w:sz w:val="24"/>
                <w:szCs w:val="24"/>
                <w:highlight w:val="none"/>
              </w:rPr>
              <w:t>项类似工程施工监理的监理负责人，持有交通运输部与人力资源社会保障部用印的交通运输工程专业监理工程师职业资格证书（或电子证书）或具有交通运输部核发的公路工程监理工程师资格证书，且已在投标人处进行注册（或从业登记）。</w:t>
            </w:r>
          </w:p>
        </w:tc>
        <w:tc>
          <w:tcPr>
            <w:tcW w:w="1858" w:type="dxa"/>
            <w:noWrap w:val="0"/>
            <w:vAlign w:val="center"/>
          </w:tcPr>
          <w:p>
            <w:pPr>
              <w:spacing w:line="240" w:lineRule="auto"/>
              <w:rPr>
                <w:rFonts w:cs="Times New Roman"/>
                <w:color w:val="auto"/>
                <w:sz w:val="24"/>
                <w:szCs w:val="24"/>
                <w:highlight w:val="none"/>
              </w:rPr>
            </w:pPr>
            <w:r>
              <w:rPr>
                <w:rFonts w:cs="Times New Roman"/>
                <w:color w:val="auto"/>
                <w:sz w:val="24"/>
                <w:szCs w:val="24"/>
                <w:highlight w:val="none"/>
              </w:rPr>
              <w:t>无在岗项目（指目前未在其他项目上任职，或虽在其他项目上任职但本项目中标后能够从该项目撤离）</w:t>
            </w:r>
          </w:p>
        </w:tc>
      </w:tr>
    </w:tbl>
    <w:p>
      <w:pPr>
        <w:adjustRightInd w:val="0"/>
        <w:snapToGrid w:val="0"/>
        <w:spacing w:line="30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注：1、监理负责人可为总监理工程师或副总监理工程师或高级驻地监理工程师或总监理工程师代表。 </w:t>
      </w:r>
    </w:p>
    <w:p>
      <w:pPr>
        <w:adjustRightInd w:val="0"/>
        <w:snapToGrid w:val="0"/>
        <w:spacing w:line="300" w:lineRule="auto"/>
        <w:ind w:firstLine="420" w:firstLineChars="20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公路工程相关专业职称包括公路工程、桥梁工程、公路与桥梁工程、交通土建、隧道（地下结构）工程、交通工程等专业职称。</w:t>
      </w:r>
    </w:p>
    <w:p>
      <w:pPr>
        <w:adjustRightInd w:val="0"/>
        <w:snapToGrid w:val="0"/>
        <w:spacing w:line="300" w:lineRule="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3、</w:t>
      </w:r>
      <w:r>
        <w:rPr>
          <w:rFonts w:hint="default" w:ascii="Times New Roman" w:hAnsi="Times New Roman" w:eastAsia="宋体" w:cs="Times New Roman"/>
          <w:color w:val="auto"/>
          <w:sz w:val="21"/>
          <w:szCs w:val="21"/>
          <w:highlight w:val="none"/>
          <w:lang w:val="en-US" w:eastAsia="zh-CN"/>
        </w:rPr>
        <w:t>类似工程：</w:t>
      </w:r>
      <w:r>
        <w:rPr>
          <w:rFonts w:hint="eastAsia" w:ascii="Times New Roman" w:hAnsi="Times New Roman" w:eastAsia="宋体" w:cs="Times New Roman"/>
          <w:color w:val="auto"/>
          <w:sz w:val="21"/>
          <w:szCs w:val="21"/>
          <w:highlight w:val="none"/>
          <w:lang w:val="en-US" w:eastAsia="zh-CN"/>
        </w:rPr>
        <w:t>新建或改建或扩建一级公路（或以上等级）公路工程项目。</w:t>
      </w:r>
    </w:p>
    <w:p>
      <w:pPr>
        <w:pStyle w:val="2"/>
        <w:spacing w:before="480" w:after="240" w:line="380" w:lineRule="atLeast"/>
        <w:jc w:val="center"/>
        <w:rPr>
          <w:rFonts w:eastAsia="黑体"/>
          <w:b w:val="0"/>
          <w:color w:val="auto"/>
          <w:highlight w:val="none"/>
        </w:rPr>
      </w:pPr>
      <w:bookmarkStart w:id="8" w:name="_Toc514589408"/>
      <w:bookmarkStart w:id="9" w:name="_Toc503235805"/>
      <w:bookmarkStart w:id="10" w:name="_Hlk84840295"/>
    </w:p>
    <w:p>
      <w:pPr>
        <w:rPr>
          <w:rFonts w:eastAsia="黑体"/>
          <w:b w:val="0"/>
          <w:color w:val="auto"/>
          <w:highlight w:val="none"/>
        </w:rPr>
      </w:pPr>
    </w:p>
    <w:p>
      <w:pPr>
        <w:rPr>
          <w:rFonts w:eastAsia="黑体"/>
          <w:b w:val="0"/>
          <w:color w:val="auto"/>
          <w:highlight w:val="none"/>
        </w:rPr>
      </w:pPr>
    </w:p>
    <w:p>
      <w:pPr>
        <w:rPr>
          <w:rFonts w:eastAsia="黑体"/>
          <w:b w:val="0"/>
          <w:color w:val="auto"/>
          <w:highlight w:val="none"/>
        </w:rPr>
      </w:pPr>
    </w:p>
    <w:p>
      <w:pPr>
        <w:rPr>
          <w:rFonts w:eastAsia="黑体"/>
          <w:b w:val="0"/>
          <w:color w:val="auto"/>
          <w:highlight w:val="none"/>
        </w:rPr>
      </w:pPr>
    </w:p>
    <w:p>
      <w:pPr>
        <w:rPr>
          <w:rFonts w:eastAsia="黑体"/>
          <w:b w:val="0"/>
          <w:color w:val="auto"/>
          <w:highlight w:val="none"/>
        </w:rPr>
      </w:pPr>
      <w:bookmarkStart w:id="42" w:name="_GoBack"/>
      <w:bookmarkEnd w:id="42"/>
    </w:p>
    <w:p>
      <w:pPr>
        <w:pStyle w:val="2"/>
        <w:spacing w:before="480" w:after="240" w:line="380" w:lineRule="atLeast"/>
        <w:jc w:val="center"/>
        <w:rPr>
          <w:rFonts w:eastAsia="黑体"/>
          <w:b w:val="0"/>
          <w:color w:val="auto"/>
          <w:highlight w:val="none"/>
        </w:rPr>
      </w:pPr>
      <w:r>
        <w:rPr>
          <w:rFonts w:eastAsia="黑体"/>
          <w:b w:val="0"/>
          <w:color w:val="auto"/>
          <w:highlight w:val="none"/>
        </w:rPr>
        <w:t>第三章  评标办法（综合评估法）</w:t>
      </w:r>
      <w:bookmarkEnd w:id="8"/>
      <w:bookmarkEnd w:id="9"/>
    </w:p>
    <w:p>
      <w:pPr>
        <w:pStyle w:val="2"/>
        <w:spacing w:before="480" w:after="240" w:line="380" w:lineRule="atLeast"/>
        <w:rPr>
          <w:rFonts w:eastAsia="黑体"/>
          <w:b w:val="0"/>
          <w:color w:val="auto"/>
          <w:sz w:val="24"/>
          <w:szCs w:val="24"/>
          <w:highlight w:val="none"/>
        </w:rPr>
      </w:pPr>
      <w:bookmarkStart w:id="11" w:name="_Toc503235806"/>
      <w:bookmarkStart w:id="12" w:name="_Toc514589409"/>
      <w:r>
        <w:rPr>
          <w:rFonts w:eastAsia="黑体"/>
          <w:b w:val="0"/>
          <w:color w:val="auto"/>
          <w:sz w:val="24"/>
          <w:szCs w:val="24"/>
          <w:highlight w:val="none"/>
        </w:rPr>
        <w:t>评标办法前附表</w:t>
      </w:r>
      <w:bookmarkEnd w:id="11"/>
      <w:bookmarkEnd w:id="12"/>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9"/>
        <w:gridCol w:w="1246"/>
        <w:gridCol w:w="67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blHeader/>
        </w:trPr>
        <w:tc>
          <w:tcPr>
            <w:tcW w:w="2175" w:type="dxa"/>
            <w:gridSpan w:val="2"/>
            <w:tcBorders>
              <w:top w:val="single" w:color="auto" w:sz="4" w:space="0"/>
              <w:bottom w:val="single" w:color="auto" w:sz="4" w:space="0"/>
              <w:right w:val="single" w:color="auto" w:sz="4" w:space="0"/>
            </w:tcBorders>
            <w:noWrap w:val="0"/>
            <w:vAlign w:val="center"/>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671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default" w:ascii="Times New Roman" w:hAnsi="Times New Roman" w:cs="Times New Roman"/>
                <w:b/>
                <w:color w:val="auto"/>
                <w:spacing w:val="4"/>
                <w:sz w:val="24"/>
                <w:szCs w:val="24"/>
                <w:highlight w:val="none"/>
              </w:rPr>
            </w:pPr>
            <w:r>
              <w:rPr>
                <w:rFonts w:hint="default" w:ascii="Times New Roman" w:hAnsi="Times New Roman" w:cs="Times New Roman"/>
                <w:b/>
                <w:color w:val="auto"/>
                <w:spacing w:val="4"/>
                <w:sz w:val="24"/>
                <w:szCs w:val="24"/>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9" w:type="dxa"/>
            <w:tcBorders>
              <w:top w:val="single" w:color="auto" w:sz="4" w:space="0"/>
              <w:bottom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1246" w:type="dxa"/>
            <w:tcBorders>
              <w:top w:val="single" w:color="auto" w:sz="4" w:space="0"/>
              <w:bottom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评标方法</w:t>
            </w:r>
          </w:p>
        </w:tc>
        <w:tc>
          <w:tcPr>
            <w:tcW w:w="6716" w:type="dxa"/>
            <w:tcBorders>
              <w:top w:val="single" w:color="auto" w:sz="4" w:space="0"/>
              <w:left w:val="single" w:color="auto" w:sz="4" w:space="0"/>
              <w:right w:val="single" w:color="auto" w:sz="4" w:space="0"/>
            </w:tcBorders>
            <w:noWrap w:val="0"/>
            <w:vAlign w:val="center"/>
          </w:tcPr>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综合评分相等时，评标委员会依次按照以下优先顺序推荐中标候选人或确定中标人：</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（1）评标价低的投标人优先；</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被招标项目所在地省级交通运输主管部门评为较高信用等级的投标人优先（采用如下的优先顺序：承诺使用的AA级投标人、不承诺使用的AA级投标人、承诺使用的A级投标人、不承诺使用的A级投标人、B级投标人、未参评且被确定为B级投标人）；</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（3）商务和技术得分较高的投标人优先；</w:t>
            </w:r>
          </w:p>
          <w:p>
            <w:pPr>
              <w:spacing w:line="360" w:lineRule="atLeast"/>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（4）由评标委员会投票确定。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9" w:type="dxa"/>
            <w:tcBorders>
              <w:top w:val="single" w:color="auto" w:sz="4" w:space="0"/>
              <w:bottom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w:t>
            </w:r>
          </w:p>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2.1.3</w:t>
            </w:r>
          </w:p>
        </w:tc>
        <w:tc>
          <w:tcPr>
            <w:tcW w:w="1246" w:type="dxa"/>
            <w:tcBorders>
              <w:top w:val="single" w:color="auto" w:sz="4" w:space="0"/>
              <w:bottom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形式评审与响应性评审标准</w:t>
            </w:r>
          </w:p>
        </w:tc>
        <w:tc>
          <w:tcPr>
            <w:tcW w:w="6716" w:type="dxa"/>
            <w:tcBorders>
              <w:top w:val="single" w:color="auto" w:sz="4" w:space="0"/>
              <w:left w:val="single" w:color="auto" w:sz="4" w:space="0"/>
              <w:right w:val="single" w:color="auto" w:sz="4" w:space="0"/>
            </w:tcBorders>
            <w:noWrap w:val="0"/>
            <w:vAlign w:val="center"/>
          </w:tcPr>
          <w:p>
            <w:pPr>
              <w:spacing w:line="360" w:lineRule="atLeast"/>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第一个信封（商务及技术文件）评审标准：</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（1）投标文件按照招标文件规定的格式、内容填写，字迹清晰可辨：</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a.投标函按招标文件规定填报了项目名称、标段号（如有）、补遗书编号（如有）、监理服务期限、工程质量要求及安全目标；</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b.投标文件组成齐全完整，内容均按规定填写。</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（2）投标文件上法定代表人或其委托代理人的签字、投标人的单位章盖章齐全，符合招标文件规定。</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（3）投标人按照招标文件的规定提供了投标保证金：</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a.投标保证金金额符合招标文件规定的金额，且投标保证金有效期不少于投标有效期；</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b.若投标保证金采用现金或支票形式提交，投标人应在招标文件规定的投标保证金递交截止时间之前将投标保证金由投标人的基本账户转入招标人指定账户；</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c.若投标保证金采用银行保函或投标人须知前附表3.4.1 项规定的其他形式提交，应满足招标文件要求。</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（4）投标人法定代表人授权委托代理人签署投标文件的，须提交授权委托书，且授权人和被授权人均在授权委托书上签名，未使用印章、签名章或其他电子制版签名代替。</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（5）投标人法定代表人亲自签署投标文件的，提供了法定代表人身份证明，且法定代表人在法定代表人身份证明上签名，未使用印章、签名章或其他电子制版签名代替。</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（6）投标人未以联合体形式投标。</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（7）同一投标人未提交两个以上不同的投标文件，但招标文件要求提交备选投标的除外。</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（8）投标文件中未出现有关投标报价的内容。</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（9）投标文件载明的招标项目完成期限符合招标文件规定。</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（10）投标文件对招标文件的实质性要求和条件作出响应。</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（11）权利义务符合招标文件规定：</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a.投标人应接受招标文件规定的风险划分原则，未提出新的风险划分办法；</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b.投标人未增加委托人的责任范围，或减少投标人义务；</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c.投标人未提出不同的支付办法；</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d.投标人对合同纠纷、事故处理办法未提出异议；</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e.投标人在投标活动中无欺诈行为；</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f.投标人未对合同条款有重要保留。</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（12）投标文件正、副本份数符合招标文件第二章“投标人须知”第3.7.4项规定。</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rPr>
              <w:t>第二个信封（报价文件）评审标准：</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（1）投标文件按照招标文件规定的格式、内容填写，字迹清晰可辨，内容齐全完整：</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a.投标函按招标文件规定填报了项目名称、标段号（如有）、补遗书编号（如有）、投标价（包括大写金额和小写金额）；</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b.已标价报价清单说明文字与招标文件规定一致，未进行实质性修改和删减；</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c.投标文件组成齐全完整，内容均按规定填写。</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（2）投标文件上法定代表人或其委托代理人的签字、投标人的单位章盖章齐全，符合招标文件规定。</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（3）投标报价未超过招标文件设定的最高投标限价（如有）。</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（4）投标报价的大写金额能够确定具体数值。</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（5）同一投标人未提交两个以上不同的投标报价，但招标文件要求提交备选投标的除外。</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9" w:type="dxa"/>
            <w:tcBorders>
              <w:top w:val="single" w:color="auto" w:sz="4" w:space="0"/>
              <w:right w:val="single" w:color="auto" w:sz="4" w:space="0"/>
            </w:tcBorders>
            <w:noWrap w:val="0"/>
            <w:vAlign w:val="center"/>
          </w:tcPr>
          <w:p>
            <w:pPr>
              <w:spacing w:line="35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2.1.2</w:t>
            </w:r>
          </w:p>
        </w:tc>
        <w:tc>
          <w:tcPr>
            <w:tcW w:w="1246" w:type="dxa"/>
            <w:tcBorders>
              <w:top w:val="single" w:color="auto" w:sz="4" w:space="0"/>
              <w:right w:val="single" w:color="auto" w:sz="4" w:space="0"/>
            </w:tcBorders>
            <w:noWrap w:val="0"/>
            <w:vAlign w:val="center"/>
          </w:tcPr>
          <w:p>
            <w:pPr>
              <w:spacing w:line="35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资格评审标准</w:t>
            </w:r>
          </w:p>
        </w:tc>
        <w:tc>
          <w:tcPr>
            <w:tcW w:w="6716" w:type="dxa"/>
            <w:tcBorders>
              <w:top w:val="single" w:color="auto" w:sz="4" w:space="0"/>
              <w:left w:val="single" w:color="auto" w:sz="4" w:space="0"/>
              <w:right w:val="single" w:color="auto" w:sz="4" w:space="0"/>
            </w:tcBorders>
            <w:noWrap w:val="0"/>
            <w:vAlign w:val="center"/>
          </w:tcPr>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1）投标人具备有效的营业执照、监理资质证书和基本账户开户许可证（如企业所在地已取消企业银行账户许可而无法提供开户许可证的，则需附上开户银行盖章的“基本存款账户信息”或“人民银行账户管理系统查询的基本账户信息截图”），投标人已录入交通运输部“全国公路建设市场信用信息管理系统（http：//glxy.mot.gov.cn）”中的公路工程施工监理资质企业名录，且投标人名称和资质与该名录中的相应企业名称和资质完全一致。 </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（2）投标人的资质等级符合招标文件规定。</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（3）投标人的类似项目业绩符合招标文件规定。</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（4）投标人的信誉符合招标文件规定。</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（5）投标人的总监理工程师资格、在岗情况符合招标文件规定，并按规定在投标文件中签字确认。</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（6）投标人的其他要求符合招标文件规定。</w:t>
            </w:r>
            <w:r>
              <w:rPr>
                <w:rFonts w:hint="default" w:ascii="Times New Roman" w:hAnsi="Times New Roman" w:cs="Times New Roman"/>
                <w:color w:val="auto"/>
                <w:sz w:val="24"/>
                <w:szCs w:val="24"/>
                <w:highlight w:val="none"/>
                <w:vertAlign w:val="superscript"/>
              </w:rPr>
              <w:footnoteReference w:id="0"/>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（7）投标人不存在第二章“投标人须知”第1.4.3项或第1.4.4项规定的任何一种情形。</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（8）投标人符合第二章“投标人须知”第1.4.5项规定。</w:t>
            </w:r>
            <w:r>
              <w:rPr>
                <w:rStyle w:val="9"/>
                <w:rFonts w:hint="default" w:ascii="Times New Roman" w:hAnsi="Times New Roman" w:cs="Times New Roman"/>
                <w:color w:val="auto"/>
                <w:sz w:val="24"/>
                <w:szCs w:val="24"/>
                <w:highlight w:val="none"/>
              </w:rPr>
              <w:footnoteReference w:id="1"/>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9" w:type="dxa"/>
            <w:tcBorders>
              <w:top w:val="single" w:color="auto" w:sz="4" w:space="0"/>
              <w:right w:val="single" w:color="auto" w:sz="4" w:space="0"/>
            </w:tcBorders>
            <w:noWrap w:val="0"/>
            <w:vAlign w:val="center"/>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1246" w:type="dxa"/>
            <w:tcBorders>
              <w:top w:val="single" w:color="auto" w:sz="4" w:space="0"/>
              <w:right w:val="single" w:color="auto" w:sz="4" w:space="0"/>
            </w:tcBorders>
            <w:noWrap w:val="0"/>
            <w:vAlign w:val="center"/>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条款内容</w:t>
            </w:r>
          </w:p>
        </w:tc>
        <w:tc>
          <w:tcPr>
            <w:tcW w:w="6716" w:type="dxa"/>
            <w:tcBorders>
              <w:top w:val="single" w:color="auto" w:sz="4" w:space="0"/>
              <w:left w:val="single" w:color="auto" w:sz="4" w:space="0"/>
              <w:right w:val="single" w:color="auto" w:sz="4" w:space="0"/>
            </w:tcBorders>
            <w:noWrap w:val="0"/>
            <w:vAlign w:val="center"/>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9" w:type="dxa"/>
            <w:tcBorders>
              <w:top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2.2.1</w:t>
            </w:r>
          </w:p>
        </w:tc>
        <w:tc>
          <w:tcPr>
            <w:tcW w:w="1246" w:type="dxa"/>
            <w:tcBorders>
              <w:top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分值构成</w:t>
            </w:r>
          </w:p>
          <w:p>
            <w:pPr>
              <w:spacing w:line="380" w:lineRule="atLeast"/>
              <w:ind w:left="-170" w:leftChars="-50" w:right="-170" w:rightChar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（总分100分）</w:t>
            </w:r>
          </w:p>
        </w:tc>
        <w:tc>
          <w:tcPr>
            <w:tcW w:w="6716" w:type="dxa"/>
            <w:tcBorders>
              <w:top w:val="single" w:color="auto" w:sz="4" w:space="0"/>
              <w:left w:val="single" w:color="auto" w:sz="4" w:space="0"/>
              <w:right w:val="single" w:color="auto" w:sz="4" w:space="0"/>
            </w:tcBorders>
            <w:noWrap w:val="0"/>
            <w:vAlign w:val="center"/>
          </w:tcPr>
          <w:p>
            <w:pPr>
              <w:spacing w:line="340" w:lineRule="atLeast"/>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第一个信封（商务及技术文件）评分分值构成：</w:t>
            </w:r>
          </w:p>
          <w:p>
            <w:pPr>
              <w:spacing w:line="34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技术建议书：</w:t>
            </w:r>
            <w:r>
              <w:rPr>
                <w:rFonts w:hint="default" w:ascii="Times New Roman" w:hAnsi="Times New Roman" w:cs="Times New Roman"/>
                <w:color w:val="auto"/>
                <w:sz w:val="24"/>
                <w:szCs w:val="24"/>
                <w:highlight w:val="none"/>
                <w:u w:val="single"/>
                <w:lang w:val="en-US" w:eastAsia="zh-CN"/>
              </w:rPr>
              <w:t>30</w:t>
            </w:r>
            <w:r>
              <w:rPr>
                <w:rFonts w:hint="default" w:ascii="Times New Roman" w:hAnsi="Times New Roman" w:cs="Times New Roman"/>
                <w:color w:val="auto"/>
                <w:sz w:val="24"/>
                <w:szCs w:val="24"/>
                <w:highlight w:val="none"/>
              </w:rPr>
              <w:t>分</w:t>
            </w:r>
          </w:p>
          <w:p>
            <w:pPr>
              <w:spacing w:line="34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主要人员：</w:t>
            </w:r>
            <w:r>
              <w:rPr>
                <w:rFonts w:hint="default" w:ascii="Times New Roman" w:hAnsi="Times New Roman" w:cs="Times New Roman"/>
                <w:color w:val="auto"/>
                <w:sz w:val="24"/>
                <w:szCs w:val="24"/>
                <w:highlight w:val="none"/>
                <w:u w:val="single"/>
              </w:rPr>
              <w:t>25</w:t>
            </w:r>
            <w:r>
              <w:rPr>
                <w:rFonts w:hint="default" w:ascii="Times New Roman" w:hAnsi="Times New Roman" w:cs="Times New Roman"/>
                <w:color w:val="auto"/>
                <w:sz w:val="24"/>
                <w:szCs w:val="24"/>
                <w:highlight w:val="none"/>
              </w:rPr>
              <w:t>分</w:t>
            </w:r>
          </w:p>
          <w:p>
            <w:pPr>
              <w:spacing w:line="34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其他因素</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rPr>
              <w:t>分</w:t>
            </w:r>
          </w:p>
          <w:p>
            <w:pPr>
              <w:spacing w:line="34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业绩：</w:t>
            </w:r>
            <w:r>
              <w:rPr>
                <w:rFonts w:hint="default" w:ascii="Times New Roman" w:hAnsi="Times New Roman" w:cs="Times New Roman"/>
                <w:color w:val="auto"/>
                <w:sz w:val="24"/>
                <w:szCs w:val="24"/>
                <w:highlight w:val="none"/>
                <w:u w:val="single"/>
              </w:rPr>
              <w:t>2</w:t>
            </w:r>
            <w:r>
              <w:rPr>
                <w:rFonts w:hint="default" w:ascii="Times New Roman" w:hAnsi="Times New Roman" w:cs="Times New Roman"/>
                <w:color w:val="auto"/>
                <w:sz w:val="24"/>
                <w:szCs w:val="24"/>
                <w:highlight w:val="none"/>
                <w:u w:val="single"/>
                <w:lang w:val="en-US" w:eastAsia="zh-CN"/>
              </w:rPr>
              <w:t>0</w:t>
            </w:r>
            <w:r>
              <w:rPr>
                <w:rFonts w:hint="default" w:ascii="Times New Roman" w:hAnsi="Times New Roman" w:cs="Times New Roman"/>
                <w:color w:val="auto"/>
                <w:sz w:val="24"/>
                <w:szCs w:val="24"/>
                <w:highlight w:val="none"/>
              </w:rPr>
              <w:t>分</w:t>
            </w:r>
          </w:p>
          <w:p>
            <w:pPr>
              <w:spacing w:line="34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履约信誉：</w:t>
            </w:r>
            <w:r>
              <w:rPr>
                <w:rFonts w:hint="default" w:ascii="Times New Roman" w:hAnsi="Times New Roman" w:cs="Times New Roman"/>
                <w:color w:val="auto"/>
                <w:sz w:val="24"/>
                <w:szCs w:val="24"/>
                <w:highlight w:val="none"/>
                <w:u w:val="single"/>
              </w:rPr>
              <w:t>10</w:t>
            </w:r>
            <w:r>
              <w:rPr>
                <w:rFonts w:hint="default" w:ascii="Times New Roman" w:hAnsi="Times New Roman" w:cs="Times New Roman"/>
                <w:color w:val="auto"/>
                <w:sz w:val="24"/>
                <w:szCs w:val="24"/>
                <w:highlight w:val="none"/>
              </w:rPr>
              <w:t>分</w:t>
            </w:r>
          </w:p>
          <w:p>
            <w:pPr>
              <w:spacing w:line="340" w:lineRule="atLeast"/>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第二个信封（报价文件）评分分值构成：</w:t>
            </w:r>
          </w:p>
          <w:p>
            <w:pPr>
              <w:spacing w:line="34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评标价：</w:t>
            </w:r>
            <w:r>
              <w:rPr>
                <w:rFonts w:hint="default" w:ascii="Times New Roman" w:hAnsi="Times New Roman" w:cs="Times New Roman"/>
                <w:color w:val="auto"/>
                <w:sz w:val="24"/>
                <w:szCs w:val="24"/>
                <w:highlight w:val="none"/>
                <w:u w:val="single"/>
              </w:rPr>
              <w:t>10</w:t>
            </w:r>
            <w:r>
              <w:rPr>
                <w:rFonts w:hint="default" w:ascii="Times New Roman" w:hAnsi="Times New Roman"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9" w:type="dxa"/>
            <w:tcBorders>
              <w:top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2.2.2</w:t>
            </w:r>
          </w:p>
        </w:tc>
        <w:tc>
          <w:tcPr>
            <w:tcW w:w="1246" w:type="dxa"/>
            <w:tcBorders>
              <w:top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评标基准价计算方法</w:t>
            </w:r>
          </w:p>
        </w:tc>
        <w:tc>
          <w:tcPr>
            <w:tcW w:w="6716" w:type="dxa"/>
            <w:tcBorders>
              <w:top w:val="single" w:color="auto" w:sz="4" w:space="0"/>
              <w:left w:val="single" w:color="auto" w:sz="4" w:space="0"/>
              <w:right w:val="single" w:color="auto" w:sz="4" w:space="0"/>
            </w:tcBorders>
            <w:noWrap w:val="0"/>
            <w:vAlign w:val="center"/>
          </w:tcPr>
          <w:p>
            <w:pPr>
              <w:adjustRightInd w:val="0"/>
              <w:snapToGrid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评标基准价的计算：</w:t>
            </w:r>
          </w:p>
          <w:p>
            <w:pPr>
              <w:adjustRightInd w:val="0"/>
              <w:snapToGrid w:val="0"/>
              <w:spacing w:line="400" w:lineRule="exact"/>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在开标现场，招标人将当场计算并宣布评标基准价。</w:t>
            </w:r>
          </w:p>
          <w:p>
            <w:pPr>
              <w:adjustRightInd w:val="0"/>
              <w:snapToGrid w:val="0"/>
              <w:spacing w:line="400" w:lineRule="exact"/>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（1）评标价的确定：</w:t>
            </w:r>
          </w:p>
          <w:p>
            <w:pPr>
              <w:pStyle w:val="10"/>
              <w:snapToGrid w:val="0"/>
              <w:spacing w:line="400" w:lineRule="exact"/>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评标价＝投标函文字报价</w:t>
            </w:r>
          </w:p>
          <w:p>
            <w:pPr>
              <w:pStyle w:val="10"/>
              <w:snapToGrid w:val="0"/>
              <w:spacing w:line="400" w:lineRule="exact"/>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（2）评标价的平均值的计算：</w:t>
            </w:r>
          </w:p>
          <w:p>
            <w:pPr>
              <w:spacing w:line="360" w:lineRule="exact"/>
              <w:ind w:firstLine="480" w:firstLineChars="200"/>
              <w:rPr>
                <w:rFonts w:hint="default" w:ascii="Times New Roman" w:hAnsi="Times New Roman" w:cs="Times New Roman"/>
                <w:snapToGrid w:val="0"/>
                <w:sz w:val="24"/>
                <w:szCs w:val="24"/>
                <w:highlight w:val="none"/>
                <w:shd w:val="clear" w:color="auto" w:fill="FFFFFF"/>
              </w:rPr>
            </w:pPr>
            <w:r>
              <w:rPr>
                <w:rFonts w:hint="default" w:ascii="Times New Roman" w:hAnsi="Times New Roman" w:cs="Times New Roman"/>
                <w:sz w:val="24"/>
                <w:szCs w:val="24"/>
                <w:highlight w:val="none"/>
              </w:rPr>
              <w:t>①除按第二章“投标人须知”第5.2.4项规定开标现场被宣布为不进入评标基准价计算的投标报价之外，所有投标人的评标价去掉一个最高值和一个最低值后的算术平均值即为评标价平均值（如果参加评标价平均值计算的有效投标人少于5家时，则计算评标价平均值时不去掉最高值和最低值）</w:t>
            </w:r>
          </w:p>
          <w:p>
            <w:pPr>
              <w:adjustRightInd w:val="0"/>
              <w:snapToGrid w:val="0"/>
              <w:spacing w:line="400" w:lineRule="exact"/>
              <w:ind w:firstLine="480" w:firstLineChars="200"/>
              <w:rPr>
                <w:rFonts w:ascii="Times New Roman" w:hAnsi="Times New Roman" w:cs="Times New Roman"/>
                <w:snapToGrid w:val="0"/>
                <w:sz w:val="24"/>
                <w:szCs w:val="24"/>
                <w:highlight w:val="none"/>
                <w:shd w:val="clear" w:color="auto" w:fill="FFFFFF"/>
              </w:rPr>
            </w:pPr>
            <w:r>
              <w:rPr>
                <w:rFonts w:hint="default" w:ascii="Times New Roman" w:hAnsi="Times New Roman" w:cs="Times New Roman"/>
                <w:sz w:val="24"/>
                <w:szCs w:val="24"/>
                <w:highlight w:val="none"/>
              </w:rPr>
              <w:t>②</w:t>
            </w:r>
            <w:r>
              <w:rPr>
                <w:rFonts w:hint="default" w:ascii="Times New Roman" w:hAnsi="Times New Roman" w:cs="Times New Roman"/>
                <w:snapToGrid w:val="0"/>
                <w:sz w:val="24"/>
                <w:szCs w:val="24"/>
                <w:highlight w:val="none"/>
                <w:shd w:val="clear" w:color="auto" w:fill="FFFFFF"/>
              </w:rPr>
              <w:t>参与评标价平均值计算的评标价的范围：最高评标限价的85%≤参与评标价平均值计算的评标价≤最高评标限价的100%</w:t>
            </w:r>
            <w:r>
              <w:rPr>
                <w:rFonts w:hint="default" w:ascii="Times New Roman" w:hAnsi="Times New Roman" w:cs="Times New Roman"/>
                <w:snapToGrid w:val="0"/>
                <w:sz w:val="24"/>
                <w:szCs w:val="24"/>
                <w:highlight w:val="none"/>
                <w:shd w:val="clear" w:color="auto" w:fill="FFFFFF"/>
                <w:lang w:eastAsia="zh-CN"/>
              </w:rPr>
              <w:t>（</w:t>
            </w:r>
            <w:r>
              <w:rPr>
                <w:rFonts w:hint="default" w:ascii="Times New Roman" w:hAnsi="Times New Roman" w:eastAsia="宋体" w:cs="Times New Roman"/>
                <w:snapToGrid w:val="0"/>
                <w:sz w:val="24"/>
                <w:szCs w:val="24"/>
                <w:highlight w:val="none"/>
                <w:shd w:val="clear" w:color="auto" w:fill="FFFFFF"/>
              </w:rPr>
              <w:t>最高评标限价</w:t>
            </w:r>
            <w:r>
              <w:rPr>
                <w:rFonts w:hint="default" w:ascii="Times New Roman" w:hAnsi="Times New Roman" w:eastAsia="宋体" w:cs="Times New Roman"/>
                <w:snapToGrid w:val="0"/>
                <w:sz w:val="24"/>
                <w:szCs w:val="24"/>
                <w:highlight w:val="none"/>
                <w:shd w:val="clear" w:color="auto" w:fill="FFFFFF"/>
                <w:lang w:val="en-US" w:eastAsia="zh-CN"/>
              </w:rPr>
              <w:t>=最高投标限价×0.75</w:t>
            </w:r>
            <w:r>
              <w:rPr>
                <w:rFonts w:hint="default" w:ascii="Times New Roman" w:hAnsi="Times New Roman" w:cs="Times New Roman"/>
                <w:snapToGrid w:val="0"/>
                <w:sz w:val="24"/>
                <w:szCs w:val="24"/>
                <w:highlight w:val="none"/>
                <w:shd w:val="clear" w:color="auto" w:fill="FFFFFF"/>
              </w:rPr>
              <w:t xml:space="preserve"> </w:t>
            </w:r>
            <w:r>
              <w:rPr>
                <w:rFonts w:ascii="Times New Roman" w:hAnsi="Times New Roman" w:cs="Times New Roman"/>
                <w:snapToGrid w:val="0"/>
                <w:sz w:val="24"/>
                <w:szCs w:val="24"/>
                <w:highlight w:val="none"/>
                <w:shd w:val="clear" w:color="auto" w:fill="FFFFFF"/>
              </w:rPr>
              <w:t xml:space="preserve"> </w:t>
            </w:r>
            <w:r>
              <w:rPr>
                <w:rFonts w:hint="default" w:ascii="Times New Roman" w:hAnsi="Times New Roman" w:cs="Times New Roman"/>
                <w:snapToGrid w:val="0"/>
                <w:sz w:val="24"/>
                <w:szCs w:val="24"/>
                <w:highlight w:val="none"/>
                <w:shd w:val="clear" w:color="auto" w:fill="FFFFFF"/>
                <w:lang w:eastAsia="zh-CN"/>
              </w:rPr>
              <w:t>）。</w:t>
            </w:r>
          </w:p>
          <w:p>
            <w:pPr>
              <w:pStyle w:val="10"/>
              <w:snapToGrid w:val="0"/>
              <w:spacing w:line="400" w:lineRule="exact"/>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napToGrid w:val="0"/>
                <w:sz w:val="24"/>
                <w:szCs w:val="24"/>
                <w:highlight w:val="none"/>
                <w:shd w:val="clear" w:color="auto" w:fill="FFFFFF"/>
              </w:rPr>
              <w:t>③小于最高评标限价的85%的评标价不参与评标价平均值的计算，但仍参与评标价的得分计算。若投标人的评标价均小于最高评标限价的85%时，则以最高评标限价的85%为评标价平均值</w:t>
            </w:r>
            <w:r>
              <w:rPr>
                <w:rFonts w:hint="default" w:ascii="Times New Roman" w:hAnsi="Times New Roman" w:cs="Times New Roman"/>
                <w:sz w:val="24"/>
                <w:szCs w:val="24"/>
                <w:highlight w:val="none"/>
              </w:rPr>
              <w:t xml:space="preserve">。 </w:t>
            </w:r>
          </w:p>
          <w:p>
            <w:pPr>
              <w:adjustRightInd w:val="0"/>
              <w:snapToGrid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（3）评标基准价的确定</w:t>
            </w:r>
          </w:p>
          <w:p>
            <w:pPr>
              <w:adjustRightInd w:val="0"/>
              <w:snapToGrid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sz w:val="24"/>
                <w:szCs w:val="24"/>
                <w:highlight w:val="none"/>
              </w:rPr>
              <w:t>将评标价平均值直接作为评标基准价。</w:t>
            </w:r>
            <w:r>
              <w:rPr>
                <w:rFonts w:hint="default" w:ascii="Times New Roman" w:hAnsi="Times New Roman" w:cs="Times New Roman"/>
                <w:color w:val="000000"/>
                <w:sz w:val="24"/>
                <w:szCs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pacing w:beforeLines="0" w:afterLines="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sz w:val="21"/>
              </w:rPr>
              <w:t>注：评标价平均值、最高评标限价、评标基准价均四舍五入至个位整数。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9" w:type="dxa"/>
            <w:tcBorders>
              <w:top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2.2.3</w:t>
            </w:r>
          </w:p>
        </w:tc>
        <w:tc>
          <w:tcPr>
            <w:tcW w:w="1246" w:type="dxa"/>
            <w:tcBorders>
              <w:top w:val="single" w:color="auto" w:sz="4" w:space="0"/>
              <w:right w:val="single" w:color="auto" w:sz="4" w:space="0"/>
            </w:tcBorders>
            <w:noWrap w:val="0"/>
            <w:vAlign w:val="center"/>
          </w:tcPr>
          <w:p>
            <w:pPr>
              <w:spacing w:line="380" w:lineRule="atLeast"/>
              <w:ind w:left="-170" w:leftChars="-50" w:right="-170" w:rightChar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评标价的偏差率计算公式</w:t>
            </w:r>
          </w:p>
        </w:tc>
        <w:tc>
          <w:tcPr>
            <w:tcW w:w="6716" w:type="dxa"/>
            <w:tcBorders>
              <w:top w:val="single" w:color="auto" w:sz="4" w:space="0"/>
              <w:left w:val="single" w:color="auto" w:sz="4" w:space="0"/>
              <w:right w:val="single" w:color="auto" w:sz="4" w:space="0"/>
            </w:tcBorders>
            <w:noWrap w:val="0"/>
            <w:vAlign w:val="center"/>
          </w:tcPr>
          <w:p>
            <w:pPr>
              <w:spacing w:line="340" w:lineRule="atLeas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偏差率=100% ×（投标人评标价－评标基准价）/评标基准价</w:t>
            </w:r>
          </w:p>
        </w:tc>
      </w:tr>
    </w:tbl>
    <w:p>
      <w:pPr>
        <w:rPr>
          <w:color w:val="auto"/>
          <w:highlight w:val="none"/>
        </w:rPr>
      </w:pPr>
    </w:p>
    <w:p>
      <w:pPr>
        <w:jc w:val="right"/>
        <w:rPr>
          <w:color w:val="auto"/>
          <w:highlight w:val="none"/>
        </w:rPr>
      </w:pPr>
      <w:r>
        <w:rPr>
          <w:color w:val="auto"/>
          <w:highlight w:val="none"/>
        </w:rPr>
        <w:br w:type="page"/>
      </w:r>
      <w:r>
        <w:rPr>
          <w:color w:val="auto"/>
          <w:highlight w:val="none"/>
        </w:rPr>
        <w:t xml:space="preserve">  </w:t>
      </w:r>
      <w:r>
        <w:rPr>
          <w:color w:val="auto"/>
          <w:sz w:val="24"/>
          <w:szCs w:val="24"/>
          <w:highlight w:val="none"/>
        </w:rPr>
        <w:t>续上表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806"/>
        <w:gridCol w:w="704"/>
        <w:gridCol w:w="1084"/>
        <w:gridCol w:w="912"/>
        <w:gridCol w:w="600"/>
        <w:gridCol w:w="1520"/>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929" w:type="dxa"/>
            <w:vMerge w:val="restart"/>
            <w:tcBorders>
              <w:top w:val="single" w:color="auto" w:sz="4" w:space="0"/>
            </w:tcBorders>
            <w:noWrap w:val="0"/>
            <w:vAlign w:val="center"/>
          </w:tcPr>
          <w:p>
            <w:pPr>
              <w:spacing w:line="380" w:lineRule="atLeast"/>
              <w:jc w:val="center"/>
              <w:rPr>
                <w:rFonts w:hint="default" w:ascii="Times New Roman" w:hAnsi="Times New Roman" w:cs="Times New Roman"/>
                <w:b/>
                <w:color w:val="auto"/>
                <w:sz w:val="24"/>
                <w:szCs w:val="24"/>
                <w:highlight w:val="none"/>
              </w:rPr>
            </w:pPr>
            <w:bookmarkStart w:id="13" w:name="_Toc503235807"/>
            <w:r>
              <w:rPr>
                <w:rFonts w:hint="default" w:ascii="Times New Roman" w:hAnsi="Times New Roman" w:cs="Times New Roman"/>
                <w:b/>
                <w:color w:val="auto"/>
                <w:sz w:val="24"/>
                <w:szCs w:val="24"/>
                <w:highlight w:val="none"/>
              </w:rPr>
              <w:t>条款号</w:t>
            </w:r>
          </w:p>
        </w:tc>
        <w:tc>
          <w:tcPr>
            <w:tcW w:w="4106" w:type="dxa"/>
            <w:gridSpan w:val="5"/>
            <w:tcBorders>
              <w:top w:val="single" w:color="auto" w:sz="4" w:space="0"/>
            </w:tcBorders>
            <w:noWrap w:val="0"/>
            <w:vAlign w:val="top"/>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评分因素与权重分值</w:t>
            </w:r>
          </w:p>
        </w:tc>
        <w:tc>
          <w:tcPr>
            <w:tcW w:w="4453" w:type="dxa"/>
            <w:gridSpan w:val="2"/>
            <w:vMerge w:val="restart"/>
            <w:tcBorders>
              <w:top w:val="single" w:color="auto" w:sz="4" w:space="0"/>
            </w:tcBorders>
            <w:noWrap w:val="0"/>
            <w:vAlign w:val="center"/>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评分标准</w:t>
            </w:r>
          </w:p>
        </w:tc>
      </w:tr>
      <w:tr>
        <w:trPr>
          <w:tblHeader/>
        </w:trPr>
        <w:tc>
          <w:tcPr>
            <w:tcW w:w="929" w:type="dxa"/>
            <w:vMerge w:val="continue"/>
            <w:noWrap w:val="0"/>
            <w:vAlign w:val="center"/>
          </w:tcPr>
          <w:p>
            <w:pPr>
              <w:spacing w:line="380" w:lineRule="atLeast"/>
              <w:jc w:val="center"/>
              <w:rPr>
                <w:rFonts w:hint="default" w:ascii="Times New Roman" w:hAnsi="Times New Roman" w:cs="Times New Roman"/>
                <w:b/>
                <w:color w:val="auto"/>
                <w:sz w:val="24"/>
                <w:szCs w:val="24"/>
                <w:highlight w:val="none"/>
              </w:rPr>
            </w:pPr>
          </w:p>
        </w:tc>
        <w:tc>
          <w:tcPr>
            <w:tcW w:w="1510" w:type="dxa"/>
            <w:gridSpan w:val="2"/>
            <w:noWrap w:val="0"/>
            <w:vAlign w:val="center"/>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评分因素</w:t>
            </w:r>
          </w:p>
        </w:tc>
        <w:tc>
          <w:tcPr>
            <w:tcW w:w="1084" w:type="dxa"/>
            <w:noWrap w:val="0"/>
            <w:vAlign w:val="center"/>
          </w:tcPr>
          <w:p>
            <w:pPr>
              <w:spacing w:line="380" w:lineRule="atLeast"/>
              <w:ind w:left="-170" w:leftChars="-50" w:right="-170" w:rightChars="-5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评分因素</w:t>
            </w:r>
          </w:p>
          <w:p>
            <w:pPr>
              <w:spacing w:line="380" w:lineRule="atLeast"/>
              <w:ind w:left="-170" w:leftChars="-50" w:right="-170" w:rightChars="-5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权重分值</w:t>
            </w:r>
          </w:p>
        </w:tc>
        <w:tc>
          <w:tcPr>
            <w:tcW w:w="912" w:type="dxa"/>
            <w:noWrap w:val="0"/>
            <w:vAlign w:val="center"/>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各评分因素细分项</w:t>
            </w:r>
          </w:p>
        </w:tc>
        <w:tc>
          <w:tcPr>
            <w:tcW w:w="600" w:type="dxa"/>
            <w:noWrap w:val="0"/>
            <w:vAlign w:val="center"/>
          </w:tcPr>
          <w:p>
            <w:pPr>
              <w:spacing w:line="380" w:lineRule="atLeast"/>
              <w:jc w:val="right"/>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分值</w:t>
            </w:r>
          </w:p>
        </w:tc>
        <w:tc>
          <w:tcPr>
            <w:tcW w:w="4453" w:type="dxa"/>
            <w:gridSpan w:val="2"/>
            <w:vMerge w:val="continue"/>
            <w:noWrap w:val="0"/>
            <w:vAlign w:val="top"/>
          </w:tcPr>
          <w:p>
            <w:pPr>
              <w:spacing w:line="380" w:lineRule="atLeast"/>
              <w:jc w:val="center"/>
              <w:rPr>
                <w:rFonts w:hint="default" w:ascii="Times New Roman" w:hAnsi="Times New Roman"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vMerge w:val="restart"/>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2.2.4（1）</w:t>
            </w:r>
          </w:p>
        </w:tc>
        <w:tc>
          <w:tcPr>
            <w:tcW w:w="1510" w:type="dxa"/>
            <w:gridSpan w:val="2"/>
            <w:vMerge w:val="restart"/>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技术建议书</w:t>
            </w:r>
          </w:p>
        </w:tc>
        <w:tc>
          <w:tcPr>
            <w:tcW w:w="1084" w:type="dxa"/>
            <w:vMerge w:val="restart"/>
            <w:noWrap w:val="0"/>
            <w:vAlign w:val="center"/>
          </w:tcPr>
          <w:p>
            <w:pPr>
              <w:spacing w:line="380" w:lineRule="atLeast"/>
              <w:jc w:val="right"/>
              <w:rPr>
                <w:rFonts w:hint="default"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u w:val="single"/>
                <w:lang w:val="en-US" w:eastAsia="zh-CN"/>
              </w:rPr>
              <w:t>30</w:t>
            </w:r>
            <w:r>
              <w:rPr>
                <w:rFonts w:hint="default" w:ascii="Times New Roman" w:hAnsi="Times New Roman" w:cs="Times New Roman"/>
                <w:color w:val="auto"/>
                <w:sz w:val="24"/>
                <w:szCs w:val="24"/>
                <w:highlight w:val="none"/>
              </w:rPr>
              <w:t>分</w:t>
            </w:r>
          </w:p>
        </w:tc>
        <w:tc>
          <w:tcPr>
            <w:tcW w:w="912" w:type="dxa"/>
            <w:vMerge w:val="restart"/>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监理大纲（或监理</w:t>
            </w:r>
            <w:r>
              <w:rPr>
                <w:rFonts w:hint="eastAsia" w:ascii="Times New Roman" w:hAnsi="Times New Roman" w:cs="Times New Roman"/>
                <w:color w:val="auto"/>
                <w:sz w:val="24"/>
                <w:szCs w:val="24"/>
                <w:highlight w:val="none"/>
                <w:lang w:val="en-US" w:eastAsia="zh-CN"/>
              </w:rPr>
              <w:t>方案</w:t>
            </w:r>
            <w:r>
              <w:rPr>
                <w:rFonts w:hint="default" w:ascii="Times New Roman" w:hAnsi="Times New Roman" w:cs="Times New Roman"/>
                <w:color w:val="auto"/>
                <w:sz w:val="24"/>
                <w:szCs w:val="24"/>
                <w:highlight w:val="none"/>
              </w:rPr>
              <w:t>）和措施</w:t>
            </w:r>
          </w:p>
        </w:tc>
        <w:tc>
          <w:tcPr>
            <w:tcW w:w="600" w:type="dxa"/>
            <w:vMerge w:val="restart"/>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分</w:t>
            </w:r>
          </w:p>
        </w:tc>
        <w:tc>
          <w:tcPr>
            <w:tcW w:w="1520" w:type="dxa"/>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质量和安全监理</w:t>
            </w:r>
          </w:p>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分）</w:t>
            </w:r>
          </w:p>
        </w:tc>
        <w:tc>
          <w:tcPr>
            <w:tcW w:w="2933" w:type="dxa"/>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质量和安全监理目标明确，且完全响应广东省施工标准化和安全标准化指南的得</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分；</w:t>
            </w:r>
          </w:p>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监理措施具体且有效，对质量和安全问题所采取的对策及预控方法合理可行的，响应广东省施工标准化和安全标准化指南程度，酌情加0-</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510" w:type="dxa"/>
            <w:gridSpan w:val="2"/>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084" w:type="dxa"/>
            <w:vMerge w:val="continue"/>
            <w:noWrap w:val="0"/>
            <w:vAlign w:val="center"/>
          </w:tcPr>
          <w:p>
            <w:pPr>
              <w:spacing w:line="380" w:lineRule="atLeast"/>
              <w:jc w:val="right"/>
              <w:rPr>
                <w:rFonts w:hint="default" w:ascii="Times New Roman" w:hAnsi="Times New Roman" w:cs="Times New Roman"/>
                <w:color w:val="auto"/>
                <w:sz w:val="24"/>
                <w:szCs w:val="24"/>
                <w:highlight w:val="none"/>
                <w:u w:val="single"/>
              </w:rPr>
            </w:pPr>
          </w:p>
        </w:tc>
        <w:tc>
          <w:tcPr>
            <w:tcW w:w="912" w:type="dxa"/>
            <w:vMerge w:val="continue"/>
            <w:noWrap w:val="0"/>
            <w:vAlign w:val="center"/>
          </w:tcPr>
          <w:p>
            <w:pPr>
              <w:rPr>
                <w:rFonts w:hint="default" w:ascii="Times New Roman" w:hAnsi="Times New Roman" w:cs="Times New Roman"/>
                <w:color w:val="auto"/>
                <w:sz w:val="24"/>
                <w:szCs w:val="24"/>
                <w:highlight w:val="none"/>
              </w:rPr>
            </w:pPr>
          </w:p>
        </w:tc>
        <w:tc>
          <w:tcPr>
            <w:tcW w:w="600" w:type="dxa"/>
            <w:vMerge w:val="continue"/>
            <w:noWrap w:val="0"/>
            <w:vAlign w:val="center"/>
          </w:tcPr>
          <w:p>
            <w:pPr>
              <w:jc w:val="center"/>
              <w:rPr>
                <w:rFonts w:hint="default" w:ascii="Times New Roman" w:hAnsi="Times New Roman" w:cs="Times New Roman"/>
                <w:color w:val="auto"/>
                <w:sz w:val="24"/>
                <w:szCs w:val="24"/>
                <w:highlight w:val="none"/>
                <w:u w:val="single"/>
              </w:rPr>
            </w:pPr>
          </w:p>
        </w:tc>
        <w:tc>
          <w:tcPr>
            <w:tcW w:w="1520" w:type="dxa"/>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进度监理（</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分）</w:t>
            </w:r>
          </w:p>
        </w:tc>
        <w:tc>
          <w:tcPr>
            <w:tcW w:w="2933" w:type="dxa"/>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进度监理目标明确并满足招标文件的要求得</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分；监理措施具体且有效，对保证工期所采取的对策及预控方法合理可行的，酌情加0-</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510" w:type="dxa"/>
            <w:gridSpan w:val="2"/>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084" w:type="dxa"/>
            <w:vMerge w:val="continue"/>
            <w:noWrap w:val="0"/>
            <w:vAlign w:val="center"/>
          </w:tcPr>
          <w:p>
            <w:pPr>
              <w:spacing w:line="380" w:lineRule="atLeast"/>
              <w:jc w:val="right"/>
              <w:rPr>
                <w:rFonts w:hint="default" w:ascii="Times New Roman" w:hAnsi="Times New Roman" w:cs="Times New Roman"/>
                <w:color w:val="auto"/>
                <w:sz w:val="24"/>
                <w:szCs w:val="24"/>
                <w:highlight w:val="none"/>
                <w:u w:val="single"/>
              </w:rPr>
            </w:pPr>
          </w:p>
        </w:tc>
        <w:tc>
          <w:tcPr>
            <w:tcW w:w="912" w:type="dxa"/>
            <w:vMerge w:val="continue"/>
            <w:noWrap w:val="0"/>
            <w:vAlign w:val="center"/>
          </w:tcPr>
          <w:p>
            <w:pPr>
              <w:rPr>
                <w:rFonts w:hint="default" w:ascii="Times New Roman" w:hAnsi="Times New Roman" w:cs="Times New Roman"/>
                <w:color w:val="auto"/>
                <w:sz w:val="24"/>
                <w:szCs w:val="24"/>
                <w:highlight w:val="none"/>
              </w:rPr>
            </w:pPr>
          </w:p>
        </w:tc>
        <w:tc>
          <w:tcPr>
            <w:tcW w:w="600" w:type="dxa"/>
            <w:vMerge w:val="continue"/>
            <w:noWrap w:val="0"/>
            <w:vAlign w:val="center"/>
          </w:tcPr>
          <w:p>
            <w:pPr>
              <w:jc w:val="center"/>
              <w:rPr>
                <w:rFonts w:hint="default" w:ascii="Times New Roman" w:hAnsi="Times New Roman" w:cs="Times New Roman"/>
                <w:color w:val="auto"/>
                <w:sz w:val="24"/>
                <w:szCs w:val="24"/>
                <w:highlight w:val="none"/>
                <w:u w:val="single"/>
              </w:rPr>
            </w:pPr>
          </w:p>
        </w:tc>
        <w:tc>
          <w:tcPr>
            <w:tcW w:w="1520" w:type="dxa"/>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费用和合同监理</w:t>
            </w:r>
          </w:p>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（3分）</w:t>
            </w:r>
          </w:p>
        </w:tc>
        <w:tc>
          <w:tcPr>
            <w:tcW w:w="2933" w:type="dxa"/>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有工程计量与支付监理方面的具体管理方法和措施具体且有效，有明确的变更管理、预防索赔、减少合同纠纷的管理和控制措施得</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 xml:space="preserve"> 分；有合理可行的控制超计量支付及提前计量支付的预控方法的，酌情加0- </w:t>
            </w:r>
            <w:r>
              <w:rPr>
                <w:rFonts w:hint="eastAsia" w:ascii="Times New Roman" w:hAnsi="Times New Roman" w:cs="Times New Roman"/>
                <w:color w:val="auto"/>
                <w:sz w:val="24"/>
                <w:szCs w:val="24"/>
                <w:highlight w:val="none"/>
                <w:lang w:val="en-US" w:eastAsia="zh-CN"/>
              </w:rPr>
              <w:t>0</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510" w:type="dxa"/>
            <w:gridSpan w:val="2"/>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084" w:type="dxa"/>
            <w:vMerge w:val="continue"/>
            <w:noWrap w:val="0"/>
            <w:vAlign w:val="center"/>
          </w:tcPr>
          <w:p>
            <w:pPr>
              <w:spacing w:line="380" w:lineRule="atLeast"/>
              <w:jc w:val="right"/>
              <w:rPr>
                <w:rFonts w:hint="default" w:ascii="Times New Roman" w:hAnsi="Times New Roman" w:cs="Times New Roman"/>
                <w:color w:val="auto"/>
                <w:sz w:val="24"/>
                <w:szCs w:val="24"/>
                <w:highlight w:val="none"/>
                <w:u w:val="single"/>
              </w:rPr>
            </w:pPr>
          </w:p>
        </w:tc>
        <w:tc>
          <w:tcPr>
            <w:tcW w:w="912" w:type="dxa"/>
            <w:vMerge w:val="continue"/>
            <w:noWrap w:val="0"/>
            <w:vAlign w:val="center"/>
          </w:tcPr>
          <w:p>
            <w:pPr>
              <w:rPr>
                <w:rFonts w:hint="default" w:ascii="Times New Roman" w:hAnsi="Times New Roman" w:cs="Times New Roman"/>
                <w:color w:val="auto"/>
                <w:sz w:val="24"/>
                <w:szCs w:val="24"/>
                <w:highlight w:val="none"/>
              </w:rPr>
            </w:pPr>
          </w:p>
        </w:tc>
        <w:tc>
          <w:tcPr>
            <w:tcW w:w="600" w:type="dxa"/>
            <w:vMerge w:val="continue"/>
            <w:noWrap w:val="0"/>
            <w:vAlign w:val="center"/>
          </w:tcPr>
          <w:p>
            <w:pPr>
              <w:jc w:val="center"/>
              <w:rPr>
                <w:rFonts w:hint="default" w:ascii="Times New Roman" w:hAnsi="Times New Roman" w:cs="Times New Roman"/>
                <w:color w:val="auto"/>
                <w:sz w:val="24"/>
                <w:szCs w:val="24"/>
                <w:highlight w:val="none"/>
                <w:u w:val="single"/>
              </w:rPr>
            </w:pPr>
          </w:p>
        </w:tc>
        <w:tc>
          <w:tcPr>
            <w:tcW w:w="1520" w:type="dxa"/>
            <w:noWrap w:val="0"/>
            <w:vAlign w:val="top"/>
          </w:tcPr>
          <w:p>
            <w:pPr>
              <w:rPr>
                <w:rFonts w:hint="default" w:ascii="Times New Roman" w:hAnsi="Times New Roman" w:cs="Times New Roman"/>
                <w:color w:val="auto"/>
                <w:sz w:val="24"/>
                <w:szCs w:val="24"/>
                <w:highlight w:val="none"/>
              </w:rPr>
            </w:pPr>
          </w:p>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施工环境保护管理（2分）</w:t>
            </w:r>
          </w:p>
        </w:tc>
        <w:tc>
          <w:tcPr>
            <w:tcW w:w="2933" w:type="dxa"/>
            <w:noWrap w:val="0"/>
            <w:vAlign w:val="top"/>
          </w:tcPr>
          <w:p>
            <w:pP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有环保监理措施，且完全响应广东省施工标准化和安全标准化指南的得1.</w:t>
            </w: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 xml:space="preserve"> 分；环保监理措施和方法具体且有效的，响应广东省施工标准化和安全标准化指南程度， 酌情加0-0.</w:t>
            </w:r>
            <w:r>
              <w:rPr>
                <w:rFonts w:hint="eastAsia" w:ascii="Times New Roman" w:hAnsi="Times New Roman" w:cs="Times New Roman"/>
                <w:color w:val="auto"/>
                <w:sz w:val="24"/>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0" w:hRule="atLeast"/>
        </w:trPr>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510" w:type="dxa"/>
            <w:gridSpan w:val="2"/>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084" w:type="dxa"/>
            <w:vMerge w:val="continue"/>
            <w:noWrap w:val="0"/>
            <w:vAlign w:val="center"/>
          </w:tcPr>
          <w:p>
            <w:pPr>
              <w:spacing w:line="380" w:lineRule="atLeast"/>
              <w:jc w:val="right"/>
              <w:rPr>
                <w:rFonts w:hint="default" w:ascii="Times New Roman" w:hAnsi="Times New Roman" w:cs="Times New Roman"/>
                <w:color w:val="auto"/>
                <w:sz w:val="24"/>
                <w:szCs w:val="24"/>
                <w:highlight w:val="none"/>
                <w:u w:val="single"/>
              </w:rPr>
            </w:pPr>
          </w:p>
        </w:tc>
        <w:tc>
          <w:tcPr>
            <w:tcW w:w="912" w:type="dxa"/>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本工程监理工作的重点与难点分析</w:t>
            </w:r>
          </w:p>
        </w:tc>
        <w:tc>
          <w:tcPr>
            <w:tcW w:w="600" w:type="dxa"/>
            <w:noWrap w:val="0"/>
            <w:vAlign w:val="center"/>
          </w:tcPr>
          <w:p>
            <w:pPr>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分</w:t>
            </w:r>
          </w:p>
        </w:tc>
        <w:tc>
          <w:tcPr>
            <w:tcW w:w="4453" w:type="dxa"/>
            <w:gridSpan w:val="2"/>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有对工程重点、难点的分析得</w:t>
            </w: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分；分析准确，且有合理可行的应对措施的，酌情加0-</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510" w:type="dxa"/>
            <w:gridSpan w:val="2"/>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084" w:type="dxa"/>
            <w:vMerge w:val="continue"/>
            <w:noWrap w:val="0"/>
            <w:vAlign w:val="center"/>
          </w:tcPr>
          <w:p>
            <w:pPr>
              <w:spacing w:line="380" w:lineRule="atLeast"/>
              <w:jc w:val="right"/>
              <w:rPr>
                <w:rFonts w:hint="default" w:ascii="Times New Roman" w:hAnsi="Times New Roman" w:cs="Times New Roman"/>
                <w:color w:val="auto"/>
                <w:sz w:val="24"/>
                <w:szCs w:val="24"/>
                <w:highlight w:val="none"/>
                <w:u w:val="single"/>
              </w:rPr>
            </w:pPr>
          </w:p>
        </w:tc>
        <w:tc>
          <w:tcPr>
            <w:tcW w:w="912" w:type="dxa"/>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对本工程的建议</w:t>
            </w:r>
          </w:p>
        </w:tc>
        <w:tc>
          <w:tcPr>
            <w:tcW w:w="600" w:type="dxa"/>
            <w:noWrap w:val="0"/>
            <w:vAlign w:val="center"/>
          </w:tcPr>
          <w:p>
            <w:pPr>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分</w:t>
            </w:r>
          </w:p>
        </w:tc>
        <w:tc>
          <w:tcPr>
            <w:tcW w:w="4453" w:type="dxa"/>
            <w:gridSpan w:val="2"/>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有对本工程的建议的得</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分；对管理模式、工程质量、进度、投资控制、合同管理等方面均提出合理可行的建议的，酌情加0-</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7" w:hRule="atLeast"/>
        </w:trPr>
        <w:tc>
          <w:tcPr>
            <w:tcW w:w="929" w:type="dxa"/>
            <w:noWrap w:val="0"/>
            <w:vAlign w:val="center"/>
          </w:tcPr>
          <w:p>
            <w:pPr>
              <w:spacing w:line="360" w:lineRule="atLeast"/>
              <w:ind w:left="-150" w:leftChars="-44" w:right="-143" w:rightChars="-42"/>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2.2.4（2）</w:t>
            </w:r>
          </w:p>
        </w:tc>
        <w:tc>
          <w:tcPr>
            <w:tcW w:w="1510" w:type="dxa"/>
            <w:gridSpan w:val="2"/>
            <w:noWrap w:val="0"/>
            <w:vAlign w:val="center"/>
          </w:tcPr>
          <w:p>
            <w:pPr>
              <w:spacing w:line="36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主要人员</w:t>
            </w:r>
          </w:p>
        </w:tc>
        <w:tc>
          <w:tcPr>
            <w:tcW w:w="1084" w:type="dxa"/>
            <w:noWrap w:val="0"/>
            <w:vAlign w:val="center"/>
          </w:tcPr>
          <w:p>
            <w:pPr>
              <w:spacing w:line="38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25</w:t>
            </w:r>
            <w:r>
              <w:rPr>
                <w:rFonts w:hint="default" w:ascii="Times New Roman" w:hAnsi="Times New Roman" w:cs="Times New Roman"/>
                <w:color w:val="auto"/>
                <w:sz w:val="24"/>
                <w:szCs w:val="24"/>
                <w:highlight w:val="none"/>
              </w:rPr>
              <w:t>分</w:t>
            </w:r>
          </w:p>
        </w:tc>
        <w:tc>
          <w:tcPr>
            <w:tcW w:w="912" w:type="dxa"/>
            <w:noWrap w:val="0"/>
            <w:vAlign w:val="center"/>
          </w:tcPr>
          <w:p>
            <w:pPr>
              <w:spacing w:line="38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总监理工程师任职资格与业绩</w:t>
            </w:r>
          </w:p>
        </w:tc>
        <w:tc>
          <w:tcPr>
            <w:tcW w:w="600" w:type="dxa"/>
            <w:noWrap w:val="0"/>
            <w:vAlign w:val="center"/>
          </w:tcPr>
          <w:p>
            <w:pPr>
              <w:spacing w:line="38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25</w:t>
            </w:r>
            <w:r>
              <w:rPr>
                <w:rFonts w:hint="default" w:ascii="Times New Roman" w:hAnsi="Times New Roman" w:cs="Times New Roman"/>
                <w:color w:val="auto"/>
                <w:sz w:val="24"/>
                <w:szCs w:val="24"/>
                <w:highlight w:val="none"/>
              </w:rPr>
              <w:t>分</w:t>
            </w:r>
          </w:p>
        </w:tc>
        <w:tc>
          <w:tcPr>
            <w:tcW w:w="4453" w:type="dxa"/>
            <w:gridSpan w:val="2"/>
            <w:noWrap w:val="0"/>
            <w:vAlign w:val="center"/>
          </w:tcPr>
          <w:p>
            <w:pPr>
              <w:spacing w:line="38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rPr>
              <w:t xml:space="preserve">总监理工程师符合资格审查要求的，得 </w:t>
            </w:r>
          </w:p>
          <w:p>
            <w:pPr>
              <w:spacing w:line="380" w:lineRule="atLeast"/>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15</w:t>
            </w:r>
            <w:r>
              <w:rPr>
                <w:rFonts w:hint="default" w:ascii="Times New Roman" w:hAnsi="Times New Roman" w:cs="Times New Roman"/>
                <w:color w:val="auto"/>
                <w:sz w:val="24"/>
                <w:szCs w:val="24"/>
                <w:highlight w:val="none"/>
                <w:lang w:val="en-US"/>
              </w:rPr>
              <w:t>分</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在满足资格审查要求的基础上，</w:t>
            </w:r>
          </w:p>
          <w:p>
            <w:pPr>
              <w:spacing w:line="380" w:lineRule="atLeas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具有交通运输部（原交通部）颁发的甲级造价人员证书或注册一级造价工程师（交通运输工程专业）加10分。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0" w:hRule="atLeast"/>
        </w:trPr>
        <w:tc>
          <w:tcPr>
            <w:tcW w:w="929" w:type="dxa"/>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2.2.4（3）</w:t>
            </w:r>
          </w:p>
        </w:tc>
        <w:tc>
          <w:tcPr>
            <w:tcW w:w="1510" w:type="dxa"/>
            <w:gridSpan w:val="2"/>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评标价</w:t>
            </w:r>
          </w:p>
        </w:tc>
        <w:tc>
          <w:tcPr>
            <w:tcW w:w="1084" w:type="dxa"/>
            <w:noWrap w:val="0"/>
            <w:vAlign w:val="center"/>
          </w:tcPr>
          <w:p>
            <w:pPr>
              <w:spacing w:line="38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10</w:t>
            </w:r>
            <w:r>
              <w:rPr>
                <w:rFonts w:hint="default" w:ascii="Times New Roman" w:hAnsi="Times New Roman" w:cs="Times New Roman"/>
                <w:color w:val="auto"/>
                <w:sz w:val="24"/>
                <w:szCs w:val="24"/>
                <w:highlight w:val="none"/>
              </w:rPr>
              <w:t>分</w:t>
            </w:r>
          </w:p>
        </w:tc>
        <w:tc>
          <w:tcPr>
            <w:tcW w:w="5965" w:type="dxa"/>
            <w:gridSpan w:val="4"/>
            <w:noWrap w:val="0"/>
            <w:vAlign w:val="top"/>
          </w:tcPr>
          <w:p>
            <w:pPr>
              <w:spacing w:line="38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评标价得分计算公式示例：</w:t>
            </w:r>
          </w:p>
          <w:p>
            <w:pPr>
              <w:spacing w:line="38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（1）如果投标人的评标价&gt;评标基准价，则评标价得分＝F－偏差率×100× E1；</w:t>
            </w:r>
          </w:p>
          <w:p>
            <w:pPr>
              <w:spacing w:line="38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（2）如果投标人的评标价≤评标基准价，则评标价得分＝F＋偏差率× 100× E2。</w:t>
            </w:r>
          </w:p>
          <w:p>
            <w:pPr>
              <w:spacing w:line="38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其中： F=10， E1=1.0，E2=0.5</w:t>
            </w:r>
          </w:p>
          <w:p>
            <w:pPr>
              <w:spacing w:line="38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评标价得分最高分为10分，最低分为0分</w:t>
            </w:r>
            <w:r>
              <w:rPr>
                <w:rFonts w:hint="eastAsia" w:ascii="Times New Roman" w:hAnsi="Times New Roman" w:cs="Times New Roman"/>
                <w:color w:val="auto"/>
                <w:sz w:val="24"/>
                <w:szCs w:val="24"/>
                <w:highlight w:val="none"/>
                <w:lang w:eastAsia="zh-CN"/>
              </w:rPr>
              <w:t>，评标价得分保留小数点后四位，第五位四舍五入</w:t>
            </w:r>
            <w:r>
              <w:rPr>
                <w:rFonts w:hint="default" w:ascii="Times New Roman" w:hAnsi="Times New Roman"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929" w:type="dxa"/>
            <w:vMerge w:val="restart"/>
            <w:noWrap w:val="0"/>
            <w:vAlign w:val="center"/>
          </w:tcPr>
          <w:p>
            <w:pPr>
              <w:spacing w:line="380" w:lineRule="atLeast"/>
              <w:jc w:val="center"/>
              <w:rPr>
                <w:rFonts w:hint="default" w:ascii="Times New Roman" w:hAnsi="Times New Roman" w:eastAsia="隶书" w:cs="Times New Roman"/>
                <w:color w:val="auto"/>
                <w:sz w:val="24"/>
                <w:szCs w:val="24"/>
                <w:highlight w:val="none"/>
              </w:rPr>
            </w:pPr>
            <w:r>
              <w:rPr>
                <w:rFonts w:hint="default" w:ascii="Times New Roman" w:hAnsi="Times New Roman" w:cs="Times New Roman"/>
                <w:color w:val="auto"/>
                <w:sz w:val="24"/>
                <w:szCs w:val="24"/>
                <w:highlight w:val="none"/>
              </w:rPr>
              <w:t>2.2.4（4）</w:t>
            </w:r>
          </w:p>
        </w:tc>
        <w:tc>
          <w:tcPr>
            <w:tcW w:w="806" w:type="dxa"/>
            <w:vMerge w:val="restart"/>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其他因素</w:t>
            </w:r>
          </w:p>
        </w:tc>
        <w:tc>
          <w:tcPr>
            <w:tcW w:w="704" w:type="dxa"/>
            <w:noWrap w:val="0"/>
            <w:vAlign w:val="center"/>
          </w:tcPr>
          <w:p>
            <w:pPr>
              <w:pStyle w:val="1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其他因素</w:t>
            </w:r>
          </w:p>
        </w:tc>
        <w:tc>
          <w:tcPr>
            <w:tcW w:w="1084" w:type="dxa"/>
            <w:noWrap w:val="0"/>
            <w:vAlign w:val="center"/>
          </w:tcPr>
          <w:p>
            <w:pPr>
              <w:pStyle w:val="10"/>
              <w:adjustRightInd/>
              <w:snapToGrid w:val="0"/>
              <w:spacing w:line="400" w:lineRule="exact"/>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分</w:t>
            </w:r>
          </w:p>
        </w:tc>
        <w:tc>
          <w:tcPr>
            <w:tcW w:w="912" w:type="dxa"/>
            <w:noWrap w:val="0"/>
            <w:vAlign w:val="center"/>
          </w:tcPr>
          <w:p>
            <w:pPr>
              <w:pStyle w:val="10"/>
              <w:snapToGrid w:val="0"/>
              <w:spacing w:line="400" w:lineRule="exact"/>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其他因素</w:t>
            </w:r>
          </w:p>
        </w:tc>
        <w:tc>
          <w:tcPr>
            <w:tcW w:w="600" w:type="dxa"/>
            <w:noWrap w:val="0"/>
            <w:vAlign w:val="center"/>
          </w:tcPr>
          <w:p>
            <w:pPr>
              <w:pStyle w:val="10"/>
              <w:snapToGrid w:val="0"/>
              <w:spacing w:line="400" w:lineRule="exact"/>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分</w:t>
            </w:r>
          </w:p>
        </w:tc>
        <w:tc>
          <w:tcPr>
            <w:tcW w:w="4453" w:type="dxa"/>
            <w:gridSpan w:val="2"/>
            <w:noWrap w:val="0"/>
            <w:vAlign w:val="center"/>
          </w:tcPr>
          <w:p>
            <w:pPr>
              <w:pStyle w:val="10"/>
              <w:numPr>
                <w:ilvl w:val="0"/>
                <w:numId w:val="0"/>
              </w:numPr>
              <w:snapToGrid w:val="0"/>
              <w:spacing w:line="400" w:lineRule="exact"/>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投标人获得交通行政主管部门颁发在有效期内的公路工程综合类检测机构</w:t>
            </w:r>
            <w:r>
              <w:rPr>
                <w:rFonts w:hint="eastAsia" w:ascii="Times New Roman" w:hAnsi="Times New Roman" w:eastAsia="宋体" w:cs="Times New Roman"/>
                <w:color w:val="auto"/>
                <w:sz w:val="24"/>
                <w:szCs w:val="24"/>
                <w:highlight w:val="none"/>
                <w:lang w:val="en-US" w:eastAsia="zh-CN"/>
              </w:rPr>
              <w:t>乙</w:t>
            </w:r>
            <w:r>
              <w:rPr>
                <w:rFonts w:hint="default" w:ascii="Times New Roman" w:hAnsi="Times New Roman" w:eastAsia="宋体" w:cs="Times New Roman"/>
                <w:color w:val="auto"/>
                <w:sz w:val="24"/>
                <w:szCs w:val="24"/>
                <w:highlight w:val="none"/>
                <w:lang w:val="en-US" w:eastAsia="zh-CN"/>
              </w:rPr>
              <w:t>级</w:t>
            </w:r>
            <w:r>
              <w:rPr>
                <w:rFonts w:hint="eastAsia" w:ascii="Times New Roman" w:hAnsi="Times New Roman" w:eastAsia="宋体" w:cs="Times New Roman"/>
                <w:color w:val="auto"/>
                <w:sz w:val="24"/>
                <w:szCs w:val="24"/>
                <w:highlight w:val="none"/>
                <w:lang w:val="en-US" w:eastAsia="zh-CN"/>
              </w:rPr>
              <w:t>（或以上）</w:t>
            </w:r>
            <w:r>
              <w:rPr>
                <w:rFonts w:hint="default" w:ascii="Times New Roman" w:hAnsi="Times New Roman" w:eastAsia="宋体" w:cs="Times New Roman"/>
                <w:color w:val="auto"/>
                <w:sz w:val="24"/>
                <w:szCs w:val="24"/>
                <w:highlight w:val="none"/>
                <w:lang w:val="en-US" w:eastAsia="zh-CN"/>
              </w:rPr>
              <w:t>资质的加</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获得交通行政主管部门颁发在有效期内的公路工程综合类检测机构</w:t>
            </w:r>
            <w:r>
              <w:rPr>
                <w:rFonts w:hint="eastAsia" w:ascii="Times New Roman" w:hAnsi="Times New Roman" w:eastAsia="宋体" w:cs="Times New Roman"/>
                <w:color w:val="auto"/>
                <w:sz w:val="24"/>
                <w:szCs w:val="24"/>
                <w:highlight w:val="none"/>
                <w:lang w:val="en-US" w:eastAsia="zh-CN"/>
              </w:rPr>
              <w:t>丙</w:t>
            </w:r>
            <w:r>
              <w:rPr>
                <w:rFonts w:hint="default" w:ascii="Times New Roman" w:hAnsi="Times New Roman" w:eastAsia="宋体" w:cs="Times New Roman"/>
                <w:color w:val="auto"/>
                <w:sz w:val="24"/>
                <w:szCs w:val="24"/>
                <w:highlight w:val="none"/>
                <w:lang w:val="en-US" w:eastAsia="zh-CN"/>
              </w:rPr>
              <w:t>级资质的加</w:t>
            </w:r>
            <w:r>
              <w:rPr>
                <w:rFonts w:hint="eastAsia" w:ascii="Times New Roman" w:hAnsi="Times New Roman" w:eastAsia="宋体" w:cs="Times New Roman"/>
                <w:color w:val="auto"/>
                <w:sz w:val="24"/>
                <w:szCs w:val="24"/>
                <w:highlight w:val="none"/>
                <w:lang w:val="en-US" w:eastAsia="zh-CN"/>
              </w:rPr>
              <w:t>2.5</w:t>
            </w:r>
            <w:r>
              <w:rPr>
                <w:rFonts w:hint="default" w:ascii="Times New Roman" w:hAnsi="Times New Roman" w:eastAsia="宋体" w:cs="Times New Roman"/>
                <w:color w:val="auto"/>
                <w:sz w:val="24"/>
                <w:szCs w:val="24"/>
                <w:highlight w:val="none"/>
                <w:lang w:val="en-US" w:eastAsia="zh-CN"/>
              </w:rPr>
              <w:t>分。</w:t>
            </w:r>
          </w:p>
          <w:p>
            <w:pPr>
              <w:pStyle w:val="10"/>
              <w:numPr>
                <w:ilvl w:val="0"/>
                <w:numId w:val="0"/>
              </w:numPr>
              <w:snapToGrid w:val="0"/>
              <w:spacing w:line="400" w:lineRule="exact"/>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注：1、试验检测机构须为投标人本身具有（投标人名称与试验检测机构名称一致）才能得分，投标人的下属机构或者全资或者控股机构等获得的，不予计分。</w:t>
            </w:r>
          </w:p>
          <w:p>
            <w:pPr>
              <w:pStyle w:val="10"/>
              <w:numPr>
                <w:ilvl w:val="0"/>
                <w:numId w:val="0"/>
              </w:numPr>
              <w:snapToGrid w:val="0"/>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2、证明材料提供资质证书关键页的复印件。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806"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704" w:type="dxa"/>
            <w:vMerge w:val="restart"/>
            <w:noWrap w:val="0"/>
            <w:vAlign w:val="center"/>
          </w:tcPr>
          <w:p>
            <w:pPr>
              <w:pStyle w:val="1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业绩</w:t>
            </w:r>
          </w:p>
          <w:p>
            <w:pPr>
              <w:spacing w:line="380" w:lineRule="atLeast"/>
              <w:ind w:right="-170" w:rightChars="-50"/>
              <w:rPr>
                <w:rFonts w:hint="default" w:ascii="Times New Roman" w:hAnsi="Times New Roman" w:cs="Times New Roman"/>
                <w:color w:val="auto"/>
                <w:sz w:val="24"/>
                <w:szCs w:val="24"/>
                <w:highlight w:val="none"/>
              </w:rPr>
            </w:pPr>
          </w:p>
        </w:tc>
        <w:tc>
          <w:tcPr>
            <w:tcW w:w="1084" w:type="dxa"/>
            <w:vMerge w:val="restart"/>
            <w:noWrap w:val="0"/>
            <w:vAlign w:val="center"/>
          </w:tcPr>
          <w:p>
            <w:pPr>
              <w:pStyle w:val="1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lang w:val="en-US" w:eastAsia="zh-CN"/>
              </w:rPr>
              <w:t>0</w:t>
            </w:r>
            <w:r>
              <w:rPr>
                <w:rFonts w:hint="default" w:ascii="Times New Roman" w:hAnsi="Times New Roman" w:cs="Times New Roman"/>
                <w:color w:val="auto"/>
                <w:sz w:val="24"/>
                <w:szCs w:val="24"/>
                <w:highlight w:val="none"/>
              </w:rPr>
              <w:t>分</w:t>
            </w:r>
          </w:p>
        </w:tc>
        <w:tc>
          <w:tcPr>
            <w:tcW w:w="912" w:type="dxa"/>
            <w:noWrap w:val="0"/>
            <w:vAlign w:val="center"/>
          </w:tcPr>
          <w:p>
            <w:pPr>
              <w:pStyle w:val="10"/>
              <w:snapToGrid w:val="0"/>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基本要求</w:t>
            </w:r>
          </w:p>
        </w:tc>
        <w:tc>
          <w:tcPr>
            <w:tcW w:w="600" w:type="dxa"/>
            <w:noWrap w:val="0"/>
            <w:vAlign w:val="center"/>
          </w:tcPr>
          <w:p>
            <w:pPr>
              <w:pStyle w:val="10"/>
              <w:snapToGrid w:val="0"/>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分</w:t>
            </w:r>
          </w:p>
        </w:tc>
        <w:tc>
          <w:tcPr>
            <w:tcW w:w="4453" w:type="dxa"/>
            <w:gridSpan w:val="2"/>
            <w:noWrap w:val="0"/>
            <w:vAlign w:val="top"/>
          </w:tcPr>
          <w:p>
            <w:pPr>
              <w:pStyle w:val="10"/>
              <w:snapToGrid w:val="0"/>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满足招标文件附录2业绩最低要求的，得1</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806"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704" w:type="dxa"/>
            <w:vMerge w:val="continue"/>
            <w:noWrap w:val="0"/>
            <w:vAlign w:val="center"/>
          </w:tcPr>
          <w:p>
            <w:pPr>
              <w:pStyle w:val="10"/>
              <w:jc w:val="center"/>
              <w:rPr>
                <w:rFonts w:hint="default" w:ascii="Times New Roman" w:hAnsi="Times New Roman" w:cs="Times New Roman"/>
                <w:color w:val="auto"/>
                <w:sz w:val="24"/>
                <w:szCs w:val="24"/>
                <w:highlight w:val="none"/>
              </w:rPr>
            </w:pPr>
          </w:p>
        </w:tc>
        <w:tc>
          <w:tcPr>
            <w:tcW w:w="1084" w:type="dxa"/>
            <w:vMerge w:val="continue"/>
            <w:noWrap w:val="0"/>
            <w:vAlign w:val="center"/>
          </w:tcPr>
          <w:p>
            <w:pPr>
              <w:pStyle w:val="10"/>
              <w:jc w:val="center"/>
              <w:rPr>
                <w:rFonts w:hint="default" w:ascii="Times New Roman" w:hAnsi="Times New Roman" w:cs="Times New Roman"/>
                <w:color w:val="auto"/>
                <w:sz w:val="24"/>
                <w:szCs w:val="24"/>
                <w:highlight w:val="none"/>
              </w:rPr>
            </w:pPr>
          </w:p>
        </w:tc>
        <w:tc>
          <w:tcPr>
            <w:tcW w:w="912" w:type="dxa"/>
            <w:noWrap w:val="0"/>
            <w:vAlign w:val="center"/>
          </w:tcPr>
          <w:p>
            <w:pPr>
              <w:pStyle w:val="1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加分</w:t>
            </w:r>
          </w:p>
        </w:tc>
        <w:tc>
          <w:tcPr>
            <w:tcW w:w="600" w:type="dxa"/>
            <w:noWrap w:val="0"/>
            <w:vAlign w:val="center"/>
          </w:tcPr>
          <w:p>
            <w:pPr>
              <w:pStyle w:val="10"/>
              <w:snapToGrid w:val="0"/>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分</w:t>
            </w:r>
          </w:p>
        </w:tc>
        <w:tc>
          <w:tcPr>
            <w:tcW w:w="4453" w:type="dxa"/>
            <w:gridSpan w:val="2"/>
            <w:noWrap w:val="0"/>
            <w:vAlign w:val="center"/>
          </w:tcPr>
          <w:p>
            <w:pPr>
              <w:pStyle w:val="10"/>
              <w:snapToGrid w:val="0"/>
              <w:spacing w:line="400" w:lineRule="exact"/>
              <w:jc w:val="both"/>
              <w:rPr>
                <w:rFonts w:hint="default" w:ascii="Times New Roman" w:hAnsi="Times New Roman" w:cs="Times New Roman"/>
                <w:color w:val="auto"/>
                <w:sz w:val="24"/>
                <w:szCs w:val="24"/>
                <w:highlight w:val="yellow"/>
              </w:rPr>
            </w:pPr>
            <w:r>
              <w:rPr>
                <w:rFonts w:hint="default" w:ascii="Times New Roman" w:hAnsi="Times New Roman" w:cs="Times New Roman"/>
                <w:spacing w:val="-6"/>
                <w:sz w:val="24"/>
              </w:rPr>
              <w:t>在满足业绩最低要求的基础上：每累计增</w:t>
            </w:r>
            <w:r>
              <w:rPr>
                <w:rFonts w:hint="default" w:ascii="Times New Roman" w:hAnsi="Times New Roman" w:cs="Times New Roman"/>
                <w:spacing w:val="-12"/>
                <w:sz w:val="24"/>
              </w:rPr>
              <w:t>加新建或改</w:t>
            </w:r>
            <w:r>
              <w:rPr>
                <w:rFonts w:hint="default" w:ascii="Times New Roman" w:hAnsi="Times New Roman" w:cs="Times New Roman"/>
                <w:spacing w:val="-12"/>
                <w:sz w:val="24"/>
                <w:lang w:val="en-US" w:eastAsia="zh-CN"/>
              </w:rPr>
              <w:t>建或</w:t>
            </w:r>
            <w:r>
              <w:rPr>
                <w:rFonts w:hint="default" w:ascii="Times New Roman" w:hAnsi="Times New Roman" w:cs="Times New Roman"/>
                <w:spacing w:val="-12"/>
                <w:sz w:val="24"/>
              </w:rPr>
              <w:t>扩建一级公路</w:t>
            </w:r>
            <w:r>
              <w:rPr>
                <w:rFonts w:hint="default" w:ascii="Times New Roman" w:hAnsi="Times New Roman" w:cs="Times New Roman"/>
                <w:sz w:val="24"/>
              </w:rPr>
              <w:t>（或以上等级</w:t>
            </w:r>
            <w:r>
              <w:rPr>
                <w:rFonts w:hint="default" w:ascii="Times New Roman" w:hAnsi="Times New Roman" w:cs="Times New Roman"/>
                <w:spacing w:val="-51"/>
                <w:sz w:val="24"/>
              </w:rPr>
              <w:t>）</w:t>
            </w:r>
            <w:r>
              <w:rPr>
                <w:rFonts w:hint="default" w:ascii="Times New Roman" w:hAnsi="Times New Roman" w:cs="Times New Roman"/>
                <w:sz w:val="24"/>
              </w:rPr>
              <w:t>里程</w:t>
            </w:r>
            <w:r>
              <w:rPr>
                <w:rFonts w:hint="default" w:ascii="Times New Roman" w:hAnsi="Times New Roman" w:eastAsia="宋体" w:cs="Times New Roman"/>
                <w:spacing w:val="-13"/>
                <w:sz w:val="24"/>
                <w:lang w:val="en-US" w:eastAsia="zh-CN"/>
              </w:rPr>
              <w:t>6</w:t>
            </w:r>
            <w:r>
              <w:rPr>
                <w:rFonts w:hint="default" w:ascii="Times New Roman" w:hAnsi="Times New Roman" w:eastAsia="Times New Roman" w:cs="Times New Roman"/>
                <w:spacing w:val="-13"/>
                <w:sz w:val="24"/>
              </w:rPr>
              <w:t>km</w:t>
            </w:r>
            <w:r>
              <w:rPr>
                <w:rFonts w:hint="default" w:ascii="Times New Roman" w:hAnsi="Times New Roman" w:cs="Times New Roman"/>
                <w:spacing w:val="-13"/>
                <w:sz w:val="24"/>
              </w:rPr>
              <w:t>（</w:t>
            </w:r>
            <w:r>
              <w:rPr>
                <w:rFonts w:hint="default" w:ascii="Times New Roman" w:hAnsi="Times New Roman" w:cs="Times New Roman"/>
                <w:sz w:val="24"/>
              </w:rPr>
              <w:t>尾数不计</w:t>
            </w:r>
            <w:r>
              <w:rPr>
                <w:rFonts w:hint="default" w:ascii="Times New Roman" w:hAnsi="Times New Roman" w:cs="Times New Roman"/>
                <w:spacing w:val="-51"/>
                <w:sz w:val="24"/>
              </w:rPr>
              <w:t>）</w:t>
            </w:r>
            <w:r>
              <w:rPr>
                <w:rFonts w:hint="default" w:ascii="Times New Roman" w:hAnsi="Times New Roman" w:cs="Times New Roman"/>
                <w:sz w:val="24"/>
              </w:rPr>
              <w:t>的</w:t>
            </w:r>
            <w:r>
              <w:rPr>
                <w:rFonts w:hint="default" w:ascii="Times New Roman" w:hAnsi="Times New Roman" w:cs="Times New Roman"/>
                <w:sz w:val="24"/>
                <w:lang w:val="en-US"/>
              </w:rPr>
              <w:t>公路</w:t>
            </w:r>
            <w:r>
              <w:rPr>
                <w:rFonts w:hint="default" w:ascii="Times New Roman" w:hAnsi="Times New Roman" w:cs="Times New Roman"/>
                <w:sz w:val="24"/>
              </w:rPr>
              <w:t>工程</w:t>
            </w:r>
            <w:r>
              <w:rPr>
                <w:rFonts w:hint="default" w:ascii="Times New Roman" w:hAnsi="Times New Roman" w:cs="Times New Roman"/>
                <w:sz w:val="24"/>
                <w:lang w:val="en-US"/>
              </w:rPr>
              <w:t>监理工作</w:t>
            </w:r>
            <w:r>
              <w:rPr>
                <w:rFonts w:hint="default" w:ascii="Times New Roman" w:hAnsi="Times New Roman" w:cs="Times New Roman"/>
                <w:sz w:val="24"/>
              </w:rPr>
              <w:t>的</w:t>
            </w:r>
            <w:r>
              <w:rPr>
                <w:rFonts w:hint="default" w:ascii="Times New Roman" w:hAnsi="Times New Roman" w:cs="Times New Roman"/>
                <w:sz w:val="24"/>
                <w:lang w:val="en-US"/>
              </w:rPr>
              <w:t>加1分，最多加</w:t>
            </w:r>
            <w:r>
              <w:rPr>
                <w:rFonts w:hint="default" w:ascii="Times New Roman" w:hAnsi="Times New Roman" w:cs="Times New Roman"/>
                <w:sz w:val="24"/>
                <w:lang w:val="en-US" w:eastAsia="zh-CN"/>
              </w:rPr>
              <w:t>8</w:t>
            </w:r>
            <w:r>
              <w:rPr>
                <w:rFonts w:hint="default" w:ascii="Times New Roman" w:hAnsi="Times New Roman" w:cs="Times New Roman"/>
                <w:sz w:val="24"/>
                <w:lang w:val="en-US"/>
              </w:rPr>
              <w:t>分</w:t>
            </w:r>
            <w:r>
              <w:rPr>
                <w:rFonts w:hint="default" w:ascii="Times New Roman" w:hAnsi="Times New Roman" w:cs="Times New Roman"/>
                <w:color w:val="000000"/>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trPr>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806"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704" w:type="dxa"/>
            <w:noWrap w:val="0"/>
            <w:vAlign w:val="center"/>
          </w:tcPr>
          <w:p>
            <w:pPr>
              <w:spacing w:line="380" w:lineRule="atLeast"/>
              <w:ind w:left="-170" w:leftChars="-50" w:right="-170" w:rightChar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履约信誉</w:t>
            </w:r>
          </w:p>
        </w:tc>
        <w:tc>
          <w:tcPr>
            <w:tcW w:w="1084" w:type="dxa"/>
            <w:noWrap w:val="0"/>
            <w:vAlign w:val="center"/>
          </w:tcPr>
          <w:p>
            <w:pPr>
              <w:pStyle w:val="10"/>
              <w:ind w:right="210"/>
              <w:jc w:val="center"/>
              <w:rPr>
                <w:rFonts w:hint="default" w:ascii="Times New Roman" w:hAnsi="Times New Roman" w:cs="Times New Roman"/>
                <w:color w:val="auto"/>
                <w:sz w:val="24"/>
                <w:szCs w:val="24"/>
                <w:highlight w:val="none"/>
              </w:rPr>
            </w:pPr>
          </w:p>
          <w:p>
            <w:pPr>
              <w:pStyle w:val="10"/>
              <w:ind w:right="21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10分</w:t>
            </w:r>
          </w:p>
          <w:p>
            <w:pPr>
              <w:spacing w:line="380" w:lineRule="atLeast"/>
              <w:ind w:right="105"/>
              <w:jc w:val="center"/>
              <w:rPr>
                <w:rFonts w:hint="default" w:ascii="Times New Roman" w:hAnsi="Times New Roman" w:cs="Times New Roman"/>
                <w:color w:val="auto"/>
                <w:sz w:val="24"/>
                <w:szCs w:val="24"/>
                <w:highlight w:val="none"/>
              </w:rPr>
            </w:pPr>
          </w:p>
        </w:tc>
        <w:tc>
          <w:tcPr>
            <w:tcW w:w="912" w:type="dxa"/>
            <w:noWrap w:val="0"/>
            <w:vAlign w:val="center"/>
          </w:tcPr>
          <w:p>
            <w:pPr>
              <w:pStyle w:val="1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履约信誉</w:t>
            </w:r>
          </w:p>
        </w:tc>
        <w:tc>
          <w:tcPr>
            <w:tcW w:w="600" w:type="dxa"/>
            <w:noWrap w:val="0"/>
            <w:vAlign w:val="center"/>
          </w:tcPr>
          <w:p>
            <w:pPr>
              <w:pStyle w:val="10"/>
              <w:ind w:right="-108"/>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10分</w:t>
            </w:r>
          </w:p>
        </w:tc>
        <w:tc>
          <w:tcPr>
            <w:tcW w:w="4453" w:type="dxa"/>
            <w:gridSpan w:val="2"/>
            <w:noWrap w:val="0"/>
            <w:vAlign w:val="top"/>
          </w:tcPr>
          <w:p>
            <w:pPr>
              <w:pStyle w:val="10"/>
              <w:jc w:val="both"/>
              <w:rPr>
                <w:rFonts w:hint="default" w:ascii="Times New Roman" w:hAnsi="Times New Roman" w:cs="Times New Roman"/>
              </w:rPr>
            </w:pPr>
            <w:r>
              <w:rPr>
                <w:rFonts w:hint="default" w:ascii="Times New Roman" w:hAnsi="Times New Roman" w:cs="Times New Roman"/>
              </w:rPr>
              <w:t xml:space="preserve">1. 信用等级分值（5分） </w:t>
            </w:r>
          </w:p>
          <w:p>
            <w:pPr>
              <w:pStyle w:val="10"/>
              <w:jc w:val="both"/>
              <w:rPr>
                <w:rFonts w:hint="default" w:ascii="Times New Roman" w:hAnsi="Times New Roman" w:cs="Times New Roman"/>
              </w:rPr>
            </w:pPr>
            <w:r>
              <w:rPr>
                <w:rFonts w:hint="default" w:ascii="Times New Roman" w:hAnsi="Times New Roman" w:cs="Times New Roman"/>
              </w:rPr>
              <w:t xml:space="preserve">AA、A、B、C级单位的信用等级分得分分别为5.00、4.75、4.45、3.65分。 </w:t>
            </w:r>
          </w:p>
          <w:p>
            <w:pPr>
              <w:pStyle w:val="10"/>
              <w:jc w:val="both"/>
              <w:rPr>
                <w:rFonts w:hint="default" w:ascii="Times New Roman" w:hAnsi="Times New Roman" w:cs="Times New Roman"/>
              </w:rPr>
            </w:pPr>
            <w:r>
              <w:rPr>
                <w:rFonts w:hint="default" w:ascii="Times New Roman" w:hAnsi="Times New Roman" w:cs="Times New Roman"/>
              </w:rPr>
              <w:t xml:space="preserve">注：信用等级的确定原则遵循投标人须知前附表10.2款的规定。 </w:t>
            </w:r>
          </w:p>
          <w:p>
            <w:pPr>
              <w:pStyle w:val="10"/>
              <w:jc w:val="both"/>
              <w:rPr>
                <w:rFonts w:hint="default" w:ascii="Times New Roman" w:hAnsi="Times New Roman" w:cs="Times New Roman"/>
              </w:rPr>
            </w:pPr>
            <w:r>
              <w:rPr>
                <w:rFonts w:hint="default" w:ascii="Times New Roman" w:hAnsi="Times New Roman" w:cs="Times New Roman"/>
              </w:rPr>
              <w:t>2. 履约情况（</w:t>
            </w:r>
            <w:r>
              <w:rPr>
                <w:rFonts w:hint="default" w:ascii="Times New Roman" w:hAnsi="Times New Roman" w:cs="Times New Roman"/>
                <w:lang w:val="en-US" w:eastAsia="zh-CN"/>
              </w:rPr>
              <w:t>5</w:t>
            </w:r>
            <w:r>
              <w:rPr>
                <w:rFonts w:hint="default" w:ascii="Times New Roman" w:hAnsi="Times New Roman" w:cs="Times New Roman"/>
              </w:rPr>
              <w:t xml:space="preserve">分） </w:t>
            </w:r>
          </w:p>
          <w:p>
            <w:pPr>
              <w:pStyle w:val="10"/>
              <w:jc w:val="both"/>
              <w:rPr>
                <w:rFonts w:hint="default" w:ascii="Times New Roman" w:hAnsi="Times New Roman" w:cs="Times New Roman"/>
              </w:rPr>
            </w:pPr>
            <w:r>
              <w:rPr>
                <w:rFonts w:hint="default" w:ascii="Times New Roman" w:hAnsi="Times New Roman" w:cs="Times New Roman"/>
              </w:rPr>
              <w:t xml:space="preserve">若没出现下述情形得满分； </w:t>
            </w:r>
          </w:p>
          <w:p>
            <w:pPr>
              <w:pStyle w:val="10"/>
              <w:jc w:val="both"/>
              <w:rPr>
                <w:rFonts w:hint="default" w:ascii="Times New Roman" w:hAnsi="Times New Roman" w:cs="Times New Roman"/>
              </w:rPr>
            </w:pPr>
            <w:r>
              <w:rPr>
                <w:rFonts w:hint="default" w:ascii="Times New Roman" w:hAnsi="Times New Roman" w:cs="Times New Roman"/>
              </w:rPr>
              <w:t>投标文件递交截止日前1年内，</w:t>
            </w:r>
            <w:r>
              <w:rPr>
                <w:rFonts w:hint="default" w:ascii="Times New Roman" w:hAnsi="Times New Roman" w:cs="Times New Roman"/>
                <w:lang w:val="en-US" w:eastAsia="zh-CN"/>
              </w:rPr>
              <w:t>投标人</w:t>
            </w:r>
            <w:r>
              <w:rPr>
                <w:rFonts w:hint="default" w:ascii="Times New Roman" w:hAnsi="Times New Roman" w:cs="Times New Roman"/>
              </w:rPr>
              <w:t xml:space="preserve">因公路工程（含附属设施）质量、安全、履约或招标投标问题等原因被： </w:t>
            </w:r>
          </w:p>
          <w:p>
            <w:pPr>
              <w:pStyle w:val="10"/>
              <w:jc w:val="both"/>
              <w:rPr>
                <w:rFonts w:hint="default" w:ascii="Times New Roman" w:hAnsi="Times New Roman" w:cs="Times New Roman"/>
              </w:rPr>
            </w:pPr>
            <w:r>
              <w:rPr>
                <w:rFonts w:hint="default" w:ascii="Times New Roman" w:hAnsi="Times New Roman" w:cs="Times New Roman"/>
              </w:rPr>
              <w:t>（1）交通运输部行政处罚的，扣5分/次</w:t>
            </w:r>
            <w:r>
              <w:rPr>
                <w:rFonts w:hint="default" w:ascii="Times New Roman" w:hAnsi="Times New Roman" w:cs="Times New Roman"/>
                <w:lang w:eastAsia="zh-CN"/>
              </w:rPr>
              <w:t>。</w:t>
            </w:r>
            <w:r>
              <w:rPr>
                <w:rFonts w:hint="default" w:ascii="Times New Roman" w:hAnsi="Times New Roman" w:cs="Times New Roman"/>
              </w:rPr>
              <w:t xml:space="preserve"> </w:t>
            </w:r>
          </w:p>
          <w:p>
            <w:pPr>
              <w:pStyle w:val="10"/>
              <w:jc w:val="both"/>
              <w:rPr>
                <w:rFonts w:hint="default" w:ascii="Times New Roman" w:hAnsi="Times New Roman" w:cs="Times New Roman"/>
              </w:rPr>
            </w:pPr>
            <w:r>
              <w:rPr>
                <w:rFonts w:hint="default" w:ascii="Times New Roman" w:hAnsi="Times New Roman" w:cs="Times New Roman"/>
              </w:rPr>
              <w:t>（2）广东省交通运输厅行政处罚的，扣</w:t>
            </w:r>
            <w:r>
              <w:rPr>
                <w:rFonts w:hint="default" w:ascii="Times New Roman" w:hAnsi="Times New Roman" w:cs="Times New Roman"/>
                <w:lang w:val="en-US" w:eastAsia="zh-CN"/>
              </w:rPr>
              <w:t>3</w:t>
            </w:r>
            <w:r>
              <w:rPr>
                <w:rFonts w:hint="default" w:ascii="Times New Roman" w:hAnsi="Times New Roman" w:cs="Times New Roman"/>
              </w:rPr>
              <w:t>分/次</w:t>
            </w:r>
            <w:r>
              <w:rPr>
                <w:rFonts w:hint="default" w:ascii="Times New Roman" w:hAnsi="Times New Roman" w:cs="Times New Roman"/>
                <w:lang w:eastAsia="zh-CN"/>
              </w:rPr>
              <w:t>。</w:t>
            </w:r>
            <w:r>
              <w:rPr>
                <w:rFonts w:hint="default" w:ascii="Times New Roman" w:hAnsi="Times New Roman" w:cs="Times New Roman"/>
              </w:rPr>
              <w:t xml:space="preserve"> </w:t>
            </w:r>
          </w:p>
          <w:p>
            <w:pPr>
              <w:pStyle w:val="10"/>
              <w:jc w:val="both"/>
              <w:rPr>
                <w:rFonts w:hint="default" w:ascii="Times New Roman" w:hAnsi="Times New Roman" w:cs="Times New Roman"/>
              </w:rPr>
            </w:pPr>
            <w:r>
              <w:rPr>
                <w:rFonts w:hint="default" w:ascii="Times New Roman" w:hAnsi="Times New Roman" w:cs="Times New Roman"/>
              </w:rPr>
              <w:t>（3）茂名市交通运输局行政处罚的</w:t>
            </w:r>
            <w:r>
              <w:rPr>
                <w:rFonts w:hint="default" w:ascii="Times New Roman" w:hAnsi="Times New Roman" w:cs="Times New Roman"/>
                <w:lang w:eastAsia="zh-CN"/>
              </w:rPr>
              <w:t>，</w:t>
            </w:r>
            <w:r>
              <w:rPr>
                <w:rFonts w:hint="default" w:ascii="Times New Roman" w:hAnsi="Times New Roman" w:cs="Times New Roman"/>
              </w:rPr>
              <w:t>扣1</w:t>
            </w:r>
            <w:r>
              <w:rPr>
                <w:rFonts w:hint="default" w:ascii="Times New Roman" w:hAnsi="Times New Roman" w:cs="Times New Roman"/>
                <w:lang w:val="en-US" w:eastAsia="zh-CN"/>
              </w:rPr>
              <w:t>.5</w:t>
            </w:r>
            <w:r>
              <w:rPr>
                <w:rFonts w:hint="default" w:ascii="Times New Roman" w:hAnsi="Times New Roman" w:cs="Times New Roman"/>
              </w:rPr>
              <w:t xml:space="preserve">分/次。 </w:t>
            </w:r>
          </w:p>
          <w:p>
            <w:pPr>
              <w:pStyle w:val="10"/>
              <w:jc w:val="both"/>
              <w:rPr>
                <w:rFonts w:hint="default" w:ascii="Times New Roman" w:hAnsi="Times New Roman" w:eastAsia="宋体"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4</w:t>
            </w:r>
            <w:r>
              <w:rPr>
                <w:rFonts w:hint="default" w:ascii="Times New Roman" w:hAnsi="Times New Roman" w:cs="Times New Roman"/>
                <w:lang w:eastAsia="zh-CN"/>
              </w:rPr>
              <w:t>）广东省交通运输厅正式约谈的，扣0.1分/次。</w:t>
            </w:r>
          </w:p>
          <w:p>
            <w:pPr>
              <w:pStyle w:val="10"/>
              <w:jc w:val="both"/>
              <w:rPr>
                <w:rFonts w:hint="default" w:ascii="Times New Roman" w:hAnsi="Times New Roman" w:cs="Times New Roman"/>
              </w:rPr>
            </w:pPr>
            <w:r>
              <w:rPr>
                <w:rFonts w:hint="default" w:ascii="Times New Roman" w:hAnsi="Times New Roman" w:cs="Times New Roman"/>
                <w:szCs w:val="21"/>
                <w:lang w:val="en-US" w:eastAsia="zh-CN"/>
              </w:rPr>
              <w:t>注：</w:t>
            </w:r>
            <w:r>
              <w:rPr>
                <w:rFonts w:hint="default" w:ascii="Times New Roman" w:hAnsi="Times New Roman" w:cs="Times New Roman"/>
                <w:szCs w:val="21"/>
              </w:rPr>
              <w:t>同一事项同时被多个部门行政处罚或正式约谈只按最高的扣分计算1次</w:t>
            </w:r>
            <w:r>
              <w:rPr>
                <w:rStyle w:val="9"/>
                <w:rFonts w:hint="default" w:ascii="Times New Roman" w:hAnsi="Times New Roman" w:cs="Times New Roman"/>
                <w:szCs w:val="21"/>
              </w:rPr>
              <w:footnoteReference w:id="2"/>
            </w:r>
            <w:r>
              <w:rPr>
                <w:rFonts w:hint="default" w:ascii="Times New Roman" w:hAnsi="Times New Roman" w:cs="Times New Roman"/>
                <w:szCs w:val="21"/>
              </w:rPr>
              <w:t>。如果扣完本项分值，可以从总分中扣</w:t>
            </w:r>
            <w:r>
              <w:rPr>
                <w:rFonts w:hint="default" w:ascii="Times New Roman" w:hAnsi="Times New Roman" w:cs="Times New Roman"/>
              </w:rPr>
              <w:t xml:space="preserve">。 </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trPr>
        <w:tc>
          <w:tcPr>
            <w:tcW w:w="9488" w:type="dxa"/>
            <w:gridSpan w:val="8"/>
            <w:noWrap w:val="0"/>
            <w:vAlign w:val="top"/>
          </w:tcPr>
          <w:p>
            <w:pPr>
              <w:spacing w:line="380" w:lineRule="atLeast"/>
              <w:rPr>
                <w:color w:val="auto"/>
                <w:sz w:val="24"/>
                <w:szCs w:val="24"/>
                <w:highlight w:val="none"/>
              </w:rPr>
            </w:pPr>
            <w:r>
              <w:rPr>
                <w:color w:val="auto"/>
                <w:sz w:val="24"/>
                <w:szCs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929" w:type="dxa"/>
            <w:noWrap w:val="0"/>
            <w:vAlign w:val="center"/>
          </w:tcPr>
          <w:p>
            <w:pPr>
              <w:pStyle w:val="10"/>
              <w:jc w:val="center"/>
              <w:rPr>
                <w:rFonts w:ascii="Times New Roman" w:cs="Times New Roman"/>
                <w:color w:val="auto"/>
                <w:sz w:val="24"/>
                <w:szCs w:val="24"/>
                <w:highlight w:val="none"/>
              </w:rPr>
            </w:pPr>
            <w:r>
              <w:rPr>
                <w:rFonts w:ascii="Times New Roman" w:cs="Times New Roman"/>
                <w:color w:val="auto"/>
                <w:sz w:val="24"/>
                <w:szCs w:val="24"/>
                <w:highlight w:val="none"/>
              </w:rPr>
              <w:t>条款号</w:t>
            </w:r>
          </w:p>
        </w:tc>
        <w:tc>
          <w:tcPr>
            <w:tcW w:w="8559" w:type="dxa"/>
            <w:gridSpan w:val="7"/>
            <w:noWrap w:val="0"/>
            <w:vAlign w:val="center"/>
          </w:tcPr>
          <w:p>
            <w:pPr>
              <w:pStyle w:val="10"/>
              <w:jc w:val="center"/>
              <w:rPr>
                <w:rFonts w:ascii="Times New Roman" w:cs="Times New Roman"/>
                <w:color w:val="auto"/>
                <w:sz w:val="24"/>
                <w:szCs w:val="24"/>
                <w:highlight w:val="none"/>
              </w:rPr>
            </w:pPr>
            <w:r>
              <w:rPr>
                <w:rFonts w:ascii="Times New Roman" w:cs="Times New Roman"/>
                <w:color w:val="auto"/>
                <w:sz w:val="24"/>
                <w:szCs w:val="24"/>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3" w:hRule="atLeast"/>
        </w:trPr>
        <w:tc>
          <w:tcPr>
            <w:tcW w:w="929" w:type="dxa"/>
            <w:noWrap w:val="0"/>
            <w:vAlign w:val="center"/>
          </w:tcPr>
          <w:p>
            <w:pPr>
              <w:spacing w:line="380" w:lineRule="atLeast"/>
              <w:jc w:val="center"/>
              <w:rPr>
                <w:color w:val="auto"/>
                <w:sz w:val="24"/>
                <w:szCs w:val="24"/>
                <w:highlight w:val="none"/>
              </w:rPr>
            </w:pPr>
          </w:p>
          <w:p>
            <w:pPr>
              <w:spacing w:line="380" w:lineRule="atLeast"/>
              <w:jc w:val="center"/>
              <w:rPr>
                <w:color w:val="auto"/>
                <w:sz w:val="24"/>
                <w:szCs w:val="24"/>
                <w:highlight w:val="none"/>
              </w:rPr>
            </w:pPr>
          </w:p>
          <w:p>
            <w:pPr>
              <w:spacing w:line="380" w:lineRule="atLeast"/>
              <w:jc w:val="center"/>
              <w:rPr>
                <w:color w:val="auto"/>
                <w:sz w:val="24"/>
                <w:szCs w:val="24"/>
                <w:highlight w:val="none"/>
              </w:rPr>
            </w:pPr>
            <w:r>
              <w:rPr>
                <w:color w:val="auto"/>
                <w:sz w:val="24"/>
                <w:szCs w:val="24"/>
                <w:highlight w:val="none"/>
              </w:rPr>
              <w:t>1</w:t>
            </w:r>
          </w:p>
        </w:tc>
        <w:tc>
          <w:tcPr>
            <w:tcW w:w="8559" w:type="dxa"/>
            <w:gridSpan w:val="7"/>
            <w:noWrap w:val="0"/>
            <w:vAlign w:val="top"/>
          </w:tcPr>
          <w:p>
            <w:pPr>
              <w:spacing w:line="380" w:lineRule="atLeast"/>
              <w:rPr>
                <w:color w:val="auto"/>
                <w:sz w:val="24"/>
                <w:szCs w:val="24"/>
                <w:highlight w:val="none"/>
              </w:rPr>
            </w:pPr>
            <w:r>
              <w:rPr>
                <w:color w:val="auto"/>
                <w:sz w:val="24"/>
                <w:szCs w:val="24"/>
                <w:highlight w:val="none"/>
              </w:rPr>
              <w:t>1.1评标方法</w:t>
            </w:r>
          </w:p>
          <w:p>
            <w:pPr>
              <w:spacing w:line="380" w:lineRule="atLeast"/>
              <w:rPr>
                <w:color w:val="auto"/>
                <w:sz w:val="24"/>
                <w:szCs w:val="24"/>
                <w:highlight w:val="none"/>
              </w:rPr>
            </w:pPr>
            <w:r>
              <w:rPr>
                <w:color w:val="auto"/>
                <w:sz w:val="24"/>
                <w:szCs w:val="24"/>
                <w:highlight w:val="none"/>
              </w:rPr>
              <w:t>本次评标采用双信封的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pPr>
              <w:spacing w:line="380" w:lineRule="atLeast"/>
              <w:rPr>
                <w:color w:val="auto"/>
                <w:sz w:val="24"/>
                <w:szCs w:val="24"/>
                <w:highlight w:val="none"/>
              </w:rPr>
            </w:pPr>
            <w:r>
              <w:rPr>
                <w:color w:val="auto"/>
                <w:sz w:val="24"/>
                <w:szCs w:val="24"/>
                <w:highlight w:val="none"/>
              </w:rPr>
              <w:t>1.2评标组织</w:t>
            </w:r>
          </w:p>
          <w:p>
            <w:pPr>
              <w:spacing w:line="380" w:lineRule="atLeast"/>
              <w:rPr>
                <w:color w:val="auto"/>
                <w:sz w:val="24"/>
                <w:szCs w:val="24"/>
                <w:highlight w:val="none"/>
              </w:rPr>
            </w:pPr>
            <w:r>
              <w:rPr>
                <w:color w:val="auto"/>
                <w:sz w:val="24"/>
                <w:szCs w:val="24"/>
                <w:highlight w:val="none"/>
              </w:rPr>
              <w:t>1.2.1协助工作组</w:t>
            </w:r>
          </w:p>
          <w:p>
            <w:pPr>
              <w:spacing w:line="380" w:lineRule="atLeast"/>
              <w:rPr>
                <w:color w:val="auto"/>
                <w:sz w:val="24"/>
                <w:szCs w:val="24"/>
                <w:highlight w:val="none"/>
              </w:rPr>
            </w:pPr>
            <w:r>
              <w:rPr>
                <w:color w:val="auto"/>
                <w:sz w:val="24"/>
                <w:szCs w:val="24"/>
                <w:highlight w:val="none"/>
              </w:rPr>
              <w:t>招标人可在评标工作开始前成立协助工作组，选派熟悉招标工作、政治素质高的人员组成，协助评标委员会工作。协助工作组人员的具体数量由招标人视评标工作量确定。</w:t>
            </w:r>
          </w:p>
          <w:p>
            <w:pPr>
              <w:spacing w:line="380" w:lineRule="atLeast"/>
              <w:ind w:firstLine="480" w:firstLineChars="200"/>
              <w:rPr>
                <w:color w:val="auto"/>
                <w:sz w:val="24"/>
                <w:szCs w:val="24"/>
                <w:highlight w:val="none"/>
              </w:rPr>
            </w:pPr>
            <w:r>
              <w:rPr>
                <w:color w:val="auto"/>
                <w:sz w:val="24"/>
                <w:szCs w:val="24"/>
                <w:highlight w:val="none"/>
              </w:rPr>
              <w:t>招标人可以协助评标委员会开展下列工作并提供相关信息：</w:t>
            </w:r>
          </w:p>
          <w:p>
            <w:pPr>
              <w:spacing w:line="380" w:lineRule="atLeast"/>
              <w:ind w:firstLine="480" w:firstLineChars="200"/>
              <w:rPr>
                <w:color w:val="auto"/>
                <w:sz w:val="24"/>
                <w:szCs w:val="24"/>
                <w:highlight w:val="none"/>
              </w:rPr>
            </w:pPr>
            <w:r>
              <w:rPr>
                <w:color w:val="auto"/>
                <w:sz w:val="24"/>
                <w:szCs w:val="24"/>
                <w:highlight w:val="none"/>
              </w:rPr>
              <w:t>（1）根据招标文件，编制评标使用的相应表格；</w:t>
            </w:r>
          </w:p>
          <w:p>
            <w:pPr>
              <w:spacing w:line="380" w:lineRule="atLeast"/>
              <w:ind w:firstLine="480" w:firstLineChars="200"/>
              <w:rPr>
                <w:color w:val="auto"/>
                <w:sz w:val="24"/>
                <w:szCs w:val="24"/>
                <w:highlight w:val="none"/>
              </w:rPr>
            </w:pPr>
            <w:r>
              <w:rPr>
                <w:color w:val="auto"/>
                <w:sz w:val="24"/>
                <w:szCs w:val="24"/>
                <w:highlight w:val="none"/>
              </w:rPr>
              <w:t>（2）对投标报价进行算术性校核；</w:t>
            </w:r>
          </w:p>
          <w:p>
            <w:pPr>
              <w:spacing w:line="380" w:lineRule="atLeast"/>
              <w:ind w:firstLine="480" w:firstLineChars="200"/>
              <w:rPr>
                <w:color w:val="auto"/>
                <w:sz w:val="24"/>
                <w:szCs w:val="24"/>
                <w:highlight w:val="none"/>
              </w:rPr>
            </w:pPr>
            <w:r>
              <w:rPr>
                <w:color w:val="auto"/>
                <w:sz w:val="24"/>
                <w:szCs w:val="24"/>
                <w:highlight w:val="none"/>
              </w:rPr>
              <w:t>（3）以评标标准和方法为依据，列出投标文件相对于招标文件的所有偏差，并进行归类汇总。</w:t>
            </w:r>
          </w:p>
          <w:p>
            <w:pPr>
              <w:spacing w:line="380" w:lineRule="atLeast"/>
              <w:ind w:firstLine="480" w:firstLineChars="200"/>
              <w:rPr>
                <w:color w:val="auto"/>
                <w:sz w:val="24"/>
                <w:szCs w:val="24"/>
                <w:highlight w:val="none"/>
              </w:rPr>
            </w:pPr>
            <w:r>
              <w:rPr>
                <w:rFonts w:hint="eastAsia"/>
                <w:color w:val="auto"/>
                <w:sz w:val="24"/>
                <w:szCs w:val="24"/>
                <w:highlight w:val="none"/>
              </w:rPr>
              <w:t>（4）查询公路建设市场信用信息管理系统，对投标人的资质、业绩、主要人员资历和目前在岗情况、信用等级进行核实（如有）。</w:t>
            </w:r>
          </w:p>
          <w:p>
            <w:pPr>
              <w:spacing w:line="380" w:lineRule="atLeast"/>
              <w:ind w:firstLine="720" w:firstLineChars="300"/>
              <w:rPr>
                <w:color w:val="auto"/>
                <w:sz w:val="24"/>
                <w:szCs w:val="24"/>
                <w:highlight w:val="none"/>
              </w:rPr>
            </w:pPr>
            <w:r>
              <w:rPr>
                <w:color w:val="auto"/>
                <w:sz w:val="24"/>
                <w:szCs w:val="24"/>
                <w:highlight w:val="none"/>
              </w:rPr>
              <w:t>招标人不得对投标文件作出任何评价，不得故意遗漏或者片面摘录，不得在评标委员会对所有偏差定性之前透露存有偏差的投标人名称。</w:t>
            </w:r>
          </w:p>
          <w:p>
            <w:pPr>
              <w:spacing w:line="380" w:lineRule="atLeast"/>
              <w:rPr>
                <w:color w:val="auto"/>
                <w:sz w:val="24"/>
                <w:szCs w:val="24"/>
                <w:highlight w:val="none"/>
              </w:rPr>
            </w:pPr>
            <w:r>
              <w:rPr>
                <w:color w:val="auto"/>
                <w:sz w:val="24"/>
                <w:szCs w:val="24"/>
                <w:highlight w:val="none"/>
              </w:rPr>
              <w:t>1.2.2评标委员会</w:t>
            </w:r>
          </w:p>
          <w:p>
            <w:pPr>
              <w:spacing w:line="380" w:lineRule="atLeast"/>
              <w:ind w:firstLine="480" w:firstLineChars="200"/>
              <w:rPr>
                <w:color w:val="auto"/>
                <w:sz w:val="24"/>
                <w:szCs w:val="24"/>
                <w:highlight w:val="none"/>
              </w:rPr>
            </w:pPr>
            <w:r>
              <w:rPr>
                <w:color w:val="auto"/>
                <w:sz w:val="24"/>
                <w:szCs w:val="24"/>
                <w:highlight w:val="none"/>
              </w:rPr>
              <w:t>评标委员会由招标人按国家、广东省等的有关规定依法组建。评标委员人数参见本招标文件“投标人须知前附表第6.1.1</w:t>
            </w:r>
            <w:r>
              <w:rPr>
                <w:rFonts w:hint="eastAsia"/>
                <w:color w:val="auto"/>
                <w:sz w:val="24"/>
                <w:szCs w:val="24"/>
                <w:highlight w:val="none"/>
                <w:lang w:val="en-US" w:eastAsia="zh-CN"/>
              </w:rPr>
              <w:t>款</w:t>
            </w:r>
            <w:r>
              <w:rPr>
                <w:color w:val="auto"/>
                <w:sz w:val="24"/>
                <w:szCs w:val="24"/>
                <w:highlight w:val="none"/>
              </w:rPr>
              <w:t>。评标委员会的主要工作内容包括：</w:t>
            </w:r>
          </w:p>
          <w:p>
            <w:pPr>
              <w:spacing w:line="380" w:lineRule="atLeast"/>
              <w:ind w:firstLine="480" w:firstLineChars="200"/>
              <w:rPr>
                <w:color w:val="auto"/>
                <w:sz w:val="24"/>
                <w:szCs w:val="24"/>
                <w:highlight w:val="none"/>
              </w:rPr>
            </w:pPr>
            <w:r>
              <w:rPr>
                <w:color w:val="auto"/>
                <w:sz w:val="24"/>
                <w:szCs w:val="24"/>
                <w:highlight w:val="none"/>
              </w:rPr>
              <w:t>（1）评标委员会开始评标工作之前，首先听取招标人、协助工作组关于工程情况和辅助工作的说明，并认真研读招标文件，获取评标所需的重要信息和数据；</w:t>
            </w:r>
          </w:p>
          <w:p>
            <w:pPr>
              <w:spacing w:line="380" w:lineRule="atLeast"/>
              <w:ind w:firstLine="480" w:firstLineChars="200"/>
              <w:rPr>
                <w:color w:val="auto"/>
                <w:sz w:val="24"/>
                <w:szCs w:val="24"/>
                <w:highlight w:val="none"/>
              </w:rPr>
            </w:pPr>
            <w:r>
              <w:rPr>
                <w:color w:val="auto"/>
                <w:sz w:val="24"/>
                <w:szCs w:val="24"/>
                <w:highlight w:val="none"/>
              </w:rPr>
              <w:t>（2）对协助工作组提供的评标工作用表和评标内容进行核查。</w:t>
            </w:r>
          </w:p>
          <w:p>
            <w:pPr>
              <w:spacing w:line="380" w:lineRule="atLeast"/>
              <w:ind w:firstLine="480" w:firstLineChars="200"/>
              <w:rPr>
                <w:color w:val="auto"/>
                <w:sz w:val="24"/>
                <w:szCs w:val="24"/>
                <w:highlight w:val="none"/>
              </w:rPr>
            </w:pPr>
            <w:r>
              <w:rPr>
                <w:color w:val="auto"/>
                <w:sz w:val="24"/>
                <w:szCs w:val="24"/>
                <w:highlight w:val="none"/>
              </w:rPr>
              <w:t>（3）按照以下1.3款程序进行各项评审工作。</w:t>
            </w:r>
          </w:p>
          <w:p>
            <w:pPr>
              <w:spacing w:line="380" w:lineRule="atLeast"/>
              <w:ind w:firstLine="480" w:firstLineChars="200"/>
              <w:rPr>
                <w:color w:val="auto"/>
                <w:sz w:val="24"/>
                <w:szCs w:val="24"/>
                <w:highlight w:val="none"/>
              </w:rPr>
            </w:pPr>
            <w:r>
              <w:rPr>
                <w:color w:val="auto"/>
                <w:sz w:val="24"/>
                <w:szCs w:val="24"/>
                <w:highlight w:val="none"/>
              </w:rPr>
              <w:t>1.3评审工作程序</w:t>
            </w:r>
          </w:p>
          <w:p>
            <w:pPr>
              <w:spacing w:line="380" w:lineRule="atLeast"/>
              <w:ind w:firstLine="240" w:firstLineChars="100"/>
              <w:rPr>
                <w:color w:val="auto"/>
                <w:sz w:val="24"/>
                <w:szCs w:val="24"/>
                <w:highlight w:val="none"/>
              </w:rPr>
            </w:pPr>
            <w:r>
              <w:rPr>
                <w:color w:val="auto"/>
                <w:sz w:val="24"/>
                <w:szCs w:val="24"/>
                <w:highlight w:val="none"/>
              </w:rPr>
              <w:t>（一）第一信封（商务及技术文件）：</w:t>
            </w:r>
          </w:p>
          <w:p>
            <w:pPr>
              <w:spacing w:line="380" w:lineRule="atLeast"/>
              <w:rPr>
                <w:color w:val="auto"/>
                <w:sz w:val="24"/>
                <w:szCs w:val="24"/>
                <w:highlight w:val="none"/>
              </w:rPr>
            </w:pPr>
            <w:r>
              <w:rPr>
                <w:color w:val="auto"/>
                <w:sz w:val="24"/>
                <w:szCs w:val="24"/>
                <w:highlight w:val="none"/>
              </w:rPr>
              <w:t xml:space="preserve"> </w:t>
            </w:r>
            <w:r>
              <w:rPr>
                <w:rFonts w:hint="eastAsia"/>
                <w:color w:val="auto"/>
                <w:sz w:val="24"/>
                <w:szCs w:val="24"/>
                <w:highlight w:val="none"/>
                <w:lang w:val="en-US" w:eastAsia="zh-CN"/>
              </w:rPr>
              <w:t xml:space="preserve">  </w:t>
            </w:r>
            <w:r>
              <w:rPr>
                <w:color w:val="auto"/>
                <w:sz w:val="24"/>
                <w:szCs w:val="24"/>
                <w:highlight w:val="none"/>
              </w:rPr>
              <w:t>l、初步评审：包括形式评审与响应性评审、资格评审；</w:t>
            </w:r>
          </w:p>
          <w:p>
            <w:pPr>
              <w:spacing w:line="380" w:lineRule="atLeast"/>
              <w:rPr>
                <w:color w:val="auto"/>
                <w:sz w:val="24"/>
                <w:szCs w:val="24"/>
                <w:highlight w:val="none"/>
              </w:rPr>
            </w:pPr>
            <w:r>
              <w:rPr>
                <w:color w:val="auto"/>
                <w:sz w:val="24"/>
                <w:szCs w:val="24"/>
                <w:highlight w:val="none"/>
              </w:rPr>
              <w:t xml:space="preserve"> </w:t>
            </w:r>
            <w:r>
              <w:rPr>
                <w:rFonts w:hint="eastAsia"/>
                <w:color w:val="auto"/>
                <w:sz w:val="24"/>
                <w:szCs w:val="24"/>
                <w:highlight w:val="none"/>
                <w:lang w:val="en-US" w:eastAsia="zh-CN"/>
              </w:rPr>
              <w:t xml:space="preserve">  </w:t>
            </w:r>
            <w:r>
              <w:rPr>
                <w:color w:val="auto"/>
                <w:sz w:val="24"/>
                <w:szCs w:val="24"/>
                <w:highlight w:val="none"/>
              </w:rPr>
              <w:t>2、详细评审（评审打分）：评标委员会首先对通过初步评审的投标文件第一个信封（商务及技术文件）进行详细评审，对投标人的监理实施方案、主要人员、其他因素等分别评审打分。</w:t>
            </w:r>
          </w:p>
          <w:p>
            <w:pPr>
              <w:spacing w:line="380" w:lineRule="atLeast"/>
              <w:ind w:firstLine="240" w:firstLineChars="100"/>
              <w:rPr>
                <w:color w:val="auto"/>
                <w:sz w:val="24"/>
                <w:szCs w:val="24"/>
                <w:highlight w:val="none"/>
              </w:rPr>
            </w:pPr>
            <w:r>
              <w:rPr>
                <w:color w:val="auto"/>
                <w:sz w:val="24"/>
                <w:szCs w:val="24"/>
                <w:highlight w:val="none"/>
              </w:rPr>
              <w:t>（二）第二信封（报价文件）：</w:t>
            </w:r>
          </w:p>
          <w:p>
            <w:pPr>
              <w:spacing w:line="380" w:lineRule="atLeast"/>
              <w:rPr>
                <w:color w:val="auto"/>
                <w:sz w:val="24"/>
                <w:szCs w:val="24"/>
                <w:highlight w:val="none"/>
              </w:rPr>
            </w:pPr>
            <w:r>
              <w:rPr>
                <w:color w:val="auto"/>
                <w:sz w:val="24"/>
                <w:szCs w:val="24"/>
                <w:highlight w:val="none"/>
              </w:rPr>
              <w:t xml:space="preserve"> </w:t>
            </w:r>
            <w:r>
              <w:rPr>
                <w:rFonts w:hint="eastAsia"/>
                <w:color w:val="auto"/>
                <w:sz w:val="24"/>
                <w:szCs w:val="24"/>
                <w:highlight w:val="none"/>
                <w:lang w:val="en-US" w:eastAsia="zh-CN"/>
              </w:rPr>
              <w:t xml:space="preserve"> </w:t>
            </w:r>
            <w:r>
              <w:rPr>
                <w:color w:val="auto"/>
                <w:sz w:val="24"/>
                <w:szCs w:val="24"/>
                <w:highlight w:val="none"/>
              </w:rPr>
              <w:t>1、初步评审：</w:t>
            </w:r>
          </w:p>
          <w:p>
            <w:pPr>
              <w:spacing w:line="380" w:lineRule="atLeast"/>
              <w:ind w:firstLine="240" w:firstLineChars="100"/>
              <w:rPr>
                <w:color w:val="auto"/>
                <w:sz w:val="24"/>
                <w:szCs w:val="24"/>
                <w:highlight w:val="none"/>
              </w:rPr>
            </w:pPr>
            <w:r>
              <w:rPr>
                <w:color w:val="auto"/>
                <w:sz w:val="24"/>
                <w:szCs w:val="24"/>
                <w:highlight w:val="none"/>
              </w:rPr>
              <w:t>（1）只有投标文件第一个信封通过详细评审的投标人才能继续参加第二信封报价文件的形式评审与响应性评审；</w:t>
            </w:r>
          </w:p>
          <w:p>
            <w:pPr>
              <w:spacing w:line="380" w:lineRule="atLeast"/>
              <w:ind w:firstLine="240" w:firstLineChars="100"/>
              <w:rPr>
                <w:color w:val="auto"/>
                <w:sz w:val="24"/>
                <w:szCs w:val="24"/>
                <w:highlight w:val="none"/>
              </w:rPr>
            </w:pPr>
            <w:r>
              <w:rPr>
                <w:color w:val="auto"/>
                <w:sz w:val="24"/>
                <w:szCs w:val="24"/>
                <w:highlight w:val="none"/>
              </w:rPr>
              <w:t>（2）报价算术性修正；</w:t>
            </w:r>
          </w:p>
          <w:p>
            <w:pPr>
              <w:spacing w:line="380" w:lineRule="atLeast"/>
              <w:ind w:firstLine="240" w:firstLineChars="100"/>
              <w:rPr>
                <w:color w:val="auto"/>
                <w:sz w:val="24"/>
                <w:szCs w:val="24"/>
                <w:highlight w:val="none"/>
              </w:rPr>
            </w:pPr>
            <w:r>
              <w:rPr>
                <w:color w:val="auto"/>
                <w:sz w:val="24"/>
                <w:szCs w:val="24"/>
                <w:highlight w:val="none"/>
              </w:rPr>
              <w:t>2、详细评审：计算评标基准价、评标价得分及综合得分；</w:t>
            </w:r>
          </w:p>
          <w:p>
            <w:pPr>
              <w:spacing w:line="380" w:lineRule="atLeast"/>
              <w:ind w:firstLine="240" w:firstLineChars="100"/>
              <w:rPr>
                <w:color w:val="auto"/>
                <w:sz w:val="24"/>
                <w:szCs w:val="24"/>
                <w:highlight w:val="none"/>
              </w:rPr>
            </w:pPr>
            <w:r>
              <w:rPr>
                <w:color w:val="auto"/>
                <w:sz w:val="24"/>
                <w:szCs w:val="24"/>
                <w:highlight w:val="none"/>
              </w:rPr>
              <w:t>（三）投标文件的澄清和说明（如有）</w:t>
            </w:r>
          </w:p>
          <w:p>
            <w:pPr>
              <w:spacing w:line="380" w:lineRule="atLeast"/>
              <w:ind w:firstLine="240" w:firstLineChars="100"/>
              <w:rPr>
                <w:color w:val="auto"/>
                <w:sz w:val="24"/>
                <w:szCs w:val="24"/>
                <w:highlight w:val="none"/>
              </w:rPr>
            </w:pPr>
            <w:r>
              <w:rPr>
                <w:color w:val="auto"/>
                <w:sz w:val="24"/>
                <w:szCs w:val="24"/>
                <w:highlight w:val="none"/>
              </w:rPr>
              <w:t>（四）按评标办法规定推荐中标候选人，编写评标报告。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929" w:type="dxa"/>
            <w:noWrap w:val="0"/>
            <w:vAlign w:val="center"/>
          </w:tcPr>
          <w:p>
            <w:pPr>
              <w:spacing w:line="380" w:lineRule="atLeast"/>
              <w:jc w:val="center"/>
              <w:rPr>
                <w:color w:val="auto"/>
                <w:sz w:val="24"/>
                <w:szCs w:val="24"/>
                <w:highlight w:val="none"/>
              </w:rPr>
            </w:pPr>
            <w:r>
              <w:rPr>
                <w:color w:val="auto"/>
                <w:sz w:val="24"/>
                <w:szCs w:val="24"/>
                <w:highlight w:val="none"/>
              </w:rPr>
              <w:t>3.2.2</w:t>
            </w:r>
          </w:p>
        </w:tc>
        <w:tc>
          <w:tcPr>
            <w:tcW w:w="8559" w:type="dxa"/>
            <w:gridSpan w:val="7"/>
            <w:noWrap w:val="0"/>
            <w:vAlign w:val="top"/>
          </w:tcPr>
          <w:p>
            <w:pPr>
              <w:adjustRightInd w:val="0"/>
              <w:snapToGrid w:val="0"/>
              <w:spacing w:line="400" w:lineRule="exact"/>
              <w:rPr>
                <w:color w:val="auto"/>
                <w:sz w:val="24"/>
                <w:szCs w:val="24"/>
                <w:highlight w:val="none"/>
              </w:rPr>
            </w:pPr>
            <w:r>
              <w:rPr>
                <w:color w:val="auto"/>
                <w:sz w:val="24"/>
                <w:szCs w:val="24"/>
                <w:highlight w:val="none"/>
              </w:rPr>
              <w:t>原3.2.2条款补充细化如下：</w:t>
            </w:r>
          </w:p>
          <w:p>
            <w:pPr>
              <w:adjustRightInd w:val="0"/>
              <w:snapToGrid w:val="0"/>
              <w:spacing w:line="400" w:lineRule="exact"/>
              <w:rPr>
                <w:color w:val="auto"/>
                <w:sz w:val="24"/>
                <w:szCs w:val="24"/>
                <w:highlight w:val="none"/>
              </w:rPr>
            </w:pPr>
            <w:r>
              <w:rPr>
                <w:color w:val="auto"/>
                <w:sz w:val="24"/>
                <w:szCs w:val="24"/>
                <w:highlight w:val="none"/>
              </w:rPr>
              <w:t xml:space="preserve">   评标委员会在第一个信封详细评审时，各评分因素（技术能力（如有）、履约信誉、技术建议书除外）得分一般不得低于该权重分值的60%，技术建议书得分一般不得低于该权重分值的</w:t>
            </w:r>
            <w:r>
              <w:rPr>
                <w:rFonts w:hint="eastAsia"/>
                <w:color w:val="auto"/>
                <w:sz w:val="24"/>
                <w:szCs w:val="24"/>
                <w:highlight w:val="none"/>
                <w:lang w:val="en-US" w:eastAsia="zh-CN"/>
              </w:rPr>
              <w:t>8</w:t>
            </w:r>
            <w:r>
              <w:rPr>
                <w:color w:val="auto"/>
                <w:sz w:val="24"/>
                <w:szCs w:val="24"/>
                <w:highlight w:val="none"/>
              </w:rPr>
              <w:t>0%，评标委员会成员对某一项评分因素的低于上述分值时，应当在评标报告中作出说明。</w:t>
            </w:r>
          </w:p>
          <w:p>
            <w:pPr>
              <w:adjustRightInd w:val="0"/>
              <w:snapToGrid w:val="0"/>
              <w:spacing w:line="400" w:lineRule="exact"/>
              <w:rPr>
                <w:rFonts w:hint="eastAsia"/>
                <w:color w:val="auto"/>
                <w:sz w:val="24"/>
                <w:szCs w:val="24"/>
                <w:highlight w:val="none"/>
                <w:lang w:eastAsia="zh-CN"/>
              </w:rPr>
            </w:pPr>
            <w:r>
              <w:rPr>
                <w:color w:val="auto"/>
                <w:sz w:val="24"/>
                <w:szCs w:val="24"/>
                <w:highlight w:val="none"/>
              </w:rPr>
              <w:t xml:space="preserve">   商务评分（主要人员、其他因素）得分应以评标委员会各成员的算术平均值确定</w:t>
            </w:r>
            <w:r>
              <w:rPr>
                <w:rFonts w:hint="eastAsia"/>
                <w:color w:val="auto"/>
                <w:sz w:val="24"/>
                <w:szCs w:val="24"/>
                <w:highlight w:val="none"/>
                <w:lang w:eastAsia="zh-CN"/>
              </w:rPr>
              <w:t>。</w:t>
            </w:r>
          </w:p>
          <w:p>
            <w:pPr>
              <w:adjustRightInd w:val="0"/>
              <w:snapToGrid w:val="0"/>
              <w:spacing w:line="400" w:lineRule="exact"/>
              <w:ind w:firstLine="480" w:firstLineChars="200"/>
              <w:rPr>
                <w:rFonts w:ascii="Times New Roman" w:cs="Times New Roman"/>
                <w:color w:val="auto"/>
                <w:kern w:val="2"/>
                <w:sz w:val="24"/>
                <w:szCs w:val="24"/>
                <w:highlight w:val="none"/>
              </w:rPr>
            </w:pPr>
            <w:r>
              <w:rPr>
                <w:rFonts w:ascii="Times New Roman" w:cs="Times New Roman"/>
                <w:color w:val="auto"/>
                <w:kern w:val="2"/>
                <w:sz w:val="24"/>
                <w:szCs w:val="24"/>
                <w:highlight w:val="none"/>
              </w:rPr>
              <w:t>计算投标人技术得分时</w:t>
            </w:r>
            <w:r>
              <w:rPr>
                <w:rFonts w:hint="eastAsia" w:ascii="Times New Roman" w:eastAsia="宋体" w:cs="Times New Roman"/>
                <w:color w:val="auto"/>
                <w:kern w:val="2"/>
                <w:sz w:val="24"/>
                <w:szCs w:val="24"/>
                <w:highlight w:val="none"/>
                <w:lang w:eastAsia="zh-CN"/>
              </w:rPr>
              <w:t>：</w:t>
            </w:r>
            <w:r>
              <w:rPr>
                <w:rFonts w:hint="eastAsia" w:ascii="Times New Roman" w:cs="Times New Roman"/>
                <w:color w:val="auto"/>
                <w:kern w:val="2"/>
                <w:sz w:val="24"/>
                <w:szCs w:val="24"/>
                <w:highlight w:val="none"/>
              </w:rPr>
              <w:t>各评分因素细分项中取消一个最高、一个最低分后计算算术平均值的和为投标人的最终技术得分，平均值计算保留小数点后三位，小数点后第四位“四舍五入”。</w:t>
            </w:r>
            <w:r>
              <w:rPr>
                <w:rFonts w:ascii="Times New Roman" w:cs="Times New Roman"/>
                <w:color w:val="auto"/>
                <w:kern w:val="2"/>
                <w:sz w:val="24"/>
                <w:szCs w:val="24"/>
                <w:highlight w:val="none"/>
              </w:rPr>
              <w:t xml:space="preserve"> </w:t>
            </w:r>
          </w:p>
          <w:p>
            <w:pPr>
              <w:adjustRightInd w:val="0"/>
              <w:snapToGrid w:val="0"/>
              <w:spacing w:line="400" w:lineRule="exact"/>
              <w:ind w:firstLine="480" w:firstLineChars="200"/>
              <w:rPr>
                <w:rFonts w:ascii="Times New Roman" w:cs="Times New Roman"/>
                <w:color w:val="auto"/>
                <w:kern w:val="2"/>
                <w:sz w:val="24"/>
                <w:szCs w:val="24"/>
                <w:highlight w:val="none"/>
              </w:rPr>
            </w:pPr>
            <w:r>
              <w:rPr>
                <w:rFonts w:hint="eastAsia" w:ascii="Times New Roman" w:cs="Times New Roman"/>
                <w:color w:val="auto"/>
                <w:kern w:val="2"/>
                <w:sz w:val="24"/>
                <w:szCs w:val="24"/>
                <w:highlight w:val="none"/>
              </w:rPr>
              <w:t>投标人的商务得分保留至小数点后两位，小数点后第三位“四舍五入”。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929" w:type="dxa"/>
            <w:noWrap w:val="0"/>
            <w:vAlign w:val="center"/>
          </w:tcPr>
          <w:p>
            <w:pPr>
              <w:spacing w:line="380" w:lineRule="atLeast"/>
              <w:jc w:val="center"/>
              <w:rPr>
                <w:color w:val="auto"/>
                <w:sz w:val="24"/>
                <w:szCs w:val="24"/>
                <w:highlight w:val="none"/>
              </w:rPr>
            </w:pPr>
            <w:r>
              <w:rPr>
                <w:rFonts w:hint="eastAsia"/>
                <w:color w:val="auto"/>
                <w:sz w:val="24"/>
                <w:szCs w:val="24"/>
                <w:highlight w:val="none"/>
              </w:rPr>
              <w:t>3.6.1</w:t>
            </w:r>
          </w:p>
        </w:tc>
        <w:tc>
          <w:tcPr>
            <w:tcW w:w="8559" w:type="dxa"/>
            <w:gridSpan w:val="7"/>
            <w:noWrap w:val="0"/>
            <w:vAlign w:val="top"/>
          </w:tcPr>
          <w:p>
            <w:pPr>
              <w:adjustRightInd w:val="0"/>
              <w:snapToGrid w:val="0"/>
              <w:spacing w:line="400" w:lineRule="exact"/>
              <w:rPr>
                <w:rFonts w:hint="eastAsia" w:ascii="Times New Roman" w:cs="Times New Roman"/>
                <w:color w:val="auto"/>
                <w:kern w:val="2"/>
                <w:sz w:val="24"/>
                <w:szCs w:val="24"/>
                <w:highlight w:val="none"/>
              </w:rPr>
            </w:pPr>
            <w:r>
              <w:rPr>
                <w:rFonts w:hint="eastAsia" w:ascii="Times New Roman" w:cs="Times New Roman"/>
                <w:color w:val="auto"/>
                <w:kern w:val="2"/>
                <w:sz w:val="24"/>
                <w:szCs w:val="24"/>
                <w:highlight w:val="none"/>
              </w:rPr>
              <w:t>3.6.1 项（2）目末增加以下条款：</w:t>
            </w:r>
          </w:p>
          <w:p>
            <w:pPr>
              <w:adjustRightInd w:val="0"/>
              <w:snapToGrid w:val="0"/>
              <w:spacing w:line="400" w:lineRule="exact"/>
              <w:ind w:firstLine="480" w:firstLineChars="200"/>
              <w:rPr>
                <w:rFonts w:hint="eastAsia" w:ascii="Times New Roman" w:cs="Times New Roman"/>
                <w:color w:val="auto"/>
                <w:kern w:val="2"/>
                <w:sz w:val="24"/>
                <w:szCs w:val="24"/>
                <w:highlight w:val="none"/>
              </w:rPr>
            </w:pPr>
            <w:r>
              <w:rPr>
                <w:rFonts w:hint="eastAsia" w:ascii="Times New Roman" w:cs="Times New Roman"/>
                <w:color w:val="auto"/>
                <w:kern w:val="2"/>
                <w:sz w:val="24"/>
                <w:szCs w:val="24"/>
                <w:highlight w:val="none"/>
              </w:rPr>
              <w:t>g.广东省实施《中华人民共和国招标投标法》办法第十六条规定的情形。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9" w:hRule="atLeast"/>
        </w:trPr>
        <w:tc>
          <w:tcPr>
            <w:tcW w:w="929" w:type="dxa"/>
            <w:noWrap w:val="0"/>
            <w:vAlign w:val="center"/>
          </w:tcPr>
          <w:p>
            <w:pPr>
              <w:spacing w:line="380" w:lineRule="atLeast"/>
              <w:jc w:val="center"/>
              <w:rPr>
                <w:color w:val="auto"/>
                <w:sz w:val="24"/>
                <w:szCs w:val="24"/>
                <w:highlight w:val="none"/>
              </w:rPr>
            </w:pPr>
            <w:r>
              <w:rPr>
                <w:color w:val="auto"/>
                <w:sz w:val="24"/>
                <w:szCs w:val="24"/>
                <w:highlight w:val="none"/>
              </w:rPr>
              <w:t>3.6.3</w:t>
            </w:r>
          </w:p>
        </w:tc>
        <w:tc>
          <w:tcPr>
            <w:tcW w:w="8559" w:type="dxa"/>
            <w:gridSpan w:val="7"/>
            <w:noWrap w:val="0"/>
            <w:vAlign w:val="top"/>
          </w:tcPr>
          <w:p>
            <w:pPr>
              <w:spacing w:line="380" w:lineRule="atLeast"/>
              <w:rPr>
                <w:color w:val="auto"/>
                <w:sz w:val="24"/>
                <w:szCs w:val="24"/>
                <w:highlight w:val="none"/>
              </w:rPr>
            </w:pPr>
            <w:r>
              <w:rPr>
                <w:color w:val="auto"/>
                <w:sz w:val="24"/>
                <w:szCs w:val="24"/>
                <w:highlight w:val="none"/>
              </w:rPr>
              <w:t>增加3.6.3项：</w:t>
            </w:r>
          </w:p>
          <w:p>
            <w:pPr>
              <w:spacing w:line="380" w:lineRule="atLeast"/>
              <w:ind w:firstLine="480" w:firstLineChars="200"/>
              <w:rPr>
                <w:color w:val="auto"/>
                <w:sz w:val="24"/>
                <w:szCs w:val="24"/>
                <w:highlight w:val="none"/>
              </w:rPr>
            </w:pPr>
            <w:r>
              <w:rPr>
                <w:color w:val="auto"/>
                <w:sz w:val="24"/>
                <w:szCs w:val="24"/>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929" w:type="dxa"/>
            <w:noWrap w:val="0"/>
            <w:vAlign w:val="top"/>
          </w:tcPr>
          <w:p>
            <w:pPr>
              <w:spacing w:line="380" w:lineRule="atLeast"/>
              <w:rPr>
                <w:color w:val="auto"/>
                <w:sz w:val="24"/>
                <w:szCs w:val="24"/>
                <w:highlight w:val="none"/>
              </w:rPr>
            </w:pPr>
          </w:p>
        </w:tc>
        <w:tc>
          <w:tcPr>
            <w:tcW w:w="8559" w:type="dxa"/>
            <w:gridSpan w:val="7"/>
            <w:noWrap w:val="0"/>
            <w:vAlign w:val="top"/>
          </w:tcPr>
          <w:p>
            <w:pPr>
              <w:spacing w:line="380" w:lineRule="atLeast"/>
              <w:rPr>
                <w:color w:val="auto"/>
                <w:sz w:val="24"/>
                <w:szCs w:val="24"/>
                <w:highlight w:val="none"/>
              </w:rPr>
            </w:pPr>
            <w:r>
              <w:rPr>
                <w:color w:val="auto"/>
                <w:sz w:val="24"/>
                <w:szCs w:val="24"/>
                <w:highlight w:val="none"/>
              </w:rPr>
              <w:t>增加3.9.3、3.9.4、3.9.5、3.9.6条款后增加：</w:t>
            </w:r>
          </w:p>
          <w:p>
            <w:pPr>
              <w:spacing w:line="380" w:lineRule="atLeast"/>
              <w:rPr>
                <w:color w:val="auto"/>
                <w:sz w:val="24"/>
                <w:szCs w:val="24"/>
                <w:highlight w:val="none"/>
              </w:rPr>
            </w:pPr>
            <w:r>
              <w:rPr>
                <w:color w:val="auto"/>
                <w:sz w:val="24"/>
                <w:szCs w:val="24"/>
                <w:highlight w:val="none"/>
              </w:rPr>
              <w:t xml:space="preserve">3.9.3推荐中标候选人方式：按各合同段最高投标限价高低顺序依次选定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如此类推。 </w:t>
            </w:r>
          </w:p>
          <w:p>
            <w:pPr>
              <w:spacing w:line="380" w:lineRule="atLeast"/>
              <w:rPr>
                <w:color w:val="auto"/>
                <w:sz w:val="24"/>
                <w:szCs w:val="24"/>
                <w:highlight w:val="none"/>
              </w:rPr>
            </w:pPr>
            <w:r>
              <w:rPr>
                <w:color w:val="auto"/>
                <w:sz w:val="24"/>
                <w:szCs w:val="24"/>
                <w:highlight w:val="none"/>
              </w:rPr>
              <w:t>3.9.4通过第一个信封商务和技术文件评审的投标人少于3个的，评标委员会可以否决全部投标；未否决全部投标的，评标委员会应当在评标报告中阐明理由，招标人应当按照招标文件规定的程序进行第二个信封报价开标，但评标委员会在进行报价评审时仍有权否决全部投标；评标委员会未在报价文件评审时否决全部投标的，应当在评标报告中阐明理由并推荐中标候选人。</w:t>
            </w:r>
          </w:p>
          <w:p>
            <w:pPr>
              <w:spacing w:line="380" w:lineRule="atLeast"/>
              <w:rPr>
                <w:color w:val="auto"/>
                <w:sz w:val="24"/>
                <w:szCs w:val="24"/>
                <w:highlight w:val="none"/>
              </w:rPr>
            </w:pPr>
            <w:r>
              <w:rPr>
                <w:color w:val="auto"/>
                <w:sz w:val="24"/>
                <w:szCs w:val="24"/>
                <w:highlight w:val="none"/>
              </w:rPr>
              <w:t>3.9.5通过第一个信封商务和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pPr>
              <w:spacing w:line="380" w:lineRule="atLeast"/>
              <w:rPr>
                <w:color w:val="auto"/>
                <w:sz w:val="24"/>
                <w:szCs w:val="24"/>
                <w:highlight w:val="none"/>
              </w:rPr>
            </w:pPr>
            <w:r>
              <w:rPr>
                <w:color w:val="auto"/>
                <w:sz w:val="24"/>
                <w:szCs w:val="24"/>
                <w:highlight w:val="none"/>
              </w:rPr>
              <w:t>3.9.6如果发生无法确定推荐中标候选人的其它意外情况，评标委员会可建议招标人重新招标。</w:t>
            </w:r>
          </w:p>
          <w:p>
            <w:pPr>
              <w:spacing w:line="380" w:lineRule="atLeast"/>
              <w:rPr>
                <w:rFonts w:hint="eastAsia"/>
                <w:color w:val="auto"/>
                <w:sz w:val="24"/>
                <w:szCs w:val="24"/>
                <w:highlight w:val="none"/>
              </w:rPr>
            </w:pPr>
            <w:r>
              <w:rPr>
                <w:rFonts w:hint="eastAsia"/>
                <w:color w:val="auto"/>
                <w:sz w:val="24"/>
                <w:szCs w:val="24"/>
                <w:highlight w:val="none"/>
              </w:rPr>
              <w:t>3.9.7 本招标文件规定的否决投标条款包含在以下条款：</w:t>
            </w:r>
          </w:p>
          <w:p>
            <w:pPr>
              <w:spacing w:line="380" w:lineRule="atLeast"/>
              <w:rPr>
                <w:rFonts w:hint="eastAsia"/>
                <w:color w:val="auto"/>
                <w:sz w:val="24"/>
                <w:szCs w:val="24"/>
                <w:highlight w:val="none"/>
              </w:rPr>
            </w:pPr>
            <w:r>
              <w:rPr>
                <w:rFonts w:hint="eastAsia"/>
                <w:color w:val="auto"/>
                <w:sz w:val="24"/>
                <w:szCs w:val="24"/>
                <w:highlight w:val="none"/>
              </w:rPr>
              <w:t>（1）招标公告第3 点投标人资格要求；</w:t>
            </w:r>
          </w:p>
          <w:p>
            <w:pPr>
              <w:spacing w:line="380" w:lineRule="atLeast"/>
              <w:rPr>
                <w:rFonts w:hint="default" w:eastAsia="宋体"/>
                <w:color w:val="auto"/>
                <w:sz w:val="24"/>
                <w:szCs w:val="24"/>
                <w:highlight w:val="none"/>
                <w:lang w:val="en-US" w:eastAsia="zh-CN"/>
              </w:rPr>
            </w:pPr>
            <w:r>
              <w:rPr>
                <w:rFonts w:hint="eastAsia"/>
                <w:color w:val="auto"/>
                <w:sz w:val="24"/>
                <w:szCs w:val="24"/>
                <w:highlight w:val="none"/>
              </w:rPr>
              <w:t>（2）投标人须知1.4.3 项、1.4.4 项、1.4.5 项、1.12</w:t>
            </w:r>
            <w:r>
              <w:rPr>
                <w:rFonts w:hint="eastAsia"/>
                <w:color w:val="auto"/>
                <w:sz w:val="24"/>
                <w:szCs w:val="24"/>
                <w:highlight w:val="none"/>
                <w:lang w:val="en-US" w:eastAsia="zh-CN"/>
              </w:rPr>
              <w:t>.2</w:t>
            </w:r>
            <w:r>
              <w:rPr>
                <w:rFonts w:hint="eastAsia"/>
                <w:color w:val="auto"/>
                <w:sz w:val="24"/>
                <w:szCs w:val="24"/>
                <w:highlight w:val="none"/>
              </w:rPr>
              <w:t xml:space="preserve"> 项、3.4</w:t>
            </w:r>
            <w:r>
              <w:rPr>
                <w:rFonts w:hint="eastAsia"/>
                <w:color w:val="auto"/>
                <w:sz w:val="24"/>
                <w:szCs w:val="24"/>
                <w:highlight w:val="none"/>
                <w:lang w:val="en-US" w:eastAsia="zh-CN"/>
              </w:rPr>
              <w:t>.2</w:t>
            </w:r>
            <w:r>
              <w:rPr>
                <w:rFonts w:hint="eastAsia"/>
                <w:color w:val="auto"/>
                <w:sz w:val="24"/>
                <w:szCs w:val="24"/>
                <w:highlight w:val="none"/>
              </w:rPr>
              <w:t xml:space="preserve"> 项、3.5</w:t>
            </w:r>
            <w:r>
              <w:rPr>
                <w:rFonts w:hint="eastAsia"/>
                <w:color w:val="auto"/>
                <w:sz w:val="24"/>
                <w:szCs w:val="24"/>
                <w:highlight w:val="none"/>
                <w:lang w:val="en-US" w:eastAsia="zh-CN"/>
              </w:rPr>
              <w:t>.9</w:t>
            </w:r>
          </w:p>
          <w:p>
            <w:pPr>
              <w:spacing w:line="380" w:lineRule="atLeast"/>
              <w:rPr>
                <w:rFonts w:hint="eastAsia"/>
                <w:color w:val="auto"/>
                <w:sz w:val="24"/>
                <w:szCs w:val="24"/>
                <w:highlight w:val="none"/>
              </w:rPr>
            </w:pPr>
            <w:r>
              <w:rPr>
                <w:rFonts w:hint="eastAsia"/>
                <w:color w:val="auto"/>
                <w:sz w:val="24"/>
                <w:szCs w:val="24"/>
                <w:highlight w:val="none"/>
              </w:rPr>
              <w:t>项；</w:t>
            </w:r>
          </w:p>
          <w:p>
            <w:pPr>
              <w:spacing w:line="380" w:lineRule="atLeast"/>
              <w:rPr>
                <w:color w:val="auto"/>
                <w:sz w:val="24"/>
                <w:szCs w:val="24"/>
                <w:highlight w:val="none"/>
              </w:rPr>
            </w:pPr>
            <w:r>
              <w:rPr>
                <w:rFonts w:hint="eastAsia"/>
                <w:color w:val="auto"/>
                <w:sz w:val="24"/>
                <w:szCs w:val="24"/>
                <w:highlight w:val="none"/>
              </w:rPr>
              <w:t>（3）本评标办法的否决条款。</w:t>
            </w:r>
          </w:p>
        </w:tc>
      </w:tr>
    </w:tbl>
    <w:p>
      <w:pPr>
        <w:pStyle w:val="2"/>
        <w:spacing w:before="240" w:after="240" w:line="240" w:lineRule="atLeast"/>
        <w:rPr>
          <w:rFonts w:eastAsia="黑体"/>
          <w:color w:val="auto"/>
          <w:sz w:val="27"/>
          <w:szCs w:val="27"/>
          <w:highlight w:val="none"/>
        </w:rPr>
      </w:pPr>
    </w:p>
    <w:p>
      <w:pPr>
        <w:pStyle w:val="2"/>
        <w:spacing w:before="240" w:after="240" w:line="240" w:lineRule="atLeast"/>
        <w:rPr>
          <w:rFonts w:eastAsia="黑体"/>
          <w:b w:val="0"/>
          <w:color w:val="auto"/>
          <w:sz w:val="28"/>
          <w:szCs w:val="28"/>
          <w:highlight w:val="none"/>
        </w:rPr>
      </w:pPr>
      <w:r>
        <w:rPr>
          <w:rFonts w:eastAsia="黑体"/>
          <w:color w:val="auto"/>
          <w:sz w:val="27"/>
          <w:szCs w:val="27"/>
          <w:highlight w:val="none"/>
        </w:rPr>
        <w:br w:type="page"/>
      </w:r>
      <w:bookmarkStart w:id="14" w:name="_Toc514589410"/>
      <w:r>
        <w:rPr>
          <w:rFonts w:eastAsia="黑体"/>
          <w:b w:val="0"/>
          <w:color w:val="auto"/>
          <w:sz w:val="28"/>
          <w:szCs w:val="28"/>
          <w:highlight w:val="none"/>
        </w:rPr>
        <w:t>1. 评标方法</w:t>
      </w:r>
      <w:bookmarkEnd w:id="13"/>
      <w:bookmarkEnd w:id="14"/>
    </w:p>
    <w:p>
      <w:pPr>
        <w:spacing w:line="400" w:lineRule="atLeast"/>
        <w:ind w:firstLine="480" w:firstLineChars="200"/>
        <w:rPr>
          <w:color w:val="auto"/>
          <w:sz w:val="24"/>
          <w:highlight w:val="none"/>
        </w:rPr>
      </w:pPr>
      <w:r>
        <w:rPr>
          <w:color w:val="auto"/>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Pr>
          <w:rFonts w:eastAsia="隶书"/>
          <w:color w:val="auto"/>
          <w:sz w:val="24"/>
          <w:highlight w:val="none"/>
        </w:rPr>
        <w:t>综合评分相等时，评标委员会应按照评标办法前附表规定的优先次序推荐中标候选人或确定中标人。</w:t>
      </w:r>
    </w:p>
    <w:p>
      <w:pPr>
        <w:pStyle w:val="2"/>
        <w:spacing w:before="360" w:after="240" w:line="240" w:lineRule="atLeast"/>
        <w:rPr>
          <w:rFonts w:eastAsia="黑体"/>
          <w:b w:val="0"/>
          <w:color w:val="auto"/>
          <w:sz w:val="28"/>
          <w:szCs w:val="28"/>
          <w:highlight w:val="none"/>
        </w:rPr>
      </w:pPr>
      <w:bookmarkStart w:id="15" w:name="_Toc514589411"/>
      <w:bookmarkStart w:id="16" w:name="_Toc503235808"/>
      <w:r>
        <w:rPr>
          <w:rFonts w:eastAsia="黑体"/>
          <w:b w:val="0"/>
          <w:color w:val="auto"/>
          <w:sz w:val="28"/>
          <w:szCs w:val="28"/>
          <w:highlight w:val="none"/>
        </w:rPr>
        <w:t>2. 评审标准</w:t>
      </w:r>
      <w:bookmarkEnd w:id="15"/>
      <w:bookmarkEnd w:id="16"/>
    </w:p>
    <w:p>
      <w:pPr>
        <w:pStyle w:val="2"/>
        <w:spacing w:before="240" w:after="240" w:line="240" w:lineRule="atLeast"/>
        <w:rPr>
          <w:rFonts w:eastAsia="黑体"/>
          <w:b w:val="0"/>
          <w:color w:val="auto"/>
          <w:sz w:val="24"/>
          <w:szCs w:val="24"/>
          <w:highlight w:val="none"/>
        </w:rPr>
      </w:pPr>
      <w:bookmarkStart w:id="17" w:name="_Toc514589412"/>
      <w:bookmarkStart w:id="18" w:name="_Toc503235809"/>
      <w:r>
        <w:rPr>
          <w:rFonts w:eastAsia="黑体"/>
          <w:b w:val="0"/>
          <w:color w:val="auto"/>
          <w:sz w:val="24"/>
          <w:szCs w:val="24"/>
          <w:highlight w:val="none"/>
        </w:rPr>
        <w:t>2.1 初步评审标准</w:t>
      </w:r>
      <w:bookmarkEnd w:id="17"/>
      <w:bookmarkEnd w:id="18"/>
    </w:p>
    <w:p>
      <w:pPr>
        <w:spacing w:line="400" w:lineRule="atLeast"/>
        <w:ind w:firstLine="480" w:firstLineChars="200"/>
        <w:rPr>
          <w:color w:val="auto"/>
          <w:sz w:val="24"/>
          <w:highlight w:val="none"/>
        </w:rPr>
      </w:pPr>
      <w:r>
        <w:rPr>
          <w:color w:val="auto"/>
          <w:sz w:val="24"/>
          <w:highlight w:val="none"/>
        </w:rPr>
        <w:t>2.1.1 形式评审标准：见评标办法前附表。</w:t>
      </w:r>
    </w:p>
    <w:p>
      <w:pPr>
        <w:spacing w:line="400" w:lineRule="atLeast"/>
        <w:ind w:firstLine="480" w:firstLineChars="200"/>
        <w:rPr>
          <w:rFonts w:eastAsia="隶书"/>
          <w:color w:val="auto"/>
          <w:sz w:val="24"/>
          <w:highlight w:val="none"/>
        </w:rPr>
      </w:pPr>
      <w:r>
        <w:rPr>
          <w:rFonts w:eastAsia="隶书"/>
          <w:color w:val="auto"/>
          <w:sz w:val="24"/>
          <w:highlight w:val="none"/>
        </w:rPr>
        <w:t>2.1.2 资格评审标准：见评标办法前附表。（适用于未进行资格预审的）</w:t>
      </w:r>
    </w:p>
    <w:p>
      <w:pPr>
        <w:spacing w:line="400" w:lineRule="atLeast"/>
        <w:ind w:firstLine="480" w:firstLineChars="200"/>
        <w:rPr>
          <w:color w:val="auto"/>
          <w:sz w:val="24"/>
          <w:highlight w:val="none"/>
        </w:rPr>
      </w:pPr>
      <w:r>
        <w:rPr>
          <w:rFonts w:eastAsia="隶书"/>
          <w:color w:val="auto"/>
          <w:sz w:val="24"/>
          <w:highlight w:val="none"/>
        </w:rPr>
        <w:t>2.1.2 资格评审标准：见资格预审文件第三章“资格审查办法”详细审查标准。（适用于已进行资格预审的）</w:t>
      </w:r>
    </w:p>
    <w:p>
      <w:pPr>
        <w:spacing w:line="400" w:lineRule="atLeast"/>
        <w:ind w:firstLine="480" w:firstLineChars="200"/>
        <w:rPr>
          <w:color w:val="auto"/>
          <w:sz w:val="24"/>
          <w:highlight w:val="none"/>
        </w:rPr>
      </w:pPr>
      <w:r>
        <w:rPr>
          <w:color w:val="auto"/>
          <w:sz w:val="24"/>
          <w:highlight w:val="none"/>
        </w:rPr>
        <w:t>2.1.3 响应性评审标准：见评标办法前附表。</w:t>
      </w:r>
    </w:p>
    <w:p>
      <w:pPr>
        <w:pStyle w:val="2"/>
        <w:spacing w:before="240" w:after="240" w:line="240" w:lineRule="atLeast"/>
        <w:rPr>
          <w:rFonts w:eastAsia="黑体"/>
          <w:b w:val="0"/>
          <w:color w:val="auto"/>
          <w:sz w:val="24"/>
          <w:szCs w:val="24"/>
          <w:highlight w:val="none"/>
        </w:rPr>
      </w:pPr>
      <w:bookmarkStart w:id="19" w:name="_Toc503235810"/>
      <w:bookmarkStart w:id="20" w:name="_Toc514589413"/>
      <w:r>
        <w:rPr>
          <w:rFonts w:eastAsia="黑体"/>
          <w:b w:val="0"/>
          <w:color w:val="auto"/>
          <w:sz w:val="24"/>
          <w:szCs w:val="24"/>
          <w:highlight w:val="none"/>
        </w:rPr>
        <w:t>2.2 分值构成与评分标准</w:t>
      </w:r>
      <w:bookmarkEnd w:id="19"/>
      <w:bookmarkEnd w:id="20"/>
    </w:p>
    <w:p>
      <w:pPr>
        <w:tabs>
          <w:tab w:val="left" w:pos="360"/>
        </w:tabs>
        <w:spacing w:line="400" w:lineRule="atLeast"/>
        <w:ind w:firstLine="480" w:firstLineChars="200"/>
        <w:rPr>
          <w:color w:val="auto"/>
          <w:sz w:val="24"/>
          <w:highlight w:val="none"/>
        </w:rPr>
      </w:pPr>
      <w:r>
        <w:rPr>
          <w:color w:val="auto"/>
          <w:sz w:val="24"/>
          <w:highlight w:val="none"/>
        </w:rPr>
        <w:t xml:space="preserve">2.2.1 </w:t>
      </w:r>
      <w:r>
        <w:rPr>
          <w:rFonts w:eastAsia="黑体"/>
          <w:color w:val="auto"/>
          <w:sz w:val="24"/>
          <w:highlight w:val="none"/>
        </w:rPr>
        <w:t>分值构成</w:t>
      </w:r>
    </w:p>
    <w:p>
      <w:pPr>
        <w:spacing w:line="400" w:lineRule="atLeast"/>
        <w:ind w:firstLine="480" w:firstLineChars="200"/>
        <w:rPr>
          <w:rFonts w:eastAsia="隶书"/>
          <w:color w:val="auto"/>
          <w:sz w:val="24"/>
          <w:highlight w:val="none"/>
        </w:rPr>
      </w:pPr>
      <w:r>
        <w:rPr>
          <w:rFonts w:eastAsia="隶书"/>
          <w:color w:val="auto"/>
          <w:sz w:val="24"/>
          <w:highlight w:val="none"/>
        </w:rPr>
        <w:t>（1）技术建议书：见评标办法前附表；</w:t>
      </w:r>
    </w:p>
    <w:p>
      <w:pPr>
        <w:spacing w:line="400" w:lineRule="atLeast"/>
        <w:ind w:firstLine="480" w:firstLineChars="200"/>
        <w:rPr>
          <w:rFonts w:eastAsia="隶书"/>
          <w:color w:val="auto"/>
          <w:sz w:val="24"/>
          <w:highlight w:val="none"/>
        </w:rPr>
      </w:pPr>
      <w:r>
        <w:rPr>
          <w:rFonts w:eastAsia="隶书"/>
          <w:color w:val="auto"/>
          <w:sz w:val="24"/>
          <w:highlight w:val="none"/>
        </w:rPr>
        <w:t>（2）主要人员：见评标办法前附表；</w:t>
      </w:r>
    </w:p>
    <w:p>
      <w:pPr>
        <w:spacing w:line="400" w:lineRule="atLeast"/>
        <w:ind w:firstLine="480" w:firstLineChars="200"/>
        <w:rPr>
          <w:color w:val="auto"/>
          <w:sz w:val="24"/>
          <w:highlight w:val="none"/>
        </w:rPr>
      </w:pPr>
      <w:r>
        <w:rPr>
          <w:color w:val="auto"/>
          <w:sz w:val="24"/>
          <w:highlight w:val="none"/>
        </w:rPr>
        <w:t>（3）</w:t>
      </w:r>
      <w:r>
        <w:rPr>
          <w:rFonts w:eastAsia="隶书"/>
          <w:color w:val="auto"/>
          <w:sz w:val="24"/>
          <w:highlight w:val="none"/>
        </w:rPr>
        <w:t>评标价：</w:t>
      </w:r>
      <w:r>
        <w:rPr>
          <w:color w:val="auto"/>
          <w:sz w:val="24"/>
          <w:highlight w:val="none"/>
        </w:rPr>
        <w:t>见评标办法前附表；</w:t>
      </w:r>
    </w:p>
    <w:p>
      <w:pPr>
        <w:spacing w:line="400" w:lineRule="atLeast"/>
        <w:ind w:firstLine="480" w:firstLineChars="200"/>
        <w:rPr>
          <w:color w:val="auto"/>
          <w:sz w:val="24"/>
          <w:highlight w:val="none"/>
        </w:rPr>
      </w:pPr>
      <w:r>
        <w:rPr>
          <w:color w:val="auto"/>
          <w:sz w:val="24"/>
          <w:highlight w:val="none"/>
        </w:rPr>
        <w:t>（4）其他评分因素：见评标办法前附表。</w:t>
      </w:r>
    </w:p>
    <w:p>
      <w:pPr>
        <w:spacing w:line="400" w:lineRule="atLeast"/>
        <w:ind w:firstLine="480" w:firstLineChars="200"/>
        <w:rPr>
          <w:color w:val="auto"/>
          <w:sz w:val="24"/>
          <w:highlight w:val="none"/>
        </w:rPr>
      </w:pPr>
      <w:r>
        <w:rPr>
          <w:color w:val="auto"/>
          <w:sz w:val="24"/>
          <w:highlight w:val="none"/>
        </w:rPr>
        <w:t xml:space="preserve">2.2.2 </w:t>
      </w:r>
      <w:r>
        <w:rPr>
          <w:rFonts w:eastAsia="黑体"/>
          <w:color w:val="auto"/>
          <w:sz w:val="24"/>
          <w:highlight w:val="none"/>
        </w:rPr>
        <w:t>评标基准价计算</w:t>
      </w:r>
    </w:p>
    <w:p>
      <w:pPr>
        <w:spacing w:line="400" w:lineRule="atLeast"/>
        <w:ind w:firstLine="480" w:firstLineChars="200"/>
        <w:rPr>
          <w:color w:val="auto"/>
          <w:sz w:val="24"/>
          <w:highlight w:val="none"/>
        </w:rPr>
      </w:pPr>
      <w:r>
        <w:rPr>
          <w:color w:val="auto"/>
          <w:sz w:val="24"/>
          <w:highlight w:val="none"/>
        </w:rPr>
        <w:t>评标基准价计算方法：见评标办法前附表。</w:t>
      </w:r>
    </w:p>
    <w:p>
      <w:pPr>
        <w:spacing w:line="400" w:lineRule="atLeast"/>
        <w:ind w:firstLine="480" w:firstLineChars="200"/>
        <w:rPr>
          <w:color w:val="auto"/>
          <w:sz w:val="24"/>
          <w:highlight w:val="none"/>
        </w:rPr>
      </w:pPr>
      <w:r>
        <w:rPr>
          <w:color w:val="auto"/>
          <w:sz w:val="24"/>
          <w:highlight w:val="none"/>
        </w:rPr>
        <w:t xml:space="preserve">2.2.3 </w:t>
      </w:r>
      <w:r>
        <w:rPr>
          <w:rFonts w:eastAsia="黑体"/>
          <w:color w:val="auto"/>
          <w:sz w:val="24"/>
          <w:highlight w:val="none"/>
        </w:rPr>
        <w:t>评标价的偏差率计算</w:t>
      </w:r>
    </w:p>
    <w:p>
      <w:pPr>
        <w:spacing w:line="400" w:lineRule="atLeast"/>
        <w:ind w:firstLine="480" w:firstLineChars="200"/>
        <w:rPr>
          <w:color w:val="auto"/>
          <w:sz w:val="24"/>
          <w:highlight w:val="none"/>
        </w:rPr>
      </w:pPr>
      <w:r>
        <w:rPr>
          <w:rFonts w:eastAsia="隶书"/>
          <w:color w:val="auto"/>
          <w:sz w:val="24"/>
          <w:highlight w:val="none"/>
        </w:rPr>
        <w:t>评标价的偏差率计算公式</w:t>
      </w:r>
      <w:r>
        <w:rPr>
          <w:color w:val="auto"/>
          <w:sz w:val="24"/>
          <w:highlight w:val="none"/>
        </w:rPr>
        <w:t>：见评标办法前附表。</w:t>
      </w:r>
    </w:p>
    <w:p>
      <w:pPr>
        <w:spacing w:line="400" w:lineRule="atLeast"/>
        <w:ind w:firstLine="480" w:firstLineChars="200"/>
        <w:rPr>
          <w:color w:val="auto"/>
          <w:sz w:val="24"/>
          <w:highlight w:val="none"/>
        </w:rPr>
      </w:pPr>
      <w:r>
        <w:rPr>
          <w:color w:val="auto"/>
          <w:sz w:val="24"/>
          <w:highlight w:val="none"/>
        </w:rPr>
        <w:t xml:space="preserve">2.2.4 </w:t>
      </w:r>
      <w:r>
        <w:rPr>
          <w:rFonts w:eastAsia="黑体"/>
          <w:color w:val="auto"/>
          <w:sz w:val="24"/>
          <w:highlight w:val="none"/>
        </w:rPr>
        <w:t>评分标准</w:t>
      </w:r>
    </w:p>
    <w:p>
      <w:pPr>
        <w:spacing w:line="400" w:lineRule="atLeast"/>
        <w:ind w:firstLine="480" w:firstLineChars="200"/>
        <w:rPr>
          <w:rFonts w:eastAsia="隶书"/>
          <w:color w:val="auto"/>
          <w:sz w:val="24"/>
          <w:highlight w:val="none"/>
        </w:rPr>
      </w:pPr>
      <w:r>
        <w:rPr>
          <w:rFonts w:eastAsia="隶书"/>
          <w:color w:val="auto"/>
          <w:sz w:val="24"/>
          <w:highlight w:val="none"/>
        </w:rPr>
        <w:t>（1）技术建议书评分标准：见评标办法前附表；</w:t>
      </w:r>
    </w:p>
    <w:p>
      <w:pPr>
        <w:spacing w:line="400" w:lineRule="atLeast"/>
        <w:ind w:firstLine="480" w:firstLineChars="200"/>
        <w:rPr>
          <w:rFonts w:eastAsia="隶书"/>
          <w:color w:val="auto"/>
          <w:sz w:val="24"/>
          <w:highlight w:val="none"/>
        </w:rPr>
      </w:pPr>
      <w:r>
        <w:rPr>
          <w:rFonts w:eastAsia="隶书"/>
          <w:color w:val="auto"/>
          <w:sz w:val="24"/>
          <w:highlight w:val="none"/>
        </w:rPr>
        <w:t>（2）主要人员评分标准：见评标办法前附表；</w:t>
      </w:r>
    </w:p>
    <w:p>
      <w:pPr>
        <w:spacing w:line="400" w:lineRule="atLeast"/>
        <w:ind w:firstLine="480" w:firstLineChars="200"/>
        <w:rPr>
          <w:color w:val="auto"/>
          <w:sz w:val="24"/>
          <w:highlight w:val="none"/>
        </w:rPr>
      </w:pPr>
      <w:r>
        <w:rPr>
          <w:color w:val="auto"/>
          <w:sz w:val="24"/>
          <w:highlight w:val="none"/>
        </w:rPr>
        <w:t>（3）</w:t>
      </w:r>
      <w:r>
        <w:rPr>
          <w:rFonts w:eastAsia="隶书"/>
          <w:color w:val="auto"/>
          <w:sz w:val="24"/>
          <w:highlight w:val="none"/>
        </w:rPr>
        <w:t>评标价评分标准</w:t>
      </w:r>
      <w:r>
        <w:rPr>
          <w:color w:val="auto"/>
          <w:sz w:val="24"/>
          <w:highlight w:val="none"/>
        </w:rPr>
        <w:t>：见评标办法前附表；</w:t>
      </w:r>
    </w:p>
    <w:p>
      <w:pPr>
        <w:spacing w:line="400" w:lineRule="atLeast"/>
        <w:ind w:firstLine="480" w:firstLineChars="200"/>
        <w:rPr>
          <w:color w:val="auto"/>
          <w:sz w:val="24"/>
          <w:highlight w:val="none"/>
        </w:rPr>
      </w:pPr>
      <w:r>
        <w:rPr>
          <w:color w:val="auto"/>
          <w:sz w:val="24"/>
          <w:highlight w:val="none"/>
        </w:rPr>
        <w:t>（4）其他因素评分标准：见评标办法前附表。</w:t>
      </w:r>
    </w:p>
    <w:p>
      <w:pPr>
        <w:pStyle w:val="2"/>
        <w:spacing w:before="360" w:after="240" w:line="240" w:lineRule="atLeast"/>
        <w:rPr>
          <w:rFonts w:eastAsia="黑体"/>
          <w:b w:val="0"/>
          <w:color w:val="auto"/>
          <w:sz w:val="28"/>
          <w:szCs w:val="28"/>
          <w:highlight w:val="none"/>
        </w:rPr>
      </w:pPr>
      <w:bookmarkStart w:id="21" w:name="_Toc503235811"/>
      <w:bookmarkStart w:id="22" w:name="_Toc514589414"/>
      <w:r>
        <w:rPr>
          <w:rFonts w:eastAsia="黑体"/>
          <w:b w:val="0"/>
          <w:color w:val="auto"/>
          <w:sz w:val="28"/>
          <w:szCs w:val="28"/>
          <w:highlight w:val="none"/>
        </w:rPr>
        <w:t>3. 评标程序</w:t>
      </w:r>
      <w:bookmarkEnd w:id="21"/>
      <w:bookmarkEnd w:id="22"/>
    </w:p>
    <w:p>
      <w:pPr>
        <w:pStyle w:val="2"/>
        <w:spacing w:before="240" w:after="240" w:line="240" w:lineRule="atLeast"/>
        <w:rPr>
          <w:rFonts w:eastAsia="黑体"/>
          <w:b w:val="0"/>
          <w:color w:val="auto"/>
          <w:sz w:val="24"/>
          <w:szCs w:val="24"/>
          <w:highlight w:val="none"/>
        </w:rPr>
      </w:pPr>
      <w:bookmarkStart w:id="23" w:name="_Toc503235812"/>
      <w:bookmarkStart w:id="24" w:name="_Toc514589415"/>
      <w:r>
        <w:rPr>
          <w:rFonts w:eastAsia="黑体"/>
          <w:b w:val="0"/>
          <w:color w:val="auto"/>
          <w:sz w:val="24"/>
          <w:szCs w:val="24"/>
          <w:highlight w:val="none"/>
        </w:rPr>
        <w:t>3.1 第一个信封初步评审</w:t>
      </w:r>
      <w:bookmarkEnd w:id="23"/>
      <w:bookmarkEnd w:id="24"/>
    </w:p>
    <w:p>
      <w:pPr>
        <w:spacing w:line="400" w:lineRule="atLeast"/>
        <w:ind w:firstLine="480" w:firstLineChars="200"/>
        <w:rPr>
          <w:rFonts w:eastAsia="隶书"/>
          <w:color w:val="auto"/>
          <w:sz w:val="24"/>
          <w:highlight w:val="none"/>
        </w:rPr>
      </w:pPr>
      <w:r>
        <w:rPr>
          <w:rFonts w:eastAsia="隶书"/>
          <w:color w:val="auto"/>
          <w:sz w:val="24"/>
          <w:highlight w:val="none"/>
        </w:rPr>
        <w:t>3.1.1 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spacing w:line="400" w:lineRule="atLeast"/>
        <w:ind w:firstLine="480" w:firstLineChars="200"/>
        <w:rPr>
          <w:rFonts w:eastAsia="隶书"/>
          <w:color w:val="auto"/>
          <w:sz w:val="24"/>
          <w:highlight w:val="none"/>
        </w:rPr>
      </w:pPr>
      <w:r>
        <w:rPr>
          <w:rFonts w:eastAsia="隶书"/>
          <w:color w:val="auto"/>
          <w:sz w:val="24"/>
          <w:highlight w:val="none"/>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pPr>
        <w:pStyle w:val="2"/>
        <w:spacing w:before="240" w:after="240" w:line="240" w:lineRule="atLeast"/>
        <w:rPr>
          <w:rFonts w:eastAsia="黑体"/>
          <w:b w:val="0"/>
          <w:color w:val="auto"/>
          <w:sz w:val="24"/>
          <w:szCs w:val="24"/>
          <w:highlight w:val="none"/>
        </w:rPr>
      </w:pPr>
      <w:bookmarkStart w:id="25" w:name="_Toc503235813"/>
      <w:bookmarkStart w:id="26" w:name="_Toc514589416"/>
      <w:r>
        <w:rPr>
          <w:rFonts w:eastAsia="黑体"/>
          <w:b w:val="0"/>
          <w:color w:val="auto"/>
          <w:sz w:val="24"/>
          <w:szCs w:val="24"/>
          <w:highlight w:val="none"/>
        </w:rPr>
        <w:t>3.2 第一个信封详细评审</w:t>
      </w:r>
      <w:bookmarkEnd w:id="25"/>
      <w:bookmarkEnd w:id="26"/>
    </w:p>
    <w:p>
      <w:pPr>
        <w:spacing w:line="400" w:lineRule="atLeast"/>
        <w:ind w:firstLine="480" w:firstLineChars="200"/>
        <w:rPr>
          <w:rFonts w:eastAsia="隶书"/>
          <w:color w:val="auto"/>
          <w:sz w:val="24"/>
          <w:highlight w:val="none"/>
        </w:rPr>
      </w:pPr>
      <w:r>
        <w:rPr>
          <w:rFonts w:eastAsia="隶书"/>
          <w:color w:val="auto"/>
          <w:sz w:val="24"/>
          <w:highlight w:val="none"/>
        </w:rPr>
        <w:t>3.2.1 评标委员会按本章第2.2款规定的量化因素和分值进行打分，并计算出各投标人的商务和技术得分。</w:t>
      </w:r>
    </w:p>
    <w:p>
      <w:pPr>
        <w:spacing w:line="400" w:lineRule="atLeast"/>
        <w:ind w:firstLine="480" w:firstLineChars="200"/>
        <w:rPr>
          <w:rFonts w:eastAsia="隶书"/>
          <w:color w:val="auto"/>
          <w:sz w:val="24"/>
          <w:highlight w:val="none"/>
        </w:rPr>
      </w:pPr>
      <w:r>
        <w:rPr>
          <w:rFonts w:eastAsia="隶书"/>
          <w:color w:val="auto"/>
          <w:sz w:val="24"/>
          <w:highlight w:val="none"/>
        </w:rPr>
        <w:t>（1）按本章第2.2.4项（1）目规定的评审因素和分值对技术建议书部分计算出得分A；</w:t>
      </w:r>
    </w:p>
    <w:p>
      <w:pPr>
        <w:spacing w:line="400" w:lineRule="atLeast"/>
        <w:ind w:firstLine="480" w:firstLineChars="200"/>
        <w:rPr>
          <w:rFonts w:eastAsia="隶书"/>
          <w:color w:val="auto"/>
          <w:sz w:val="24"/>
          <w:highlight w:val="none"/>
        </w:rPr>
      </w:pPr>
      <w:r>
        <w:rPr>
          <w:rFonts w:eastAsia="隶书"/>
          <w:color w:val="auto"/>
          <w:sz w:val="24"/>
          <w:highlight w:val="none"/>
        </w:rPr>
        <w:t>（2）按本章第2.2.4项（2）目规定的评审因素和分值对主要人员部分计算出得分B；</w:t>
      </w:r>
    </w:p>
    <w:p>
      <w:pPr>
        <w:spacing w:line="400" w:lineRule="atLeast"/>
        <w:ind w:firstLine="480" w:firstLineChars="200"/>
        <w:rPr>
          <w:rFonts w:eastAsia="隶书"/>
          <w:color w:val="auto"/>
          <w:sz w:val="24"/>
          <w:highlight w:val="none"/>
        </w:rPr>
      </w:pPr>
      <w:r>
        <w:rPr>
          <w:rFonts w:eastAsia="隶书"/>
          <w:color w:val="auto"/>
          <w:sz w:val="24"/>
          <w:highlight w:val="none"/>
        </w:rPr>
        <w:t>（3）按本章第2.2.4项（4）目规定的评审因素和分值对其他部分计算出得分D。</w:t>
      </w:r>
    </w:p>
    <w:p>
      <w:pPr>
        <w:spacing w:line="400" w:lineRule="atLeast"/>
        <w:ind w:firstLine="480" w:firstLineChars="200"/>
        <w:rPr>
          <w:rFonts w:eastAsia="隶书"/>
          <w:color w:val="auto"/>
          <w:sz w:val="24"/>
          <w:highlight w:val="none"/>
        </w:rPr>
      </w:pPr>
      <w:r>
        <w:rPr>
          <w:rFonts w:eastAsia="隶书"/>
          <w:color w:val="auto"/>
          <w:sz w:val="24"/>
          <w:highlight w:val="none"/>
        </w:rPr>
        <w:t>3.2.2 投标人的商务和技术得分分值计算保留小数点后两位，小数点后第三位“四舍五入”。</w:t>
      </w:r>
    </w:p>
    <w:p>
      <w:pPr>
        <w:spacing w:line="400" w:lineRule="atLeast"/>
        <w:ind w:firstLine="480" w:firstLineChars="200"/>
        <w:rPr>
          <w:rFonts w:eastAsia="隶书"/>
          <w:color w:val="auto"/>
          <w:sz w:val="24"/>
          <w:highlight w:val="none"/>
        </w:rPr>
      </w:pPr>
      <w:r>
        <w:rPr>
          <w:rFonts w:eastAsia="隶书"/>
          <w:color w:val="auto"/>
          <w:sz w:val="24"/>
          <w:highlight w:val="none"/>
        </w:rPr>
        <w:t xml:space="preserve">3.2.3 投标人的商务和技术得分=A+B+D。 </w:t>
      </w:r>
    </w:p>
    <w:p>
      <w:pPr>
        <w:pStyle w:val="2"/>
        <w:spacing w:before="240" w:after="240" w:line="240" w:lineRule="atLeast"/>
        <w:rPr>
          <w:rFonts w:eastAsia="黑体"/>
          <w:b w:val="0"/>
          <w:color w:val="auto"/>
          <w:sz w:val="24"/>
          <w:szCs w:val="24"/>
          <w:highlight w:val="none"/>
        </w:rPr>
      </w:pPr>
      <w:bookmarkStart w:id="27" w:name="_Toc514589417"/>
      <w:bookmarkStart w:id="28" w:name="_Toc503235814"/>
      <w:r>
        <w:rPr>
          <w:rFonts w:eastAsia="黑体"/>
          <w:b w:val="0"/>
          <w:color w:val="auto"/>
          <w:sz w:val="24"/>
          <w:szCs w:val="24"/>
          <w:highlight w:val="none"/>
        </w:rPr>
        <w:t>3.3 第二个信封开标</w:t>
      </w:r>
      <w:bookmarkEnd w:id="27"/>
      <w:bookmarkEnd w:id="28"/>
    </w:p>
    <w:p>
      <w:pPr>
        <w:spacing w:line="400" w:lineRule="atLeast"/>
        <w:ind w:firstLine="480" w:firstLineChars="200"/>
        <w:rPr>
          <w:rFonts w:eastAsia="隶书"/>
          <w:color w:val="auto"/>
          <w:sz w:val="24"/>
          <w:highlight w:val="none"/>
        </w:rPr>
      </w:pPr>
      <w:r>
        <w:rPr>
          <w:rFonts w:eastAsia="隶书"/>
          <w:color w:val="auto"/>
          <w:sz w:val="24"/>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pPr>
        <w:pStyle w:val="2"/>
        <w:spacing w:before="240" w:after="240" w:line="240" w:lineRule="atLeast"/>
        <w:rPr>
          <w:rFonts w:eastAsia="黑体"/>
          <w:b w:val="0"/>
          <w:color w:val="auto"/>
          <w:sz w:val="24"/>
          <w:szCs w:val="24"/>
          <w:highlight w:val="none"/>
        </w:rPr>
      </w:pPr>
      <w:bookmarkStart w:id="29" w:name="_Toc503235815"/>
      <w:bookmarkStart w:id="30" w:name="_Toc514589418"/>
      <w:r>
        <w:rPr>
          <w:rFonts w:eastAsia="黑体"/>
          <w:b w:val="0"/>
          <w:color w:val="auto"/>
          <w:sz w:val="24"/>
          <w:szCs w:val="24"/>
          <w:highlight w:val="none"/>
        </w:rPr>
        <w:t>3.4 第二个信封初步评审</w:t>
      </w:r>
      <w:bookmarkEnd w:id="29"/>
      <w:bookmarkEnd w:id="30"/>
    </w:p>
    <w:p>
      <w:pPr>
        <w:spacing w:line="400" w:lineRule="atLeast"/>
        <w:ind w:firstLine="480" w:firstLineChars="200"/>
        <w:rPr>
          <w:rFonts w:eastAsia="隶书"/>
          <w:color w:val="auto"/>
          <w:sz w:val="24"/>
          <w:highlight w:val="none"/>
        </w:rPr>
      </w:pPr>
      <w:r>
        <w:rPr>
          <w:rFonts w:eastAsia="隶书"/>
          <w:color w:val="auto"/>
          <w:sz w:val="24"/>
          <w:highlight w:val="none"/>
        </w:rPr>
        <w:t>3.4.1 评标委员会依据本章第2.1.1项、第2.1.3项规定的评审标准对投标文件第二个信封（报价文件）进行初步评审。有一项不符合评审标准的，评标委员会应否决其投标。</w:t>
      </w:r>
    </w:p>
    <w:p>
      <w:pPr>
        <w:spacing w:line="400" w:lineRule="atLeast"/>
        <w:ind w:firstLine="480" w:firstLineChars="200"/>
        <w:rPr>
          <w:rFonts w:eastAsia="隶书"/>
          <w:color w:val="auto"/>
          <w:sz w:val="24"/>
          <w:highlight w:val="none"/>
        </w:rPr>
      </w:pPr>
      <w:r>
        <w:rPr>
          <w:rFonts w:eastAsia="隶书"/>
          <w:color w:val="auto"/>
          <w:sz w:val="24"/>
          <w:highlight w:val="none"/>
        </w:rPr>
        <w:t>3.4.2 投标报价有算术错误的，评标委员会按以下原则对投标报价进行修正，修正的价格经投标人书面确认后具有约束力。投标人不接受修正价格的，评标委员会应否决其投标。</w:t>
      </w:r>
    </w:p>
    <w:p>
      <w:pPr>
        <w:spacing w:line="400" w:lineRule="atLeast"/>
        <w:ind w:firstLine="480" w:firstLineChars="200"/>
        <w:rPr>
          <w:rFonts w:eastAsia="隶书"/>
          <w:color w:val="auto"/>
          <w:sz w:val="24"/>
          <w:highlight w:val="none"/>
        </w:rPr>
      </w:pPr>
      <w:r>
        <w:rPr>
          <w:rFonts w:eastAsia="隶书"/>
          <w:color w:val="auto"/>
          <w:sz w:val="24"/>
          <w:highlight w:val="none"/>
        </w:rPr>
        <w:t>（1）投标文件中的大写金额与小写金额不一致的，以大写金额为准；</w:t>
      </w:r>
    </w:p>
    <w:p>
      <w:pPr>
        <w:spacing w:line="400" w:lineRule="atLeast"/>
        <w:ind w:firstLine="480" w:firstLineChars="200"/>
        <w:rPr>
          <w:rFonts w:eastAsia="隶书"/>
          <w:color w:val="auto"/>
          <w:sz w:val="24"/>
          <w:highlight w:val="none"/>
        </w:rPr>
      </w:pPr>
      <w:r>
        <w:rPr>
          <w:rFonts w:eastAsia="隶书"/>
          <w:color w:val="auto"/>
          <w:sz w:val="24"/>
          <w:highlight w:val="none"/>
        </w:rPr>
        <w:t>（2）总价金额与依据单价计算出的结果不一致的，以单价金额为准修正总价，但单价金额小数点有明显错误的除外；</w:t>
      </w:r>
    </w:p>
    <w:p>
      <w:pPr>
        <w:spacing w:line="400" w:lineRule="atLeast"/>
        <w:ind w:firstLine="480" w:firstLineChars="200"/>
        <w:rPr>
          <w:rFonts w:eastAsia="隶书"/>
          <w:color w:val="auto"/>
          <w:sz w:val="24"/>
          <w:highlight w:val="none"/>
        </w:rPr>
      </w:pPr>
      <w:r>
        <w:rPr>
          <w:rFonts w:eastAsia="隶书"/>
          <w:color w:val="auto"/>
          <w:sz w:val="24"/>
          <w:highlight w:val="none"/>
        </w:rPr>
        <w:t>（3）当单价与数量相乘不等于合价时，以单价计算为准，如果单价有明显的小数点位置差错，应以标出的合价为准，同时对单价予以修正；</w:t>
      </w:r>
    </w:p>
    <w:p>
      <w:pPr>
        <w:spacing w:line="400" w:lineRule="atLeast"/>
        <w:ind w:firstLine="480" w:firstLineChars="200"/>
        <w:rPr>
          <w:rFonts w:eastAsia="隶书"/>
          <w:color w:val="auto"/>
          <w:sz w:val="24"/>
          <w:highlight w:val="none"/>
        </w:rPr>
      </w:pPr>
      <w:r>
        <w:rPr>
          <w:rFonts w:eastAsia="隶书"/>
          <w:color w:val="auto"/>
          <w:sz w:val="24"/>
          <w:highlight w:val="none"/>
        </w:rPr>
        <w:t>（4）当各子目的合价累计不等于总价时，应以各子目合价累计数为准，修正总价。</w:t>
      </w:r>
    </w:p>
    <w:p>
      <w:pPr>
        <w:spacing w:line="400" w:lineRule="atLeast"/>
        <w:ind w:firstLine="480" w:firstLineChars="200"/>
        <w:rPr>
          <w:rFonts w:eastAsia="隶书"/>
          <w:color w:val="auto"/>
          <w:sz w:val="24"/>
          <w:highlight w:val="none"/>
        </w:rPr>
      </w:pPr>
      <w:r>
        <w:rPr>
          <w:rFonts w:eastAsia="隶书"/>
          <w:color w:val="auto"/>
          <w:sz w:val="24"/>
          <w:highlight w:val="none"/>
        </w:rPr>
        <w:t>3.4.3 修正后的最终投标报价若超过最高投标限价（如有），评标委员会应否决其投标。</w:t>
      </w:r>
    </w:p>
    <w:p>
      <w:pPr>
        <w:spacing w:line="400" w:lineRule="atLeast"/>
        <w:ind w:firstLine="480" w:firstLineChars="200"/>
        <w:rPr>
          <w:rFonts w:eastAsia="隶书"/>
          <w:color w:val="auto"/>
          <w:sz w:val="24"/>
          <w:highlight w:val="none"/>
        </w:rPr>
      </w:pPr>
      <w:r>
        <w:rPr>
          <w:rFonts w:eastAsia="隶书"/>
          <w:color w:val="auto"/>
          <w:sz w:val="24"/>
          <w:highlight w:val="none"/>
        </w:rPr>
        <w:t>3.4.4 修正后的最终投标报价仅作为签订合同的一个依据，不参与评标价得分的计算。</w:t>
      </w:r>
    </w:p>
    <w:p>
      <w:pPr>
        <w:pStyle w:val="2"/>
        <w:spacing w:before="240" w:after="240" w:line="240" w:lineRule="atLeast"/>
        <w:rPr>
          <w:rFonts w:eastAsia="黑体"/>
          <w:b w:val="0"/>
          <w:color w:val="auto"/>
          <w:sz w:val="24"/>
          <w:szCs w:val="24"/>
          <w:highlight w:val="none"/>
        </w:rPr>
      </w:pPr>
      <w:bookmarkStart w:id="31" w:name="_Toc503235816"/>
      <w:bookmarkStart w:id="32" w:name="_Toc514589419"/>
      <w:r>
        <w:rPr>
          <w:rFonts w:eastAsia="黑体"/>
          <w:b w:val="0"/>
          <w:color w:val="auto"/>
          <w:sz w:val="24"/>
          <w:szCs w:val="24"/>
          <w:highlight w:val="none"/>
        </w:rPr>
        <w:t>3.5 第二个信封详细评审</w:t>
      </w:r>
      <w:bookmarkEnd w:id="31"/>
      <w:bookmarkEnd w:id="32"/>
    </w:p>
    <w:p>
      <w:pPr>
        <w:spacing w:line="400" w:lineRule="atLeast"/>
        <w:ind w:firstLine="480" w:firstLineChars="200"/>
        <w:rPr>
          <w:rFonts w:eastAsia="隶书"/>
          <w:color w:val="auto"/>
          <w:sz w:val="24"/>
          <w:highlight w:val="none"/>
        </w:rPr>
      </w:pPr>
      <w:r>
        <w:rPr>
          <w:rFonts w:eastAsia="隶书"/>
          <w:color w:val="auto"/>
          <w:sz w:val="24"/>
          <w:highlight w:val="none"/>
        </w:rPr>
        <w:t>3.5.1 评标委员会按本章第2.2.4项（3）目规定的评审因素和分值对评标价计算出得分C。评标价得分分值计算保留小数点后两位，小数点后第三位“四舍五入”。</w:t>
      </w:r>
    </w:p>
    <w:p>
      <w:pPr>
        <w:spacing w:line="400" w:lineRule="atLeast"/>
        <w:ind w:firstLine="480" w:firstLineChars="200"/>
        <w:rPr>
          <w:rFonts w:eastAsia="隶书"/>
          <w:color w:val="auto"/>
          <w:sz w:val="24"/>
          <w:highlight w:val="none"/>
        </w:rPr>
      </w:pPr>
      <w:r>
        <w:rPr>
          <w:rFonts w:eastAsia="隶书"/>
          <w:color w:val="auto"/>
          <w:sz w:val="24"/>
          <w:highlight w:val="none"/>
        </w:rPr>
        <w:t>3.5.2 投标人综合得分=投标人的商务和技术得分+C。</w:t>
      </w:r>
    </w:p>
    <w:p>
      <w:pPr>
        <w:spacing w:line="400" w:lineRule="atLeast"/>
        <w:ind w:firstLine="480" w:firstLineChars="200"/>
        <w:rPr>
          <w:rFonts w:eastAsia="隶书"/>
          <w:color w:val="auto"/>
          <w:sz w:val="24"/>
          <w:highlight w:val="none"/>
        </w:rPr>
      </w:pPr>
      <w:r>
        <w:rPr>
          <w:rFonts w:eastAsia="隶书"/>
          <w:color w:val="auto"/>
          <w:sz w:val="24"/>
          <w:highlight w:val="non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2"/>
        <w:spacing w:before="240" w:after="240" w:line="240" w:lineRule="atLeast"/>
        <w:rPr>
          <w:rFonts w:eastAsia="黑体"/>
          <w:b w:val="0"/>
          <w:color w:val="auto"/>
          <w:sz w:val="24"/>
          <w:szCs w:val="24"/>
          <w:highlight w:val="none"/>
        </w:rPr>
      </w:pPr>
      <w:bookmarkStart w:id="33" w:name="_Toc503235817"/>
      <w:bookmarkStart w:id="34" w:name="_Toc514589420"/>
      <w:r>
        <w:rPr>
          <w:rFonts w:eastAsia="黑体"/>
          <w:b w:val="0"/>
          <w:color w:val="auto"/>
          <w:sz w:val="24"/>
          <w:szCs w:val="24"/>
          <w:highlight w:val="none"/>
        </w:rPr>
        <w:t>3.6 投标文件相关信息的核查</w:t>
      </w:r>
      <w:bookmarkEnd w:id="33"/>
      <w:bookmarkEnd w:id="34"/>
    </w:p>
    <w:p>
      <w:pPr>
        <w:spacing w:line="400" w:lineRule="atLeast"/>
        <w:ind w:firstLine="480" w:firstLineChars="200"/>
        <w:rPr>
          <w:rFonts w:eastAsia="隶书"/>
          <w:color w:val="auto"/>
          <w:sz w:val="24"/>
          <w:highlight w:val="none"/>
        </w:rPr>
      </w:pPr>
      <w:r>
        <w:rPr>
          <w:rFonts w:eastAsia="隶书"/>
          <w:color w:val="auto"/>
          <w:sz w:val="24"/>
          <w:highlight w:val="none"/>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spacing w:line="400" w:lineRule="atLeast"/>
        <w:ind w:firstLine="480" w:firstLineChars="200"/>
        <w:rPr>
          <w:rFonts w:eastAsia="隶书"/>
          <w:color w:val="auto"/>
          <w:sz w:val="24"/>
          <w:highlight w:val="none"/>
        </w:rPr>
      </w:pPr>
      <w:r>
        <w:rPr>
          <w:rFonts w:eastAsia="隶书"/>
          <w:color w:val="auto"/>
          <w:sz w:val="24"/>
          <w:highlight w:val="none"/>
        </w:rPr>
        <w:t>3.6.2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400" w:lineRule="atLeast"/>
        <w:ind w:firstLine="480" w:firstLineChars="200"/>
        <w:rPr>
          <w:rFonts w:eastAsia="隶书"/>
          <w:color w:val="auto"/>
          <w:sz w:val="24"/>
          <w:highlight w:val="none"/>
        </w:rPr>
      </w:pPr>
      <w:r>
        <w:rPr>
          <w:rFonts w:eastAsia="隶书"/>
          <w:color w:val="auto"/>
          <w:sz w:val="24"/>
          <w:highlight w:val="none"/>
        </w:rPr>
        <w:t>（1）有下列情形之一的，属于投标人相互串通投标：</w:t>
      </w:r>
    </w:p>
    <w:p>
      <w:pPr>
        <w:spacing w:line="400" w:lineRule="atLeast"/>
        <w:ind w:firstLine="480" w:firstLineChars="200"/>
        <w:rPr>
          <w:rFonts w:eastAsia="隶书"/>
          <w:color w:val="auto"/>
          <w:sz w:val="24"/>
          <w:highlight w:val="none"/>
        </w:rPr>
      </w:pPr>
      <w:r>
        <w:rPr>
          <w:rFonts w:eastAsia="隶书"/>
          <w:color w:val="auto"/>
          <w:sz w:val="24"/>
          <w:highlight w:val="none"/>
        </w:rPr>
        <w:t>a.投标人之间协商投标报价等投标文件的实质性内容；</w:t>
      </w:r>
    </w:p>
    <w:p>
      <w:pPr>
        <w:spacing w:line="400" w:lineRule="atLeast"/>
        <w:ind w:firstLine="480" w:firstLineChars="200"/>
        <w:rPr>
          <w:rFonts w:eastAsia="隶书"/>
          <w:color w:val="auto"/>
          <w:sz w:val="24"/>
          <w:highlight w:val="none"/>
        </w:rPr>
      </w:pPr>
      <w:r>
        <w:rPr>
          <w:rFonts w:eastAsia="隶书"/>
          <w:color w:val="auto"/>
          <w:sz w:val="24"/>
          <w:highlight w:val="none"/>
        </w:rPr>
        <w:t>b.投标人之间约定中标人；</w:t>
      </w:r>
    </w:p>
    <w:p>
      <w:pPr>
        <w:spacing w:line="400" w:lineRule="atLeast"/>
        <w:ind w:firstLine="480" w:firstLineChars="200"/>
        <w:rPr>
          <w:rFonts w:eastAsia="隶书"/>
          <w:color w:val="auto"/>
          <w:sz w:val="24"/>
          <w:highlight w:val="none"/>
        </w:rPr>
      </w:pPr>
      <w:r>
        <w:rPr>
          <w:rFonts w:eastAsia="隶书"/>
          <w:color w:val="auto"/>
          <w:sz w:val="24"/>
          <w:highlight w:val="none"/>
        </w:rPr>
        <w:t>c.投标人之间约定部分投标人放弃投标或中标；</w:t>
      </w:r>
    </w:p>
    <w:p>
      <w:pPr>
        <w:spacing w:line="400" w:lineRule="atLeast"/>
        <w:ind w:firstLine="480" w:firstLineChars="200"/>
        <w:rPr>
          <w:rFonts w:eastAsia="隶书"/>
          <w:color w:val="auto"/>
          <w:sz w:val="24"/>
          <w:highlight w:val="none"/>
        </w:rPr>
      </w:pPr>
      <w:r>
        <w:rPr>
          <w:rFonts w:eastAsia="隶书"/>
          <w:color w:val="auto"/>
          <w:sz w:val="24"/>
          <w:highlight w:val="none"/>
        </w:rPr>
        <w:t>d.属于同一集团、协会、商会等组织成员的投标人按照该组织要求协同投标；</w:t>
      </w:r>
    </w:p>
    <w:p>
      <w:pPr>
        <w:spacing w:line="400" w:lineRule="atLeast"/>
        <w:ind w:firstLine="480" w:firstLineChars="200"/>
        <w:rPr>
          <w:rFonts w:eastAsia="隶书"/>
          <w:color w:val="auto"/>
          <w:sz w:val="24"/>
          <w:highlight w:val="none"/>
        </w:rPr>
      </w:pPr>
      <w:r>
        <w:rPr>
          <w:rFonts w:eastAsia="隶书"/>
          <w:color w:val="auto"/>
          <w:sz w:val="24"/>
          <w:highlight w:val="none"/>
        </w:rPr>
        <w:t>e.投标人之间为谋取中标或排斥特定投标人而采取的其他联合行动。</w:t>
      </w:r>
    </w:p>
    <w:p>
      <w:pPr>
        <w:spacing w:line="400" w:lineRule="atLeast"/>
        <w:ind w:firstLine="480" w:firstLineChars="200"/>
        <w:rPr>
          <w:rFonts w:eastAsia="隶书"/>
          <w:color w:val="auto"/>
          <w:sz w:val="24"/>
          <w:highlight w:val="none"/>
        </w:rPr>
      </w:pPr>
      <w:r>
        <w:rPr>
          <w:rFonts w:eastAsia="隶书"/>
          <w:color w:val="auto"/>
          <w:sz w:val="24"/>
          <w:highlight w:val="none"/>
        </w:rPr>
        <w:t>（2）有下列情形之一的，视为投标人相互串通投标：</w:t>
      </w:r>
    </w:p>
    <w:p>
      <w:pPr>
        <w:spacing w:line="400" w:lineRule="atLeast"/>
        <w:ind w:firstLine="480" w:firstLineChars="200"/>
        <w:rPr>
          <w:rFonts w:eastAsia="隶书"/>
          <w:color w:val="auto"/>
          <w:sz w:val="24"/>
          <w:highlight w:val="none"/>
        </w:rPr>
      </w:pPr>
      <w:r>
        <w:rPr>
          <w:rFonts w:eastAsia="隶书"/>
          <w:color w:val="auto"/>
          <w:sz w:val="24"/>
          <w:highlight w:val="none"/>
        </w:rPr>
        <w:t>a.不同投标人的投标文件由同一单位或个人编制；</w:t>
      </w:r>
    </w:p>
    <w:p>
      <w:pPr>
        <w:spacing w:line="400" w:lineRule="atLeast"/>
        <w:ind w:firstLine="480" w:firstLineChars="200"/>
        <w:rPr>
          <w:rFonts w:eastAsia="隶书"/>
          <w:color w:val="auto"/>
          <w:sz w:val="24"/>
          <w:highlight w:val="none"/>
        </w:rPr>
      </w:pPr>
      <w:r>
        <w:rPr>
          <w:rFonts w:eastAsia="隶书"/>
          <w:color w:val="auto"/>
          <w:sz w:val="24"/>
          <w:highlight w:val="none"/>
        </w:rPr>
        <w:t>b.不同投标人委托同一单位或个人办理投标事宜；</w:t>
      </w:r>
    </w:p>
    <w:p>
      <w:pPr>
        <w:spacing w:line="400" w:lineRule="atLeast"/>
        <w:ind w:firstLine="480" w:firstLineChars="200"/>
        <w:rPr>
          <w:rFonts w:eastAsia="隶书"/>
          <w:color w:val="auto"/>
          <w:sz w:val="24"/>
          <w:highlight w:val="none"/>
        </w:rPr>
      </w:pPr>
      <w:r>
        <w:rPr>
          <w:rFonts w:eastAsia="隶书"/>
          <w:color w:val="auto"/>
          <w:sz w:val="24"/>
          <w:highlight w:val="none"/>
        </w:rPr>
        <w:t>c.不同投标人的投标文件载明的项目管理成员为同一人；</w:t>
      </w:r>
    </w:p>
    <w:p>
      <w:pPr>
        <w:spacing w:line="400" w:lineRule="atLeast"/>
        <w:ind w:firstLine="480" w:firstLineChars="200"/>
        <w:rPr>
          <w:rFonts w:eastAsia="隶书"/>
          <w:color w:val="auto"/>
          <w:sz w:val="24"/>
          <w:highlight w:val="none"/>
        </w:rPr>
      </w:pPr>
      <w:r>
        <w:rPr>
          <w:rFonts w:eastAsia="隶书"/>
          <w:color w:val="auto"/>
          <w:sz w:val="24"/>
          <w:highlight w:val="none"/>
        </w:rPr>
        <w:t>d.不同投标人的投标文件异常一致或投标报价呈规律性差异；</w:t>
      </w:r>
    </w:p>
    <w:p>
      <w:pPr>
        <w:spacing w:line="400" w:lineRule="atLeast"/>
        <w:ind w:firstLine="480" w:firstLineChars="200"/>
        <w:rPr>
          <w:rFonts w:eastAsia="隶书"/>
          <w:color w:val="auto"/>
          <w:sz w:val="24"/>
          <w:highlight w:val="none"/>
        </w:rPr>
      </w:pPr>
      <w:r>
        <w:rPr>
          <w:rFonts w:eastAsia="隶书"/>
          <w:color w:val="auto"/>
          <w:sz w:val="24"/>
          <w:highlight w:val="none"/>
        </w:rPr>
        <w:t>e.不同投标人的投标文件相互混装；</w:t>
      </w:r>
    </w:p>
    <w:p>
      <w:pPr>
        <w:spacing w:line="400" w:lineRule="atLeast"/>
        <w:ind w:firstLine="480" w:firstLineChars="200"/>
        <w:rPr>
          <w:rFonts w:eastAsia="隶书"/>
          <w:color w:val="auto"/>
          <w:sz w:val="24"/>
          <w:highlight w:val="none"/>
        </w:rPr>
      </w:pPr>
      <w:r>
        <w:rPr>
          <w:rFonts w:eastAsia="隶书"/>
          <w:color w:val="auto"/>
          <w:sz w:val="24"/>
          <w:highlight w:val="none"/>
        </w:rPr>
        <w:t>f.不同投标人的投标保证金从同一单位或个人的账户转出。</w:t>
      </w:r>
    </w:p>
    <w:p>
      <w:pPr>
        <w:spacing w:line="400" w:lineRule="atLeast"/>
        <w:ind w:firstLine="480" w:firstLineChars="200"/>
        <w:rPr>
          <w:rFonts w:eastAsia="隶书"/>
          <w:color w:val="auto"/>
          <w:sz w:val="24"/>
          <w:highlight w:val="none"/>
        </w:rPr>
      </w:pPr>
      <w:r>
        <w:rPr>
          <w:rFonts w:eastAsia="隶书"/>
          <w:color w:val="auto"/>
          <w:sz w:val="24"/>
          <w:highlight w:val="none"/>
        </w:rPr>
        <w:t>（3）有下列情形之一的，属于招标人与投标人串通投标：</w:t>
      </w:r>
    </w:p>
    <w:p>
      <w:pPr>
        <w:spacing w:line="400" w:lineRule="atLeast"/>
        <w:ind w:firstLine="480" w:firstLineChars="200"/>
        <w:rPr>
          <w:rFonts w:eastAsia="隶书"/>
          <w:color w:val="auto"/>
          <w:sz w:val="24"/>
          <w:highlight w:val="none"/>
        </w:rPr>
      </w:pPr>
      <w:r>
        <w:rPr>
          <w:rFonts w:eastAsia="隶书"/>
          <w:color w:val="auto"/>
          <w:sz w:val="24"/>
          <w:highlight w:val="none"/>
        </w:rPr>
        <w:t>a.招标人在开标前开启投标文件并将有关信息泄露给其他投标人;</w:t>
      </w:r>
    </w:p>
    <w:p>
      <w:pPr>
        <w:spacing w:line="400" w:lineRule="atLeast"/>
        <w:ind w:firstLine="480" w:firstLineChars="200"/>
        <w:rPr>
          <w:rFonts w:eastAsia="隶书"/>
          <w:color w:val="auto"/>
          <w:sz w:val="24"/>
          <w:highlight w:val="none"/>
        </w:rPr>
      </w:pPr>
      <w:r>
        <w:rPr>
          <w:rFonts w:eastAsia="隶书"/>
          <w:color w:val="auto"/>
          <w:sz w:val="24"/>
          <w:highlight w:val="none"/>
        </w:rPr>
        <w:t>b.招标人直接或间接向投标人泄露标底、评标委员会成员等信息；</w:t>
      </w:r>
    </w:p>
    <w:p>
      <w:pPr>
        <w:spacing w:line="400" w:lineRule="atLeast"/>
        <w:ind w:firstLine="480" w:firstLineChars="200"/>
        <w:rPr>
          <w:rFonts w:eastAsia="隶书"/>
          <w:color w:val="auto"/>
          <w:sz w:val="24"/>
          <w:highlight w:val="none"/>
        </w:rPr>
      </w:pPr>
      <w:r>
        <w:rPr>
          <w:rFonts w:eastAsia="隶书"/>
          <w:color w:val="auto"/>
          <w:sz w:val="24"/>
          <w:highlight w:val="none"/>
        </w:rPr>
        <w:t>c.招标人明示或暗示投标人压低或抬高投标报价；</w:t>
      </w:r>
    </w:p>
    <w:p>
      <w:pPr>
        <w:spacing w:line="400" w:lineRule="atLeast"/>
        <w:ind w:firstLine="480" w:firstLineChars="200"/>
        <w:rPr>
          <w:rFonts w:eastAsia="隶书"/>
          <w:color w:val="auto"/>
          <w:sz w:val="24"/>
          <w:highlight w:val="none"/>
        </w:rPr>
      </w:pPr>
      <w:r>
        <w:rPr>
          <w:rFonts w:eastAsia="隶书"/>
          <w:color w:val="auto"/>
          <w:sz w:val="24"/>
          <w:highlight w:val="none"/>
        </w:rPr>
        <w:t>d.招标人授意投标人撤换、修改投标文件；</w:t>
      </w:r>
    </w:p>
    <w:p>
      <w:pPr>
        <w:spacing w:line="400" w:lineRule="atLeast"/>
        <w:ind w:firstLine="480" w:firstLineChars="200"/>
        <w:rPr>
          <w:rFonts w:eastAsia="隶书"/>
          <w:color w:val="auto"/>
          <w:sz w:val="24"/>
          <w:highlight w:val="none"/>
        </w:rPr>
      </w:pPr>
      <w:r>
        <w:rPr>
          <w:rFonts w:eastAsia="隶书"/>
          <w:color w:val="auto"/>
          <w:sz w:val="24"/>
          <w:highlight w:val="none"/>
        </w:rPr>
        <w:t>e.招标人明示或暗示投标人为特定投标人中标提供方便；</w:t>
      </w:r>
    </w:p>
    <w:p>
      <w:pPr>
        <w:spacing w:line="400" w:lineRule="atLeast"/>
        <w:ind w:firstLine="480" w:firstLineChars="200"/>
        <w:rPr>
          <w:rFonts w:eastAsia="隶书"/>
          <w:color w:val="auto"/>
          <w:sz w:val="24"/>
          <w:highlight w:val="none"/>
        </w:rPr>
      </w:pPr>
      <w:r>
        <w:rPr>
          <w:rFonts w:eastAsia="隶书"/>
          <w:color w:val="auto"/>
          <w:sz w:val="24"/>
          <w:highlight w:val="none"/>
        </w:rPr>
        <w:t>f.招标人与投标人为谋求特定投标人中标而采取的其他串通行为。</w:t>
      </w:r>
    </w:p>
    <w:p>
      <w:pPr>
        <w:spacing w:line="400" w:lineRule="atLeast"/>
        <w:ind w:firstLine="480" w:firstLineChars="200"/>
        <w:rPr>
          <w:rFonts w:eastAsia="隶书"/>
          <w:color w:val="auto"/>
          <w:sz w:val="24"/>
          <w:highlight w:val="none"/>
        </w:rPr>
      </w:pPr>
      <w:r>
        <w:rPr>
          <w:rFonts w:eastAsia="隶书"/>
          <w:color w:val="auto"/>
          <w:sz w:val="24"/>
          <w:highlight w:val="none"/>
        </w:rPr>
        <w:t>（4）投标人有下列情形之一的，属于弄虚作假的行为：</w:t>
      </w:r>
    </w:p>
    <w:p>
      <w:pPr>
        <w:spacing w:line="400" w:lineRule="atLeast"/>
        <w:ind w:firstLine="480" w:firstLineChars="200"/>
        <w:rPr>
          <w:rFonts w:eastAsia="隶书"/>
          <w:color w:val="auto"/>
          <w:sz w:val="24"/>
          <w:highlight w:val="none"/>
        </w:rPr>
      </w:pPr>
      <w:r>
        <w:rPr>
          <w:rFonts w:eastAsia="隶书"/>
          <w:color w:val="auto"/>
          <w:sz w:val="24"/>
          <w:highlight w:val="none"/>
        </w:rPr>
        <w:t>a.使用通过受让或租借等方式获取的资格、资质证书投标；</w:t>
      </w:r>
    </w:p>
    <w:p>
      <w:pPr>
        <w:spacing w:line="400" w:lineRule="atLeast"/>
        <w:ind w:firstLine="480" w:firstLineChars="200"/>
        <w:rPr>
          <w:rFonts w:eastAsia="隶书"/>
          <w:color w:val="auto"/>
          <w:sz w:val="24"/>
          <w:highlight w:val="none"/>
        </w:rPr>
      </w:pPr>
      <w:r>
        <w:rPr>
          <w:rFonts w:eastAsia="隶书"/>
          <w:color w:val="auto"/>
          <w:sz w:val="24"/>
          <w:highlight w:val="none"/>
        </w:rPr>
        <w:t>b.使用伪造、变造的许可证件；</w:t>
      </w:r>
    </w:p>
    <w:p>
      <w:pPr>
        <w:spacing w:line="400" w:lineRule="atLeast"/>
        <w:ind w:firstLine="480" w:firstLineChars="200"/>
        <w:rPr>
          <w:rFonts w:eastAsia="隶书"/>
          <w:color w:val="auto"/>
          <w:sz w:val="24"/>
          <w:highlight w:val="none"/>
        </w:rPr>
      </w:pPr>
      <w:r>
        <w:rPr>
          <w:rFonts w:eastAsia="隶书"/>
          <w:color w:val="auto"/>
          <w:sz w:val="24"/>
          <w:highlight w:val="none"/>
        </w:rPr>
        <w:t>c.提供虚假的业绩；</w:t>
      </w:r>
    </w:p>
    <w:p>
      <w:pPr>
        <w:spacing w:line="400" w:lineRule="atLeast"/>
        <w:ind w:firstLine="480" w:firstLineChars="200"/>
        <w:rPr>
          <w:rFonts w:eastAsia="隶书"/>
          <w:color w:val="auto"/>
          <w:sz w:val="24"/>
          <w:highlight w:val="none"/>
        </w:rPr>
      </w:pPr>
      <w:r>
        <w:rPr>
          <w:rFonts w:eastAsia="隶书"/>
          <w:color w:val="auto"/>
          <w:sz w:val="24"/>
          <w:highlight w:val="none"/>
        </w:rPr>
        <w:t>d.提供虚假的项目负责人或主要技术人员简历、劳动关系证明；</w:t>
      </w:r>
    </w:p>
    <w:p>
      <w:pPr>
        <w:spacing w:line="400" w:lineRule="atLeast"/>
        <w:ind w:firstLine="480" w:firstLineChars="200"/>
        <w:rPr>
          <w:rFonts w:eastAsia="隶书"/>
          <w:color w:val="auto"/>
          <w:sz w:val="24"/>
          <w:highlight w:val="none"/>
        </w:rPr>
      </w:pPr>
      <w:r>
        <w:rPr>
          <w:rFonts w:eastAsia="隶书"/>
          <w:color w:val="auto"/>
          <w:sz w:val="24"/>
          <w:highlight w:val="none"/>
        </w:rPr>
        <w:t>e.提供虚假的信用状况；</w:t>
      </w:r>
    </w:p>
    <w:p>
      <w:pPr>
        <w:spacing w:line="400" w:lineRule="atLeast"/>
        <w:ind w:firstLine="480" w:firstLineChars="200"/>
        <w:rPr>
          <w:rFonts w:eastAsia="隶书"/>
          <w:color w:val="auto"/>
          <w:sz w:val="24"/>
          <w:highlight w:val="none"/>
        </w:rPr>
      </w:pPr>
      <w:r>
        <w:rPr>
          <w:rFonts w:eastAsia="隶书"/>
          <w:color w:val="auto"/>
          <w:sz w:val="24"/>
          <w:highlight w:val="none"/>
        </w:rPr>
        <w:t>f.其他弄虚作假的行为。</w:t>
      </w:r>
    </w:p>
    <w:p>
      <w:pPr>
        <w:pStyle w:val="2"/>
        <w:spacing w:before="240" w:after="240" w:line="400" w:lineRule="atLeast"/>
        <w:rPr>
          <w:rFonts w:eastAsia="黑体"/>
          <w:b w:val="0"/>
          <w:color w:val="auto"/>
          <w:sz w:val="24"/>
          <w:szCs w:val="24"/>
          <w:highlight w:val="none"/>
        </w:rPr>
      </w:pPr>
      <w:bookmarkStart w:id="35" w:name="_Toc514589421"/>
      <w:bookmarkStart w:id="36" w:name="_Toc503235818"/>
      <w:r>
        <w:rPr>
          <w:rFonts w:eastAsia="黑体"/>
          <w:b w:val="0"/>
          <w:color w:val="auto"/>
          <w:sz w:val="24"/>
          <w:szCs w:val="24"/>
          <w:highlight w:val="none"/>
        </w:rPr>
        <w:t>3.7 投标文件的澄清和说明</w:t>
      </w:r>
      <w:bookmarkEnd w:id="35"/>
      <w:bookmarkEnd w:id="36"/>
    </w:p>
    <w:p>
      <w:pPr>
        <w:spacing w:line="400" w:lineRule="atLeast"/>
        <w:ind w:firstLine="480" w:firstLineChars="200"/>
        <w:rPr>
          <w:rFonts w:eastAsia="隶书"/>
          <w:color w:val="auto"/>
          <w:sz w:val="24"/>
          <w:highlight w:val="none"/>
        </w:rPr>
      </w:pPr>
      <w:r>
        <w:rPr>
          <w:rFonts w:eastAsia="隶书"/>
          <w:color w:val="auto"/>
          <w:sz w:val="24"/>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400" w:lineRule="atLeast"/>
        <w:ind w:firstLine="480" w:firstLineChars="200"/>
        <w:rPr>
          <w:rFonts w:eastAsia="隶书"/>
          <w:color w:val="auto"/>
          <w:sz w:val="24"/>
          <w:highlight w:val="none"/>
        </w:rPr>
      </w:pPr>
      <w:r>
        <w:rPr>
          <w:rFonts w:eastAsia="隶书"/>
          <w:color w:val="auto"/>
          <w:sz w:val="24"/>
          <w:highlight w:val="none"/>
        </w:rPr>
        <w:t>3.7.2 澄清和说明不得超出投标文件的范围或改变投标文件的实质性内容（算术性错误的修正除外）。投标人的书面澄清、说明属于投标文件的组成部分。</w:t>
      </w:r>
    </w:p>
    <w:p>
      <w:pPr>
        <w:spacing w:line="400" w:lineRule="atLeast"/>
        <w:ind w:firstLine="480" w:firstLineChars="200"/>
        <w:rPr>
          <w:rFonts w:eastAsia="隶书"/>
          <w:color w:val="auto"/>
          <w:sz w:val="24"/>
          <w:highlight w:val="none"/>
        </w:rPr>
      </w:pPr>
      <w:r>
        <w:rPr>
          <w:rFonts w:eastAsia="隶书"/>
          <w:color w:val="auto"/>
          <w:sz w:val="24"/>
          <w:highlight w:val="none"/>
        </w:rPr>
        <w:t>3.7.3 评标委员会不得暗示或诱导投标人作出澄清、说明，对投标人提交的澄清、说明有疑问的，可以要求投标人进一步澄清或说明，直至满足评标委员会的要求。</w:t>
      </w:r>
    </w:p>
    <w:p>
      <w:pPr>
        <w:spacing w:line="400" w:lineRule="atLeast"/>
        <w:ind w:firstLine="480" w:firstLineChars="200"/>
        <w:rPr>
          <w:rFonts w:eastAsia="隶书"/>
          <w:color w:val="auto"/>
          <w:sz w:val="24"/>
          <w:highlight w:val="none"/>
        </w:rPr>
      </w:pPr>
      <w:r>
        <w:rPr>
          <w:rFonts w:eastAsia="隶书"/>
          <w:color w:val="auto"/>
          <w:sz w:val="24"/>
          <w:highlight w:val="none"/>
        </w:rPr>
        <w:t>3.7.4 凡超出招标文件规定的或给委托人带来未曾要求的利益的变化、偏差或其他因素在评标时不予考虑。</w:t>
      </w:r>
    </w:p>
    <w:p>
      <w:pPr>
        <w:pStyle w:val="2"/>
        <w:spacing w:before="240" w:after="240" w:line="400" w:lineRule="atLeast"/>
        <w:rPr>
          <w:rFonts w:eastAsia="黑体"/>
          <w:b w:val="0"/>
          <w:color w:val="auto"/>
          <w:sz w:val="24"/>
          <w:szCs w:val="24"/>
          <w:highlight w:val="none"/>
        </w:rPr>
      </w:pPr>
      <w:bookmarkStart w:id="37" w:name="_Toc501257170"/>
      <w:bookmarkStart w:id="38" w:name="_Toc514589422"/>
      <w:bookmarkStart w:id="39" w:name="_Toc503235819"/>
      <w:r>
        <w:rPr>
          <w:rFonts w:eastAsia="黑体"/>
          <w:b w:val="0"/>
          <w:color w:val="auto"/>
          <w:sz w:val="24"/>
          <w:szCs w:val="24"/>
          <w:highlight w:val="none"/>
        </w:rPr>
        <w:t>3.8 不得否决投标的情形</w:t>
      </w:r>
      <w:bookmarkEnd w:id="37"/>
      <w:bookmarkEnd w:id="38"/>
      <w:bookmarkEnd w:id="39"/>
    </w:p>
    <w:p>
      <w:pPr>
        <w:spacing w:line="400" w:lineRule="atLeast"/>
        <w:ind w:firstLine="480" w:firstLineChars="200"/>
        <w:rPr>
          <w:rFonts w:eastAsia="隶书"/>
          <w:color w:val="auto"/>
          <w:sz w:val="24"/>
          <w:highlight w:val="none"/>
        </w:rPr>
      </w:pPr>
      <w:r>
        <w:rPr>
          <w:rFonts w:eastAsia="隶书"/>
          <w:color w:val="auto"/>
          <w:sz w:val="24"/>
          <w:highlight w:val="none"/>
        </w:rPr>
        <w:t>投标文件存在第二章“投标人须知”第1.12.3项所列情形的，均视为细微偏差，评标委员会不得否决投标人的投标，应按照第二章“投标人须知”第1.12.4项规定的原则处理。</w:t>
      </w:r>
    </w:p>
    <w:p>
      <w:pPr>
        <w:pStyle w:val="2"/>
        <w:spacing w:before="240" w:after="240" w:line="240" w:lineRule="atLeast"/>
        <w:rPr>
          <w:rFonts w:eastAsia="黑体"/>
          <w:b w:val="0"/>
          <w:color w:val="auto"/>
          <w:sz w:val="24"/>
          <w:szCs w:val="24"/>
          <w:highlight w:val="none"/>
        </w:rPr>
      </w:pPr>
      <w:bookmarkStart w:id="40" w:name="_Toc503235820"/>
      <w:bookmarkStart w:id="41" w:name="_Toc514589423"/>
      <w:r>
        <w:rPr>
          <w:rFonts w:eastAsia="黑体"/>
          <w:b w:val="0"/>
          <w:color w:val="auto"/>
          <w:sz w:val="24"/>
          <w:szCs w:val="24"/>
          <w:highlight w:val="none"/>
        </w:rPr>
        <w:t>3.9 评标结果</w:t>
      </w:r>
      <w:bookmarkEnd w:id="40"/>
      <w:bookmarkEnd w:id="41"/>
    </w:p>
    <w:p>
      <w:pPr>
        <w:spacing w:line="400" w:lineRule="atLeast"/>
        <w:ind w:firstLine="480" w:firstLineChars="200"/>
        <w:rPr>
          <w:rFonts w:eastAsia="隶书"/>
          <w:color w:val="auto"/>
          <w:sz w:val="24"/>
          <w:highlight w:val="none"/>
        </w:rPr>
      </w:pPr>
      <w:r>
        <w:rPr>
          <w:rFonts w:eastAsia="隶书"/>
          <w:color w:val="auto"/>
          <w:sz w:val="24"/>
          <w:highlight w:val="none"/>
        </w:rPr>
        <w:t>3.9.1 除第二章“投标人须知”前附表授权直接确定中标人外，评标委员会按照得分由高到低的顺序推荐中标候选人，并标明排序。</w:t>
      </w:r>
    </w:p>
    <w:p>
      <w:pPr>
        <w:spacing w:line="400" w:lineRule="atLeast"/>
        <w:ind w:firstLine="480" w:firstLineChars="200"/>
        <w:rPr>
          <w:rFonts w:eastAsia="隶书"/>
          <w:color w:val="auto"/>
          <w:sz w:val="24"/>
          <w:highlight w:val="none"/>
        </w:rPr>
      </w:pPr>
      <w:r>
        <w:rPr>
          <w:rFonts w:eastAsia="隶书"/>
          <w:color w:val="auto"/>
          <w:sz w:val="24"/>
          <w:highlight w:val="none"/>
        </w:rPr>
        <w:t>3.9.2 评标委员会完成评标后，应向招标人提交书面评标报告。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隶书">
    <w:altName w:val="报隶-简"/>
    <w:panose1 w:val="02010509060101010101"/>
    <w:charset w:val="00"/>
    <w:family w:val="modern"/>
    <w:pitch w:val="default"/>
    <w:sig w:usb0="00000000" w:usb1="00000000" w:usb2="00000000" w:usb3="00000000" w:csb0="00040000" w:csb1="00000000"/>
  </w:font>
  <w:font w:name="报隶-简">
    <w:panose1 w:val="0201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5"/>
        <w:spacing w:line="300" w:lineRule="atLeast"/>
        <w:ind w:left="180" w:hanging="180" w:hangingChars="100"/>
        <w:jc w:val="both"/>
        <w:rPr>
          <w:rFonts w:hint="eastAsia"/>
          <w:szCs w:val="18"/>
        </w:rPr>
      </w:pPr>
      <w:r>
        <w:rPr>
          <w:rStyle w:val="9"/>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于特别复杂的特大桥梁和特长隧道项目主体工程以及其他有特殊要求的工程，还可对其他主要监理人员进行资格评审。</w:t>
      </w:r>
    </w:p>
  </w:footnote>
  <w:footnote w:id="1">
    <w:p>
      <w:pPr>
        <w:pStyle w:val="5"/>
        <w:spacing w:line="300" w:lineRule="atLeast"/>
        <w:ind w:left="180" w:hanging="180" w:hangingChars="100"/>
        <w:jc w:val="both"/>
      </w:pPr>
      <w:r>
        <w:rPr>
          <w:rStyle w:val="9"/>
        </w:rPr>
        <w:footnoteRef/>
      </w:r>
      <w:r>
        <w:rPr>
          <w:rFonts w:hint="eastAsia"/>
          <w:szCs w:val="18"/>
        </w:rPr>
        <w:t xml:space="preserve"> 本款规定仅适用于根据《关于发布公路工程从业企业资质名录的通知》（厅公路字〔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号）要求，招标人应通过名录对投标人资质条件进行审核的公路施工监理企业。</w:t>
      </w:r>
    </w:p>
  </w:footnote>
  <w:footnote w:id="2">
    <w:p>
      <w:pPr>
        <w:pStyle w:val="5"/>
        <w:spacing w:line="240" w:lineRule="atLeast"/>
        <w:rPr>
          <w:rFonts w:ascii="宋体" w:hAnsi="宋体" w:eastAsia="宋体"/>
        </w:rPr>
      </w:pPr>
      <w:r>
        <w:rPr>
          <w:rStyle w:val="9"/>
          <w:rFonts w:ascii="宋体" w:hAnsi="宋体" w:eastAsia="宋体"/>
        </w:rPr>
        <w:footnoteRef/>
      </w:r>
      <w:r>
        <w:rPr>
          <w:rFonts w:ascii="宋体" w:hAnsi="宋体" w:eastAsia="宋体"/>
        </w:rPr>
        <w:t xml:space="preserve"> </w:t>
      </w:r>
      <w:r>
        <w:rPr>
          <w:rFonts w:hint="eastAsia" w:ascii="宋体" w:hAnsi="宋体" w:eastAsia="宋体"/>
          <w:sz w:val="18"/>
        </w:rPr>
        <w:t>本条内容所指的行政处罚和正式约谈是指</w:t>
      </w:r>
      <w:r>
        <w:rPr>
          <w:rFonts w:hint="eastAsia" w:hAnsi="宋体" w:eastAsia="宋体"/>
          <w:sz w:val="18"/>
          <w:lang w:val="en-US" w:eastAsia="zh-CN"/>
        </w:rPr>
        <w:t>2023年4月1日</w:t>
      </w:r>
      <w:r>
        <w:rPr>
          <w:rFonts w:hint="eastAsia" w:ascii="宋体" w:hAnsi="宋体" w:eastAsia="宋体"/>
          <w:sz w:val="18"/>
        </w:rPr>
        <w:t>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r>
        <w:rPr>
          <w:rFonts w:hint="eastAsia" w:ascii="宋体" w:hAnsi="宋体" w:eastAsia="宋体"/>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5F5CA9"/>
    <w:rsid w:val="F7DFC60A"/>
    <w:rsid w:val="FF5F5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footnote text"/>
    <w:basedOn w:val="1"/>
    <w:next w:val="1"/>
    <w:qFormat/>
    <w:uiPriority w:val="99"/>
    <w:pPr>
      <w:adjustRightInd w:val="0"/>
      <w:snapToGrid w:val="0"/>
      <w:spacing w:line="420" w:lineRule="atLeast"/>
      <w:ind w:firstLine="454"/>
      <w:jc w:val="left"/>
      <w:textAlignment w:val="baseline"/>
    </w:pPr>
    <w:rPr>
      <w:kern w:val="0"/>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qFormat/>
    <w:uiPriority w:val="99"/>
    <w:rPr>
      <w:vertAlign w:val="superscript"/>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2023-05-25T23:12:00Z</dcterms:created>
  <dc:creator>    信者＂</dc:creator>
  <cp:lastModifiedBy>    信者＂</cp:lastModifiedBy>
  <dcterms:modified xsi:type="dcterms:W3CDTF">2023-05-25T16:45:07Z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5B0DFACD68A8EF90590A6F641CC9A604_41</vt:lpwstr>
  </property>
</Properties>
</file>