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76" w:lineRule="auto"/>
        <w:jc w:val="center"/>
        <w:rPr>
          <w:rFonts w:ascii="宋体" w:hAnsi="宋体"/>
          <w:b/>
          <w:color w:val="auto"/>
          <w:sz w:val="40"/>
          <w:szCs w:val="60"/>
          <w:highlight w:val="none"/>
        </w:rPr>
      </w:pPr>
      <w:bookmarkStart w:id="0" w:name="_Toc25072048"/>
    </w:p>
    <w:p>
      <w:pPr>
        <w:spacing w:before="2" w:line="276" w:lineRule="auto"/>
        <w:jc w:val="center"/>
        <w:rPr>
          <w:rFonts w:ascii="宋体" w:hAnsi="宋体"/>
          <w:b/>
          <w:color w:val="auto"/>
          <w:sz w:val="40"/>
          <w:szCs w:val="60"/>
          <w:highlight w:val="none"/>
        </w:rPr>
      </w:pPr>
    </w:p>
    <w:p>
      <w:pPr>
        <w:spacing w:before="2" w:line="276" w:lineRule="auto"/>
        <w:jc w:val="center"/>
        <w:rPr>
          <w:rFonts w:ascii="宋体" w:hAnsi="宋体"/>
          <w:b/>
          <w:color w:val="auto"/>
          <w:sz w:val="40"/>
          <w:szCs w:val="60"/>
          <w:highlight w:val="none"/>
        </w:rPr>
      </w:pPr>
      <w:r>
        <w:rPr>
          <w:rFonts w:hint="eastAsia" w:ascii="宋体" w:hAnsi="宋体"/>
          <w:b/>
          <w:color w:val="auto"/>
          <w:sz w:val="40"/>
          <w:szCs w:val="60"/>
          <w:highlight w:val="none"/>
        </w:rPr>
        <w:t>东部应急救援集训备勤基地项目勘察设计</w:t>
      </w: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jc w:val="center"/>
        <w:rPr>
          <w:rFonts w:ascii="宋体" w:hAnsi="宋体"/>
          <w:b/>
          <w:color w:val="auto"/>
          <w:sz w:val="96"/>
          <w:szCs w:val="84"/>
          <w:highlight w:val="none"/>
        </w:rPr>
      </w:pPr>
    </w:p>
    <w:p>
      <w:pPr>
        <w:jc w:val="center"/>
        <w:rPr>
          <w:rFonts w:ascii="宋体" w:hAnsi="宋体"/>
          <w:b/>
          <w:color w:val="auto"/>
          <w:sz w:val="96"/>
          <w:szCs w:val="84"/>
          <w:highlight w:val="none"/>
        </w:rPr>
      </w:pPr>
      <w:r>
        <w:rPr>
          <w:rFonts w:ascii="宋体" w:hAnsi="宋体"/>
          <w:b/>
          <w:color w:val="auto"/>
          <w:sz w:val="96"/>
          <w:szCs w:val="84"/>
          <w:highlight w:val="none"/>
        </w:rPr>
        <w:t>招标</w:t>
      </w:r>
      <w:r>
        <w:rPr>
          <w:rFonts w:hint="eastAsia" w:ascii="宋体" w:hAnsi="宋体"/>
          <w:b/>
          <w:color w:val="auto"/>
          <w:sz w:val="96"/>
          <w:szCs w:val="84"/>
          <w:highlight w:val="none"/>
        </w:rPr>
        <w:t>公告</w:t>
      </w:r>
    </w:p>
    <w:p>
      <w:pPr>
        <w:rPr>
          <w:rFonts w:ascii="宋体" w:hAnsi="宋体" w:cs="宋体"/>
          <w:color w:val="auto"/>
          <w:sz w:val="44"/>
          <w:szCs w:val="44"/>
          <w:highlight w:val="none"/>
        </w:rPr>
      </w:pPr>
    </w:p>
    <w:p>
      <w:pPr>
        <w:rPr>
          <w:rFonts w:ascii="宋体" w:hAnsi="宋体" w:cs="宋体"/>
          <w:color w:val="auto"/>
          <w:sz w:val="44"/>
          <w:szCs w:val="44"/>
          <w:highlight w:val="none"/>
        </w:rPr>
      </w:pPr>
    </w:p>
    <w:p>
      <w:pPr>
        <w:rPr>
          <w:rFonts w:ascii="宋体" w:hAnsi="宋体" w:cs="宋体"/>
          <w:color w:val="auto"/>
          <w:sz w:val="44"/>
          <w:szCs w:val="44"/>
          <w:highlight w:val="none"/>
        </w:rPr>
      </w:pPr>
    </w:p>
    <w:p>
      <w:pPr>
        <w:rPr>
          <w:rFonts w:ascii="宋体" w:hAnsi="宋体" w:cs="宋体"/>
          <w:color w:val="auto"/>
          <w:sz w:val="44"/>
          <w:szCs w:val="44"/>
          <w:highlight w:val="none"/>
        </w:rPr>
      </w:pPr>
    </w:p>
    <w:p>
      <w:pPr>
        <w:rPr>
          <w:rFonts w:ascii="宋体" w:hAnsi="宋体" w:cs="宋体"/>
          <w:color w:val="auto"/>
          <w:sz w:val="44"/>
          <w:szCs w:val="44"/>
          <w:highlight w:val="none"/>
        </w:rPr>
      </w:pPr>
    </w:p>
    <w:p>
      <w:pPr>
        <w:spacing w:before="8"/>
        <w:rPr>
          <w:rFonts w:ascii="宋体" w:hAnsi="宋体" w:cs="宋体"/>
          <w:color w:val="auto"/>
          <w:sz w:val="33"/>
          <w:szCs w:val="33"/>
          <w:highlight w:val="none"/>
        </w:rPr>
      </w:pPr>
    </w:p>
    <w:p>
      <w:pPr>
        <w:spacing w:before="8"/>
        <w:rPr>
          <w:rFonts w:ascii="宋体" w:hAnsi="宋体" w:cs="宋体"/>
          <w:color w:val="auto"/>
          <w:sz w:val="33"/>
          <w:szCs w:val="33"/>
          <w:highlight w:val="none"/>
        </w:rPr>
      </w:pPr>
    </w:p>
    <w:p>
      <w:pPr>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招   标   人:</w:t>
      </w:r>
      <w:r>
        <w:rPr>
          <w:rFonts w:hint="eastAsia"/>
          <w:color w:val="auto"/>
          <w:highlight w:val="none"/>
        </w:rPr>
        <w:t xml:space="preserve"> </w:t>
      </w:r>
      <w:r>
        <w:rPr>
          <w:rFonts w:hint="eastAsia" w:ascii="宋体" w:hAnsi="宋体"/>
          <w:b/>
          <w:color w:val="auto"/>
          <w:sz w:val="32"/>
          <w:szCs w:val="32"/>
          <w:highlight w:val="none"/>
        </w:rPr>
        <w:t>广州市城市排水有限公司</w:t>
      </w:r>
    </w:p>
    <w:p>
      <w:pPr>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招标代理机构：广东逸源工程顾问管理有限公司</w:t>
      </w:r>
    </w:p>
    <w:p>
      <w:pPr>
        <w:tabs>
          <w:tab w:val="left" w:pos="561"/>
        </w:tabs>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日        期：202</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月</w:t>
      </w:r>
    </w:p>
    <w:p>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lang w:eastAsia="zh-CN"/>
        </w:rPr>
        <w:t>东部应急救援集训备勤基地</w:t>
      </w:r>
      <w:r>
        <w:rPr>
          <w:rFonts w:hint="eastAsia" w:ascii="宋体" w:hAnsi="宋体"/>
          <w:b/>
          <w:color w:val="auto"/>
          <w:sz w:val="32"/>
          <w:szCs w:val="32"/>
          <w:highlight w:val="none"/>
        </w:rPr>
        <w:t>项目勘察设计招标公告</w:t>
      </w:r>
    </w:p>
    <w:p>
      <w:pPr>
        <w:pStyle w:val="5"/>
        <w:spacing w:line="360" w:lineRule="auto"/>
        <w:rPr>
          <w:rFonts w:ascii="宋体" w:hAnsi="宋体"/>
          <w:b/>
          <w:color w:val="auto"/>
          <w:sz w:val="21"/>
          <w:szCs w:val="21"/>
          <w:highlight w:val="none"/>
        </w:rPr>
      </w:pPr>
      <w:r>
        <w:rPr>
          <w:rFonts w:hint="eastAsia" w:ascii="宋体" w:hAnsi="宋体"/>
          <w:b/>
          <w:color w:val="auto"/>
          <w:spacing w:val="1"/>
          <w:sz w:val="21"/>
          <w:szCs w:val="21"/>
          <w:highlight w:val="none"/>
        </w:rPr>
        <w:t>1</w:t>
      </w:r>
      <w:r>
        <w:rPr>
          <w:rFonts w:hint="eastAsia" w:ascii="宋体" w:hAnsi="宋体"/>
          <w:b/>
          <w:color w:val="auto"/>
          <w:sz w:val="21"/>
          <w:szCs w:val="21"/>
          <w:highlight w:val="none"/>
        </w:rPr>
        <w:t>.招标条件</w:t>
      </w:r>
      <w:bookmarkEnd w:id="0"/>
    </w:p>
    <w:p>
      <w:pPr>
        <w:autoSpaceDE w:val="0"/>
        <w:autoSpaceDN w:val="0"/>
        <w:adjustRightInd w:val="0"/>
        <w:spacing w:before="8" w:line="360" w:lineRule="auto"/>
        <w:ind w:firstLine="480" w:firstLineChars="0"/>
        <w:jc w:val="left"/>
        <w:rPr>
          <w:rFonts w:hint="eastAsia" w:ascii="宋体" w:hAnsi="宋体"/>
          <w:color w:val="auto"/>
          <w:spacing w:val="-2"/>
          <w:kern w:val="0"/>
          <w:sz w:val="21"/>
          <w:szCs w:val="21"/>
          <w:highlight w:val="none"/>
        </w:rPr>
      </w:pPr>
      <w:r>
        <w:rPr>
          <w:rFonts w:hint="eastAsia" w:ascii="宋体" w:hAnsi="宋体"/>
          <w:color w:val="auto"/>
          <w:szCs w:val="21"/>
          <w:highlight w:val="none"/>
        </w:rPr>
        <w:t>本招标项目</w:t>
      </w:r>
      <w:r>
        <w:rPr>
          <w:rFonts w:hint="eastAsia" w:ascii="宋体" w:hAnsi="宋体"/>
          <w:color w:val="auto"/>
          <w:szCs w:val="21"/>
          <w:highlight w:val="none"/>
          <w:u w:val="single"/>
        </w:rPr>
        <w:t>东部应急救援集训备勤基地</w:t>
      </w:r>
      <w:r>
        <w:rPr>
          <w:rFonts w:hint="eastAsia" w:ascii="宋体" w:hAnsi="宋体"/>
          <w:color w:val="auto"/>
          <w:szCs w:val="21"/>
          <w:highlight w:val="none"/>
        </w:rPr>
        <w:t>已</w:t>
      </w:r>
      <w:r>
        <w:rPr>
          <w:rFonts w:hint="eastAsia" w:ascii="宋体" w:hAnsi="宋体"/>
          <w:color w:val="auto"/>
          <w:szCs w:val="21"/>
          <w:highlight w:val="none"/>
          <w:lang w:val="en-US" w:eastAsia="zh-CN"/>
        </w:rPr>
        <w:t>取得</w:t>
      </w:r>
      <w:r>
        <w:rPr>
          <w:rFonts w:hint="eastAsia" w:ascii="宋体" w:hAnsi="宋体"/>
          <w:color w:val="auto"/>
          <w:szCs w:val="21"/>
          <w:highlight w:val="none"/>
          <w:u w:val="single"/>
          <w:lang w:val="en-US" w:eastAsia="zh-CN"/>
        </w:rPr>
        <w:t xml:space="preserve"> 广东省企业投资项目备案证(项目代码：2302-440112-04-01-970722)</w:t>
      </w:r>
      <w:r>
        <w:rPr>
          <w:rFonts w:hint="eastAsia" w:ascii="宋体" w:hAnsi="宋体"/>
          <w:color w:val="auto"/>
          <w:szCs w:val="21"/>
          <w:highlight w:val="none"/>
        </w:rPr>
        <w:t>，项目业主为</w:t>
      </w:r>
      <w:r>
        <w:rPr>
          <w:rFonts w:hint="eastAsia" w:ascii="宋体" w:hAnsi="宋体"/>
          <w:color w:val="auto"/>
          <w:szCs w:val="21"/>
          <w:highlight w:val="none"/>
          <w:u w:val="single"/>
        </w:rPr>
        <w:t>广州市城市排水有限公司</w:t>
      </w:r>
      <w:r>
        <w:rPr>
          <w:rFonts w:hint="eastAsia" w:ascii="宋体" w:hAnsi="宋体" w:cs="宋体"/>
          <w:color w:val="auto"/>
          <w:szCs w:val="21"/>
          <w:highlight w:val="none"/>
        </w:rPr>
        <w:t>，</w:t>
      </w:r>
      <w:r>
        <w:rPr>
          <w:rFonts w:ascii="宋体" w:hAnsi="宋体"/>
          <w:color w:val="auto"/>
          <w:szCs w:val="21"/>
          <w:highlight w:val="none"/>
        </w:rPr>
        <w:t>建设资金来自</w:t>
      </w:r>
      <w:r>
        <w:rPr>
          <w:rFonts w:hint="eastAsia" w:ascii="宋体" w:hAnsi="宋体"/>
          <w:color w:val="auto"/>
          <w:szCs w:val="21"/>
          <w:highlight w:val="none"/>
          <w:u w:val="single"/>
          <w:lang w:val="en-US" w:eastAsia="zh-CN"/>
        </w:rPr>
        <w:t>企业自有资金</w:t>
      </w:r>
      <w:r>
        <w:rPr>
          <w:rFonts w:ascii="宋体" w:hAnsi="宋体"/>
          <w:color w:val="auto"/>
          <w:szCs w:val="21"/>
          <w:highlight w:val="none"/>
        </w:rPr>
        <w:t>，出资比例为</w:t>
      </w:r>
      <w:r>
        <w:rPr>
          <w:rFonts w:hint="eastAsia" w:ascii="宋体" w:hAnsi="宋体"/>
          <w:color w:val="auto"/>
          <w:szCs w:val="21"/>
          <w:highlight w:val="none"/>
          <w:u w:val="single"/>
        </w:rPr>
        <w:t>100%</w:t>
      </w:r>
      <w:r>
        <w:rPr>
          <w:rFonts w:ascii="宋体" w:hAnsi="宋体"/>
          <w:color w:val="auto"/>
          <w:szCs w:val="21"/>
          <w:highlight w:val="none"/>
        </w:rPr>
        <w:t>，</w:t>
      </w:r>
      <w:r>
        <w:rPr>
          <w:rFonts w:hint="eastAsia" w:ascii="宋体" w:hAnsi="宋体"/>
          <w:color w:val="auto"/>
          <w:szCs w:val="21"/>
          <w:highlight w:val="none"/>
        </w:rPr>
        <w:t>招标人为</w:t>
      </w:r>
      <w:r>
        <w:rPr>
          <w:rFonts w:hint="eastAsia" w:ascii="宋体" w:hAnsi="宋体"/>
          <w:color w:val="auto"/>
          <w:szCs w:val="21"/>
          <w:highlight w:val="none"/>
          <w:u w:val="single"/>
        </w:rPr>
        <w:t>广州市城市排水有限公司</w:t>
      </w:r>
      <w:r>
        <w:rPr>
          <w:rFonts w:hint="eastAsia" w:ascii="宋体" w:hAnsi="宋体"/>
          <w:color w:val="auto"/>
          <w:szCs w:val="21"/>
          <w:highlight w:val="none"/>
        </w:rPr>
        <w:t>。</w:t>
      </w:r>
      <w:r>
        <w:rPr>
          <w:rFonts w:hint="eastAsia" w:ascii="宋体" w:hAnsi="宋体"/>
          <w:color w:val="auto"/>
          <w:spacing w:val="-2"/>
          <w:kern w:val="0"/>
          <w:sz w:val="21"/>
          <w:szCs w:val="21"/>
          <w:highlight w:val="none"/>
        </w:rPr>
        <w:t>项目已具备招标条件，现对该</w:t>
      </w:r>
      <w:r>
        <w:rPr>
          <w:rFonts w:hint="eastAsia" w:ascii="宋体" w:hAnsi="宋体"/>
          <w:color w:val="auto"/>
          <w:spacing w:val="-2"/>
          <w:kern w:val="0"/>
          <w:sz w:val="21"/>
          <w:szCs w:val="21"/>
          <w:highlight w:val="none"/>
          <w:lang w:val="en-US" w:eastAsia="zh-CN"/>
        </w:rPr>
        <w:t>项目的</w:t>
      </w:r>
      <w:r>
        <w:rPr>
          <w:rFonts w:hint="eastAsia" w:ascii="宋体" w:hAnsi="宋体"/>
          <w:color w:val="auto"/>
          <w:spacing w:val="-2"/>
          <w:kern w:val="0"/>
          <w:sz w:val="21"/>
          <w:szCs w:val="21"/>
          <w:highlight w:val="none"/>
          <w:u w:val="single"/>
          <w:lang w:val="en-US" w:eastAsia="zh-CN"/>
        </w:rPr>
        <w:t>勘察设计</w:t>
      </w:r>
      <w:r>
        <w:rPr>
          <w:rFonts w:hint="eastAsia" w:ascii="宋体" w:hAnsi="宋体"/>
          <w:color w:val="auto"/>
          <w:spacing w:val="-2"/>
          <w:kern w:val="0"/>
          <w:sz w:val="21"/>
          <w:szCs w:val="21"/>
          <w:highlight w:val="none"/>
        </w:rPr>
        <w:t>进行公开招标。</w:t>
      </w:r>
    </w:p>
    <w:p>
      <w:pPr>
        <w:pStyle w:val="5"/>
        <w:spacing w:line="360" w:lineRule="auto"/>
        <w:rPr>
          <w:rFonts w:ascii="宋体" w:hAnsi="宋体"/>
          <w:b/>
          <w:color w:val="auto"/>
          <w:spacing w:val="1"/>
          <w:sz w:val="21"/>
          <w:szCs w:val="21"/>
          <w:highlight w:val="none"/>
        </w:rPr>
      </w:pPr>
      <w:bookmarkStart w:id="1" w:name="_Toc25072049"/>
      <w:r>
        <w:rPr>
          <w:rFonts w:hint="eastAsia" w:ascii="宋体" w:hAnsi="宋体"/>
          <w:b/>
          <w:color w:val="auto"/>
          <w:spacing w:val="1"/>
          <w:sz w:val="21"/>
          <w:szCs w:val="21"/>
          <w:highlight w:val="none"/>
        </w:rPr>
        <w:t>2.项目概况与招标范围</w:t>
      </w:r>
      <w:bookmarkEnd w:id="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  招标项目概况</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2.1.1  招标项目名称：</w:t>
      </w:r>
      <w:r>
        <w:rPr>
          <w:rFonts w:hint="eastAsia" w:ascii="宋体" w:hAnsi="宋体"/>
          <w:color w:val="auto"/>
          <w:szCs w:val="21"/>
          <w:highlight w:val="none"/>
          <w:u w:val="single"/>
          <w:lang w:eastAsia="zh-CN"/>
        </w:rPr>
        <w:t>东部应急救援集训备勤基地</w:t>
      </w:r>
      <w:r>
        <w:rPr>
          <w:rFonts w:hint="eastAsia" w:ascii="宋体" w:hAnsi="宋体"/>
          <w:color w:val="auto"/>
          <w:szCs w:val="21"/>
          <w:highlight w:val="none"/>
          <w:u w:val="single"/>
        </w:rPr>
        <w:t>项目勘察设计</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2.1.2  工程建设地点：</w:t>
      </w:r>
      <w:r>
        <w:rPr>
          <w:rFonts w:hint="eastAsia" w:ascii="宋体" w:hAnsi="宋体"/>
          <w:color w:val="auto"/>
          <w:szCs w:val="21"/>
          <w:highlight w:val="none"/>
          <w:u w:val="single"/>
        </w:rPr>
        <w:t>广州市黄埔区 A60217004 地块（位于东捷路，捷胜路交界，广深高速以南）。</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2.1.3  招标内容</w:t>
      </w:r>
      <w:r>
        <w:rPr>
          <w:rFonts w:hint="eastAsia" w:ascii="宋体" w:hAnsi="宋体"/>
          <w:color w:val="auto"/>
          <w:szCs w:val="21"/>
          <w:highlight w:val="none"/>
          <w:lang w:val="en-US" w:eastAsia="zh-CN"/>
        </w:rPr>
        <w:t>及</w:t>
      </w:r>
      <w:r>
        <w:rPr>
          <w:rFonts w:hint="eastAsia" w:ascii="宋体" w:hAnsi="宋体"/>
          <w:color w:val="auto"/>
          <w:szCs w:val="21"/>
          <w:highlight w:val="none"/>
        </w:rPr>
        <w:t>规模：一期建一栋主楼及地下室一层。总建筑面积 16335 平方米，其中：地上建筑面积 10335 平方米，地下建筑面积 6000 平方米。建筑高度 40m 以下。</w:t>
      </w:r>
    </w:p>
    <w:p>
      <w:pPr>
        <w:spacing w:line="360" w:lineRule="auto"/>
        <w:ind w:firstLine="0" w:firstLineChars="0"/>
        <w:jc w:val="left"/>
        <w:rPr>
          <w:rFonts w:ascii="宋体" w:hAnsi="宋体"/>
          <w:color w:val="auto"/>
          <w:szCs w:val="21"/>
          <w:highlight w:val="none"/>
        </w:rPr>
      </w:pPr>
      <w:r>
        <w:rPr>
          <w:rFonts w:hint="eastAsia" w:ascii="Calibri" w:hAnsi="Calibri"/>
          <w:color w:val="auto"/>
          <w:kern w:val="2"/>
          <w:szCs w:val="24"/>
          <w:highlight w:val="none"/>
          <w:lang w:val="en-US" w:eastAsia="zh-CN"/>
        </w:rPr>
        <w:t xml:space="preserve">    </w:t>
      </w:r>
      <w:r>
        <w:rPr>
          <w:rFonts w:hint="eastAsia" w:ascii="宋体" w:hAnsi="宋体"/>
          <w:color w:val="auto"/>
          <w:szCs w:val="21"/>
          <w:highlight w:val="none"/>
        </w:rPr>
        <w:t>2.1.4  规划用地文件：</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2.1.5  项目批准文件：</w:t>
      </w:r>
      <w:r>
        <w:rPr>
          <w:rFonts w:hint="eastAsia" w:ascii="宋体" w:hAnsi="宋体"/>
          <w:color w:val="auto"/>
          <w:szCs w:val="21"/>
          <w:highlight w:val="none"/>
          <w:lang w:val="en-US" w:eastAsia="zh-CN"/>
        </w:rPr>
        <w:t>广东省企业投资项目备案证(项目代码2302-440112-04-01-970722)</w:t>
      </w:r>
      <w:r>
        <w:rPr>
          <w:rFonts w:hint="eastAsia" w:ascii="宋体" w:hAnsi="宋体"/>
          <w:color w:val="auto"/>
          <w:szCs w:val="21"/>
          <w:highlight w:val="none"/>
          <w:u w:val="single"/>
          <w:lang w:val="en-US" w:eastAsia="zh-CN"/>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2.1.6  资金来源：</w:t>
      </w:r>
      <w:r>
        <w:rPr>
          <w:rFonts w:hint="eastAsia" w:ascii="宋体" w:hAnsi="宋体"/>
          <w:color w:val="auto"/>
          <w:szCs w:val="21"/>
          <w:highlight w:val="none"/>
          <w:u w:val="single"/>
          <w:lang w:val="en-US" w:eastAsia="zh-CN"/>
        </w:rPr>
        <w:t>企业自有资金</w:t>
      </w:r>
      <w:r>
        <w:rPr>
          <w:rFonts w:hint="eastAsia" w:ascii="宋体" w:hAnsi="宋体"/>
          <w:color w:val="auto"/>
          <w:szCs w:val="21"/>
          <w:highlight w:val="none"/>
          <w:u w:val="single"/>
        </w:rPr>
        <w:t>。</w:t>
      </w:r>
    </w:p>
    <w:p>
      <w:pPr>
        <w:spacing w:line="360" w:lineRule="auto"/>
        <w:ind w:firstLine="420" w:firstLineChars="200"/>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2.1.7  投资总额：项目总投资为14997.63万元， 其中工程费11040.25万元，工程建设其他费2921.49万元，基本预备费1035.90万</w:t>
      </w:r>
      <w:r>
        <w:rPr>
          <w:rFonts w:hint="eastAsia" w:ascii="宋体" w:hAnsi="宋体"/>
          <w:color w:val="auto"/>
          <w:szCs w:val="21"/>
          <w:highlight w:val="none"/>
          <w:u w:val="none"/>
        </w:rPr>
        <w:t>元</w:t>
      </w:r>
      <w:r>
        <w:rPr>
          <w:rFonts w:hint="eastAsia" w:ascii="宋体" w:hAnsi="宋体"/>
          <w:color w:val="auto"/>
          <w:szCs w:val="21"/>
          <w:highlight w:val="none"/>
          <w:u w:val="none"/>
          <w:lang w:val="en-US" w:eastAsia="zh-CN"/>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  招标范围及招标内容：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完成本项目所有的勘察设计工作，主要包括：（1）工程勘察工作：包括且不限于岩土工程勘察、物探、测试检测监测</w:t>
      </w:r>
      <w:r>
        <w:rPr>
          <w:rFonts w:hint="eastAsia" w:ascii="宋体" w:hAnsi="宋体"/>
          <w:strike w:val="0"/>
          <w:color w:val="auto"/>
          <w:szCs w:val="21"/>
          <w:highlight w:val="none"/>
        </w:rPr>
        <w:t>、工程测量</w:t>
      </w:r>
      <w:r>
        <w:rPr>
          <w:rFonts w:hint="eastAsia" w:ascii="宋体" w:hAnsi="宋体"/>
          <w:color w:val="auto"/>
          <w:szCs w:val="21"/>
          <w:highlight w:val="none"/>
        </w:rPr>
        <w:t>等。（</w:t>
      </w:r>
      <w:r>
        <w:rPr>
          <w:rFonts w:hint="eastAsia" w:ascii="宋体" w:hAnsi="宋体"/>
          <w:color w:val="auto"/>
          <w:szCs w:val="21"/>
          <w:highlight w:val="none"/>
          <w:lang w:val="en-US" w:eastAsia="zh-CN"/>
        </w:rPr>
        <w:t>2</w:t>
      </w:r>
      <w:r>
        <w:rPr>
          <w:rFonts w:hint="eastAsia" w:ascii="宋体" w:hAnsi="宋体"/>
          <w:color w:val="auto"/>
          <w:szCs w:val="21"/>
          <w:highlight w:val="none"/>
        </w:rPr>
        <w:t>）设计主要阶段：方案</w:t>
      </w:r>
      <w:r>
        <w:rPr>
          <w:rFonts w:hint="eastAsia" w:ascii="宋体" w:hAnsi="宋体"/>
          <w:color w:val="auto"/>
          <w:szCs w:val="21"/>
          <w:highlight w:val="none"/>
          <w:lang w:val="en-US" w:eastAsia="zh-CN"/>
        </w:rPr>
        <w:t>修改</w:t>
      </w:r>
      <w:r>
        <w:rPr>
          <w:rFonts w:hint="eastAsia" w:ascii="宋体" w:hAnsi="宋体"/>
          <w:color w:val="auto"/>
          <w:szCs w:val="21"/>
          <w:highlight w:val="none"/>
        </w:rPr>
        <w:t>、初步设计及概算编制、施工图设计及施工图预算编制、</w:t>
      </w:r>
      <w:r>
        <w:rPr>
          <w:rFonts w:hint="eastAsia" w:ascii="宋体" w:hAnsi="宋体" w:eastAsia="宋体" w:cs="Times New Roman"/>
          <w:color w:val="auto"/>
          <w:kern w:val="2"/>
          <w:sz w:val="21"/>
          <w:szCs w:val="21"/>
          <w:highlight w:val="none"/>
          <w:lang w:val="en-US" w:eastAsia="zh-CN" w:bidi="ar"/>
        </w:rPr>
        <w:t>BIM设计</w:t>
      </w:r>
      <w:r>
        <w:rPr>
          <w:rFonts w:hint="eastAsia" w:ascii="宋体" w:hAnsi="宋体" w:cs="Times New Roman"/>
          <w:color w:val="auto"/>
          <w:kern w:val="2"/>
          <w:sz w:val="21"/>
          <w:szCs w:val="21"/>
          <w:highlight w:val="none"/>
          <w:lang w:val="en-US" w:eastAsia="zh-CN" w:bidi="ar"/>
        </w:rPr>
        <w:t>、</w:t>
      </w:r>
      <w:r>
        <w:rPr>
          <w:rFonts w:hint="eastAsia" w:ascii="宋体" w:hAnsi="宋体"/>
          <w:color w:val="auto"/>
          <w:szCs w:val="21"/>
          <w:highlight w:val="none"/>
        </w:rPr>
        <w:t>现场服务（含设计变更）、配合施工及配合发包人报规（如有）、报建（如有）、验收等工作内容。包括但不限于以下内容：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(1)勘察：■岩土工程勘察、</w:t>
      </w:r>
      <w:r>
        <w:rPr>
          <w:rFonts w:hint="eastAsia" w:ascii="宋体" w:hAnsi="宋体"/>
          <w:strike w:val="0"/>
          <w:color w:val="auto"/>
          <w:szCs w:val="21"/>
          <w:highlight w:val="none"/>
        </w:rPr>
        <w:t>■工程测量（满足设计、规划、国土等报建需求）、</w:t>
      </w:r>
      <w:r>
        <w:rPr>
          <w:rFonts w:hint="eastAsia" w:ascii="宋体" w:hAnsi="宋体"/>
          <w:color w:val="auto"/>
          <w:szCs w:val="21"/>
          <w:highlight w:val="none"/>
        </w:rPr>
        <w:t>■工程物探（含管线探测）、■现场服务）。</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（2）设计：■方案修改、■初步设计及概算、■施工图设计、■预算编制、□竣工图编制</w:t>
      </w:r>
      <w:r>
        <w:rPr>
          <w:rFonts w:hint="eastAsia" w:ascii="宋体" w:hAnsi="宋体"/>
          <w:color w:val="auto"/>
          <w:szCs w:val="21"/>
          <w:highlight w:val="none"/>
          <w:lang w:eastAsia="zh-CN"/>
        </w:rPr>
        <w:t>、</w:t>
      </w:r>
      <w:r>
        <w:rPr>
          <w:rFonts w:hint="eastAsia" w:ascii="宋体" w:hAnsi="宋体"/>
          <w:color w:val="auto"/>
          <w:szCs w:val="21"/>
          <w:highlight w:val="none"/>
        </w:rPr>
        <w:t>■相关报建及现场服务（含工程变更）</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default" w:ascii="Times New Roman" w:hAnsi="Times New Roman" w:eastAsia="宋体" w:cs="Times New Roman"/>
          <w:color w:val="auto"/>
          <w:kern w:val="0"/>
          <w:sz w:val="22"/>
          <w:szCs w:val="22"/>
          <w:highlight w:val="none"/>
          <w:lang w:val="en-US" w:eastAsia="zh-CN" w:bidi="ar"/>
        </w:rPr>
        <w:t>BIM</w:t>
      </w:r>
      <w:r>
        <w:rPr>
          <w:rFonts w:hint="eastAsia" w:ascii="宋体" w:hAnsi="宋体" w:eastAsia="宋体" w:cs="宋体"/>
          <w:color w:val="auto"/>
          <w:kern w:val="0"/>
          <w:sz w:val="22"/>
          <w:szCs w:val="22"/>
          <w:highlight w:val="none"/>
          <w:lang w:val="en-US" w:eastAsia="zh-CN" w:bidi="ar"/>
        </w:rPr>
        <w:t>设计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（3）其他：■设计跟踪服务及其他相关图纸设计、■配合规划报建验收；协助发包人办理其他专业报批手续及与地方行政主管部门协调等。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具体详见勘察设计任务书。</w:t>
      </w:r>
    </w:p>
    <w:p>
      <w:pPr>
        <w:spacing w:line="360" w:lineRule="auto"/>
        <w:ind w:firstLine="316" w:firstLineChars="150"/>
        <w:rPr>
          <w:rFonts w:ascii="宋体" w:hAnsi="宋体" w:cs="宋体"/>
          <w:b/>
          <w:bCs/>
          <w:color w:val="auto"/>
          <w:szCs w:val="21"/>
          <w:highlight w:val="none"/>
          <w:u w:val="single"/>
        </w:rPr>
      </w:pPr>
      <w:r>
        <w:rPr>
          <w:rFonts w:hint="eastAsia" w:ascii="宋体" w:hAnsi="宋体" w:cs="宋体"/>
          <w:b/>
          <w:bCs/>
          <w:color w:val="auto"/>
          <w:szCs w:val="21"/>
          <w:highlight w:val="none"/>
          <w:u w:val="single"/>
        </w:rPr>
        <w:t>各阶段的设计工作的服务深度需满足现行国家、省、市有关规范规定以及有关职能审批部门的要求。具体工作内容及要求详见本项目的合同条款的有关约定。</w:t>
      </w:r>
    </w:p>
    <w:p>
      <w:pPr>
        <w:pStyle w:val="5"/>
        <w:rPr>
          <w:rFonts w:ascii="宋体" w:hAnsi="宋体"/>
          <w:b/>
          <w:color w:val="auto"/>
          <w:spacing w:val="1"/>
          <w:sz w:val="21"/>
          <w:szCs w:val="21"/>
          <w:highlight w:val="none"/>
        </w:rPr>
      </w:pPr>
      <w:r>
        <w:rPr>
          <w:rFonts w:hint="eastAsia" w:ascii="宋体" w:hAnsi="宋体"/>
          <w:b/>
          <w:color w:val="auto"/>
          <w:spacing w:val="1"/>
          <w:sz w:val="21"/>
          <w:szCs w:val="21"/>
          <w:highlight w:val="none"/>
        </w:rPr>
        <w:t>3.设计服务期、工作目标：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3.1勘察工期：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合同签订后，承包人收到发包人对该项目勘察工作大纲批复之日起计20工作日内提交勘察成果文件。如果延误工期，承包人向发包人支付的误期损害赔偿费每天为最终勘察合同价格的</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%；误期损害赔偿费的最高限额为最终勘察合同价格。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3.2设计工期：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lang w:val="en-US" w:eastAsia="zh-CN"/>
        </w:rPr>
        <w:t>承包</w:t>
      </w:r>
      <w:r>
        <w:rPr>
          <w:rFonts w:hint="eastAsia" w:ascii="宋体" w:hAnsi="宋体" w:cs="宋体"/>
          <w:color w:val="auto"/>
          <w:szCs w:val="21"/>
          <w:highlight w:val="none"/>
        </w:rPr>
        <w:t>人应在设计合同签订后15 工作日内完成方案修改，方案批复后10工作日内完成初步设计，初步设计审查通过后10工作日内完成施工图设计及设计概算，施工图设计文件经审查发现问题后10工作日内完成补充、修改。如果延误工期，承包人向发包人支付的误期损害赔偿费每天为最终设计合同价格的</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%；误期损害赔偿费的最高限额为最终设计合同价格。</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3.3工作目标：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资控制目标：在保证设计质量的前提下，全过程实行限额设计,在包含完整批复初步设计概算全部建设内容的前提下，必须按照政府主管部门确定的投资额度和要求严格控制，实行投资控制，严格控制初步设计和施工图设计的变更，确保工程概、预算不突破投资目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（2）质量控制目标：满足国家关于设计行业相关技术规范条文的要求，严格执行国家工程建设标准强制性条文，按照国家最新颁布《建筑工程施工质量验收统一标准》（GB 50300-2013）及相应配套的各专业验收规范配合施工单位，按施工图纸（含变更后）要求一次验收合格。</w:t>
      </w:r>
    </w:p>
    <w:p>
      <w:pPr>
        <w:pStyle w:val="5"/>
        <w:rPr>
          <w:rFonts w:ascii="宋体" w:hAnsi="宋体"/>
          <w:b/>
          <w:color w:val="auto"/>
          <w:spacing w:val="1"/>
          <w:sz w:val="21"/>
          <w:szCs w:val="21"/>
          <w:highlight w:val="none"/>
        </w:rPr>
      </w:pPr>
      <w:r>
        <w:rPr>
          <w:rFonts w:hint="eastAsia" w:ascii="宋体" w:hAnsi="宋体"/>
          <w:b/>
          <w:color w:val="auto"/>
          <w:spacing w:val="1"/>
          <w:sz w:val="21"/>
          <w:szCs w:val="21"/>
          <w:highlight w:val="none"/>
        </w:rPr>
        <w:t>4. 投标限价</w:t>
      </w:r>
    </w:p>
    <w:p>
      <w:pPr>
        <w:snapToGrid w:val="0"/>
        <w:spacing w:line="360" w:lineRule="auto"/>
        <w:ind w:firstLine="420" w:firstLineChars="200"/>
        <w:rPr>
          <w:rFonts w:hint="default" w:ascii="宋体" w:hAnsi="宋体" w:eastAsia="宋体" w:cs="宋体"/>
          <w:color w:val="auto"/>
          <w:sz w:val="21"/>
          <w:szCs w:val="21"/>
          <w:highlight w:val="none"/>
          <w:u w:val="none"/>
          <w:lang w:val="en-US" w:eastAsia="zh-CN"/>
        </w:rPr>
      </w:pPr>
      <w:r>
        <w:rPr>
          <w:rFonts w:hint="eastAsia" w:ascii="宋体" w:hAnsi="宋体"/>
          <w:color w:val="auto"/>
          <w:szCs w:val="21"/>
          <w:highlight w:val="none"/>
        </w:rPr>
        <w:t>4.1</w:t>
      </w:r>
      <w:r>
        <w:rPr>
          <w:rFonts w:hint="eastAsia" w:ascii="宋体" w:hAnsi="宋体" w:eastAsia="宋体" w:cs="宋体"/>
          <w:color w:val="auto"/>
          <w:sz w:val="21"/>
          <w:szCs w:val="21"/>
          <w:highlight w:val="none"/>
          <w:u w:val="none"/>
          <w:lang w:eastAsia="zh-CN"/>
        </w:rPr>
        <w:t>最高</w:t>
      </w:r>
      <w:r>
        <w:rPr>
          <w:rFonts w:hint="eastAsia" w:ascii="宋体" w:hAnsi="宋体" w:eastAsia="宋体" w:cs="宋体"/>
          <w:color w:val="auto"/>
          <w:sz w:val="21"/>
          <w:szCs w:val="21"/>
          <w:highlight w:val="none"/>
          <w:u w:val="none"/>
          <w:lang w:val="en-US" w:eastAsia="zh-CN"/>
        </w:rPr>
        <w:t>投标限价</w:t>
      </w:r>
      <w:r>
        <w:rPr>
          <w:rFonts w:hint="eastAsia" w:ascii="宋体" w:hAnsi="宋体" w:eastAsia="宋体" w:cs="宋体"/>
          <w:color w:val="auto"/>
          <w:sz w:val="21"/>
          <w:szCs w:val="21"/>
          <w:highlight w:val="none"/>
          <w:u w:val="none"/>
          <w:lang w:eastAsia="zh-CN"/>
        </w:rPr>
        <w:t>（招标控制价）：568.8万元</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其中：</w:t>
      </w:r>
    </w:p>
    <w:p>
      <w:pPr>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勘察费</w:t>
      </w:r>
      <w:r>
        <w:rPr>
          <w:rFonts w:hint="eastAsia" w:ascii="宋体" w:hAnsi="宋体" w:eastAsia="宋体" w:cs="宋体"/>
          <w:color w:val="auto"/>
          <w:sz w:val="21"/>
          <w:szCs w:val="21"/>
          <w:highlight w:val="none"/>
          <w:u w:val="none"/>
          <w:lang w:eastAsia="zh-CN"/>
        </w:rPr>
        <w:t>招标控制价</w:t>
      </w:r>
      <w:r>
        <w:rPr>
          <w:rFonts w:hint="eastAsia" w:ascii="宋体" w:hAnsi="宋体" w:eastAsia="宋体" w:cs="宋体"/>
          <w:color w:val="auto"/>
          <w:sz w:val="21"/>
          <w:szCs w:val="21"/>
          <w:highlight w:val="none"/>
          <w:u w:val="none"/>
          <w:lang w:val="en-US" w:eastAsia="zh-CN"/>
        </w:rPr>
        <w:t>为：85.67万元</w:t>
      </w:r>
      <w:r>
        <w:rPr>
          <w:rFonts w:hint="eastAsia" w:ascii="宋体" w:hAnsi="宋体" w:cs="宋体"/>
          <w:color w:val="auto"/>
          <w:sz w:val="21"/>
          <w:szCs w:val="21"/>
          <w:highlight w:val="none"/>
          <w:u w:val="none"/>
          <w:lang w:val="en-US" w:eastAsia="zh-CN"/>
        </w:rPr>
        <w:t>；</w:t>
      </w:r>
    </w:p>
    <w:p>
      <w:pPr>
        <w:snapToGrid w:val="0"/>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u w:val="none"/>
          <w:lang w:val="en-US" w:eastAsia="zh-CN"/>
        </w:rPr>
        <w:t>设计费</w:t>
      </w:r>
      <w:r>
        <w:rPr>
          <w:rFonts w:hint="eastAsia" w:ascii="宋体" w:hAnsi="宋体" w:eastAsia="宋体" w:cs="宋体"/>
          <w:color w:val="auto"/>
          <w:sz w:val="21"/>
          <w:szCs w:val="21"/>
          <w:highlight w:val="none"/>
          <w:u w:val="none"/>
          <w:lang w:eastAsia="zh-CN"/>
        </w:rPr>
        <w:t>招标控制价</w:t>
      </w:r>
      <w:r>
        <w:rPr>
          <w:rFonts w:hint="eastAsia" w:ascii="宋体" w:hAnsi="宋体" w:cs="宋体"/>
          <w:color w:val="auto"/>
          <w:sz w:val="21"/>
          <w:szCs w:val="21"/>
          <w:highlight w:val="none"/>
          <w:u w:val="none"/>
          <w:lang w:val="en-US" w:eastAsia="zh-CN"/>
        </w:rPr>
        <w:t>为：483.13万元（基本</w:t>
      </w:r>
      <w:r>
        <w:rPr>
          <w:rFonts w:hint="eastAsia" w:ascii="宋体" w:hAnsi="宋体" w:eastAsia="宋体" w:cs="宋体"/>
          <w:color w:val="auto"/>
          <w:sz w:val="21"/>
          <w:szCs w:val="21"/>
          <w:highlight w:val="none"/>
          <w:u w:val="none"/>
          <w:lang w:val="en-US" w:eastAsia="zh-CN"/>
        </w:rPr>
        <w:t>设计费为：388.80万元，BIM设计费为55.45万元，预算编制费为38.88万元</w:t>
      </w:r>
      <w:r>
        <w:rPr>
          <w:rFonts w:hint="eastAsia" w:ascii="宋体" w:hAnsi="宋体" w:cs="宋体"/>
          <w:color w:val="auto"/>
          <w:sz w:val="21"/>
          <w:szCs w:val="21"/>
          <w:highlight w:val="none"/>
          <w:u w:val="none"/>
          <w:lang w:val="en-US" w:eastAsia="zh-CN"/>
        </w:rPr>
        <w:t>）</w:t>
      </w:r>
      <w:r>
        <w:rPr>
          <w:rFonts w:hint="eastAsia" w:ascii="宋体" w:hAnsi="宋体"/>
          <w:color w:val="auto"/>
          <w:szCs w:val="21"/>
          <w:highlight w:val="none"/>
          <w:lang w:val="en-US" w:eastAsia="zh-CN"/>
        </w:rPr>
        <w:t>。</w:t>
      </w:r>
    </w:p>
    <w:p>
      <w:pPr>
        <w:snapToGrid w:val="0"/>
        <w:spacing w:line="360" w:lineRule="auto"/>
        <w:ind w:firstLine="420" w:firstLineChars="200"/>
        <w:rPr>
          <w:color w:val="auto"/>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设计收费实行市场调节价，投标人自主报价，投标报价不得高于设计费的最高投标限价</w:t>
      </w:r>
      <w:r>
        <w:rPr>
          <w:rFonts w:hint="eastAsia" w:ascii="宋体" w:hAnsi="宋体" w:cs="宋体"/>
          <w:color w:val="auto"/>
          <w:szCs w:val="21"/>
          <w:highlight w:val="none"/>
          <w:lang w:eastAsia="zh-CN"/>
        </w:rPr>
        <w:t>。</w:t>
      </w:r>
    </w:p>
    <w:p>
      <w:pPr>
        <w:pStyle w:val="5"/>
        <w:spacing w:line="360" w:lineRule="auto"/>
        <w:rPr>
          <w:rFonts w:ascii="宋体" w:hAnsi="宋体"/>
          <w:b/>
          <w:color w:val="auto"/>
          <w:spacing w:val="1"/>
          <w:sz w:val="21"/>
          <w:szCs w:val="21"/>
          <w:highlight w:val="none"/>
        </w:rPr>
      </w:pPr>
      <w:bookmarkStart w:id="2" w:name="_Toc25072050"/>
      <w:r>
        <w:rPr>
          <w:rFonts w:hint="eastAsia" w:ascii="宋体" w:hAnsi="宋体"/>
          <w:b/>
          <w:color w:val="auto"/>
          <w:spacing w:val="1"/>
          <w:sz w:val="21"/>
          <w:szCs w:val="21"/>
          <w:highlight w:val="none"/>
        </w:rPr>
        <w:t>5.投标人资格要求</w:t>
      </w:r>
      <w:bookmarkEnd w:id="2"/>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  投标人（如为联合体，要求联合体各方）具有独立法人资格，持有工商行政管理部门核发的有效法人营业执照，按国家法律经营。</w:t>
      </w:r>
    </w:p>
    <w:p>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  投标人须具备建设行政主管部门颁发的且现行有效的（1）和（2）资质：</w:t>
      </w:r>
    </w:p>
    <w:p>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（1）工程设计综合甲级资质，或建筑行业设计乙级或以上资质，或建筑行业（建筑工程）专业设计乙级或以上资质，或建筑工程设计事务所资质；</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（2）工程勘察综合甲级资质</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或岩土工程</w:t>
      </w:r>
      <w:r>
        <w:rPr>
          <w:rFonts w:hint="eastAsia" w:ascii="宋体" w:hAnsi="宋体"/>
          <w:color w:val="auto"/>
          <w:kern w:val="0"/>
          <w:szCs w:val="21"/>
          <w:highlight w:val="none"/>
          <w:lang w:val="en-US" w:eastAsia="zh-CN"/>
        </w:rPr>
        <w:t>专业乙级</w:t>
      </w:r>
      <w:r>
        <w:rPr>
          <w:rFonts w:hint="eastAsia" w:ascii="宋体" w:hAnsi="宋体"/>
          <w:color w:val="auto"/>
          <w:kern w:val="0"/>
          <w:szCs w:val="21"/>
          <w:highlight w:val="none"/>
        </w:rPr>
        <w:t>或以上资质</w:t>
      </w:r>
      <w:r>
        <w:rPr>
          <w:rFonts w:hint="eastAsia"/>
          <w:color w:val="auto"/>
          <w:highlight w:val="none"/>
          <w:lang w:val="en-US" w:eastAsia="zh-CN"/>
        </w:rPr>
        <w:t>及工程测量专业丙级或以上资质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或</w:t>
      </w:r>
      <w:r>
        <w:rPr>
          <w:rFonts w:hint="eastAsia"/>
          <w:color w:val="auto"/>
          <w:highlight w:val="none"/>
        </w:rPr>
        <w:t>岩土工程物探测试检测监测</w:t>
      </w:r>
      <w:r>
        <w:rPr>
          <w:rFonts w:hint="eastAsia"/>
          <w:color w:val="auto"/>
          <w:highlight w:val="none"/>
          <w:lang w:val="en-US" w:eastAsia="zh-CN"/>
        </w:rPr>
        <w:t>乙级或以上资质及岩土工程勘察乙级或以上资质及工程测量丙级或以上资质</w:t>
      </w:r>
      <w:r>
        <w:rPr>
          <w:rFonts w:hint="eastAsia" w:ascii="宋体" w:hAnsi="宋体"/>
          <w:color w:val="auto"/>
          <w:kern w:val="0"/>
          <w:szCs w:val="21"/>
          <w:highlight w:val="none"/>
        </w:rPr>
        <w:t>。</w:t>
      </w:r>
    </w:p>
    <w:p>
      <w:pPr>
        <w:autoSpaceDE w:val="0"/>
        <w:autoSpaceDN w:val="0"/>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香港企业独立参加投标的，须在广东省住房和城乡建设主管部门备案且备案的业务范围满足本项目要求。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1）国内申请人具体资质要求按照《建设工程勘察设计资质管理规定》（建设部令第160号）、《工程勘察资质分级标准》（建设[2001]22号）、《工程勘察、工程设计资质分级标准补充规定》（建设[2001]178号）、《工程勘察资质标准》（建市[2013]9号）、《工程设计资质标准》（建市〔2007〕86号）、《建设工程勘察设计资质管理规定实施意见》（建市[2007]202号）、《住房城乡建设部关于促进建筑工程设计事务所发展有关事项的通知》（建市（2016）261号）填写。要求同时具备2项或以上资质证书的，申请人可以组成联合体投标。</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工程勘察、工程设计企业资质证书有效期按《住房和城乡建设部办公厅关于建设工程企业资质延续有关事项的通知》（建办市函〔2020〕334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执行。 </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（3）香港企业备案的业务范围依据《广东省住房和城乡建设厅关于印发香港工程建设咨询企业和专业人士在粤港澳大湾区内地城市开业执业试点管理暂行办法的通知》（粤建规范〔2021〕1号，详见链接：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Style w:val="21"/>
          <w:rFonts w:hint="eastAsia" w:ascii="宋体" w:hAnsi="宋体" w:cs="宋体"/>
          <w:color w:val="auto"/>
          <w:kern w:val="0"/>
          <w:szCs w:val="21"/>
          <w:highlight w:val="none"/>
        </w:rPr>
        <w:t>http://zfcxjst.gd.gov.cn/xxgk/wjtz/content/post_3137220.html）确定。香港企业须提供满足招标文件要求的相应资质证书及备案证明资料扫描件。</w:t>
      </w:r>
      <w:r>
        <w:rPr>
          <w:rStyle w:val="21"/>
          <w:rFonts w:hint="eastAsia" w:ascii="宋体" w:hAnsi="宋体" w:cs="宋体"/>
          <w:color w:val="auto"/>
          <w:kern w:val="0"/>
          <w:szCs w:val="21"/>
          <w:highlight w:val="none"/>
        </w:rPr>
        <w:fldChar w:fldCharType="end"/>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3</w:t>
      </w:r>
      <w:r>
        <w:rPr>
          <w:rFonts w:hint="eastAsia" w:ascii="宋体" w:hAnsi="宋体"/>
          <w:color w:val="auto"/>
          <w:spacing w:val="7"/>
          <w:kern w:val="0"/>
          <w:szCs w:val="21"/>
          <w:highlight w:val="none"/>
        </w:rPr>
        <w:t xml:space="preserve">  本次招标接受联合体投标。联合体投标的，应满足下列要求：</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投标人可以组成联合体投标，但只接受最多由2家单位（即1家设计单位、1家勘察单位）组成的联合体，组成联合体投标的须由负责设计工作的单位作为联合体投标主办方。联合体各方（包括主办方及联合体成员）不得再单独或与其他单位组成联合体参与本项目投标。出现上述情况者，其投标和与此有关的联合体的投标将被拒绝。若联合体投标的应签订联合体投标协议书（详见招标公告附件三），明确约定联合体各方拟承担的工作和责任，除</w:t>
      </w:r>
      <w:r>
        <w:rPr>
          <w:rFonts w:hint="eastAsia" w:ascii="宋体" w:hAnsi="宋体"/>
          <w:color w:val="auto"/>
          <w:spacing w:val="7"/>
          <w:kern w:val="0"/>
          <w:szCs w:val="21"/>
          <w:highlight w:val="none"/>
          <w:lang w:eastAsia="zh-CN"/>
        </w:rPr>
        <w:t>联合体投标协议书</w:t>
      </w:r>
      <w:r>
        <w:rPr>
          <w:rFonts w:hint="eastAsia" w:ascii="宋体" w:hAnsi="宋体"/>
          <w:color w:val="auto"/>
          <w:spacing w:val="7"/>
          <w:kern w:val="0"/>
          <w:szCs w:val="21"/>
          <w:highlight w:val="none"/>
        </w:rPr>
        <w:t>须联合体各方均签字盖章外，其余文件均可由联合体主办方签字盖章。</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 xml:space="preserve">.4  </w:t>
      </w:r>
      <w:r>
        <w:rPr>
          <w:rFonts w:hint="eastAsia" w:ascii="宋体" w:hAnsi="宋体"/>
          <w:color w:val="auto"/>
          <w:spacing w:val="7"/>
          <w:kern w:val="0"/>
          <w:szCs w:val="21"/>
          <w:highlight w:val="none"/>
        </w:rPr>
        <w:t>其他要求：</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4.1</w:t>
      </w:r>
      <w:r>
        <w:rPr>
          <w:rFonts w:hint="eastAsia" w:ascii="宋体" w:hAnsi="宋体"/>
          <w:color w:val="auto"/>
          <w:spacing w:val="7"/>
          <w:kern w:val="0"/>
          <w:szCs w:val="21"/>
          <w:highlight w:val="none"/>
        </w:rPr>
        <w:t xml:space="preserve">  投标人已按照规定格式和内容签署盖章《</w:t>
      </w:r>
      <w:r>
        <w:rPr>
          <w:rFonts w:hint="eastAsia" w:ascii="宋体" w:hAnsi="宋体"/>
          <w:color w:val="auto"/>
          <w:spacing w:val="7"/>
          <w:kern w:val="0"/>
          <w:szCs w:val="21"/>
          <w:highlight w:val="none"/>
          <w:lang w:eastAsia="zh-CN"/>
        </w:rPr>
        <w:t>投标申请人声明</w:t>
      </w:r>
      <w:r>
        <w:rPr>
          <w:rFonts w:hint="eastAsia" w:ascii="宋体" w:hAnsi="宋体"/>
          <w:color w:val="auto"/>
          <w:spacing w:val="7"/>
          <w:kern w:val="0"/>
          <w:szCs w:val="21"/>
          <w:highlight w:val="none"/>
        </w:rPr>
        <w:t>》和《投标人廉洁承诺书》（详见招标公告附件一和附件二）。</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4.2</w:t>
      </w:r>
      <w:r>
        <w:rPr>
          <w:rFonts w:hint="eastAsia" w:ascii="宋体" w:hAnsi="宋体"/>
          <w:color w:val="auto"/>
          <w:spacing w:val="7"/>
          <w:kern w:val="0"/>
          <w:szCs w:val="21"/>
          <w:highlight w:val="none"/>
        </w:rPr>
        <w:t xml:space="preserve">  投标人在广州公共资源交易中心已办理企业信息登记，拟担任本工程项目负责人须是本企业信息登记中的在册人员。</w:t>
      </w:r>
    </w:p>
    <w:p>
      <w:pPr>
        <w:autoSpaceDE w:val="0"/>
        <w:autoSpaceDN w:val="0"/>
        <w:adjustRightInd w:val="0"/>
        <w:spacing w:line="360" w:lineRule="auto"/>
        <w:ind w:firstLine="448" w:firstLineChars="200"/>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4.3</w:t>
      </w:r>
      <w:r>
        <w:rPr>
          <w:rFonts w:hint="eastAsia" w:ascii="宋体" w:hAnsi="宋体"/>
          <w:color w:val="auto"/>
          <w:spacing w:val="7"/>
          <w:kern w:val="0"/>
          <w:szCs w:val="21"/>
          <w:highlight w:val="none"/>
        </w:rPr>
        <w:t xml:space="preserve">  投标人委派的设计负责人须具备一级注册建筑师资格或已在广东省住房和城乡建设主管部门备案且备案的业范围为香港建筑师注册管理局注册的建筑师资格。</w:t>
      </w:r>
    </w:p>
    <w:p>
      <w:pPr>
        <w:autoSpaceDE w:val="0"/>
        <w:autoSpaceDN w:val="0"/>
        <w:adjustRightInd w:val="0"/>
        <w:spacing w:line="360" w:lineRule="auto"/>
        <w:ind w:firstLine="448" w:firstLineChars="200"/>
        <w:rPr>
          <w:rFonts w:ascii="宋体" w:hAnsi="宋体"/>
          <w:color w:val="auto"/>
          <w:spacing w:val="7"/>
          <w:kern w:val="0"/>
          <w:szCs w:val="21"/>
          <w:highlight w:val="none"/>
        </w:rPr>
      </w:pPr>
      <w:r>
        <w:rPr>
          <w:rFonts w:hint="eastAsia" w:ascii="宋体" w:hAnsi="宋体"/>
          <w:color w:val="auto"/>
          <w:spacing w:val="7"/>
          <w:kern w:val="0"/>
          <w:szCs w:val="21"/>
          <w:highlight w:val="none"/>
        </w:rPr>
        <w:t>注：香港专业人士的备案业务范围依据《广东省住房和城乡建设厅关于印发香港工程建设咨询企业和专业人士在粤港澳大湾区内地城市开业执业试点管理暂行办法的通知》（粤建规范〔2021〕1号）确定）。香港专业人士须提供满足招标文件要求的相应执业证书及备案证明资料扫描件。</w:t>
      </w:r>
    </w:p>
    <w:p>
      <w:pPr>
        <w:spacing w:line="360" w:lineRule="auto"/>
        <w:ind w:firstLine="480"/>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4.4</w:t>
      </w:r>
      <w:r>
        <w:rPr>
          <w:rFonts w:hint="eastAsia" w:ascii="宋体" w:hAnsi="宋体"/>
          <w:color w:val="auto"/>
          <w:spacing w:val="7"/>
          <w:kern w:val="0"/>
          <w:szCs w:val="21"/>
          <w:highlight w:val="none"/>
        </w:rPr>
        <w:t xml:space="preserve">  未被纳入失信联合惩戒名单且被限制参加财政投资工程或政府投资工程或建设工程投标的（具体名单以递交投标文件截止时间“信用广州”</w:t>
      </w:r>
      <w:r>
        <w:rPr>
          <w:rFonts w:hint="eastAsia" w:ascii="宋体" w:hAnsi="宋体"/>
          <w:color w:val="auto"/>
          <w:spacing w:val="7"/>
          <w:kern w:val="0"/>
          <w:szCs w:val="21"/>
          <w:highlight w:val="none"/>
          <w:lang w:eastAsia="zh-CN"/>
        </w:rPr>
        <w:t>https://credit1.gz.gov.cn/publicity/punishGz</w:t>
      </w:r>
      <w:r>
        <w:rPr>
          <w:rFonts w:hint="eastAsia" w:ascii="宋体" w:hAnsi="宋体"/>
          <w:color w:val="auto"/>
          <w:spacing w:val="7"/>
          <w:kern w:val="0"/>
          <w:szCs w:val="21"/>
          <w:highlight w:val="none"/>
        </w:rPr>
        <w:t>公布的“严重失信主体名单”为准）。</w:t>
      </w:r>
    </w:p>
    <w:p>
      <w:pPr>
        <w:autoSpaceDE w:val="0"/>
        <w:autoSpaceDN w:val="0"/>
        <w:adjustRightInd w:val="0"/>
        <w:spacing w:line="360" w:lineRule="auto"/>
        <w:ind w:firstLine="448" w:firstLineChars="200"/>
        <w:rPr>
          <w:rFonts w:ascii="宋体" w:hAnsi="宋体"/>
          <w:color w:val="auto"/>
          <w:spacing w:val="7"/>
          <w:kern w:val="0"/>
          <w:szCs w:val="21"/>
          <w:highlight w:val="none"/>
        </w:rPr>
      </w:pPr>
      <w:r>
        <w:rPr>
          <w:rFonts w:hint="eastAsia" w:ascii="宋体" w:hAnsi="宋体"/>
          <w:color w:val="auto"/>
          <w:spacing w:val="7"/>
          <w:kern w:val="0"/>
          <w:szCs w:val="21"/>
          <w:highlight w:val="none"/>
        </w:rPr>
        <w:t>注：因联合惩戒措施表述存在细微差别，惩戒措施与上文不完全一致但措施内容相同的，也应属于被限制参与相关项目的投标。</w:t>
      </w:r>
    </w:p>
    <w:p>
      <w:pPr>
        <w:spacing w:line="360" w:lineRule="auto"/>
        <w:ind w:firstLine="480"/>
        <w:rPr>
          <w:rFonts w:hint="eastAsia" w:ascii="宋体" w:hAnsi="宋体"/>
          <w:color w:val="auto"/>
          <w:spacing w:val="7"/>
          <w:kern w:val="0"/>
          <w:szCs w:val="21"/>
          <w:highlight w:val="none"/>
          <w:u w:val="none"/>
        </w:rPr>
      </w:pPr>
      <w:r>
        <w:rPr>
          <w:rFonts w:hint="eastAsia" w:ascii="宋体" w:hAnsi="宋体"/>
          <w:color w:val="auto"/>
          <w:spacing w:val="7"/>
          <w:kern w:val="0"/>
          <w:szCs w:val="21"/>
          <w:highlight w:val="none"/>
          <w:u w:val="none"/>
        </w:rPr>
        <w:t>5.4.5</w:t>
      </w:r>
      <w:r>
        <w:rPr>
          <w:rFonts w:hint="eastAsia" w:ascii="宋体" w:hAnsi="宋体"/>
          <w:strike w:val="0"/>
          <w:dstrike w:val="0"/>
          <w:color w:val="auto"/>
          <w:spacing w:val="7"/>
          <w:kern w:val="0"/>
          <w:sz w:val="21"/>
          <w:szCs w:val="21"/>
          <w:highlight w:val="none"/>
          <w:u w:val="none"/>
        </w:rPr>
        <w:t>外国或澳门、台湾的设计企业必须选择一家符合上述设计条件的国内企业进行合作设计。香港企业如不单独参加投标，也必须选择一家符合上述条件的国内企业进行合作设计。</w:t>
      </w:r>
    </w:p>
    <w:p>
      <w:pPr>
        <w:spacing w:line="360" w:lineRule="auto"/>
        <w:ind w:firstLine="480"/>
        <w:rPr>
          <w:rFonts w:hint="eastAsia" w:ascii="宋体" w:hAnsi="宋体"/>
          <w:color w:val="auto"/>
          <w:spacing w:val="7"/>
          <w:kern w:val="0"/>
          <w:szCs w:val="21"/>
          <w:highlight w:val="none"/>
        </w:rPr>
      </w:pPr>
      <w:r>
        <w:rPr>
          <w:rFonts w:hint="eastAsia" w:ascii="宋体" w:hAnsi="宋体"/>
          <w:color w:val="auto"/>
          <w:spacing w:val="7"/>
          <w:kern w:val="0"/>
          <w:szCs w:val="21"/>
          <w:highlight w:val="none"/>
          <w:lang w:val="en-US" w:eastAsia="zh-CN"/>
        </w:rPr>
        <w:t>5.4.6</w:t>
      </w:r>
      <w:r>
        <w:rPr>
          <w:rFonts w:hint="eastAsia" w:ascii="宋体" w:hAnsi="宋体"/>
          <w:color w:val="auto"/>
          <w:spacing w:val="7"/>
          <w:kern w:val="0"/>
          <w:szCs w:val="21"/>
          <w:highlight w:val="none"/>
        </w:rPr>
        <w:t>投标人已在广州市住建行业信用管理平台建立企业信用档案（外国或澳门、台湾的设计企业除外），拟委派的项目负责人须是本企业信用档案中的在册人员。</w:t>
      </w:r>
    </w:p>
    <w:p>
      <w:pPr>
        <w:spacing w:line="360" w:lineRule="auto"/>
        <w:ind w:firstLine="480"/>
        <w:rPr>
          <w:rFonts w:hint="eastAsia" w:ascii="宋体" w:hAnsi="宋体"/>
          <w:color w:val="auto"/>
          <w:spacing w:val="7"/>
          <w:kern w:val="0"/>
          <w:szCs w:val="21"/>
          <w:highlight w:val="none"/>
        </w:rPr>
      </w:pPr>
      <w:r>
        <w:rPr>
          <w:rFonts w:hint="eastAsia" w:ascii="宋体" w:hAnsi="宋体"/>
          <w:color w:val="auto"/>
          <w:spacing w:val="7"/>
          <w:kern w:val="0"/>
          <w:szCs w:val="21"/>
          <w:highlight w:val="none"/>
          <w:lang w:val="en-US" w:eastAsia="zh-CN"/>
        </w:rPr>
        <w:t>5.4.</w:t>
      </w:r>
      <w:r>
        <w:rPr>
          <w:rFonts w:hint="eastAsia" w:ascii="宋体" w:hAnsi="宋体" w:eastAsia="宋体"/>
          <w:color w:val="auto"/>
          <w:spacing w:val="7"/>
          <w:kern w:val="0"/>
          <w:szCs w:val="21"/>
          <w:highlight w:val="none"/>
          <w:lang w:val="en-US" w:eastAsia="zh-CN"/>
        </w:rPr>
        <w:t>7</w:t>
      </w:r>
      <w:r>
        <w:rPr>
          <w:rFonts w:hint="eastAsia" w:ascii="宋体" w:hAnsi="宋体" w:eastAsia="宋体" w:cs="Times New Roman"/>
          <w:color w:val="auto"/>
          <w:spacing w:val="7"/>
          <w:kern w:val="0"/>
          <w:sz w:val="21"/>
          <w:szCs w:val="21"/>
          <w:highlight w:val="none"/>
          <w:u w:val="none"/>
        </w:rPr>
        <w:t>本项目不接受被列入黄埔区区不良记录名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p>
      <w:pPr>
        <w:pStyle w:val="5"/>
        <w:spacing w:line="360" w:lineRule="auto"/>
        <w:rPr>
          <w:rFonts w:ascii="宋体" w:hAnsi="宋体"/>
          <w:b/>
          <w:color w:val="auto"/>
          <w:spacing w:val="1"/>
          <w:sz w:val="21"/>
          <w:szCs w:val="21"/>
          <w:highlight w:val="none"/>
        </w:rPr>
      </w:pPr>
      <w:bookmarkStart w:id="3" w:name="_Toc25072051"/>
      <w:r>
        <w:rPr>
          <w:rFonts w:hint="eastAsia" w:ascii="宋体" w:hAnsi="宋体"/>
          <w:b/>
          <w:color w:val="auto"/>
          <w:spacing w:val="1"/>
          <w:sz w:val="21"/>
          <w:szCs w:val="21"/>
          <w:highlight w:val="none"/>
        </w:rPr>
        <w:t>6.技术成果经济补偿：</w:t>
      </w:r>
    </w:p>
    <w:p>
      <w:pPr>
        <w:widowControl/>
        <w:tabs>
          <w:tab w:val="left" w:pos="105"/>
        </w:tabs>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本次招标对未中标人投标文件中的技术成果不给予经济补偿。</w:t>
      </w:r>
    </w:p>
    <w:bookmarkEnd w:id="3"/>
    <w:p>
      <w:pPr>
        <w:pStyle w:val="5"/>
        <w:spacing w:line="360" w:lineRule="auto"/>
        <w:rPr>
          <w:rFonts w:ascii="宋体" w:hAnsi="宋体"/>
          <w:b/>
          <w:color w:val="auto"/>
          <w:spacing w:val="1"/>
          <w:sz w:val="21"/>
          <w:szCs w:val="21"/>
          <w:highlight w:val="none"/>
        </w:rPr>
      </w:pPr>
      <w:bookmarkStart w:id="4" w:name="_Toc25072052"/>
      <w:r>
        <w:rPr>
          <w:rFonts w:hint="eastAsia" w:ascii="宋体" w:hAnsi="宋体"/>
          <w:b/>
          <w:color w:val="auto"/>
          <w:spacing w:val="1"/>
          <w:sz w:val="21"/>
          <w:szCs w:val="21"/>
          <w:highlight w:val="none"/>
        </w:rPr>
        <w:t>7.</w:t>
      </w:r>
      <w:r>
        <w:rPr>
          <w:rFonts w:ascii="宋体" w:hAnsi="宋体"/>
          <w:b/>
          <w:color w:val="auto"/>
          <w:spacing w:val="1"/>
          <w:sz w:val="21"/>
          <w:szCs w:val="21"/>
          <w:highlight w:val="none"/>
        </w:rPr>
        <w:t>发布招标公告、招标文件获取</w:t>
      </w:r>
      <w:r>
        <w:rPr>
          <w:rFonts w:hint="eastAsia" w:ascii="宋体" w:hAnsi="宋体"/>
          <w:b/>
          <w:color w:val="auto"/>
          <w:spacing w:val="1"/>
          <w:sz w:val="21"/>
          <w:szCs w:val="21"/>
          <w:highlight w:val="none"/>
        </w:rPr>
        <w:t>：</w:t>
      </w:r>
      <w:bookmarkEnd w:id="4"/>
    </w:p>
    <w:p>
      <w:pPr>
        <w:spacing w:line="360" w:lineRule="auto"/>
        <w:ind w:left="210" w:leftChars="100" w:firstLine="210" w:firstLineChars="100"/>
        <w:jc w:val="left"/>
        <w:rPr>
          <w:rFonts w:ascii="宋体" w:hAnsi="宋体"/>
          <w:color w:val="auto"/>
          <w:kern w:val="0"/>
          <w:szCs w:val="21"/>
          <w:highlight w:val="none"/>
        </w:rPr>
      </w:pPr>
      <w:r>
        <w:rPr>
          <w:rFonts w:hint="eastAsia" w:ascii="宋体" w:hAnsi="宋体"/>
          <w:color w:val="auto"/>
          <w:kern w:val="0"/>
          <w:szCs w:val="21"/>
          <w:highlight w:val="none"/>
        </w:rPr>
        <w:t>7.1  发布招标公告时间（含本日）：</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u w:val="single"/>
        </w:rPr>
        <w:t>年</w:t>
      </w:r>
      <w:r>
        <w:rPr>
          <w:rFonts w:hint="eastAsia" w:ascii="宋体" w:hAnsi="宋体"/>
          <w:color w:val="auto"/>
          <w:kern w:val="0"/>
          <w:szCs w:val="21"/>
          <w:highlight w:val="none"/>
          <w:u w:val="single"/>
          <w:lang w:val="en-US" w:eastAsia="zh-CN"/>
        </w:rPr>
        <w:t>5</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25</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17</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时</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分至202</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6</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15</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10</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时 </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 xml:space="preserve"> 分</w:t>
      </w:r>
      <w:r>
        <w:rPr>
          <w:rFonts w:hint="eastAsia" w:ascii="宋体" w:hAnsi="宋体"/>
          <w:color w:val="auto"/>
          <w:kern w:val="0"/>
          <w:szCs w:val="21"/>
          <w:highlight w:val="none"/>
        </w:rPr>
        <w:t>。（北京时间，下同）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注：发布招标公告的时间为招标公告发出之日起至递交投标文件截止时间止。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凡有意参加投标者，请于</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5</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26</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时</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分至202</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15</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10</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时</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分</w:t>
      </w:r>
      <w:r>
        <w:rPr>
          <w:rFonts w:hint="eastAsia" w:ascii="宋体" w:hAnsi="宋体"/>
          <w:color w:val="auto"/>
          <w:kern w:val="0"/>
          <w:szCs w:val="21"/>
          <w:highlight w:val="none"/>
        </w:rPr>
        <w:t>。(北京时间，下同)，登录广州公共资源交易中心网站（http//www.gzggzy.cn）下载电子招标文件。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  本项目招标文件随招标公告一并在广州公共资源交易中心网站发布。招标文件一经在广州公共资源交易中心发布，视为送达给投标人，招标文件由投标人自行在广州公共资源交易中心网站下载。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  本项目采用资格后审方式，由评标委员会负责资格审查。</w:t>
      </w:r>
    </w:p>
    <w:p>
      <w:pPr>
        <w:pStyle w:val="5"/>
        <w:spacing w:line="360" w:lineRule="auto"/>
        <w:rPr>
          <w:rFonts w:ascii="宋体" w:hAnsi="宋体"/>
          <w:b/>
          <w:color w:val="auto"/>
          <w:spacing w:val="1"/>
          <w:sz w:val="21"/>
          <w:szCs w:val="21"/>
          <w:highlight w:val="none"/>
        </w:rPr>
      </w:pPr>
      <w:bookmarkStart w:id="5" w:name="_Toc25072053"/>
      <w:r>
        <w:rPr>
          <w:rFonts w:hint="eastAsia" w:ascii="宋体" w:hAnsi="宋体"/>
          <w:b/>
          <w:color w:val="auto"/>
          <w:spacing w:val="1"/>
          <w:sz w:val="21"/>
          <w:szCs w:val="21"/>
          <w:highlight w:val="none"/>
        </w:rPr>
        <w:t>8.</w:t>
      </w:r>
      <w:r>
        <w:rPr>
          <w:rFonts w:ascii="宋体" w:hAnsi="宋体"/>
          <w:b/>
          <w:color w:val="auto"/>
          <w:spacing w:val="1"/>
          <w:sz w:val="21"/>
          <w:szCs w:val="21"/>
          <w:highlight w:val="none"/>
        </w:rPr>
        <w:t>递交投标文件时间、开标时间及办理投标登记</w:t>
      </w:r>
      <w:r>
        <w:rPr>
          <w:rFonts w:hint="eastAsia" w:ascii="宋体" w:hAnsi="宋体"/>
          <w:b/>
          <w:color w:val="auto"/>
          <w:spacing w:val="1"/>
          <w:sz w:val="21"/>
          <w:szCs w:val="21"/>
          <w:highlight w:val="none"/>
        </w:rPr>
        <w:t>手续：</w:t>
      </w:r>
      <w:bookmarkEnd w:id="5"/>
    </w:p>
    <w:p>
      <w:pPr>
        <w:spacing w:line="360" w:lineRule="auto"/>
        <w:ind w:firstLine="420" w:firstLineChars="200"/>
        <w:jc w:val="left"/>
        <w:rPr>
          <w:rFonts w:ascii="宋体" w:hAnsi="宋体"/>
          <w:color w:val="auto"/>
          <w:spacing w:val="-2"/>
          <w:kern w:val="0"/>
          <w:szCs w:val="21"/>
          <w:highlight w:val="none"/>
        </w:rPr>
      </w:pPr>
      <w:r>
        <w:rPr>
          <w:rFonts w:hint="eastAsia" w:ascii="宋体" w:hAnsi="宋体"/>
          <w:color w:val="auto"/>
          <w:kern w:val="0"/>
          <w:szCs w:val="21"/>
          <w:highlight w:val="none"/>
        </w:rPr>
        <w:t xml:space="preserve">8.1  </w:t>
      </w:r>
      <w:r>
        <w:rPr>
          <w:rFonts w:hint="eastAsia" w:ascii="宋体" w:hAnsi="宋体"/>
          <w:color w:val="auto"/>
          <w:spacing w:val="-2"/>
          <w:kern w:val="0"/>
          <w:szCs w:val="21"/>
          <w:highlight w:val="none"/>
        </w:rPr>
        <w:t>投标截止时间为</w:t>
      </w:r>
      <w:r>
        <w:rPr>
          <w:rFonts w:hint="eastAsia" w:ascii="宋体" w:hAnsi="宋体"/>
          <w:color w:val="auto"/>
          <w:spacing w:val="-2"/>
          <w:kern w:val="0"/>
          <w:szCs w:val="21"/>
          <w:highlight w:val="none"/>
          <w:u w:val="single"/>
        </w:rPr>
        <w:t>202</w:t>
      </w:r>
      <w:r>
        <w:rPr>
          <w:rFonts w:hint="eastAsia" w:ascii="宋体" w:hAnsi="宋体"/>
          <w:color w:val="auto"/>
          <w:spacing w:val="-2"/>
          <w:kern w:val="0"/>
          <w:szCs w:val="21"/>
          <w:highlight w:val="none"/>
          <w:u w:val="single"/>
          <w:lang w:val="en-US" w:eastAsia="zh-CN"/>
        </w:rPr>
        <w:t>3</w:t>
      </w:r>
      <w:r>
        <w:rPr>
          <w:rFonts w:hint="eastAsia" w:ascii="宋体" w:hAnsi="宋体"/>
          <w:color w:val="auto"/>
          <w:spacing w:val="-2"/>
          <w:kern w:val="0"/>
          <w:szCs w:val="21"/>
          <w:highlight w:val="none"/>
          <w:u w:val="single"/>
        </w:rPr>
        <w:t>年</w:t>
      </w:r>
      <w:r>
        <w:rPr>
          <w:rFonts w:hint="eastAsia" w:ascii="宋体" w:hAnsi="宋体"/>
          <w:color w:val="auto"/>
          <w:spacing w:val="-2"/>
          <w:kern w:val="0"/>
          <w:szCs w:val="21"/>
          <w:highlight w:val="none"/>
          <w:u w:val="single"/>
          <w:lang w:val="en-US" w:eastAsia="zh-CN"/>
        </w:rPr>
        <w:t>6</w:t>
      </w:r>
      <w:r>
        <w:rPr>
          <w:rFonts w:ascii="宋体" w:hAnsi="宋体"/>
          <w:color w:val="auto"/>
          <w:spacing w:val="-2"/>
          <w:kern w:val="0"/>
          <w:szCs w:val="21"/>
          <w:highlight w:val="none"/>
          <w:u w:val="single"/>
        </w:rPr>
        <w:t xml:space="preserve"> </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15</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10</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时</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00</w:t>
      </w:r>
      <w:bookmarkStart w:id="9" w:name="_GoBack"/>
      <w:bookmarkEnd w:id="9"/>
      <w:r>
        <w:rPr>
          <w:rFonts w:hint="eastAsia" w:ascii="宋体" w:hAnsi="宋体"/>
          <w:color w:val="auto"/>
          <w:spacing w:val="-2"/>
          <w:kern w:val="0"/>
          <w:szCs w:val="21"/>
          <w:highlight w:val="none"/>
          <w:u w:val="single"/>
        </w:rPr>
        <w:t>分</w:t>
      </w:r>
      <w:r>
        <w:rPr>
          <w:rFonts w:hint="eastAsia" w:ascii="宋体" w:hAnsi="宋体"/>
          <w:color w:val="auto"/>
          <w:spacing w:val="-2"/>
          <w:kern w:val="0"/>
          <w:szCs w:val="21"/>
          <w:highlight w:val="none"/>
        </w:rPr>
        <w:t>，投标人应在截止时间前通过</w:t>
      </w:r>
      <w:r>
        <w:rPr>
          <w:rFonts w:hint="eastAsia" w:ascii="宋体" w:hAnsi="宋体"/>
          <w:color w:val="auto"/>
          <w:spacing w:val="-2"/>
          <w:kern w:val="0"/>
          <w:szCs w:val="21"/>
          <w:highlight w:val="none"/>
          <w:u w:val="single"/>
        </w:rPr>
        <w:t>广州公共资源交易中心</w:t>
      </w:r>
      <w:r>
        <w:rPr>
          <w:rFonts w:hint="eastAsia" w:ascii="宋体" w:hAnsi="宋体"/>
          <w:color w:val="auto"/>
          <w:spacing w:val="-2"/>
          <w:kern w:val="0"/>
          <w:szCs w:val="21"/>
          <w:highlight w:val="none"/>
        </w:rPr>
        <w:t>交易平台网站递交电子投标文件。投标人完成电子投标上传后，交易平台即时向投标人发出递交回执通知。递交时间以递交回执通知载明的传输时间为准。</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8.2  投标人应在递交投标文件截止时间前，登录交易平台网站办理网上投标登记手续。按照交易平台相关指南进行操作。</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8.3  提交投标文件光盘备用（及保密信封）</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投标文件光盘（备用）（及保密信封）递交时间：</w:t>
      </w:r>
      <w:r>
        <w:rPr>
          <w:rFonts w:hint="eastAsia" w:ascii="宋体" w:hAnsi="宋体"/>
          <w:color w:val="auto"/>
          <w:spacing w:val="-2"/>
          <w:kern w:val="0"/>
          <w:szCs w:val="21"/>
          <w:highlight w:val="none"/>
          <w:u w:val="single"/>
        </w:rPr>
        <w:t>202</w:t>
      </w:r>
      <w:r>
        <w:rPr>
          <w:rFonts w:hint="eastAsia" w:ascii="宋体" w:hAnsi="宋体"/>
          <w:color w:val="auto"/>
          <w:spacing w:val="-2"/>
          <w:kern w:val="0"/>
          <w:szCs w:val="21"/>
          <w:highlight w:val="none"/>
          <w:u w:val="single"/>
          <w:lang w:val="en-US" w:eastAsia="zh-CN"/>
        </w:rPr>
        <w:t>3</w:t>
      </w:r>
      <w:r>
        <w:rPr>
          <w:rFonts w:hint="eastAsia" w:ascii="宋体" w:hAnsi="宋体"/>
          <w:color w:val="auto"/>
          <w:spacing w:val="-2"/>
          <w:kern w:val="0"/>
          <w:szCs w:val="21"/>
          <w:highlight w:val="none"/>
          <w:u w:val="single"/>
        </w:rPr>
        <w:t>年</w:t>
      </w:r>
      <w:r>
        <w:rPr>
          <w:rFonts w:ascii="宋体" w:hAnsi="宋体"/>
          <w:color w:val="auto"/>
          <w:spacing w:val="-2"/>
          <w:kern w:val="0"/>
          <w:szCs w:val="21"/>
          <w:highlight w:val="none"/>
          <w:u w:val="single"/>
        </w:rPr>
        <w:t xml:space="preserve"> </w:t>
      </w:r>
      <w:r>
        <w:rPr>
          <w:rFonts w:hint="eastAsia" w:ascii="宋体" w:hAnsi="宋体"/>
          <w:color w:val="auto"/>
          <w:spacing w:val="-2"/>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15</w:t>
      </w:r>
      <w:r>
        <w:rPr>
          <w:rFonts w:hint="eastAsia" w:ascii="宋体" w:hAnsi="宋体"/>
          <w:color w:val="auto"/>
          <w:kern w:val="0"/>
          <w:szCs w:val="21"/>
          <w:highlight w:val="none"/>
          <w:u w:val="single"/>
        </w:rPr>
        <w:t>日</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45</w:t>
      </w:r>
      <w:r>
        <w:rPr>
          <w:rFonts w:hint="eastAsia" w:ascii="宋体" w:hAnsi="宋体"/>
          <w:color w:val="auto"/>
          <w:spacing w:val="-2"/>
          <w:kern w:val="0"/>
          <w:szCs w:val="21"/>
          <w:highlight w:val="none"/>
          <w:u w:val="single"/>
        </w:rPr>
        <w:t>分至202</w:t>
      </w:r>
      <w:r>
        <w:rPr>
          <w:rFonts w:hint="eastAsia" w:ascii="宋体" w:hAnsi="宋体"/>
          <w:color w:val="auto"/>
          <w:spacing w:val="-2"/>
          <w:kern w:val="0"/>
          <w:szCs w:val="21"/>
          <w:highlight w:val="none"/>
          <w:u w:val="single"/>
          <w:lang w:val="en-US" w:eastAsia="zh-CN"/>
        </w:rPr>
        <w:t>3</w:t>
      </w:r>
      <w:r>
        <w:rPr>
          <w:rFonts w:hint="eastAsia" w:ascii="宋体" w:hAnsi="宋体"/>
          <w:color w:val="auto"/>
          <w:spacing w:val="-2"/>
          <w:kern w:val="0"/>
          <w:szCs w:val="21"/>
          <w:highlight w:val="none"/>
          <w:u w:val="single"/>
        </w:rPr>
        <w:t>年</w:t>
      </w:r>
      <w:r>
        <w:rPr>
          <w:rFonts w:hint="eastAsia" w:ascii="宋体" w:hAnsi="宋体"/>
          <w:color w:val="auto"/>
          <w:spacing w:val="-2"/>
          <w:kern w:val="0"/>
          <w:szCs w:val="21"/>
          <w:highlight w:val="none"/>
          <w:u w:val="single"/>
          <w:lang w:val="en-US" w:eastAsia="zh-CN"/>
        </w:rPr>
        <w:t>6</w:t>
      </w:r>
      <w:r>
        <w:rPr>
          <w:rFonts w:ascii="宋体" w:hAnsi="宋体"/>
          <w:color w:val="auto"/>
          <w:spacing w:val="-2"/>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15</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10</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00</w:t>
      </w:r>
      <w:r>
        <w:rPr>
          <w:rFonts w:ascii="宋体" w:hAnsi="宋体"/>
          <w:color w:val="auto"/>
          <w:kern w:val="0"/>
          <w:szCs w:val="21"/>
          <w:highlight w:val="none"/>
          <w:u w:val="single"/>
        </w:rPr>
        <w:t xml:space="preserve"> </w:t>
      </w:r>
      <w:r>
        <w:rPr>
          <w:rFonts w:hint="eastAsia" w:ascii="宋体" w:hAnsi="宋体"/>
          <w:color w:val="auto"/>
          <w:spacing w:val="-2"/>
          <w:kern w:val="0"/>
          <w:szCs w:val="21"/>
          <w:highlight w:val="none"/>
          <w:u w:val="single"/>
        </w:rPr>
        <w:t>分</w:t>
      </w:r>
      <w:r>
        <w:rPr>
          <w:rFonts w:hint="eastAsia" w:ascii="宋体" w:hAnsi="宋体"/>
          <w:color w:val="auto"/>
          <w:spacing w:val="-2"/>
          <w:kern w:val="0"/>
          <w:szCs w:val="21"/>
          <w:highlight w:val="none"/>
        </w:rPr>
        <w:t>；地点：</w:t>
      </w:r>
      <w:r>
        <w:rPr>
          <w:rFonts w:hint="eastAsia" w:ascii="宋体" w:hAnsi="宋体"/>
          <w:color w:val="auto"/>
          <w:spacing w:val="-2"/>
          <w:kern w:val="0"/>
          <w:szCs w:val="21"/>
          <w:highlight w:val="none"/>
          <w:u w:val="single"/>
        </w:rPr>
        <w:t xml:space="preserve">广州公共资源交易中心（广州市天河区天润路 333 号）第 </w:t>
      </w:r>
      <w:r>
        <w:rPr>
          <w:rFonts w:hint="eastAsia" w:ascii="宋体" w:hAnsi="宋体"/>
          <w:color w:val="auto"/>
          <w:spacing w:val="-2"/>
          <w:kern w:val="0"/>
          <w:szCs w:val="21"/>
          <w:highlight w:val="none"/>
          <w:u w:val="single"/>
          <w:lang w:val="en-US" w:eastAsia="zh-CN"/>
        </w:rPr>
        <w:t>10</w:t>
      </w:r>
      <w:r>
        <w:rPr>
          <w:rFonts w:ascii="宋体" w:hAnsi="宋体"/>
          <w:color w:val="auto"/>
          <w:spacing w:val="-2"/>
          <w:kern w:val="0"/>
          <w:szCs w:val="21"/>
          <w:highlight w:val="none"/>
          <w:u w:val="single"/>
        </w:rPr>
        <w:t xml:space="preserve"> </w:t>
      </w:r>
      <w:r>
        <w:rPr>
          <w:rFonts w:hint="eastAsia" w:ascii="宋体" w:hAnsi="宋体"/>
          <w:color w:val="auto"/>
          <w:spacing w:val="-2"/>
          <w:kern w:val="0"/>
          <w:szCs w:val="21"/>
          <w:highlight w:val="none"/>
          <w:u w:val="single"/>
        </w:rPr>
        <w:t>开标室。</w:t>
      </w:r>
    </w:p>
    <w:p>
      <w:pPr>
        <w:spacing w:line="360" w:lineRule="auto"/>
        <w:ind w:firstLine="412" w:firstLineChars="200"/>
        <w:jc w:val="left"/>
        <w:rPr>
          <w:rFonts w:ascii="宋体" w:hAnsi="宋体"/>
          <w:bCs/>
          <w:color w:val="auto"/>
          <w:spacing w:val="-2"/>
          <w:kern w:val="0"/>
          <w:szCs w:val="21"/>
          <w:highlight w:val="none"/>
        </w:rPr>
      </w:pPr>
      <w:r>
        <w:rPr>
          <w:rFonts w:hint="eastAsia" w:ascii="宋体" w:hAnsi="宋体"/>
          <w:bCs/>
          <w:color w:val="auto"/>
          <w:spacing w:val="-2"/>
          <w:kern w:val="0"/>
          <w:szCs w:val="21"/>
          <w:highlight w:val="none"/>
        </w:rPr>
        <w:t>投标文件光盘（备用）应包含商务文件光盘、技术文件光盘各1个。递交投标文件光盘（备用）时应同时递交保密信封（备用）1份，递交时间、地点同投标文件光盘（备用）递交时间、地点。（电子光盘及保密信封需按规定封装。投标人将数据刻录到光盘之后，投标前自行检查文件是否可以读取。）</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投标文件解密时间为</w:t>
      </w:r>
      <w:r>
        <w:rPr>
          <w:rFonts w:hint="eastAsia" w:ascii="宋体" w:hAnsi="宋体"/>
          <w:color w:val="auto"/>
          <w:spacing w:val="-2"/>
          <w:kern w:val="0"/>
          <w:szCs w:val="21"/>
          <w:highlight w:val="none"/>
          <w:u w:val="single"/>
        </w:rPr>
        <w:t>202</w:t>
      </w:r>
      <w:r>
        <w:rPr>
          <w:rFonts w:hint="eastAsia" w:ascii="宋体" w:hAnsi="宋体"/>
          <w:color w:val="auto"/>
          <w:spacing w:val="-2"/>
          <w:kern w:val="0"/>
          <w:szCs w:val="21"/>
          <w:highlight w:val="none"/>
          <w:u w:val="single"/>
          <w:lang w:val="en-US" w:eastAsia="zh-CN"/>
        </w:rPr>
        <w:t>3</w:t>
      </w:r>
      <w:r>
        <w:rPr>
          <w:rFonts w:hint="eastAsia" w:ascii="宋体" w:hAnsi="宋体"/>
          <w:color w:val="auto"/>
          <w:spacing w:val="-2"/>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15</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时</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00</w:t>
      </w:r>
      <w:r>
        <w:rPr>
          <w:rFonts w:hint="eastAsia" w:ascii="宋体" w:hAnsi="宋体"/>
          <w:color w:val="auto"/>
          <w:spacing w:val="-2"/>
          <w:kern w:val="0"/>
          <w:szCs w:val="21"/>
          <w:highlight w:val="none"/>
          <w:u w:val="single"/>
        </w:rPr>
        <w:t>分至202</w:t>
      </w:r>
      <w:r>
        <w:rPr>
          <w:rFonts w:hint="eastAsia" w:ascii="宋体" w:hAnsi="宋体"/>
          <w:color w:val="auto"/>
          <w:spacing w:val="-2"/>
          <w:kern w:val="0"/>
          <w:szCs w:val="21"/>
          <w:highlight w:val="none"/>
          <w:u w:val="single"/>
          <w:lang w:val="en-US" w:eastAsia="zh-CN"/>
        </w:rPr>
        <w:t>3</w:t>
      </w:r>
      <w:r>
        <w:rPr>
          <w:rFonts w:hint="eastAsia" w:ascii="宋体" w:hAnsi="宋体"/>
          <w:color w:val="auto"/>
          <w:spacing w:val="-2"/>
          <w:kern w:val="0"/>
          <w:szCs w:val="21"/>
          <w:highlight w:val="none"/>
          <w:u w:val="single"/>
        </w:rPr>
        <w:t>年</w:t>
      </w:r>
      <w:r>
        <w:rPr>
          <w:rFonts w:hint="eastAsia" w:ascii="宋体" w:hAnsi="宋体"/>
          <w:color w:val="auto"/>
          <w:spacing w:val="-2"/>
          <w:kern w:val="0"/>
          <w:szCs w:val="21"/>
          <w:highlight w:val="none"/>
          <w:u w:val="single"/>
          <w:lang w:val="en-US" w:eastAsia="zh-CN"/>
        </w:rPr>
        <w:t>6</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15</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10</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30</w:t>
      </w:r>
      <w:r>
        <w:rPr>
          <w:rFonts w:hint="eastAsia" w:ascii="宋体" w:hAnsi="宋体"/>
          <w:color w:val="auto"/>
          <w:spacing w:val="-2"/>
          <w:kern w:val="0"/>
          <w:szCs w:val="21"/>
          <w:highlight w:val="none"/>
          <w:u w:val="single"/>
        </w:rPr>
        <w:t>分</w:t>
      </w:r>
      <w:r>
        <w:rPr>
          <w:rFonts w:hint="eastAsia" w:ascii="宋体" w:hAnsi="宋体"/>
          <w:color w:val="auto"/>
          <w:spacing w:val="-2"/>
          <w:kern w:val="0"/>
          <w:szCs w:val="21"/>
          <w:highlight w:val="none"/>
        </w:rPr>
        <w:t>，投标人应在截止时间前按照交易平台相关指南进行操作。</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8.4  逾期送达的投标文件，交易平台将予以拒收。</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8.5  本招标项目采用电子开标，在交易平台上公开进行。开标开始时间：</w:t>
      </w:r>
      <w:r>
        <w:rPr>
          <w:rFonts w:hint="eastAsia" w:ascii="宋体" w:hAnsi="宋体"/>
          <w:color w:val="auto"/>
          <w:spacing w:val="-2"/>
          <w:kern w:val="0"/>
          <w:szCs w:val="21"/>
          <w:highlight w:val="none"/>
          <w:u w:val="single"/>
        </w:rPr>
        <w:t>202</w:t>
      </w:r>
      <w:r>
        <w:rPr>
          <w:rFonts w:hint="eastAsia" w:ascii="宋体" w:hAnsi="宋体"/>
          <w:color w:val="auto"/>
          <w:spacing w:val="-2"/>
          <w:kern w:val="0"/>
          <w:szCs w:val="21"/>
          <w:highlight w:val="none"/>
          <w:u w:val="single"/>
          <w:lang w:val="en-US" w:eastAsia="zh-CN"/>
        </w:rPr>
        <w:t>3</w:t>
      </w:r>
      <w:r>
        <w:rPr>
          <w:rFonts w:hint="eastAsia" w:ascii="宋体" w:hAnsi="宋体"/>
          <w:color w:val="auto"/>
          <w:spacing w:val="-2"/>
          <w:kern w:val="0"/>
          <w:szCs w:val="21"/>
          <w:highlight w:val="none"/>
          <w:u w:val="single"/>
        </w:rPr>
        <w:t>年</w:t>
      </w:r>
      <w:r>
        <w:rPr>
          <w:rFonts w:ascii="宋体" w:hAnsi="宋体"/>
          <w:color w:val="auto"/>
          <w:spacing w:val="-2"/>
          <w:kern w:val="0"/>
          <w:szCs w:val="21"/>
          <w:highlight w:val="none"/>
          <w:u w:val="single"/>
        </w:rPr>
        <w:t xml:space="preserve"> </w:t>
      </w:r>
      <w:r>
        <w:rPr>
          <w:rFonts w:hint="eastAsia" w:ascii="宋体" w:hAnsi="宋体"/>
          <w:color w:val="auto"/>
          <w:spacing w:val="-2"/>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15</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10</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00</w:t>
      </w:r>
      <w:r>
        <w:rPr>
          <w:rFonts w:hint="eastAsia" w:ascii="宋体" w:hAnsi="宋体"/>
          <w:color w:val="auto"/>
          <w:spacing w:val="-2"/>
          <w:kern w:val="0"/>
          <w:szCs w:val="21"/>
          <w:highlight w:val="none"/>
          <w:u w:val="single"/>
        </w:rPr>
        <w:t>分</w:t>
      </w:r>
      <w:r>
        <w:rPr>
          <w:rFonts w:hint="eastAsia" w:ascii="宋体" w:hAnsi="宋体"/>
          <w:color w:val="auto"/>
          <w:spacing w:val="-2"/>
          <w:kern w:val="0"/>
          <w:szCs w:val="21"/>
          <w:highlight w:val="none"/>
        </w:rPr>
        <w:t>（与投标截止时间为同一时间）。邀请所有投标人准时在线参加开标。</w:t>
      </w:r>
      <w:r>
        <w:rPr>
          <w:rFonts w:ascii="宋体" w:hAnsi="宋体"/>
          <w:color w:val="auto"/>
          <w:spacing w:val="-2"/>
          <w:kern w:val="0"/>
          <w:szCs w:val="21"/>
          <w:highlight w:val="none"/>
        </w:rPr>
        <w:t>投标人</w:t>
      </w:r>
      <w:r>
        <w:rPr>
          <w:rFonts w:hint="eastAsia" w:ascii="宋体" w:hAnsi="宋体"/>
          <w:color w:val="auto"/>
          <w:spacing w:val="-2"/>
          <w:kern w:val="0"/>
          <w:szCs w:val="21"/>
          <w:highlight w:val="none"/>
        </w:rPr>
        <w:t>参与电子</w:t>
      </w:r>
      <w:r>
        <w:rPr>
          <w:rFonts w:ascii="宋体" w:hAnsi="宋体"/>
          <w:color w:val="auto"/>
          <w:spacing w:val="-2"/>
          <w:kern w:val="0"/>
          <w:szCs w:val="21"/>
          <w:highlight w:val="none"/>
        </w:rPr>
        <w:t>开标</w:t>
      </w:r>
      <w:r>
        <w:rPr>
          <w:rFonts w:hint="eastAsia" w:ascii="宋体" w:hAnsi="宋体"/>
          <w:color w:val="auto"/>
          <w:spacing w:val="-2"/>
          <w:kern w:val="0"/>
          <w:szCs w:val="21"/>
          <w:highlight w:val="none"/>
        </w:rPr>
        <w:t>的</w:t>
      </w:r>
      <w:r>
        <w:rPr>
          <w:rFonts w:ascii="宋体" w:hAnsi="宋体"/>
          <w:color w:val="auto"/>
          <w:spacing w:val="-2"/>
          <w:kern w:val="0"/>
          <w:szCs w:val="21"/>
          <w:highlight w:val="none"/>
        </w:rPr>
        <w:t>具体操作详见交易平台</w:t>
      </w:r>
      <w:r>
        <w:rPr>
          <w:rFonts w:hint="eastAsia" w:ascii="宋体" w:hAnsi="宋体"/>
          <w:color w:val="auto"/>
          <w:spacing w:val="-2"/>
          <w:kern w:val="0"/>
          <w:szCs w:val="21"/>
          <w:highlight w:val="none"/>
        </w:rPr>
        <w:t>发布</w:t>
      </w:r>
      <w:r>
        <w:rPr>
          <w:rFonts w:ascii="宋体" w:hAnsi="宋体"/>
          <w:color w:val="auto"/>
          <w:spacing w:val="-2"/>
          <w:kern w:val="0"/>
          <w:szCs w:val="21"/>
          <w:highlight w:val="none"/>
        </w:rPr>
        <w:t>的相关操作指引</w:t>
      </w:r>
      <w:r>
        <w:rPr>
          <w:rFonts w:hint="eastAsia" w:ascii="宋体" w:hAnsi="宋体"/>
          <w:color w:val="auto"/>
          <w:spacing w:val="-2"/>
          <w:kern w:val="0"/>
          <w:szCs w:val="21"/>
          <w:highlight w:val="none"/>
        </w:rPr>
        <w:t>。</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8.6  在规定的投标截止时间，投标登记的申请单位不足3名时，招标人有权：</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（1）发布公告延长接受投标登记时间。在延期投标登记时间内，已投标登记申请单位的资料仍有效并可自行补充资料，未投标登记的申请单位可根据公告的约定参与投标登记。</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（2）依法重新招标。</w:t>
      </w:r>
    </w:p>
    <w:p>
      <w:pPr>
        <w:pStyle w:val="5"/>
        <w:spacing w:line="360" w:lineRule="auto"/>
        <w:rPr>
          <w:rFonts w:ascii="宋体" w:hAnsi="宋体"/>
          <w:b/>
          <w:color w:val="auto"/>
          <w:spacing w:val="1"/>
          <w:sz w:val="21"/>
          <w:szCs w:val="21"/>
          <w:highlight w:val="none"/>
        </w:rPr>
      </w:pPr>
      <w:bookmarkStart w:id="6" w:name="_Toc25072054"/>
      <w:r>
        <w:rPr>
          <w:rFonts w:hint="eastAsia" w:ascii="宋体" w:hAnsi="宋体"/>
          <w:b/>
          <w:color w:val="auto"/>
          <w:spacing w:val="1"/>
          <w:sz w:val="21"/>
          <w:szCs w:val="21"/>
          <w:highlight w:val="none"/>
        </w:rPr>
        <w:t>9.发布公告的媒介</w:t>
      </w:r>
      <w:bookmarkEnd w:id="6"/>
    </w:p>
    <w:p>
      <w:pPr>
        <w:autoSpaceDE w:val="0"/>
        <w:autoSpaceDN w:val="0"/>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position w:val="-4"/>
          <w:szCs w:val="21"/>
          <w:highlight w:val="none"/>
        </w:rPr>
        <w:t>本次</w:t>
      </w:r>
      <w:r>
        <w:rPr>
          <w:rFonts w:hint="eastAsia" w:ascii="宋体" w:hAnsi="宋体"/>
          <w:color w:val="auto"/>
          <w:spacing w:val="-2"/>
          <w:kern w:val="0"/>
          <w:position w:val="-4"/>
          <w:szCs w:val="21"/>
          <w:highlight w:val="none"/>
        </w:rPr>
        <w:t>招标公告同时在：广州公共资源中心交易网站（网址：http://www.gzggzy.cn）、广东省招标投标监管网（网址：http://zbtb.gd.gov.cn）和中国招标投标公共服务平台（网址：http://www.cebpubservice.com/）发布，本公告的修改、补充，在广州公共资源交易网发布。</w:t>
      </w:r>
    </w:p>
    <w:p>
      <w:pPr>
        <w:pStyle w:val="5"/>
        <w:spacing w:line="360" w:lineRule="auto"/>
        <w:rPr>
          <w:rFonts w:ascii="宋体" w:hAnsi="宋体"/>
          <w:b/>
          <w:color w:val="auto"/>
          <w:spacing w:val="1"/>
          <w:sz w:val="21"/>
          <w:szCs w:val="21"/>
          <w:highlight w:val="none"/>
        </w:rPr>
      </w:pPr>
      <w:bookmarkStart w:id="7" w:name="_Toc25072055"/>
      <w:r>
        <w:rPr>
          <w:rFonts w:hint="eastAsia" w:ascii="宋体" w:hAnsi="宋体"/>
          <w:b/>
          <w:color w:val="auto"/>
          <w:spacing w:val="1"/>
          <w:sz w:val="21"/>
          <w:szCs w:val="21"/>
          <w:highlight w:val="none"/>
        </w:rPr>
        <w:t>10.其它事项</w:t>
      </w:r>
      <w:bookmarkEnd w:id="7"/>
    </w:p>
    <w:p>
      <w:pPr>
        <w:spacing w:line="360" w:lineRule="auto"/>
        <w:ind w:firstLine="420" w:firstLineChars="200"/>
        <w:jc w:val="left"/>
        <w:rPr>
          <w:rFonts w:ascii="宋体" w:hAnsi="宋体"/>
          <w:b/>
          <w:color w:val="auto"/>
          <w:szCs w:val="21"/>
          <w:highlight w:val="none"/>
          <w:u w:val="single"/>
        </w:rPr>
      </w:pPr>
      <w:r>
        <w:rPr>
          <w:rFonts w:hint="eastAsia" w:ascii="宋体" w:hAnsi="宋体"/>
          <w:color w:val="auto"/>
          <w:szCs w:val="21"/>
          <w:highlight w:val="none"/>
        </w:rPr>
        <w:t>10.1  投标时是否需要提交设计模型：</w:t>
      </w:r>
      <w:r>
        <w:rPr>
          <w:rFonts w:hint="eastAsia" w:ascii="宋体" w:hAnsi="宋体"/>
          <w:b/>
          <w:color w:val="auto"/>
          <w:szCs w:val="21"/>
          <w:highlight w:val="none"/>
          <w:u w:val="single"/>
        </w:rPr>
        <w:t>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  投标人可自行通过相关的地图网址（如高德、百度等）观察本项目的周边环境。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10.3  项目的其他情况在设计任务书中详细介绍。本公告为招标文件的组成部分，更详细的信息以招标文件为准。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  电子招投标操作流程详见广州公共资源交易中心交易平台发布的相关操作指引。</w:t>
      </w:r>
    </w:p>
    <w:p>
      <w:pPr>
        <w:shd w:val="clear" w:color="auto" w:fill="FFFFFF"/>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10.5  潜在投标人或利害关系人对本招标公告及招标文件有异议的，向招标人书面提出。</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异议受理部门：</w:t>
      </w:r>
      <w:r>
        <w:rPr>
          <w:rFonts w:hint="eastAsia" w:ascii="宋体" w:hAnsi="宋体"/>
          <w:color w:val="auto"/>
          <w:szCs w:val="21"/>
          <w:highlight w:val="none"/>
          <w:u w:val="single"/>
        </w:rPr>
        <w:t>广州市城市排水有限公司</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联系人：</w:t>
      </w:r>
      <w:r>
        <w:rPr>
          <w:rFonts w:hint="eastAsia" w:ascii="宋体" w:hAnsi="宋体" w:cs="宋体"/>
          <w:color w:val="auto"/>
          <w:szCs w:val="21"/>
          <w:highlight w:val="none"/>
          <w:u w:val="single"/>
        </w:rPr>
        <w:t>廖工</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电话：</w:t>
      </w:r>
      <w:r>
        <w:rPr>
          <w:rFonts w:hint="eastAsia" w:ascii="宋体" w:hAnsi="宋体" w:cs="宋体"/>
          <w:color w:val="auto"/>
          <w:szCs w:val="21"/>
          <w:highlight w:val="none"/>
          <w:u w:val="single"/>
        </w:rPr>
        <w:t>020-34397651</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地址：</w:t>
      </w:r>
      <w:r>
        <w:rPr>
          <w:rFonts w:hint="eastAsia" w:ascii="宋体" w:hAnsi="宋体"/>
          <w:color w:val="auto"/>
          <w:szCs w:val="21"/>
          <w:highlight w:val="none"/>
        </w:rPr>
        <w:t>广州市海珠区琶洲大道东1号保利国际广场南塔8楼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10.6  招标人不集中组织现场考察，由投标人自行考察。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前期服务机构名称：</w:t>
      </w:r>
      <w:r>
        <w:rPr>
          <w:rFonts w:hint="eastAsia" w:ascii="宋体" w:hAnsi="宋体"/>
          <w:color w:val="auto"/>
          <w:szCs w:val="21"/>
          <w:highlight w:val="none"/>
          <w:u w:val="single"/>
        </w:rPr>
        <w:t>广州市市政工程设计研究总院有限公司（可研报告编制单位）</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注：如果有前期服务机构，应公开披露其名称。如果前期服务机构参加本次投标，应将本公告发布前最终完成的工作成果（含电子文件）在投标人购买（或下载）招标文件的同时提供给所有投标人参考，否则前期参与的服务机构中标无效。</w:t>
      </w:r>
    </w:p>
    <w:p>
      <w:pPr>
        <w:pStyle w:val="5"/>
        <w:spacing w:line="360" w:lineRule="auto"/>
        <w:rPr>
          <w:rFonts w:ascii="宋体" w:hAnsi="宋体"/>
          <w:b/>
          <w:color w:val="auto"/>
          <w:spacing w:val="1"/>
          <w:sz w:val="21"/>
          <w:szCs w:val="21"/>
          <w:highlight w:val="none"/>
        </w:rPr>
      </w:pPr>
      <w:bookmarkStart w:id="8" w:name="_Toc25072056"/>
      <w:r>
        <w:rPr>
          <w:rFonts w:hint="eastAsia" w:ascii="宋体" w:hAnsi="宋体"/>
          <w:b/>
          <w:color w:val="auto"/>
          <w:spacing w:val="1"/>
          <w:sz w:val="21"/>
          <w:szCs w:val="21"/>
          <w:highlight w:val="none"/>
        </w:rPr>
        <w:t>11.联系方式</w:t>
      </w:r>
      <w:bookmarkEnd w:id="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招标人名称：</w:t>
      </w:r>
      <w:r>
        <w:rPr>
          <w:rFonts w:hint="eastAsia" w:ascii="宋体" w:hAnsi="宋体"/>
          <w:color w:val="auto"/>
          <w:szCs w:val="21"/>
          <w:highlight w:val="none"/>
          <w:u w:val="single"/>
        </w:rPr>
        <w:t>广州市城市排水有限公司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邮政编码、地址：</w:t>
      </w:r>
      <w:r>
        <w:rPr>
          <w:rFonts w:ascii="宋体" w:hAnsi="宋体"/>
          <w:color w:val="auto"/>
          <w:szCs w:val="21"/>
          <w:highlight w:val="none"/>
          <w:u w:val="single"/>
        </w:rPr>
        <w:t>510000</w:t>
      </w:r>
      <w:r>
        <w:rPr>
          <w:rFonts w:hint="eastAsia" w:ascii="宋体" w:hAnsi="宋体"/>
          <w:color w:val="auto"/>
          <w:szCs w:val="21"/>
          <w:highlight w:val="none"/>
          <w:u w:val="single"/>
        </w:rPr>
        <w:t>、广州市海珠区琶洲大道东1号保利国际广场南塔8楼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廖工</w:t>
      </w:r>
    </w:p>
    <w:p>
      <w:pPr>
        <w:spacing w:line="360" w:lineRule="auto"/>
        <w:ind w:firstLine="420" w:firstLineChars="200"/>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电话（手机）号码：</w:t>
      </w:r>
      <w:r>
        <w:rPr>
          <w:rFonts w:hint="eastAsia" w:ascii="宋体" w:hAnsi="宋体" w:cs="宋体"/>
          <w:color w:val="auto"/>
          <w:szCs w:val="21"/>
          <w:highlight w:val="none"/>
          <w:u w:val="single"/>
          <w:lang w:val="en-US" w:eastAsia="zh-CN"/>
        </w:rPr>
        <w:t>020-34397651</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传真号码：</w:t>
      </w:r>
      <w:r>
        <w:rPr>
          <w:rFonts w:hint="eastAsia" w:ascii="宋体" w:hAnsi="宋体"/>
          <w:color w:val="auto"/>
          <w:szCs w:val="21"/>
          <w:highlight w:val="none"/>
          <w:u w:val="single"/>
        </w:rPr>
        <w:t xml:space="preserve">  /  </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  </w:t>
      </w:r>
    </w:p>
    <w:p>
      <w:pPr>
        <w:spacing w:line="360" w:lineRule="auto"/>
        <w:ind w:left="420"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招标代理名称：</w:t>
      </w:r>
      <w:r>
        <w:rPr>
          <w:rFonts w:hint="eastAsia" w:ascii="宋体" w:hAnsi="宋体"/>
          <w:color w:val="auto"/>
          <w:szCs w:val="21"/>
          <w:highlight w:val="none"/>
          <w:u w:val="single"/>
        </w:rPr>
        <w:t>广东逸源工程顾问管理有限公司</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邮政编码、地址：</w:t>
      </w:r>
      <w:r>
        <w:rPr>
          <w:rFonts w:hint="eastAsia" w:ascii="宋体" w:hAnsi="宋体"/>
          <w:color w:val="auto"/>
          <w:szCs w:val="21"/>
          <w:highlight w:val="none"/>
          <w:u w:val="single"/>
        </w:rPr>
        <w:t>510000、广州市天河区天河北路689号609、610室</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郑工</w:t>
      </w:r>
    </w:p>
    <w:p>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电话（手机）号码：</w:t>
      </w:r>
      <w:r>
        <w:rPr>
          <w:rFonts w:hint="eastAsia" w:ascii="宋体" w:hAnsi="宋体"/>
          <w:color w:val="auto"/>
          <w:szCs w:val="21"/>
          <w:highlight w:val="none"/>
          <w:u w:val="single"/>
        </w:rPr>
        <w:t>020-88522643</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传真号码：</w:t>
      </w:r>
      <w:r>
        <w:rPr>
          <w:rFonts w:hint="eastAsia" w:ascii="宋体" w:hAnsi="宋体"/>
          <w:color w:val="auto"/>
          <w:szCs w:val="21"/>
          <w:highlight w:val="none"/>
          <w:u w:val="single"/>
        </w:rPr>
        <w:t xml:space="preserve">  020-88522643 </w:t>
      </w:r>
    </w:p>
    <w:p>
      <w:pPr>
        <w:spacing w:line="360" w:lineRule="auto"/>
        <w:ind w:firstLine="420" w:firstLineChars="200"/>
        <w:rPr>
          <w:rFonts w:ascii="宋体" w:hAnsi="宋体"/>
          <w:color w:val="auto"/>
          <w:szCs w:val="21"/>
          <w:highlight w:val="none"/>
          <w:u w:val="single"/>
        </w:rPr>
      </w:pPr>
      <w:r>
        <w:rPr>
          <w:rFonts w:hint="eastAsia" w:ascii="宋体" w:hAnsi="宋体" w:cs="宋体"/>
          <w:color w:val="auto"/>
          <w:szCs w:val="21"/>
          <w:highlight w:val="none"/>
        </w:rPr>
        <w:t>电子</w:t>
      </w:r>
      <w:r>
        <w:rPr>
          <w:rFonts w:hint="eastAsia" w:ascii="宋体" w:hAnsi="宋体"/>
          <w:color w:val="auto"/>
          <w:szCs w:val="21"/>
          <w:highlight w:val="none"/>
        </w:rPr>
        <w:t>邮</w:t>
      </w:r>
      <w:r>
        <w:rPr>
          <w:rFonts w:hint="eastAsia" w:ascii="宋体" w:hAnsi="宋体" w:cs="宋体"/>
          <w:color w:val="auto"/>
          <w:szCs w:val="21"/>
          <w:highlight w:val="none"/>
        </w:rPr>
        <w:t>箱</w:t>
      </w:r>
      <w:r>
        <w:rPr>
          <w:rFonts w:hint="eastAsia" w:ascii="宋体" w:hAnsi="宋体"/>
          <w:color w:val="auto"/>
          <w:szCs w:val="21"/>
          <w:highlight w:val="none"/>
        </w:rPr>
        <w:t>：</w:t>
      </w:r>
      <w:r>
        <w:rPr>
          <w:rFonts w:hint="eastAsia" w:ascii="宋体" w:hAnsi="宋体"/>
          <w:color w:val="auto"/>
          <w:szCs w:val="21"/>
          <w:highlight w:val="none"/>
          <w:u w:val="single"/>
        </w:rPr>
        <w:t xml:space="preserve">  /  </w:t>
      </w:r>
    </w:p>
    <w:p>
      <w:pPr>
        <w:pStyle w:val="18"/>
        <w:ind w:left="420" w:firstLine="42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交易服务机构名称：</w:t>
      </w:r>
      <w:r>
        <w:rPr>
          <w:rFonts w:hint="eastAsia" w:ascii="宋体" w:hAnsi="宋体"/>
          <w:color w:val="auto"/>
          <w:szCs w:val="21"/>
          <w:highlight w:val="none"/>
          <w:u w:val="single"/>
        </w:rPr>
        <w:t>广州公共资源交易中心黄埔交易部</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邮政编码、地址：</w:t>
      </w:r>
      <w:r>
        <w:rPr>
          <w:rFonts w:hint="eastAsia" w:ascii="宋体" w:hAnsi="宋体"/>
          <w:color w:val="auto"/>
          <w:szCs w:val="21"/>
          <w:highlight w:val="none"/>
          <w:u w:val="single"/>
        </w:rPr>
        <w:t>510530、广州市黄埔区水西路32号四楼（汇丽国际D栋写字楼四楼）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电话（手机）号码：</w:t>
      </w:r>
      <w:r>
        <w:rPr>
          <w:rFonts w:hint="eastAsia" w:ascii="宋体" w:hAnsi="宋体"/>
          <w:color w:val="auto"/>
          <w:szCs w:val="21"/>
          <w:highlight w:val="none"/>
          <w:u w:val="single"/>
        </w:rPr>
        <w:t>020-82086585</w:t>
      </w:r>
    </w:p>
    <w:p>
      <w:pPr>
        <w:spacing w:line="360" w:lineRule="auto"/>
        <w:ind w:firstLine="420" w:firstLineChars="20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传真号码：</w:t>
      </w:r>
      <w:r>
        <w:rPr>
          <w:rFonts w:hint="eastAsia" w:ascii="宋体" w:hAnsi="宋体"/>
          <w:color w:val="auto"/>
          <w:szCs w:val="21"/>
          <w:highlight w:val="none"/>
          <w:u w:val="single"/>
          <w:lang w:val="en-US" w:eastAsia="zh-CN"/>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网址：</w:t>
      </w:r>
      <w:r>
        <w:rPr>
          <w:rFonts w:ascii="宋体" w:hAnsi="宋体"/>
          <w:color w:val="auto"/>
          <w:szCs w:val="21"/>
          <w:highlight w:val="none"/>
          <w:u w:val="single"/>
        </w:rPr>
        <w:fldChar w:fldCharType="begin"/>
      </w:r>
      <w:r>
        <w:rPr>
          <w:rFonts w:ascii="宋体" w:hAnsi="宋体"/>
          <w:color w:val="auto"/>
          <w:szCs w:val="21"/>
          <w:highlight w:val="none"/>
          <w:u w:val="single"/>
        </w:rPr>
        <w:instrText xml:space="preserve"> HYPERLINK "http://www.gzggzy.cn" </w:instrText>
      </w:r>
      <w:r>
        <w:rPr>
          <w:rFonts w:ascii="宋体" w:hAnsi="宋体"/>
          <w:color w:val="auto"/>
          <w:szCs w:val="21"/>
          <w:highlight w:val="none"/>
          <w:u w:val="single"/>
        </w:rPr>
        <w:fldChar w:fldCharType="separate"/>
      </w:r>
      <w:r>
        <w:rPr>
          <w:rStyle w:val="21"/>
          <w:rFonts w:ascii="宋体" w:hAnsi="宋体"/>
          <w:color w:val="auto"/>
          <w:szCs w:val="21"/>
          <w:highlight w:val="none"/>
        </w:rPr>
        <w:t>http://www.gzggzy.cn</w:t>
      </w:r>
      <w:r>
        <w:rPr>
          <w:rFonts w:ascii="宋体" w:hAnsi="宋体"/>
          <w:color w:val="auto"/>
          <w:szCs w:val="21"/>
          <w:highlight w:val="none"/>
          <w:u w:val="single"/>
        </w:rPr>
        <w:fldChar w:fldCharType="end"/>
      </w:r>
    </w:p>
    <w:p>
      <w:pPr>
        <w:spacing w:line="360" w:lineRule="auto"/>
        <w:ind w:left="420" w:firstLine="420" w:firstLineChars="200"/>
        <w:rPr>
          <w:rFonts w:ascii="宋体" w:hAnsi="宋体"/>
          <w:color w:val="auto"/>
          <w:szCs w:val="21"/>
          <w:highlight w:val="none"/>
        </w:rPr>
      </w:pPr>
    </w:p>
    <w:p>
      <w:pPr>
        <w:spacing w:line="360" w:lineRule="auto"/>
        <w:ind w:left="420" w:leftChars="200" w:firstLine="0" w:firstLineChars="0"/>
        <w:jc w:val="left"/>
        <w:rPr>
          <w:rFonts w:hint="eastAsia" w:ascii="宋体" w:hAnsi="宋体"/>
          <w:color w:val="auto"/>
          <w:szCs w:val="21"/>
          <w:highlight w:val="none"/>
          <w:u w:val="single"/>
        </w:rPr>
      </w:pPr>
      <w:r>
        <w:rPr>
          <w:rFonts w:hint="eastAsia" w:ascii="宋体" w:hAnsi="宋体"/>
          <w:color w:val="auto"/>
          <w:szCs w:val="21"/>
          <w:highlight w:val="none"/>
        </w:rPr>
        <w:t>招标管理机构名称：</w:t>
      </w:r>
      <w:r>
        <w:rPr>
          <w:rFonts w:hint="eastAsia" w:ascii="宋体" w:hAnsi="宋体"/>
          <w:color w:val="auto"/>
          <w:szCs w:val="21"/>
          <w:highlight w:val="none"/>
          <w:u w:val="single"/>
        </w:rPr>
        <w:t>广州开发区建设工程招投标管理办公室（广州市黄埔区建设工程招投标管理办公室）  </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邮政编码、地址：</w:t>
      </w:r>
      <w:r>
        <w:rPr>
          <w:rFonts w:hint="eastAsia" w:ascii="宋体" w:hAnsi="宋体" w:eastAsia="宋体" w:cs="Times New Roman"/>
          <w:color w:val="auto"/>
          <w:sz w:val="21"/>
          <w:szCs w:val="21"/>
          <w:highlight w:val="none"/>
          <w:u w:val="single"/>
        </w:rPr>
        <w:t>510530、广州市黄埔区水西路30号（汇丽写字楼4楼）</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电话号码：</w:t>
      </w:r>
      <w:r>
        <w:rPr>
          <w:rFonts w:hint="eastAsia" w:ascii="宋体" w:hAnsi="宋体"/>
          <w:color w:val="auto"/>
          <w:szCs w:val="21"/>
          <w:highlight w:val="none"/>
          <w:u w:val="single"/>
        </w:rPr>
        <w:t>020-82112206、82116676</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传真号码：</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  </w:t>
      </w:r>
    </w:p>
    <w:p>
      <w:pPr>
        <w:spacing w:line="360" w:lineRule="auto"/>
        <w:jc w:val="right"/>
        <w:rPr>
          <w:rFonts w:ascii="宋体" w:hAnsi="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5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25 </w:t>
      </w:r>
      <w:r>
        <w:rPr>
          <w:rFonts w:hint="eastAsia" w:ascii="宋体" w:hAnsi="宋体"/>
          <w:color w:val="auto"/>
          <w:szCs w:val="21"/>
          <w:highlight w:val="none"/>
        </w:rPr>
        <w:t>日</w:t>
      </w:r>
    </w:p>
    <w:p>
      <w:pPr>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附件一：</w:t>
      </w:r>
    </w:p>
    <w:p>
      <w:pPr>
        <w:spacing w:before="260" w:after="260" w:line="415"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投标申请人声明</w:t>
      </w:r>
    </w:p>
    <w:p>
      <w:pPr>
        <w:snapToGrid w:val="0"/>
        <w:spacing w:line="360" w:lineRule="auto"/>
        <w:ind w:firstLine="420" w:firstLineChars="200"/>
        <w:rPr>
          <w:rFonts w:hint="eastAsia"/>
          <w:color w:val="auto"/>
          <w:szCs w:val="21"/>
          <w:highlight w:val="none"/>
        </w:rPr>
      </w:pPr>
      <w:r>
        <w:rPr>
          <w:rFonts w:hint="eastAsia"/>
          <w:color w:val="auto"/>
          <w:szCs w:val="21"/>
          <w:highlight w:val="none"/>
        </w:rPr>
        <w:t>广州市住房和城乡建设局、广州市城市排水有限公司、广州开发区建设工程招投标管理办公室：</w:t>
      </w:r>
    </w:p>
    <w:p>
      <w:pPr>
        <w:snapToGrid w:val="0"/>
        <w:spacing w:line="360" w:lineRule="auto"/>
        <w:ind w:firstLine="420" w:firstLineChars="200"/>
        <w:rPr>
          <w:color w:val="auto"/>
          <w:szCs w:val="21"/>
          <w:highlight w:val="none"/>
        </w:rPr>
      </w:pPr>
      <w:r>
        <w:rPr>
          <w:rFonts w:hint="eastAsia"/>
          <w:color w:val="auto"/>
          <w:szCs w:val="21"/>
          <w:highlight w:val="none"/>
        </w:rPr>
        <w:t>本公司就参加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项目投标工作，作出郑重声明：</w:t>
      </w:r>
    </w:p>
    <w:p>
      <w:pPr>
        <w:snapToGrid w:val="0"/>
        <w:spacing w:line="360" w:lineRule="auto"/>
        <w:ind w:firstLine="420" w:firstLineChars="200"/>
        <w:rPr>
          <w:color w:val="auto"/>
          <w:szCs w:val="21"/>
          <w:highlight w:val="none"/>
        </w:rPr>
      </w:pPr>
      <w:r>
        <w:rPr>
          <w:rFonts w:hint="eastAsia"/>
          <w:color w:val="auto"/>
          <w:szCs w:val="21"/>
          <w:highlight w:val="none"/>
        </w:rPr>
        <w:t>一、本公司保证投标投标登记及其后提供的一切材料都是真实的。</w:t>
      </w:r>
    </w:p>
    <w:p>
      <w:pPr>
        <w:snapToGrid w:val="0"/>
        <w:spacing w:line="360" w:lineRule="auto"/>
        <w:ind w:firstLine="420" w:firstLineChars="200"/>
        <w:rPr>
          <w:color w:val="auto"/>
          <w:szCs w:val="21"/>
          <w:highlight w:val="none"/>
        </w:rPr>
      </w:pPr>
      <w:r>
        <w:rPr>
          <w:rFonts w:hint="eastAsia"/>
          <w:color w:val="auto"/>
          <w:szCs w:val="21"/>
          <w:highlight w:val="none"/>
        </w:rPr>
        <w:t>二、本公司保证在本项目投标中不与其他单位围标、串标，不出让投标资格，不向招标人或评标委员会成员行贿。</w:t>
      </w:r>
    </w:p>
    <w:p>
      <w:pPr>
        <w:snapToGrid w:val="0"/>
        <w:spacing w:line="360" w:lineRule="auto"/>
        <w:ind w:firstLine="420" w:firstLineChars="200"/>
        <w:rPr>
          <w:color w:val="auto"/>
          <w:szCs w:val="21"/>
          <w:highlight w:val="none"/>
        </w:rPr>
      </w:pPr>
      <w:r>
        <w:rPr>
          <w:rFonts w:hint="eastAsia"/>
          <w:color w:val="auto"/>
          <w:szCs w:val="21"/>
          <w:highlight w:val="none"/>
        </w:rPr>
        <w:t>三、本公司保证不存在以下情形之一：</w:t>
      </w:r>
    </w:p>
    <w:p>
      <w:pPr>
        <w:snapToGrid w:val="0"/>
        <w:spacing w:line="360" w:lineRule="auto"/>
        <w:ind w:firstLine="420" w:firstLineChars="200"/>
        <w:rPr>
          <w:rFonts w:hint="eastAsia"/>
          <w:color w:val="auto"/>
          <w:szCs w:val="21"/>
          <w:highlight w:val="none"/>
        </w:rPr>
      </w:pPr>
      <w:r>
        <w:rPr>
          <w:rFonts w:hint="eastAsia"/>
          <w:color w:val="auto"/>
          <w:szCs w:val="21"/>
          <w:highlight w:val="none"/>
        </w:rPr>
        <w:t>（1）为招标人不具有独立法人资格的附属机构（单位）；</w:t>
      </w:r>
    </w:p>
    <w:p>
      <w:pPr>
        <w:snapToGrid w:val="0"/>
        <w:spacing w:line="360" w:lineRule="auto"/>
        <w:ind w:firstLine="420" w:firstLineChars="200"/>
        <w:rPr>
          <w:rFonts w:hint="eastAsia"/>
          <w:color w:val="auto"/>
          <w:szCs w:val="21"/>
          <w:highlight w:val="none"/>
        </w:rPr>
      </w:pPr>
      <w:r>
        <w:rPr>
          <w:rFonts w:hint="eastAsia"/>
          <w:color w:val="auto"/>
          <w:szCs w:val="21"/>
          <w:highlight w:val="none"/>
        </w:rPr>
        <w:t>（2）与招标人存在利害关系且可能影响招标公正性；</w:t>
      </w:r>
    </w:p>
    <w:p>
      <w:pPr>
        <w:snapToGrid w:val="0"/>
        <w:spacing w:line="360" w:lineRule="auto"/>
        <w:ind w:firstLine="420" w:firstLineChars="200"/>
        <w:rPr>
          <w:rFonts w:hint="eastAsia"/>
          <w:color w:val="auto"/>
          <w:szCs w:val="21"/>
          <w:highlight w:val="none"/>
        </w:rPr>
      </w:pPr>
      <w:r>
        <w:rPr>
          <w:rFonts w:hint="eastAsia"/>
          <w:color w:val="auto"/>
          <w:szCs w:val="21"/>
          <w:highlight w:val="none"/>
        </w:rPr>
        <w:t>（3）与本招标项目的其他投标人为同一个单位负责人；</w:t>
      </w:r>
    </w:p>
    <w:p>
      <w:pPr>
        <w:snapToGrid w:val="0"/>
        <w:spacing w:line="360" w:lineRule="auto"/>
        <w:ind w:firstLine="420" w:firstLineChars="200"/>
        <w:rPr>
          <w:rFonts w:hint="eastAsia"/>
          <w:color w:val="auto"/>
          <w:szCs w:val="21"/>
          <w:highlight w:val="none"/>
        </w:rPr>
      </w:pPr>
      <w:r>
        <w:rPr>
          <w:rFonts w:hint="eastAsia"/>
          <w:color w:val="auto"/>
          <w:szCs w:val="21"/>
          <w:highlight w:val="none"/>
        </w:rPr>
        <w:t>（4）与本招标项目的其他投标人存在控股、管理关系；</w:t>
      </w:r>
    </w:p>
    <w:p>
      <w:pPr>
        <w:snapToGrid w:val="0"/>
        <w:spacing w:line="360" w:lineRule="auto"/>
        <w:ind w:firstLine="420" w:firstLineChars="200"/>
        <w:rPr>
          <w:rFonts w:hint="eastAsia"/>
          <w:color w:val="auto"/>
          <w:szCs w:val="21"/>
          <w:highlight w:val="none"/>
        </w:rPr>
      </w:pPr>
      <w:r>
        <w:rPr>
          <w:rFonts w:hint="eastAsia"/>
          <w:color w:val="auto"/>
          <w:szCs w:val="21"/>
          <w:highlight w:val="none"/>
        </w:rPr>
        <w:t>（5）为本招标项目的代建人；</w:t>
      </w:r>
    </w:p>
    <w:p>
      <w:pPr>
        <w:snapToGrid w:val="0"/>
        <w:spacing w:line="360" w:lineRule="auto"/>
        <w:ind w:firstLine="420" w:firstLineChars="200"/>
        <w:rPr>
          <w:rFonts w:hint="eastAsia"/>
          <w:color w:val="auto"/>
          <w:szCs w:val="21"/>
          <w:highlight w:val="none"/>
        </w:rPr>
      </w:pPr>
      <w:r>
        <w:rPr>
          <w:rFonts w:hint="eastAsia"/>
          <w:color w:val="auto"/>
          <w:szCs w:val="21"/>
          <w:highlight w:val="none"/>
        </w:rPr>
        <w:t>（6）为本招标项目的招标代理机构；</w:t>
      </w:r>
    </w:p>
    <w:p>
      <w:pPr>
        <w:snapToGrid w:val="0"/>
        <w:spacing w:line="360" w:lineRule="auto"/>
        <w:ind w:firstLine="420" w:firstLineChars="200"/>
        <w:rPr>
          <w:rFonts w:hint="eastAsia"/>
          <w:color w:val="auto"/>
          <w:szCs w:val="21"/>
          <w:highlight w:val="none"/>
        </w:rPr>
      </w:pPr>
      <w:r>
        <w:rPr>
          <w:rFonts w:hint="eastAsia"/>
          <w:color w:val="auto"/>
          <w:szCs w:val="21"/>
          <w:highlight w:val="none"/>
        </w:rPr>
        <w:t>（7）与本招标项目的代建人或招标代理机构同为一个法定代表人；</w:t>
      </w:r>
    </w:p>
    <w:p>
      <w:pPr>
        <w:snapToGrid w:val="0"/>
        <w:spacing w:line="360" w:lineRule="auto"/>
        <w:ind w:firstLine="420" w:firstLineChars="200"/>
        <w:rPr>
          <w:rFonts w:hint="eastAsia"/>
          <w:color w:val="auto"/>
          <w:szCs w:val="21"/>
          <w:highlight w:val="none"/>
        </w:rPr>
      </w:pPr>
      <w:r>
        <w:rPr>
          <w:rFonts w:hint="eastAsia"/>
          <w:color w:val="auto"/>
          <w:szCs w:val="21"/>
          <w:highlight w:val="none"/>
        </w:rPr>
        <w:t>（8）与本招标项目的代建人或招标代理机构存在控股或参股关系；</w:t>
      </w:r>
    </w:p>
    <w:p>
      <w:pPr>
        <w:snapToGrid w:val="0"/>
        <w:spacing w:line="360" w:lineRule="auto"/>
        <w:ind w:firstLine="420" w:firstLineChars="200"/>
        <w:rPr>
          <w:rFonts w:hint="eastAsia"/>
          <w:color w:val="auto"/>
          <w:szCs w:val="21"/>
          <w:highlight w:val="none"/>
        </w:rPr>
      </w:pPr>
      <w:r>
        <w:rPr>
          <w:rFonts w:hint="eastAsia"/>
          <w:color w:val="auto"/>
          <w:szCs w:val="21"/>
          <w:highlight w:val="none"/>
        </w:rPr>
        <w:t>（9）被依法暂停或者取消投标资格；</w:t>
      </w:r>
    </w:p>
    <w:p>
      <w:pPr>
        <w:snapToGrid w:val="0"/>
        <w:spacing w:line="360" w:lineRule="auto"/>
        <w:ind w:firstLine="420" w:firstLineChars="200"/>
        <w:rPr>
          <w:rFonts w:hint="eastAsia"/>
          <w:color w:val="auto"/>
          <w:szCs w:val="21"/>
          <w:highlight w:val="none"/>
        </w:rPr>
      </w:pPr>
      <w:r>
        <w:rPr>
          <w:rFonts w:hint="eastAsia"/>
          <w:color w:val="auto"/>
          <w:szCs w:val="21"/>
          <w:highlight w:val="none"/>
        </w:rPr>
        <w:t>（10）被责令停产停业、暂扣或者吊销许可证、暂扣或者吊销执照；</w:t>
      </w:r>
    </w:p>
    <w:p>
      <w:pPr>
        <w:snapToGrid w:val="0"/>
        <w:spacing w:line="360" w:lineRule="auto"/>
        <w:ind w:firstLine="420" w:firstLineChars="200"/>
        <w:rPr>
          <w:rFonts w:hint="eastAsia"/>
          <w:color w:val="auto"/>
          <w:szCs w:val="21"/>
          <w:highlight w:val="none"/>
        </w:rPr>
      </w:pPr>
      <w:r>
        <w:rPr>
          <w:rFonts w:hint="eastAsia"/>
          <w:color w:val="auto"/>
          <w:szCs w:val="21"/>
          <w:highlight w:val="none"/>
        </w:rPr>
        <w:t>（11）进入清算程序，或被宣告破产，或其他丧失履约能力的情形；</w:t>
      </w:r>
    </w:p>
    <w:p>
      <w:pPr>
        <w:snapToGrid w:val="0"/>
        <w:spacing w:line="360" w:lineRule="auto"/>
        <w:ind w:firstLine="420" w:firstLineChars="200"/>
        <w:rPr>
          <w:rFonts w:hint="eastAsia"/>
          <w:color w:val="auto"/>
          <w:szCs w:val="21"/>
          <w:highlight w:val="none"/>
        </w:rPr>
      </w:pPr>
      <w:r>
        <w:rPr>
          <w:rFonts w:hint="eastAsia"/>
          <w:color w:val="auto"/>
          <w:szCs w:val="21"/>
          <w:highlight w:val="none"/>
        </w:rPr>
        <w:t>（12）在最近三年内发生重大设计质量问题（以相关行业主管部门的行政处罚决定或司法机关出具的有关法律文书为准）；</w:t>
      </w:r>
    </w:p>
    <w:p>
      <w:pPr>
        <w:snapToGrid w:val="0"/>
        <w:spacing w:line="360" w:lineRule="auto"/>
        <w:ind w:firstLine="420" w:firstLineChars="200"/>
        <w:rPr>
          <w:rFonts w:hint="eastAsia"/>
          <w:color w:val="auto"/>
          <w:szCs w:val="21"/>
          <w:highlight w:val="none"/>
        </w:rPr>
      </w:pPr>
      <w:r>
        <w:rPr>
          <w:rFonts w:hint="eastAsia"/>
          <w:color w:val="auto"/>
          <w:szCs w:val="21"/>
          <w:highlight w:val="none"/>
        </w:rPr>
        <w:t>（13）被工商行政（市场监管）管理机关在全国企业信用信息公示系统中列入严重违法失信企业名单；</w:t>
      </w:r>
    </w:p>
    <w:p>
      <w:pPr>
        <w:snapToGrid w:val="0"/>
        <w:spacing w:line="360" w:lineRule="auto"/>
        <w:ind w:firstLine="420" w:firstLineChars="200"/>
        <w:rPr>
          <w:rFonts w:hint="eastAsia"/>
          <w:color w:val="auto"/>
          <w:szCs w:val="21"/>
          <w:highlight w:val="none"/>
        </w:rPr>
      </w:pPr>
      <w:r>
        <w:rPr>
          <w:rFonts w:hint="eastAsia"/>
          <w:color w:val="auto"/>
          <w:szCs w:val="21"/>
          <w:highlight w:val="none"/>
        </w:rPr>
        <w:t>（14）被最高人民法院在“信用中国”网站（www.creditchina.gov.cn）或各级信用信息共享平台中列入失信被执行人名单；</w:t>
      </w:r>
    </w:p>
    <w:p>
      <w:pPr>
        <w:snapToGrid w:val="0"/>
        <w:spacing w:line="360" w:lineRule="auto"/>
        <w:ind w:firstLine="420" w:firstLineChars="200"/>
        <w:rPr>
          <w:rFonts w:hint="eastAsia"/>
          <w:color w:val="auto"/>
          <w:szCs w:val="21"/>
          <w:highlight w:val="none"/>
        </w:rPr>
      </w:pPr>
      <w:r>
        <w:rPr>
          <w:rFonts w:hint="eastAsia"/>
          <w:color w:val="auto"/>
          <w:szCs w:val="21"/>
          <w:highlight w:val="none"/>
        </w:rPr>
        <w:t>（15）在近三年内投标人或其法定代表人、拟委任的项目负责人有行贿犯罪行为的。</w:t>
      </w:r>
    </w:p>
    <w:p>
      <w:pPr>
        <w:snapToGrid w:val="0"/>
        <w:spacing w:line="360" w:lineRule="auto"/>
        <w:ind w:firstLine="420" w:firstLineChars="200"/>
        <w:rPr>
          <w:rFonts w:hint="eastAsia"/>
          <w:color w:val="auto"/>
          <w:szCs w:val="21"/>
          <w:highlight w:val="none"/>
        </w:rPr>
      </w:pPr>
      <w:r>
        <w:rPr>
          <w:rFonts w:hint="eastAsia"/>
          <w:color w:val="auto"/>
          <w:szCs w:val="21"/>
          <w:highlight w:val="none"/>
        </w:rPr>
        <w:t>（16）被住房城乡建设行政主管部门在全国建筑市场监管一体化工作平台列入建筑市场主体“黑名单”；</w:t>
      </w:r>
    </w:p>
    <w:p>
      <w:pPr>
        <w:snapToGrid w:val="0"/>
        <w:spacing w:line="360" w:lineRule="auto"/>
        <w:ind w:firstLine="420" w:firstLineChars="200"/>
        <w:rPr>
          <w:rFonts w:hint="eastAsia"/>
          <w:color w:val="auto"/>
          <w:szCs w:val="21"/>
          <w:highlight w:val="none"/>
        </w:rPr>
      </w:pPr>
      <w:r>
        <w:rPr>
          <w:rFonts w:hint="eastAsia"/>
          <w:color w:val="auto"/>
          <w:szCs w:val="21"/>
          <w:highlight w:val="none"/>
        </w:rPr>
        <w:t>（17）被发改委、人力资源社会保障、质检总局等有关部门、单位在“信用中国”网站中列入联合惩戒严重失信主体名单。</w:t>
      </w:r>
    </w:p>
    <w:p>
      <w:pPr>
        <w:snapToGrid w:val="0"/>
        <w:spacing w:line="360" w:lineRule="auto"/>
        <w:ind w:firstLine="420" w:firstLineChars="200"/>
        <w:rPr>
          <w:color w:val="auto"/>
          <w:szCs w:val="21"/>
          <w:highlight w:val="none"/>
        </w:rPr>
      </w:pPr>
      <w:r>
        <w:rPr>
          <w:rFonts w:hint="eastAsia"/>
          <w:color w:val="auto"/>
          <w:szCs w:val="21"/>
          <w:highlight w:val="none"/>
        </w:rPr>
        <w:t>（1</w:t>
      </w:r>
      <w:r>
        <w:rPr>
          <w:rFonts w:hint="eastAsia"/>
          <w:color w:val="auto"/>
          <w:szCs w:val="21"/>
          <w:highlight w:val="none"/>
          <w:lang w:val="en-US" w:eastAsia="zh-CN"/>
        </w:rPr>
        <w:t>8</w:t>
      </w:r>
      <w:r>
        <w:rPr>
          <w:rFonts w:hint="eastAsia"/>
          <w:color w:val="auto"/>
          <w:szCs w:val="21"/>
          <w:highlight w:val="none"/>
        </w:rPr>
        <w:t>）法律法规或投标人须知规定的其他情形。</w:t>
      </w:r>
    </w:p>
    <w:p>
      <w:pPr>
        <w:snapToGrid w:val="0"/>
        <w:spacing w:line="360" w:lineRule="auto"/>
        <w:ind w:firstLine="420" w:firstLineChars="200"/>
        <w:rPr>
          <w:color w:val="auto"/>
          <w:szCs w:val="21"/>
          <w:highlight w:val="none"/>
        </w:rPr>
      </w:pPr>
      <w:r>
        <w:rPr>
          <w:rFonts w:hint="eastAsia"/>
          <w:color w:val="auto"/>
          <w:szCs w:val="21"/>
          <w:highlight w:val="none"/>
        </w:rPr>
        <w:t>四、本公司及其有隶属关系的机构没有参加本项目的招标文件编写工作。</w:t>
      </w:r>
    </w:p>
    <w:p>
      <w:pPr>
        <w:snapToGrid w:val="0"/>
        <w:spacing w:line="360" w:lineRule="auto"/>
        <w:ind w:firstLine="420" w:firstLineChars="200"/>
        <w:rPr>
          <w:color w:val="auto"/>
          <w:szCs w:val="21"/>
          <w:highlight w:val="none"/>
        </w:rPr>
      </w:pPr>
      <w:r>
        <w:rPr>
          <w:rFonts w:hint="eastAsia"/>
          <w:color w:val="auto"/>
          <w:szCs w:val="21"/>
          <w:highlight w:val="none"/>
        </w:rPr>
        <w:t>五、本公司承诺，中标后不转包或违法分包。</w:t>
      </w:r>
    </w:p>
    <w:p>
      <w:pPr>
        <w:snapToGrid w:val="0"/>
        <w:spacing w:line="360" w:lineRule="auto"/>
        <w:ind w:firstLine="420" w:firstLineChars="200"/>
        <w:rPr>
          <w:color w:val="auto"/>
          <w:szCs w:val="21"/>
          <w:highlight w:val="none"/>
        </w:rPr>
      </w:pPr>
      <w:r>
        <w:rPr>
          <w:rFonts w:hint="eastAsia"/>
          <w:color w:val="auto"/>
          <w:szCs w:val="21"/>
          <w:highlight w:val="none"/>
        </w:rPr>
        <w:t>六、如我司通过本项目的资格审查或成为本项目中标候选人，我司同意并授权招标人将我司响应招标文件（或资格预审文件）资格能力条件（资质、营业执照等证书名称、等级、编号，人员、业绩）、投标文件商务部分（报价清单、勘察设计方案等涉及商业秘密的内容除外）等资料进行公示。</w:t>
      </w:r>
    </w:p>
    <w:p>
      <w:pPr>
        <w:snapToGrid w:val="0"/>
        <w:spacing w:line="360" w:lineRule="auto"/>
        <w:ind w:firstLine="420" w:firstLineChars="200"/>
        <w:rPr>
          <w:color w:val="auto"/>
          <w:szCs w:val="21"/>
          <w:highlight w:val="none"/>
        </w:rPr>
      </w:pPr>
      <w:r>
        <w:rPr>
          <w:rFonts w:hint="eastAsia"/>
          <w:color w:val="auto"/>
          <w:szCs w:val="21"/>
          <w:highlight w:val="none"/>
        </w:rPr>
        <w:t>本公司违反上述保证，或本声明陈述与事实不符，经查实，本公司除按招标文件或合同约定自愿接受招标人的处理外，还愿意接受公开通报或相应行政处罚，承担由此带来的所有法律后果。</w:t>
      </w:r>
    </w:p>
    <w:p>
      <w:pPr>
        <w:shd w:val="clear" w:color="auto" w:fill="FFFFFF"/>
        <w:spacing w:line="360" w:lineRule="auto"/>
        <w:ind w:firstLine="420" w:firstLineChars="200"/>
        <w:rPr>
          <w:color w:val="auto"/>
          <w:szCs w:val="21"/>
          <w:highlight w:val="none"/>
        </w:rPr>
      </w:pPr>
      <w:r>
        <w:rPr>
          <w:rFonts w:hint="eastAsia"/>
          <w:color w:val="auto"/>
          <w:szCs w:val="21"/>
          <w:highlight w:val="none"/>
        </w:rPr>
        <w:t>特此声明。</w:t>
      </w:r>
    </w:p>
    <w:p>
      <w:pPr>
        <w:snapToGrid w:val="0"/>
        <w:spacing w:line="360" w:lineRule="auto"/>
        <w:ind w:firstLine="3780" w:firstLineChars="1800"/>
        <w:rPr>
          <w:color w:val="auto"/>
          <w:szCs w:val="21"/>
          <w:highlight w:val="none"/>
        </w:rPr>
      </w:pPr>
    </w:p>
    <w:p>
      <w:pPr>
        <w:snapToGrid w:val="0"/>
        <w:spacing w:line="360" w:lineRule="auto"/>
        <w:ind w:firstLine="3780" w:firstLineChars="1800"/>
        <w:rPr>
          <w:color w:val="auto"/>
          <w:szCs w:val="21"/>
          <w:highlight w:val="none"/>
        </w:rPr>
      </w:pPr>
      <w:r>
        <w:rPr>
          <w:rFonts w:hint="eastAsia"/>
          <w:color w:val="auto"/>
          <w:szCs w:val="21"/>
          <w:highlight w:val="none"/>
        </w:rPr>
        <w:t>声明企业：           (企业公章)</w:t>
      </w:r>
    </w:p>
    <w:p>
      <w:pPr>
        <w:snapToGrid w:val="0"/>
        <w:spacing w:line="360" w:lineRule="auto"/>
        <w:ind w:firstLine="3721" w:firstLineChars="1772"/>
        <w:rPr>
          <w:color w:val="auto"/>
          <w:szCs w:val="21"/>
          <w:highlight w:val="none"/>
        </w:rPr>
      </w:pPr>
    </w:p>
    <w:p>
      <w:pPr>
        <w:snapToGrid w:val="0"/>
        <w:spacing w:line="360" w:lineRule="auto"/>
        <w:ind w:firstLine="3721" w:firstLineChars="1772"/>
        <w:rPr>
          <w:color w:val="auto"/>
          <w:szCs w:val="21"/>
          <w:highlight w:val="none"/>
        </w:rPr>
      </w:pPr>
      <w:r>
        <w:rPr>
          <w:rFonts w:hint="eastAsia"/>
          <w:color w:val="auto"/>
          <w:szCs w:val="21"/>
          <w:highlight w:val="none"/>
        </w:rPr>
        <w:t>法定代表人签字或盖章：</w:t>
      </w:r>
    </w:p>
    <w:p>
      <w:pPr>
        <w:spacing w:line="360" w:lineRule="auto"/>
        <w:ind w:firstLine="4305" w:firstLineChars="2050"/>
        <w:rPr>
          <w:color w:val="auto"/>
          <w:szCs w:val="21"/>
          <w:highlight w:val="none"/>
        </w:rPr>
      </w:pPr>
    </w:p>
    <w:p>
      <w:pPr>
        <w:pStyle w:val="33"/>
        <w:spacing w:line="360" w:lineRule="auto"/>
        <w:ind w:right="2079" w:firstLine="1890" w:firstLineChars="900"/>
        <w:jc w:val="center"/>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rPr>
        <w:t xml:space="preserve">       </w:t>
      </w:r>
      <w:r>
        <w:rPr>
          <w:rFonts w:hint="eastAsia" w:ascii="Times New Roman" w:hAnsi="Times New Roman" w:eastAsia="宋体" w:cs="Times New Roman"/>
          <w:color w:val="auto"/>
          <w:kern w:val="2"/>
          <w:sz w:val="21"/>
          <w:szCs w:val="21"/>
          <w:highlight w:val="none"/>
        </w:rPr>
        <w:t xml:space="preserve">年 </w:t>
      </w:r>
      <w:r>
        <w:rPr>
          <w:rFonts w:hint="eastAsia" w:ascii="Times New Roman" w:hAnsi="Times New Roman" w:eastAsia="宋体" w:cs="Times New Roman"/>
          <w:color w:val="auto"/>
          <w:kern w:val="2"/>
          <w:sz w:val="21"/>
          <w:szCs w:val="21"/>
          <w:highlight w:val="none"/>
          <w:lang w:val="en-US" w:eastAsia="zh-CN"/>
        </w:rPr>
        <w:t xml:space="preserve"> </w:t>
      </w:r>
      <w:r>
        <w:rPr>
          <w:rFonts w:hint="eastAsia" w:ascii="Times New Roman" w:hAnsi="Times New Roman" w:eastAsia="宋体" w:cs="Times New Roman"/>
          <w:color w:val="auto"/>
          <w:kern w:val="2"/>
          <w:sz w:val="21"/>
          <w:szCs w:val="21"/>
          <w:highlight w:val="none"/>
        </w:rPr>
        <w:t xml:space="preserve"> 月 </w:t>
      </w:r>
      <w:r>
        <w:rPr>
          <w:rFonts w:hint="eastAsia" w:ascii="Times New Roman" w:hAnsi="Times New Roman" w:eastAsia="宋体" w:cs="Times New Roman"/>
          <w:color w:val="auto"/>
          <w:kern w:val="2"/>
          <w:sz w:val="21"/>
          <w:szCs w:val="21"/>
          <w:highlight w:val="none"/>
          <w:lang w:val="en-US" w:eastAsia="zh-CN"/>
        </w:rPr>
        <w:t xml:space="preserve"> </w:t>
      </w:r>
      <w:r>
        <w:rPr>
          <w:rFonts w:hint="eastAsia" w:ascii="Times New Roman" w:hAnsi="Times New Roman" w:eastAsia="宋体" w:cs="Times New Roman"/>
          <w:color w:val="auto"/>
          <w:kern w:val="2"/>
          <w:sz w:val="21"/>
          <w:szCs w:val="21"/>
          <w:highlight w:val="none"/>
        </w:rPr>
        <w:t xml:space="preserve"> 日</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 xml:space="preserve"> </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p>
      <w:pPr>
        <w:pStyle w:val="33"/>
        <w:ind w:firstLine="0" w:firstLineChars="0"/>
        <w:jc w:val="both"/>
        <w:rPr>
          <w:rFonts w:ascii="宋体" w:hAnsi="宋体" w:eastAsia="宋体"/>
          <w:bCs/>
          <w:color w:val="auto"/>
          <w:sz w:val="21"/>
          <w:szCs w:val="21"/>
          <w:highlight w:val="none"/>
        </w:rPr>
      </w:pPr>
      <w:r>
        <w:rPr>
          <w:rFonts w:hint="eastAsia" w:ascii="宋体" w:hAnsi="宋体" w:eastAsia="宋体" w:cs="宋体"/>
          <w:color w:val="auto"/>
          <w:highlight w:val="none"/>
          <w:lang w:eastAsia="zh-CN"/>
        </w:rPr>
        <w:br w:type="page"/>
      </w:r>
    </w:p>
    <w:p>
      <w:pPr>
        <w:pStyle w:val="16"/>
        <w:spacing w:line="480" w:lineRule="exact"/>
        <w:ind w:firstLine="0"/>
        <w:rPr>
          <w:color w:val="auto"/>
          <w:highlight w:val="none"/>
        </w:rPr>
      </w:pPr>
      <w:r>
        <w:rPr>
          <w:rFonts w:hint="eastAsia"/>
          <w:color w:val="auto"/>
          <w:highlight w:val="none"/>
        </w:rPr>
        <w:t xml:space="preserve">附件二：               </w:t>
      </w:r>
    </w:p>
    <w:p>
      <w:pPr>
        <w:pStyle w:val="16"/>
        <w:spacing w:line="480" w:lineRule="exact"/>
        <w:ind w:firstLine="480"/>
        <w:jc w:val="center"/>
        <w:rPr>
          <w:rFonts w:cs="宋体"/>
          <w:b/>
          <w:bCs/>
          <w:color w:val="auto"/>
          <w:sz w:val="32"/>
          <w:szCs w:val="32"/>
          <w:highlight w:val="none"/>
        </w:rPr>
      </w:pPr>
      <w:r>
        <w:rPr>
          <w:rFonts w:hint="eastAsia" w:cs="宋体"/>
          <w:b/>
          <w:bCs/>
          <w:color w:val="auto"/>
          <w:sz w:val="32"/>
          <w:szCs w:val="32"/>
          <w:highlight w:val="none"/>
        </w:rPr>
        <w:t>投标人廉洁承诺书</w:t>
      </w:r>
    </w:p>
    <w:p>
      <w:pPr>
        <w:pStyle w:val="33"/>
        <w:shd w:val="clear" w:color="auto" w:fill="FFFFFF"/>
        <w:spacing w:line="360" w:lineRule="auto"/>
        <w:ind w:firstLine="480"/>
        <w:rPr>
          <w:rFonts w:cs="宋体"/>
          <w:color w:val="auto"/>
          <w:highlight w:val="none"/>
        </w:rPr>
      </w:pPr>
      <w:r>
        <w:rPr>
          <w:rFonts w:hint="eastAsia" w:ascii="宋体" w:hAnsi="宋体" w:eastAsia="宋体" w:cs="宋体"/>
          <w:color w:val="auto"/>
          <w:sz w:val="24"/>
          <w:szCs w:val="24"/>
          <w:highlight w:val="none"/>
        </w:rPr>
        <w:t>广州市住房和城乡建设局、</w:t>
      </w:r>
      <w:r>
        <w:rPr>
          <w:rFonts w:hint="eastAsia" w:ascii="宋体" w:hAnsi="宋体" w:eastAsia="宋体" w:cs="宋体"/>
          <w:color w:val="auto"/>
          <w:sz w:val="24"/>
          <w:szCs w:val="24"/>
          <w:highlight w:val="none"/>
          <w:u w:val="none"/>
        </w:rPr>
        <w:t>广州市城市排水有限公司</w:t>
      </w:r>
      <w:r>
        <w:rPr>
          <w:rFonts w:hint="eastAsia" w:ascii="宋体" w:hAnsi="宋体" w:eastAsia="宋体" w:cs="宋体"/>
          <w:color w:val="auto"/>
          <w:sz w:val="24"/>
          <w:szCs w:val="24"/>
          <w:highlight w:val="none"/>
        </w:rPr>
        <w:t>、广州开发区建设工程招投标管理办公室：</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本公司参加了</w:t>
      </w:r>
      <w:r>
        <w:rPr>
          <w:rFonts w:hint="eastAsia" w:hAnsi="宋体" w:cs="宋体"/>
          <w:color w:val="auto"/>
          <w:sz w:val="24"/>
          <w:szCs w:val="24"/>
          <w:highlight w:val="none"/>
          <w:u w:val="single"/>
        </w:rPr>
        <w:t xml:space="preserve">   （项目名称/标段名称）    </w:t>
      </w:r>
      <w:r>
        <w:rPr>
          <w:rFonts w:hint="eastAsia"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一、自觉遵守国家有关法律法规及廉洁规定。</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二、不与招标单位工作人员串通投标，损害国家利益、企业利益以及他人的合法利益；</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三、不与其他单位围标、串标，不出让投标资格，不向招标人或评标委员会成员行贿。</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五、不以任何名义接受或暗示为参与招标、评标工作的有关人员装修住房、婚丧嫁取、配偶子女的工作安排以及境内外旅游等提供方便；</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六、不以谋取非正当利益为目的，擅自与参与招标、评标工作的有关人员就业务问题进行私下商谈或者达成利益默契；</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七、按法律规定及合同约定保修合同工程，履行本合同所约定的全部义务。</w:t>
      </w:r>
    </w:p>
    <w:p>
      <w:pPr>
        <w:pStyle w:val="12"/>
        <w:spacing w:line="480" w:lineRule="exact"/>
        <w:ind w:right="420" w:firstLine="720" w:firstLineChars="300"/>
        <w:rPr>
          <w:rFonts w:hAnsi="宋体" w:cs="宋体"/>
          <w:color w:val="auto"/>
          <w:sz w:val="24"/>
          <w:szCs w:val="24"/>
          <w:highlight w:val="none"/>
        </w:rPr>
      </w:pPr>
      <w:r>
        <w:rPr>
          <w:rFonts w:hint="eastAsia"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pStyle w:val="12"/>
        <w:spacing w:line="480" w:lineRule="exact"/>
        <w:ind w:right="420" w:firstLine="720" w:firstLineChars="300"/>
        <w:rPr>
          <w:rFonts w:hAnsi="宋体" w:cs="宋体"/>
          <w:color w:val="auto"/>
          <w:sz w:val="24"/>
          <w:szCs w:val="24"/>
          <w:highlight w:val="none"/>
        </w:rPr>
      </w:pPr>
      <w:r>
        <w:rPr>
          <w:rFonts w:hint="eastAsia"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pStyle w:val="12"/>
        <w:spacing w:line="480" w:lineRule="exact"/>
        <w:ind w:right="420" w:firstLine="480" w:firstLineChars="200"/>
        <w:rPr>
          <w:rFonts w:hAnsi="宋体" w:cs="宋体"/>
          <w:color w:val="auto"/>
          <w:sz w:val="24"/>
          <w:szCs w:val="24"/>
          <w:highlight w:val="none"/>
        </w:rPr>
      </w:pPr>
      <w:r>
        <w:rPr>
          <w:rFonts w:hint="eastAsia" w:hAnsi="宋体" w:cs="宋体"/>
          <w:color w:val="auto"/>
          <w:sz w:val="24"/>
          <w:szCs w:val="24"/>
          <w:highlight w:val="none"/>
        </w:rPr>
        <w:t xml:space="preserve"> 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pStyle w:val="12"/>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pStyle w:val="16"/>
        <w:shd w:val="clear" w:color="auto" w:fill="FFFFFF"/>
        <w:spacing w:line="480" w:lineRule="exact"/>
        <w:ind w:firstLine="645"/>
        <w:rPr>
          <w:rFonts w:cs="宋体"/>
          <w:color w:val="auto"/>
          <w:highlight w:val="none"/>
        </w:rPr>
      </w:pPr>
      <w:r>
        <w:rPr>
          <w:rFonts w:hint="eastAsia" w:cs="宋体"/>
          <w:color w:val="auto"/>
          <w:highlight w:val="none"/>
        </w:rPr>
        <w:t>本公司违反上述承诺，或本承诺陈述与事实不符，经查实，本公司愿意接受公开通报，承担由此带来的法律后果，并自愿停止参加广州市行政辖区内的招标投标活动三个月。</w:t>
      </w:r>
    </w:p>
    <w:p>
      <w:pPr>
        <w:pStyle w:val="16"/>
        <w:shd w:val="clear" w:color="auto" w:fill="FFFFFF"/>
        <w:spacing w:line="480" w:lineRule="exact"/>
        <w:ind w:firstLine="645"/>
        <w:rPr>
          <w:rFonts w:cs="宋体"/>
          <w:color w:val="auto"/>
          <w:highlight w:val="none"/>
        </w:rPr>
      </w:pPr>
      <w:r>
        <w:rPr>
          <w:rFonts w:hint="eastAsia" w:cs="宋体"/>
          <w:color w:val="auto"/>
          <w:highlight w:val="none"/>
        </w:rPr>
        <w:t>特此承诺</w:t>
      </w:r>
    </w:p>
    <w:p>
      <w:pPr>
        <w:pStyle w:val="16"/>
        <w:shd w:val="clear" w:color="auto" w:fill="FFFFFF"/>
        <w:spacing w:line="480" w:lineRule="exact"/>
        <w:ind w:right="1455" w:firstLine="2880"/>
        <w:jc w:val="right"/>
        <w:rPr>
          <w:rFonts w:cs="宋体"/>
          <w:color w:val="auto"/>
          <w:highlight w:val="none"/>
        </w:rPr>
      </w:pPr>
    </w:p>
    <w:p>
      <w:pPr>
        <w:pStyle w:val="16"/>
        <w:shd w:val="clear" w:color="auto" w:fill="FFFFFF"/>
        <w:spacing w:line="480" w:lineRule="exact"/>
        <w:ind w:right="1455" w:firstLine="2880"/>
        <w:jc w:val="right"/>
        <w:rPr>
          <w:rFonts w:cs="宋体"/>
          <w:color w:val="auto"/>
          <w:highlight w:val="none"/>
        </w:rPr>
      </w:pPr>
    </w:p>
    <w:p>
      <w:pPr>
        <w:pStyle w:val="16"/>
        <w:shd w:val="clear" w:color="auto" w:fill="FFFFFF"/>
        <w:spacing w:line="480" w:lineRule="exact"/>
        <w:ind w:right="1455" w:firstLine="2880"/>
        <w:jc w:val="right"/>
        <w:rPr>
          <w:rFonts w:cs="宋体"/>
          <w:color w:val="auto"/>
          <w:highlight w:val="none"/>
        </w:rPr>
      </w:pPr>
      <w:r>
        <w:rPr>
          <w:rFonts w:hint="eastAsia" w:cs="宋体"/>
          <w:color w:val="auto"/>
          <w:highlight w:val="none"/>
        </w:rPr>
        <w:t xml:space="preserve">      承诺企业：      </w:t>
      </w:r>
    </w:p>
    <w:p>
      <w:pPr>
        <w:pStyle w:val="16"/>
        <w:shd w:val="clear" w:color="auto" w:fill="FFFFFF"/>
        <w:spacing w:line="480" w:lineRule="exact"/>
        <w:ind w:firstLine="480"/>
        <w:jc w:val="right"/>
        <w:rPr>
          <w:rFonts w:cs="宋体"/>
          <w:color w:val="auto"/>
          <w:highlight w:val="none"/>
        </w:rPr>
      </w:pPr>
      <w:r>
        <w:rPr>
          <w:rFonts w:hint="eastAsia" w:cs="宋体"/>
          <w:color w:val="auto"/>
          <w:highlight w:val="none"/>
        </w:rPr>
        <w:t xml:space="preserve">         年   月   日</w:t>
      </w:r>
    </w:p>
    <w:p>
      <w:pPr>
        <w:pStyle w:val="16"/>
        <w:shd w:val="clear" w:color="auto" w:fill="FFFFFF"/>
        <w:spacing w:line="480" w:lineRule="exact"/>
        <w:ind w:firstLine="480"/>
        <w:jc w:val="right"/>
        <w:rPr>
          <w:rFonts w:cs="宋体"/>
          <w:color w:val="auto"/>
          <w:highlight w:val="none"/>
        </w:rPr>
      </w:pPr>
      <w:r>
        <w:rPr>
          <w:rFonts w:hint="eastAsia" w:cs="宋体"/>
          <w:color w:val="auto"/>
          <w:highlight w:val="none"/>
        </w:rPr>
        <w:t>法定代表人签字：（企业公章）</w:t>
      </w:r>
    </w:p>
    <w:p>
      <w:pPr>
        <w:pStyle w:val="5"/>
        <w:rPr>
          <w:rFonts w:ascii="宋体" w:hAnsi="宋体"/>
          <w:color w:val="auto"/>
          <w:sz w:val="21"/>
          <w:szCs w:val="21"/>
          <w:highlight w:val="none"/>
        </w:rPr>
      </w:pPr>
    </w:p>
    <w:p>
      <w:pPr>
        <w:rPr>
          <w:color w:val="auto"/>
          <w:highlight w:val="none"/>
        </w:rPr>
      </w:pPr>
    </w:p>
    <w:p>
      <w:pPr>
        <w:pStyle w:val="5"/>
        <w:rPr>
          <w:rFonts w:ascii="宋体" w:hAnsi="宋体"/>
          <w:color w:val="auto"/>
          <w:sz w:val="21"/>
          <w:szCs w:val="21"/>
          <w:highlight w:val="none"/>
        </w:rPr>
      </w:pPr>
      <w:r>
        <w:rPr>
          <w:rFonts w:hint="eastAsia" w:ascii="宋体" w:hAnsi="宋体"/>
          <w:color w:val="auto"/>
          <w:sz w:val="21"/>
          <w:szCs w:val="21"/>
          <w:highlight w:val="none"/>
        </w:rPr>
        <w:t>附件三</w:t>
      </w:r>
    </w:p>
    <w:p>
      <w:pPr>
        <w:pStyle w:val="7"/>
        <w:autoSpaceDE w:val="0"/>
        <w:spacing w:line="360" w:lineRule="auto"/>
        <w:ind w:firstLine="0" w:firstLineChars="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（参考格式）</w:t>
      </w:r>
    </w:p>
    <w:p>
      <w:pPr>
        <w:autoSpaceDE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联合体投标协议书</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（所有成员单位名称）自愿组成</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（联合体名称）联合体，共同参加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（项目名称）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招标项目投标。现就联合体投标事宜订立如下协议。</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（某成员单位名称）为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w:t>
      </w:r>
      <w:r>
        <w:rPr>
          <w:rFonts w:hint="eastAsia" w:ascii="宋体" w:hAnsi="宋体" w:cs="宋体"/>
          <w:color w:val="auto"/>
          <w:kern w:val="0"/>
          <w:sz w:val="24"/>
          <w:highlight w:val="none"/>
        </w:rPr>
        <w:t>主办方</w:t>
      </w:r>
      <w:r>
        <w:rPr>
          <w:rFonts w:hint="eastAsia" w:ascii="宋体" w:hAnsi="宋体"/>
          <w:color w:val="auto"/>
          <w:kern w:val="0"/>
          <w:sz w:val="24"/>
          <w:highlight w:val="none"/>
        </w:rPr>
        <w:t>。</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2.联合体各成员授权</w:t>
      </w:r>
      <w:r>
        <w:rPr>
          <w:rFonts w:hint="eastAsia" w:ascii="宋体" w:hAnsi="宋体" w:cs="宋体"/>
          <w:color w:val="auto"/>
          <w:kern w:val="0"/>
          <w:sz w:val="24"/>
          <w:highlight w:val="none"/>
        </w:rPr>
        <w:t>主办方</w:t>
      </w:r>
      <w:r>
        <w:rPr>
          <w:rFonts w:hint="eastAsia" w:ascii="宋体" w:hAnsi="宋体"/>
          <w:color w:val="auto"/>
          <w:kern w:val="0"/>
          <w:sz w:val="24"/>
          <w:highlight w:val="none"/>
        </w:rPr>
        <w:t>代表联合体参加投标活动，签署文件，提交和接收相关的资料、 信息及指示，进行合同谈判活动，负责合同实施阶段的组织和协调工作，以及处理与本招标项 目有关的一切事宜。</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3.联合体</w:t>
      </w:r>
      <w:r>
        <w:rPr>
          <w:rFonts w:hint="eastAsia" w:ascii="宋体" w:hAnsi="宋体" w:cs="宋体"/>
          <w:color w:val="auto"/>
          <w:kern w:val="0"/>
          <w:sz w:val="24"/>
          <w:highlight w:val="none"/>
        </w:rPr>
        <w:t>主办方</w:t>
      </w:r>
      <w:r>
        <w:rPr>
          <w:rFonts w:hint="eastAsia" w:ascii="宋体" w:hAnsi="宋体"/>
          <w:color w:val="auto"/>
          <w:kern w:val="0"/>
          <w:sz w:val="24"/>
          <w:highlight w:val="none"/>
        </w:rPr>
        <w:t>在本项目中签署的一切文件和处理的一切事宜，联合体各成员均予以承认。 联合体各成员将严格按照招标文件、投标文件和合同的要求全面履行义务，并向招标人承担连 带责任。</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4.联合体各成员单位内部的职责分工如下：</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5.本协议书自所有成员单位法定代表人或其委托代理人签字或盖单位章之日起生效，合同 履行完毕后自动失效。</w:t>
      </w:r>
    </w:p>
    <w:p>
      <w:pPr>
        <w:autoSpaceDE w:val="0"/>
        <w:autoSpaceDN w:val="0"/>
        <w:adjustRightInd w:val="0"/>
        <w:spacing w:line="400" w:lineRule="exact"/>
        <w:ind w:firstLine="480" w:firstLineChars="200"/>
        <w:jc w:val="left"/>
        <w:rPr>
          <w:rFonts w:ascii="宋体" w:hAnsi="宋体"/>
          <w:color w:val="auto"/>
          <w:kern w:val="21"/>
          <w:sz w:val="24"/>
          <w:highlight w:val="none"/>
        </w:rPr>
      </w:pPr>
      <w:r>
        <w:rPr>
          <w:rFonts w:hint="eastAsia" w:ascii="宋体" w:hAnsi="宋体"/>
          <w:color w:val="auto"/>
          <w:kern w:val="0"/>
          <w:sz w:val="24"/>
          <w:highlight w:val="none"/>
        </w:rPr>
        <w:t>6.本协议书一式</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份，联合体成员和招标人各执一份。</w:t>
      </w:r>
    </w:p>
    <w:p>
      <w:pPr>
        <w:autoSpaceDE w:val="0"/>
        <w:autoSpaceDN w:val="0"/>
        <w:adjustRightInd w:val="0"/>
        <w:spacing w:line="400" w:lineRule="exact"/>
        <w:ind w:firstLine="480" w:firstLineChars="200"/>
        <w:jc w:val="left"/>
        <w:rPr>
          <w:rFonts w:ascii="宋体" w:hAnsi="宋体"/>
          <w:color w:val="auto"/>
          <w:kern w:val="21"/>
          <w:sz w:val="24"/>
          <w:highlight w:val="none"/>
        </w:rPr>
      </w:pPr>
      <w:r>
        <w:rPr>
          <w:rFonts w:hint="eastAsia" w:ascii="宋体" w:hAnsi="宋体"/>
          <w:color w:val="auto"/>
          <w:kern w:val="21"/>
          <w:sz w:val="24"/>
          <w:highlight w:val="none"/>
        </w:rPr>
        <w:t>注：本协议书由法定代表人签字的，应附法定代表人身份证明；由委托代理人签字的，应附授权委托书。</w:t>
      </w:r>
    </w:p>
    <w:p>
      <w:pPr>
        <w:autoSpaceDE w:val="0"/>
        <w:autoSpaceDN w:val="0"/>
        <w:adjustRightInd w:val="0"/>
        <w:spacing w:line="400" w:lineRule="exact"/>
        <w:jc w:val="left"/>
        <w:rPr>
          <w:rFonts w:ascii="宋体" w:hAnsi="宋体"/>
          <w:color w:val="auto"/>
          <w:kern w:val="21"/>
          <w:sz w:val="24"/>
          <w:highlight w:val="none"/>
        </w:rPr>
      </w:pP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联合体</w:t>
      </w:r>
      <w:r>
        <w:rPr>
          <w:rFonts w:hint="eastAsia" w:ascii="宋体" w:hAnsi="宋体" w:cs="宋体"/>
          <w:color w:val="auto"/>
          <w:kern w:val="21"/>
          <w:sz w:val="24"/>
          <w:highlight w:val="none"/>
        </w:rPr>
        <w:t>主办方</w:t>
      </w:r>
      <w:r>
        <w:rPr>
          <w:rFonts w:hint="eastAsia" w:ascii="宋体" w:hAnsi="宋体"/>
          <w:color w:val="auto"/>
          <w:kern w:val="21"/>
          <w:sz w:val="24"/>
          <w:highlight w:val="none"/>
        </w:rPr>
        <w:t>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（盖单位章）</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（签字）</w:t>
      </w:r>
    </w:p>
    <w:p>
      <w:pPr>
        <w:autoSpaceDE w:val="0"/>
        <w:autoSpaceDN w:val="0"/>
        <w:adjustRightInd w:val="0"/>
        <w:spacing w:line="400" w:lineRule="exact"/>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联合体成员名称：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（盖单位章）</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（签字）</w:t>
      </w:r>
    </w:p>
    <w:p>
      <w:pPr>
        <w:autoSpaceDE w:val="0"/>
        <w:autoSpaceDN w:val="0"/>
        <w:adjustRightInd w:val="0"/>
        <w:spacing w:line="400" w:lineRule="exact"/>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年</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月</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日</w:t>
      </w:r>
    </w:p>
    <w:p>
      <w:pPr>
        <w:pStyle w:val="18"/>
        <w:spacing w:after="0" w:line="400" w:lineRule="exact"/>
        <w:ind w:left="0" w:leftChars="0" w:firstLine="482"/>
        <w:rPr>
          <w:rFonts w:ascii="宋体" w:hAnsi="宋体"/>
          <w:b/>
          <w:color w:val="auto"/>
          <w:kern w:val="0"/>
          <w:sz w:val="24"/>
          <w:highlight w:val="none"/>
        </w:rPr>
      </w:pPr>
      <w:r>
        <w:rPr>
          <w:rFonts w:hint="eastAsia" w:ascii="宋体" w:hAnsi="宋体"/>
          <w:b/>
          <w:color w:val="auto"/>
          <w:kern w:val="0"/>
          <w:sz w:val="24"/>
          <w:highlight w:val="none"/>
        </w:rPr>
        <w:t>注：非联合体投标人，无需提交本协议书。</w:t>
      </w:r>
    </w:p>
    <w:p>
      <w:pPr>
        <w:pStyle w:val="18"/>
        <w:spacing w:after="0" w:line="400" w:lineRule="exact"/>
        <w:ind w:left="0" w:leftChars="0" w:firstLine="482"/>
        <w:rPr>
          <w:rFonts w:ascii="宋体" w:hAnsi="宋体"/>
          <w:b/>
          <w:color w:val="auto"/>
          <w:kern w:val="0"/>
          <w:sz w:val="24"/>
          <w:highlight w:val="none"/>
        </w:rPr>
      </w:pPr>
    </w:p>
    <w:p>
      <w:pPr>
        <w:pStyle w:val="18"/>
        <w:spacing w:after="0" w:line="400" w:lineRule="exact"/>
        <w:ind w:left="0" w:leftChars="0" w:firstLine="482"/>
        <w:rPr>
          <w:rFonts w:ascii="宋体" w:hAnsi="宋体"/>
          <w:b/>
          <w:color w:val="auto"/>
          <w:kern w:val="0"/>
          <w:sz w:val="24"/>
          <w:highlight w:val="none"/>
        </w:rPr>
      </w:pPr>
    </w:p>
    <w:p>
      <w:pPr>
        <w:pStyle w:val="18"/>
        <w:ind w:left="0" w:leftChars="0" w:firstLine="0" w:firstLineChars="0"/>
        <w:rPr>
          <w:rFonts w:ascii="宋体" w:hAnsi="宋体" w:cs="仿宋_GB2312"/>
          <w:bCs/>
          <w:color w:val="auto"/>
          <w:sz w:val="32"/>
          <w:szCs w:val="32"/>
          <w:highlight w:val="none"/>
        </w:rPr>
      </w:pPr>
    </w:p>
    <w:sectPr>
      <w:footerReference r:id="rId3" w:type="default"/>
      <w:pgSz w:w="11906" w:h="16838"/>
      <w:pgMar w:top="1440" w:right="1588" w:bottom="1383"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14</w:t>
    </w:r>
    <w: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Y1MjJmNDMwZWQ3NDIwMTMyYTM3ZGVkMGM3ODYifQ=="/>
  </w:docVars>
  <w:rsids>
    <w:rsidRoot w:val="008D7E6C"/>
    <w:rsid w:val="00025226"/>
    <w:rsid w:val="00031031"/>
    <w:rsid w:val="00032175"/>
    <w:rsid w:val="0003653F"/>
    <w:rsid w:val="00044B36"/>
    <w:rsid w:val="00045F90"/>
    <w:rsid w:val="000469B4"/>
    <w:rsid w:val="00050E32"/>
    <w:rsid w:val="00052BBD"/>
    <w:rsid w:val="00055817"/>
    <w:rsid w:val="00061F4B"/>
    <w:rsid w:val="00072354"/>
    <w:rsid w:val="0008193D"/>
    <w:rsid w:val="000A009B"/>
    <w:rsid w:val="000A23DC"/>
    <w:rsid w:val="000A68BD"/>
    <w:rsid w:val="000A71D0"/>
    <w:rsid w:val="000B2635"/>
    <w:rsid w:val="000C1778"/>
    <w:rsid w:val="000C2B20"/>
    <w:rsid w:val="000C3E28"/>
    <w:rsid w:val="000C6207"/>
    <w:rsid w:val="000E62EC"/>
    <w:rsid w:val="000F1129"/>
    <w:rsid w:val="000F3CEA"/>
    <w:rsid w:val="00116060"/>
    <w:rsid w:val="00116A06"/>
    <w:rsid w:val="00130575"/>
    <w:rsid w:val="00130FD2"/>
    <w:rsid w:val="001347AD"/>
    <w:rsid w:val="00136A9B"/>
    <w:rsid w:val="00136E68"/>
    <w:rsid w:val="00136F96"/>
    <w:rsid w:val="001372C6"/>
    <w:rsid w:val="001404D8"/>
    <w:rsid w:val="00140A3C"/>
    <w:rsid w:val="00142E43"/>
    <w:rsid w:val="0014369D"/>
    <w:rsid w:val="0015341B"/>
    <w:rsid w:val="001570EC"/>
    <w:rsid w:val="001613B6"/>
    <w:rsid w:val="001676A1"/>
    <w:rsid w:val="00171991"/>
    <w:rsid w:val="00184564"/>
    <w:rsid w:val="00187569"/>
    <w:rsid w:val="00193898"/>
    <w:rsid w:val="001A6F07"/>
    <w:rsid w:val="001B4F49"/>
    <w:rsid w:val="001B51B0"/>
    <w:rsid w:val="001B637A"/>
    <w:rsid w:val="001C110D"/>
    <w:rsid w:val="001D17F3"/>
    <w:rsid w:val="001E1F96"/>
    <w:rsid w:val="001E3296"/>
    <w:rsid w:val="001E46E5"/>
    <w:rsid w:val="001E535D"/>
    <w:rsid w:val="001E61EA"/>
    <w:rsid w:val="0020165E"/>
    <w:rsid w:val="0020227E"/>
    <w:rsid w:val="00226629"/>
    <w:rsid w:val="002348B6"/>
    <w:rsid w:val="00245A45"/>
    <w:rsid w:val="00256A80"/>
    <w:rsid w:val="002572D1"/>
    <w:rsid w:val="00261550"/>
    <w:rsid w:val="00265992"/>
    <w:rsid w:val="00266A4F"/>
    <w:rsid w:val="0027205F"/>
    <w:rsid w:val="00280488"/>
    <w:rsid w:val="002818D2"/>
    <w:rsid w:val="0029139D"/>
    <w:rsid w:val="00297BDC"/>
    <w:rsid w:val="002A1324"/>
    <w:rsid w:val="002A2300"/>
    <w:rsid w:val="002B4DBF"/>
    <w:rsid w:val="002B5FD1"/>
    <w:rsid w:val="002C1610"/>
    <w:rsid w:val="002C1E37"/>
    <w:rsid w:val="002C4466"/>
    <w:rsid w:val="002D6127"/>
    <w:rsid w:val="002E2231"/>
    <w:rsid w:val="002E713F"/>
    <w:rsid w:val="002F02BA"/>
    <w:rsid w:val="002F38D3"/>
    <w:rsid w:val="00306694"/>
    <w:rsid w:val="0031270D"/>
    <w:rsid w:val="00313686"/>
    <w:rsid w:val="00313E7D"/>
    <w:rsid w:val="00316A7B"/>
    <w:rsid w:val="003209C0"/>
    <w:rsid w:val="0032440D"/>
    <w:rsid w:val="00334CB5"/>
    <w:rsid w:val="003366EA"/>
    <w:rsid w:val="0034495C"/>
    <w:rsid w:val="003640F8"/>
    <w:rsid w:val="0037737D"/>
    <w:rsid w:val="00391962"/>
    <w:rsid w:val="003A067A"/>
    <w:rsid w:val="003A14DA"/>
    <w:rsid w:val="003C4E10"/>
    <w:rsid w:val="003C65BF"/>
    <w:rsid w:val="003D16CB"/>
    <w:rsid w:val="003E2106"/>
    <w:rsid w:val="003F7AB2"/>
    <w:rsid w:val="00403B3E"/>
    <w:rsid w:val="004100BD"/>
    <w:rsid w:val="004102D4"/>
    <w:rsid w:val="0041507E"/>
    <w:rsid w:val="004157CC"/>
    <w:rsid w:val="004175D1"/>
    <w:rsid w:val="00420127"/>
    <w:rsid w:val="00422874"/>
    <w:rsid w:val="004264BA"/>
    <w:rsid w:val="00426679"/>
    <w:rsid w:val="0043030B"/>
    <w:rsid w:val="004303F7"/>
    <w:rsid w:val="0043067B"/>
    <w:rsid w:val="00430AA0"/>
    <w:rsid w:val="004311FC"/>
    <w:rsid w:val="00442531"/>
    <w:rsid w:val="00460608"/>
    <w:rsid w:val="0046135A"/>
    <w:rsid w:val="004631A5"/>
    <w:rsid w:val="00475FB1"/>
    <w:rsid w:val="00480CB3"/>
    <w:rsid w:val="00482E2E"/>
    <w:rsid w:val="00486F1F"/>
    <w:rsid w:val="004A476F"/>
    <w:rsid w:val="004A6F1F"/>
    <w:rsid w:val="004B3C62"/>
    <w:rsid w:val="004D51EA"/>
    <w:rsid w:val="004E10D9"/>
    <w:rsid w:val="004E16B1"/>
    <w:rsid w:val="004E20A1"/>
    <w:rsid w:val="004E3E2C"/>
    <w:rsid w:val="004E486E"/>
    <w:rsid w:val="004E4B72"/>
    <w:rsid w:val="004E5C60"/>
    <w:rsid w:val="004E6095"/>
    <w:rsid w:val="004F10EC"/>
    <w:rsid w:val="004F6384"/>
    <w:rsid w:val="00500C07"/>
    <w:rsid w:val="0051079E"/>
    <w:rsid w:val="00514EDE"/>
    <w:rsid w:val="0052425E"/>
    <w:rsid w:val="0052487C"/>
    <w:rsid w:val="00533845"/>
    <w:rsid w:val="005338E9"/>
    <w:rsid w:val="00543E48"/>
    <w:rsid w:val="00544306"/>
    <w:rsid w:val="00550908"/>
    <w:rsid w:val="00555FC6"/>
    <w:rsid w:val="00557A87"/>
    <w:rsid w:val="00561485"/>
    <w:rsid w:val="005653BB"/>
    <w:rsid w:val="005705D8"/>
    <w:rsid w:val="005727D4"/>
    <w:rsid w:val="00576C29"/>
    <w:rsid w:val="0058052E"/>
    <w:rsid w:val="005825F4"/>
    <w:rsid w:val="0059452C"/>
    <w:rsid w:val="005A4082"/>
    <w:rsid w:val="005B56E3"/>
    <w:rsid w:val="005B686B"/>
    <w:rsid w:val="005B717A"/>
    <w:rsid w:val="005C04DF"/>
    <w:rsid w:val="005C245A"/>
    <w:rsid w:val="005C42D7"/>
    <w:rsid w:val="005C5E78"/>
    <w:rsid w:val="005D336D"/>
    <w:rsid w:val="005D695F"/>
    <w:rsid w:val="005E070D"/>
    <w:rsid w:val="005E6BA1"/>
    <w:rsid w:val="005F14D7"/>
    <w:rsid w:val="005F2A8B"/>
    <w:rsid w:val="005F4344"/>
    <w:rsid w:val="005F77FE"/>
    <w:rsid w:val="006033C3"/>
    <w:rsid w:val="00604187"/>
    <w:rsid w:val="0060529B"/>
    <w:rsid w:val="006236EE"/>
    <w:rsid w:val="00650498"/>
    <w:rsid w:val="0065500F"/>
    <w:rsid w:val="006661F3"/>
    <w:rsid w:val="00673C89"/>
    <w:rsid w:val="00674112"/>
    <w:rsid w:val="00687AC7"/>
    <w:rsid w:val="006A3DFA"/>
    <w:rsid w:val="006B0B4F"/>
    <w:rsid w:val="006B2032"/>
    <w:rsid w:val="006B51A2"/>
    <w:rsid w:val="006C1E61"/>
    <w:rsid w:val="006C7077"/>
    <w:rsid w:val="006D47FB"/>
    <w:rsid w:val="006E03B4"/>
    <w:rsid w:val="006E199D"/>
    <w:rsid w:val="006E4106"/>
    <w:rsid w:val="006E671E"/>
    <w:rsid w:val="006E7409"/>
    <w:rsid w:val="006F513C"/>
    <w:rsid w:val="006F5EE7"/>
    <w:rsid w:val="00700352"/>
    <w:rsid w:val="00701533"/>
    <w:rsid w:val="00703684"/>
    <w:rsid w:val="007274A6"/>
    <w:rsid w:val="00727B6D"/>
    <w:rsid w:val="00733F5D"/>
    <w:rsid w:val="00736FD2"/>
    <w:rsid w:val="00740E41"/>
    <w:rsid w:val="00751646"/>
    <w:rsid w:val="00753886"/>
    <w:rsid w:val="00753C12"/>
    <w:rsid w:val="0075690B"/>
    <w:rsid w:val="0076153D"/>
    <w:rsid w:val="007644BF"/>
    <w:rsid w:val="00771CBC"/>
    <w:rsid w:val="00773080"/>
    <w:rsid w:val="00774E90"/>
    <w:rsid w:val="007778C3"/>
    <w:rsid w:val="00780BD4"/>
    <w:rsid w:val="0078337E"/>
    <w:rsid w:val="00783586"/>
    <w:rsid w:val="00787F5B"/>
    <w:rsid w:val="00790A8A"/>
    <w:rsid w:val="0079208A"/>
    <w:rsid w:val="007931CF"/>
    <w:rsid w:val="007A2592"/>
    <w:rsid w:val="007B29D9"/>
    <w:rsid w:val="007B4EF1"/>
    <w:rsid w:val="007C102B"/>
    <w:rsid w:val="007C3539"/>
    <w:rsid w:val="007C4F0E"/>
    <w:rsid w:val="007D016A"/>
    <w:rsid w:val="007D3694"/>
    <w:rsid w:val="007D7D8D"/>
    <w:rsid w:val="007E0BBC"/>
    <w:rsid w:val="007E2B0A"/>
    <w:rsid w:val="007F112E"/>
    <w:rsid w:val="007F2D14"/>
    <w:rsid w:val="00804572"/>
    <w:rsid w:val="0081017A"/>
    <w:rsid w:val="00811E21"/>
    <w:rsid w:val="00817C48"/>
    <w:rsid w:val="00830A0F"/>
    <w:rsid w:val="00855E75"/>
    <w:rsid w:val="0086441C"/>
    <w:rsid w:val="008727F3"/>
    <w:rsid w:val="008750C9"/>
    <w:rsid w:val="00875B38"/>
    <w:rsid w:val="008800A0"/>
    <w:rsid w:val="00881F87"/>
    <w:rsid w:val="00883E2D"/>
    <w:rsid w:val="008A06DD"/>
    <w:rsid w:val="008B2D77"/>
    <w:rsid w:val="008B2EC7"/>
    <w:rsid w:val="008C1E5E"/>
    <w:rsid w:val="008C2435"/>
    <w:rsid w:val="008C36F7"/>
    <w:rsid w:val="008C3D0A"/>
    <w:rsid w:val="008C6B34"/>
    <w:rsid w:val="008D4F8D"/>
    <w:rsid w:val="008D6536"/>
    <w:rsid w:val="008D7E6C"/>
    <w:rsid w:val="008E124C"/>
    <w:rsid w:val="008E714D"/>
    <w:rsid w:val="008F0330"/>
    <w:rsid w:val="008F2DA8"/>
    <w:rsid w:val="008F39E0"/>
    <w:rsid w:val="008F5D90"/>
    <w:rsid w:val="00911F2F"/>
    <w:rsid w:val="00912225"/>
    <w:rsid w:val="009147E5"/>
    <w:rsid w:val="00915C13"/>
    <w:rsid w:val="00915DCD"/>
    <w:rsid w:val="00927B62"/>
    <w:rsid w:val="00930C82"/>
    <w:rsid w:val="00942D0D"/>
    <w:rsid w:val="00944687"/>
    <w:rsid w:val="009571D5"/>
    <w:rsid w:val="0096066E"/>
    <w:rsid w:val="0096526B"/>
    <w:rsid w:val="00972994"/>
    <w:rsid w:val="00974FB6"/>
    <w:rsid w:val="0097636C"/>
    <w:rsid w:val="0098128F"/>
    <w:rsid w:val="009A5021"/>
    <w:rsid w:val="009A6AFB"/>
    <w:rsid w:val="009B024F"/>
    <w:rsid w:val="009B7FAA"/>
    <w:rsid w:val="009C17BF"/>
    <w:rsid w:val="009C199D"/>
    <w:rsid w:val="009C3A4D"/>
    <w:rsid w:val="009C572A"/>
    <w:rsid w:val="009E0951"/>
    <w:rsid w:val="009E3797"/>
    <w:rsid w:val="009F51CD"/>
    <w:rsid w:val="009F66CA"/>
    <w:rsid w:val="00A009BC"/>
    <w:rsid w:val="00A06A05"/>
    <w:rsid w:val="00A13611"/>
    <w:rsid w:val="00A2050F"/>
    <w:rsid w:val="00A24D73"/>
    <w:rsid w:val="00A25148"/>
    <w:rsid w:val="00A346AB"/>
    <w:rsid w:val="00A45FC6"/>
    <w:rsid w:val="00A7102D"/>
    <w:rsid w:val="00A733E4"/>
    <w:rsid w:val="00A77397"/>
    <w:rsid w:val="00A77517"/>
    <w:rsid w:val="00A822A7"/>
    <w:rsid w:val="00A8711A"/>
    <w:rsid w:val="00A9444D"/>
    <w:rsid w:val="00A9567C"/>
    <w:rsid w:val="00AA1F85"/>
    <w:rsid w:val="00AB65ED"/>
    <w:rsid w:val="00AC615A"/>
    <w:rsid w:val="00AD5B68"/>
    <w:rsid w:val="00AF5AF4"/>
    <w:rsid w:val="00B05104"/>
    <w:rsid w:val="00B0545D"/>
    <w:rsid w:val="00B102D2"/>
    <w:rsid w:val="00B21FFB"/>
    <w:rsid w:val="00B2316A"/>
    <w:rsid w:val="00B24F75"/>
    <w:rsid w:val="00B27BD5"/>
    <w:rsid w:val="00B84DAD"/>
    <w:rsid w:val="00B91A9C"/>
    <w:rsid w:val="00B9702A"/>
    <w:rsid w:val="00BA3727"/>
    <w:rsid w:val="00BA4271"/>
    <w:rsid w:val="00BB030D"/>
    <w:rsid w:val="00BD71F3"/>
    <w:rsid w:val="00BE20DF"/>
    <w:rsid w:val="00BE69B5"/>
    <w:rsid w:val="00BF7658"/>
    <w:rsid w:val="00C00AFC"/>
    <w:rsid w:val="00C01F9B"/>
    <w:rsid w:val="00C038AF"/>
    <w:rsid w:val="00C04FCC"/>
    <w:rsid w:val="00C05472"/>
    <w:rsid w:val="00C17B85"/>
    <w:rsid w:val="00C216F4"/>
    <w:rsid w:val="00C3306C"/>
    <w:rsid w:val="00C34D60"/>
    <w:rsid w:val="00C35D79"/>
    <w:rsid w:val="00C3719C"/>
    <w:rsid w:val="00C371CF"/>
    <w:rsid w:val="00C430F2"/>
    <w:rsid w:val="00C70BB9"/>
    <w:rsid w:val="00C716FC"/>
    <w:rsid w:val="00C91896"/>
    <w:rsid w:val="00C945D1"/>
    <w:rsid w:val="00C95C97"/>
    <w:rsid w:val="00CB32D8"/>
    <w:rsid w:val="00CD4652"/>
    <w:rsid w:val="00CD5D70"/>
    <w:rsid w:val="00CE33CF"/>
    <w:rsid w:val="00D02198"/>
    <w:rsid w:val="00D04C6A"/>
    <w:rsid w:val="00D05DFA"/>
    <w:rsid w:val="00D06360"/>
    <w:rsid w:val="00D23619"/>
    <w:rsid w:val="00D2672E"/>
    <w:rsid w:val="00D3569D"/>
    <w:rsid w:val="00D40319"/>
    <w:rsid w:val="00D4444C"/>
    <w:rsid w:val="00D453FF"/>
    <w:rsid w:val="00D60E05"/>
    <w:rsid w:val="00D6227B"/>
    <w:rsid w:val="00D63FCE"/>
    <w:rsid w:val="00D6441F"/>
    <w:rsid w:val="00D74951"/>
    <w:rsid w:val="00D74B63"/>
    <w:rsid w:val="00D752A4"/>
    <w:rsid w:val="00D86247"/>
    <w:rsid w:val="00D929EE"/>
    <w:rsid w:val="00DB30C2"/>
    <w:rsid w:val="00DB4481"/>
    <w:rsid w:val="00DB49BF"/>
    <w:rsid w:val="00DC5F3D"/>
    <w:rsid w:val="00DE3CBF"/>
    <w:rsid w:val="00DE4468"/>
    <w:rsid w:val="00DE46C6"/>
    <w:rsid w:val="00DE494B"/>
    <w:rsid w:val="00DE5743"/>
    <w:rsid w:val="00DE71AE"/>
    <w:rsid w:val="00DF1B9B"/>
    <w:rsid w:val="00E07E5C"/>
    <w:rsid w:val="00E12881"/>
    <w:rsid w:val="00E13815"/>
    <w:rsid w:val="00E155CF"/>
    <w:rsid w:val="00E158A1"/>
    <w:rsid w:val="00E21594"/>
    <w:rsid w:val="00E2359C"/>
    <w:rsid w:val="00E27AB5"/>
    <w:rsid w:val="00E36293"/>
    <w:rsid w:val="00E42215"/>
    <w:rsid w:val="00E5371B"/>
    <w:rsid w:val="00E56AAA"/>
    <w:rsid w:val="00E637BF"/>
    <w:rsid w:val="00E6781D"/>
    <w:rsid w:val="00E67C22"/>
    <w:rsid w:val="00E67EDF"/>
    <w:rsid w:val="00E71433"/>
    <w:rsid w:val="00E71800"/>
    <w:rsid w:val="00E753E2"/>
    <w:rsid w:val="00E75686"/>
    <w:rsid w:val="00E7609F"/>
    <w:rsid w:val="00E84398"/>
    <w:rsid w:val="00E87D2B"/>
    <w:rsid w:val="00E949F0"/>
    <w:rsid w:val="00EA2C8E"/>
    <w:rsid w:val="00EA2DEE"/>
    <w:rsid w:val="00EA3AD0"/>
    <w:rsid w:val="00EA70A6"/>
    <w:rsid w:val="00EA7F8E"/>
    <w:rsid w:val="00EB187E"/>
    <w:rsid w:val="00EC0494"/>
    <w:rsid w:val="00EC1395"/>
    <w:rsid w:val="00EC560D"/>
    <w:rsid w:val="00EC73B6"/>
    <w:rsid w:val="00ED07E5"/>
    <w:rsid w:val="00EF0615"/>
    <w:rsid w:val="00EF0C10"/>
    <w:rsid w:val="00EF197F"/>
    <w:rsid w:val="00EF22FF"/>
    <w:rsid w:val="00EF33A3"/>
    <w:rsid w:val="00EF50B9"/>
    <w:rsid w:val="00F006E1"/>
    <w:rsid w:val="00F1187B"/>
    <w:rsid w:val="00F12EFB"/>
    <w:rsid w:val="00F223F3"/>
    <w:rsid w:val="00F27441"/>
    <w:rsid w:val="00F27A36"/>
    <w:rsid w:val="00F31620"/>
    <w:rsid w:val="00F37451"/>
    <w:rsid w:val="00F44539"/>
    <w:rsid w:val="00F4531B"/>
    <w:rsid w:val="00F519F0"/>
    <w:rsid w:val="00F54283"/>
    <w:rsid w:val="00F628A3"/>
    <w:rsid w:val="00F63E95"/>
    <w:rsid w:val="00F77B8D"/>
    <w:rsid w:val="00F83019"/>
    <w:rsid w:val="00F83847"/>
    <w:rsid w:val="00F86D71"/>
    <w:rsid w:val="00F94085"/>
    <w:rsid w:val="00F97603"/>
    <w:rsid w:val="00FA0B43"/>
    <w:rsid w:val="00FA4050"/>
    <w:rsid w:val="00FA4A6E"/>
    <w:rsid w:val="00FA4E6F"/>
    <w:rsid w:val="00FA6794"/>
    <w:rsid w:val="00FB2D42"/>
    <w:rsid w:val="00FB594F"/>
    <w:rsid w:val="00FB7174"/>
    <w:rsid w:val="00FC0082"/>
    <w:rsid w:val="00FC32B4"/>
    <w:rsid w:val="00FD14D1"/>
    <w:rsid w:val="00FD59CA"/>
    <w:rsid w:val="00FD72D1"/>
    <w:rsid w:val="00FD7D9E"/>
    <w:rsid w:val="00FE21CE"/>
    <w:rsid w:val="00FE6244"/>
    <w:rsid w:val="00FF1FD3"/>
    <w:rsid w:val="010005DA"/>
    <w:rsid w:val="0194055C"/>
    <w:rsid w:val="03332B05"/>
    <w:rsid w:val="03B76507"/>
    <w:rsid w:val="051B7B8F"/>
    <w:rsid w:val="05EA4E72"/>
    <w:rsid w:val="06601F91"/>
    <w:rsid w:val="06811D7B"/>
    <w:rsid w:val="06865690"/>
    <w:rsid w:val="07024528"/>
    <w:rsid w:val="0791707F"/>
    <w:rsid w:val="07AE7DDB"/>
    <w:rsid w:val="07DF4802"/>
    <w:rsid w:val="07F57410"/>
    <w:rsid w:val="0801789B"/>
    <w:rsid w:val="08AD4061"/>
    <w:rsid w:val="08B92787"/>
    <w:rsid w:val="09C3710A"/>
    <w:rsid w:val="0A00745E"/>
    <w:rsid w:val="0AC24F48"/>
    <w:rsid w:val="0AE0651F"/>
    <w:rsid w:val="0B03497B"/>
    <w:rsid w:val="0B2C4B54"/>
    <w:rsid w:val="0BCE30E7"/>
    <w:rsid w:val="0C600B67"/>
    <w:rsid w:val="0CA20E8E"/>
    <w:rsid w:val="0CAE380F"/>
    <w:rsid w:val="0CB35CD6"/>
    <w:rsid w:val="0CC14D21"/>
    <w:rsid w:val="0CC23915"/>
    <w:rsid w:val="0CF34325"/>
    <w:rsid w:val="0D855190"/>
    <w:rsid w:val="0E39045D"/>
    <w:rsid w:val="0EED36A3"/>
    <w:rsid w:val="0F4B514A"/>
    <w:rsid w:val="0F7F00F1"/>
    <w:rsid w:val="0FB31066"/>
    <w:rsid w:val="0FD454AF"/>
    <w:rsid w:val="0FE66E7E"/>
    <w:rsid w:val="104529ED"/>
    <w:rsid w:val="1107235F"/>
    <w:rsid w:val="11662A70"/>
    <w:rsid w:val="116E7244"/>
    <w:rsid w:val="118E286E"/>
    <w:rsid w:val="11CC23A2"/>
    <w:rsid w:val="11E9219A"/>
    <w:rsid w:val="12695A53"/>
    <w:rsid w:val="13CC61FD"/>
    <w:rsid w:val="14761F7F"/>
    <w:rsid w:val="14B53DB9"/>
    <w:rsid w:val="14E153AA"/>
    <w:rsid w:val="15400765"/>
    <w:rsid w:val="15690523"/>
    <w:rsid w:val="157377CF"/>
    <w:rsid w:val="15947F5C"/>
    <w:rsid w:val="16413DFA"/>
    <w:rsid w:val="16953FA5"/>
    <w:rsid w:val="170C2D16"/>
    <w:rsid w:val="186036F6"/>
    <w:rsid w:val="18624A2B"/>
    <w:rsid w:val="197E49EB"/>
    <w:rsid w:val="19F65087"/>
    <w:rsid w:val="1A89320F"/>
    <w:rsid w:val="1B4717BB"/>
    <w:rsid w:val="1B582D0A"/>
    <w:rsid w:val="1B650D9C"/>
    <w:rsid w:val="1B743BBD"/>
    <w:rsid w:val="1B983098"/>
    <w:rsid w:val="1BBA7246"/>
    <w:rsid w:val="1CC72184"/>
    <w:rsid w:val="1CE5209B"/>
    <w:rsid w:val="1D3775A1"/>
    <w:rsid w:val="1D773929"/>
    <w:rsid w:val="1D94366F"/>
    <w:rsid w:val="1DE657E0"/>
    <w:rsid w:val="1F9602C6"/>
    <w:rsid w:val="1FB31510"/>
    <w:rsid w:val="1FD8603F"/>
    <w:rsid w:val="20244B16"/>
    <w:rsid w:val="20656358"/>
    <w:rsid w:val="21625720"/>
    <w:rsid w:val="218C378A"/>
    <w:rsid w:val="22A66983"/>
    <w:rsid w:val="22CE78BA"/>
    <w:rsid w:val="22FD25EF"/>
    <w:rsid w:val="23B8052B"/>
    <w:rsid w:val="23F944BF"/>
    <w:rsid w:val="240F40B0"/>
    <w:rsid w:val="24A52071"/>
    <w:rsid w:val="24A563F4"/>
    <w:rsid w:val="24B9055F"/>
    <w:rsid w:val="24D159B7"/>
    <w:rsid w:val="255049CD"/>
    <w:rsid w:val="257930A6"/>
    <w:rsid w:val="25AC5D4E"/>
    <w:rsid w:val="25C87A65"/>
    <w:rsid w:val="27192463"/>
    <w:rsid w:val="272D71A3"/>
    <w:rsid w:val="27C22E19"/>
    <w:rsid w:val="27DD66C1"/>
    <w:rsid w:val="28DA3860"/>
    <w:rsid w:val="29766231"/>
    <w:rsid w:val="2A4367D8"/>
    <w:rsid w:val="2A4A7891"/>
    <w:rsid w:val="2ADC2444"/>
    <w:rsid w:val="2B64286D"/>
    <w:rsid w:val="2BCA6741"/>
    <w:rsid w:val="2BD7069D"/>
    <w:rsid w:val="2C106511"/>
    <w:rsid w:val="2C6C346E"/>
    <w:rsid w:val="2CAC3C25"/>
    <w:rsid w:val="2CD662BD"/>
    <w:rsid w:val="2D033C80"/>
    <w:rsid w:val="2D866EA3"/>
    <w:rsid w:val="2DB11C3F"/>
    <w:rsid w:val="2DBF2826"/>
    <w:rsid w:val="2DC6525D"/>
    <w:rsid w:val="2DD9491E"/>
    <w:rsid w:val="2E3E5E8A"/>
    <w:rsid w:val="2E653566"/>
    <w:rsid w:val="2E8803B2"/>
    <w:rsid w:val="2F1F6390"/>
    <w:rsid w:val="2F3924AD"/>
    <w:rsid w:val="2F5A6DAA"/>
    <w:rsid w:val="2FEA372F"/>
    <w:rsid w:val="310F2A34"/>
    <w:rsid w:val="3164652A"/>
    <w:rsid w:val="320B0F59"/>
    <w:rsid w:val="32BF23CB"/>
    <w:rsid w:val="32CA2B82"/>
    <w:rsid w:val="32F9568D"/>
    <w:rsid w:val="33B5365F"/>
    <w:rsid w:val="33D330C4"/>
    <w:rsid w:val="34053F1A"/>
    <w:rsid w:val="34904354"/>
    <w:rsid w:val="34A27474"/>
    <w:rsid w:val="34BE2027"/>
    <w:rsid w:val="34F62354"/>
    <w:rsid w:val="351F6BA1"/>
    <w:rsid w:val="36444128"/>
    <w:rsid w:val="36941E25"/>
    <w:rsid w:val="36A54032"/>
    <w:rsid w:val="36E3772B"/>
    <w:rsid w:val="372F02B2"/>
    <w:rsid w:val="37B04B31"/>
    <w:rsid w:val="37BE6B94"/>
    <w:rsid w:val="38137719"/>
    <w:rsid w:val="399A48D8"/>
    <w:rsid w:val="39E96DBE"/>
    <w:rsid w:val="3AAD2378"/>
    <w:rsid w:val="3ADB127E"/>
    <w:rsid w:val="3B1E3A34"/>
    <w:rsid w:val="3B1F5495"/>
    <w:rsid w:val="3B967BC8"/>
    <w:rsid w:val="3C0F6BA7"/>
    <w:rsid w:val="3C246790"/>
    <w:rsid w:val="3CA1644A"/>
    <w:rsid w:val="3CC26DB4"/>
    <w:rsid w:val="3CD010A0"/>
    <w:rsid w:val="3D9E6D23"/>
    <w:rsid w:val="3E5201BC"/>
    <w:rsid w:val="3E5C76CC"/>
    <w:rsid w:val="3E901EED"/>
    <w:rsid w:val="3E9728E4"/>
    <w:rsid w:val="3F934C39"/>
    <w:rsid w:val="401A668F"/>
    <w:rsid w:val="4084115C"/>
    <w:rsid w:val="40C07F2B"/>
    <w:rsid w:val="41266155"/>
    <w:rsid w:val="41B460ED"/>
    <w:rsid w:val="433D406E"/>
    <w:rsid w:val="44506305"/>
    <w:rsid w:val="44614375"/>
    <w:rsid w:val="44C1361A"/>
    <w:rsid w:val="45B4754F"/>
    <w:rsid w:val="45D36A02"/>
    <w:rsid w:val="474D02F1"/>
    <w:rsid w:val="47532256"/>
    <w:rsid w:val="4783050C"/>
    <w:rsid w:val="47ED731C"/>
    <w:rsid w:val="48467702"/>
    <w:rsid w:val="48D828ED"/>
    <w:rsid w:val="48E924A4"/>
    <w:rsid w:val="49C36A7A"/>
    <w:rsid w:val="4B0215FB"/>
    <w:rsid w:val="4C650094"/>
    <w:rsid w:val="4CAC424E"/>
    <w:rsid w:val="4CE9176C"/>
    <w:rsid w:val="4D796175"/>
    <w:rsid w:val="4DBA29C1"/>
    <w:rsid w:val="4E0A6C2F"/>
    <w:rsid w:val="4E777472"/>
    <w:rsid w:val="4E807FB7"/>
    <w:rsid w:val="4EA76741"/>
    <w:rsid w:val="4EC55DFF"/>
    <w:rsid w:val="4F222B9D"/>
    <w:rsid w:val="500633DD"/>
    <w:rsid w:val="5011667A"/>
    <w:rsid w:val="522D5F9F"/>
    <w:rsid w:val="52DC6BD6"/>
    <w:rsid w:val="538565E9"/>
    <w:rsid w:val="54142638"/>
    <w:rsid w:val="542A2E8B"/>
    <w:rsid w:val="555B56F2"/>
    <w:rsid w:val="55A270C8"/>
    <w:rsid w:val="55C65186"/>
    <w:rsid w:val="56755377"/>
    <w:rsid w:val="56A318C0"/>
    <w:rsid w:val="570D5ED5"/>
    <w:rsid w:val="57AE39D9"/>
    <w:rsid w:val="57B62E70"/>
    <w:rsid w:val="57DB4848"/>
    <w:rsid w:val="581A0A0C"/>
    <w:rsid w:val="5A2C4124"/>
    <w:rsid w:val="5A533113"/>
    <w:rsid w:val="5A825FC5"/>
    <w:rsid w:val="5A943FA5"/>
    <w:rsid w:val="5ABF3752"/>
    <w:rsid w:val="5AD312FA"/>
    <w:rsid w:val="5D36031C"/>
    <w:rsid w:val="5D437F7D"/>
    <w:rsid w:val="5DC421E6"/>
    <w:rsid w:val="5E516176"/>
    <w:rsid w:val="5E773366"/>
    <w:rsid w:val="5F002AEE"/>
    <w:rsid w:val="5F294C72"/>
    <w:rsid w:val="5FA016B7"/>
    <w:rsid w:val="5FAB5C9C"/>
    <w:rsid w:val="62794D5A"/>
    <w:rsid w:val="62B22CFD"/>
    <w:rsid w:val="6458211C"/>
    <w:rsid w:val="64A932E2"/>
    <w:rsid w:val="655045D5"/>
    <w:rsid w:val="65BC7B44"/>
    <w:rsid w:val="65EE4C68"/>
    <w:rsid w:val="67127473"/>
    <w:rsid w:val="67AA167A"/>
    <w:rsid w:val="683D381B"/>
    <w:rsid w:val="68D21A92"/>
    <w:rsid w:val="693764BC"/>
    <w:rsid w:val="69593A31"/>
    <w:rsid w:val="69A54855"/>
    <w:rsid w:val="69E027B0"/>
    <w:rsid w:val="6A140057"/>
    <w:rsid w:val="6A8C715B"/>
    <w:rsid w:val="6A91127D"/>
    <w:rsid w:val="6BA950C0"/>
    <w:rsid w:val="6BB36EEF"/>
    <w:rsid w:val="6BE36A8B"/>
    <w:rsid w:val="6C0A31BB"/>
    <w:rsid w:val="6C527AA4"/>
    <w:rsid w:val="6C6A72D9"/>
    <w:rsid w:val="6C7C5CBA"/>
    <w:rsid w:val="6C9D4D3E"/>
    <w:rsid w:val="6CD57D77"/>
    <w:rsid w:val="6D1F1CE2"/>
    <w:rsid w:val="6DFD5F26"/>
    <w:rsid w:val="6E0B07AB"/>
    <w:rsid w:val="6E5A0421"/>
    <w:rsid w:val="6EB02F99"/>
    <w:rsid w:val="6EDD18B4"/>
    <w:rsid w:val="6FD40F09"/>
    <w:rsid w:val="704F233D"/>
    <w:rsid w:val="70513374"/>
    <w:rsid w:val="70545811"/>
    <w:rsid w:val="714637B5"/>
    <w:rsid w:val="71A60E62"/>
    <w:rsid w:val="71F61E2F"/>
    <w:rsid w:val="721832BA"/>
    <w:rsid w:val="73522870"/>
    <w:rsid w:val="73AA2652"/>
    <w:rsid w:val="74C07CAE"/>
    <w:rsid w:val="753606CB"/>
    <w:rsid w:val="75B20B64"/>
    <w:rsid w:val="772A1C1B"/>
    <w:rsid w:val="775A1CF3"/>
    <w:rsid w:val="77E83812"/>
    <w:rsid w:val="7932167C"/>
    <w:rsid w:val="7A2B7977"/>
    <w:rsid w:val="7A7764C5"/>
    <w:rsid w:val="7AE100A6"/>
    <w:rsid w:val="7B2670F4"/>
    <w:rsid w:val="7B4927AB"/>
    <w:rsid w:val="7B7D69AA"/>
    <w:rsid w:val="7C45143F"/>
    <w:rsid w:val="7CDB7433"/>
    <w:rsid w:val="7DAC6664"/>
    <w:rsid w:val="7EB77A2B"/>
    <w:rsid w:val="7F4D590E"/>
    <w:rsid w:val="7F5F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1"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4">
    <w:name w:val="heading 2"/>
    <w:basedOn w:val="1"/>
    <w:next w:val="1"/>
    <w:link w:val="23"/>
    <w:qFormat/>
    <w:uiPriority w:val="99"/>
    <w:pPr>
      <w:keepNext/>
      <w:keepLines/>
      <w:spacing w:before="260" w:after="260" w:line="416" w:lineRule="auto"/>
      <w:jc w:val="center"/>
      <w:outlineLvl w:val="1"/>
    </w:pPr>
    <w:rPr>
      <w:rFonts w:ascii="Cambria" w:hAnsi="Cambria"/>
      <w:b/>
      <w:bCs/>
      <w:kern w:val="0"/>
      <w:sz w:val="30"/>
      <w:szCs w:val="30"/>
    </w:rPr>
  </w:style>
  <w:style w:type="paragraph" w:styleId="5">
    <w:name w:val="heading 3"/>
    <w:basedOn w:val="1"/>
    <w:next w:val="1"/>
    <w:link w:val="24"/>
    <w:qFormat/>
    <w:uiPriority w:val="1"/>
    <w:pPr>
      <w:keepNext/>
      <w:keepLines/>
      <w:spacing w:before="260" w:after="260" w:line="416" w:lineRule="auto"/>
      <w:outlineLvl w:val="2"/>
    </w:pPr>
    <w:rPr>
      <w:bCs/>
      <w:kern w:val="0"/>
      <w:sz w:val="20"/>
      <w:szCs w:val="32"/>
    </w:rPr>
  </w:style>
  <w:style w:type="paragraph" w:styleId="6">
    <w:name w:val="heading 4"/>
    <w:basedOn w:val="1"/>
    <w:next w:val="1"/>
    <w:qFormat/>
    <w:uiPriority w:val="9"/>
    <w:pPr>
      <w:keepNext/>
      <w:keepLines/>
      <w:spacing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1"/>
    <w:pPr>
      <w:ind w:left="100"/>
    </w:pPr>
    <w:rPr>
      <w:rFonts w:ascii="宋体" w:hAnsi="宋体" w:eastAsia="宋体"/>
      <w:sz w:val="21"/>
      <w:szCs w:val="21"/>
    </w:rPr>
  </w:style>
  <w:style w:type="paragraph" w:styleId="7">
    <w:name w:val="Normal Indent"/>
    <w:basedOn w:val="1"/>
    <w:next w:val="1"/>
    <w:qFormat/>
    <w:uiPriority w:val="0"/>
    <w:pPr>
      <w:ind w:firstLine="420" w:firstLineChars="200"/>
      <w:jc w:val="left"/>
    </w:pPr>
    <w:rPr>
      <w:rFonts w:eastAsia="Calibri"/>
      <w:kern w:val="0"/>
      <w:sz w:val="22"/>
      <w:szCs w:val="22"/>
      <w:lang w:eastAsia="en-US"/>
    </w:rPr>
  </w:style>
  <w:style w:type="paragraph" w:styleId="8">
    <w:name w:val="annotation text"/>
    <w:basedOn w:val="1"/>
    <w:link w:val="25"/>
    <w:unhideWhenUsed/>
    <w:qFormat/>
    <w:uiPriority w:val="99"/>
    <w:pPr>
      <w:jc w:val="left"/>
    </w:pPr>
  </w:style>
  <w:style w:type="paragraph" w:styleId="9">
    <w:name w:val="Body Text"/>
    <w:basedOn w:val="1"/>
    <w:next w:val="1"/>
    <w:link w:val="26"/>
    <w:unhideWhenUsed/>
    <w:qFormat/>
    <w:uiPriority w:val="99"/>
    <w:pPr>
      <w:spacing w:after="120"/>
    </w:pPr>
  </w:style>
  <w:style w:type="paragraph" w:styleId="10">
    <w:name w:val="Body Text Indent"/>
    <w:basedOn w:val="1"/>
    <w:next w:val="11"/>
    <w:qFormat/>
    <w:uiPriority w:val="99"/>
    <w:pPr>
      <w:ind w:firstLine="570"/>
    </w:pPr>
    <w:rPr>
      <w:kern w:val="0"/>
      <w:sz w:val="28"/>
      <w:szCs w:val="20"/>
    </w:rPr>
  </w:style>
  <w:style w:type="paragraph" w:styleId="11">
    <w:name w:val="envelope return"/>
    <w:basedOn w:val="1"/>
    <w:qFormat/>
    <w:uiPriority w:val="0"/>
    <w:pPr>
      <w:snapToGrid w:val="0"/>
    </w:pPr>
    <w:rPr>
      <w:rFonts w:ascii="Arial" w:hAnsi="Arial"/>
    </w:rPr>
  </w:style>
  <w:style w:type="paragraph" w:styleId="12">
    <w:name w:val="Plain Text"/>
    <w:basedOn w:val="1"/>
    <w:next w:val="1"/>
    <w:unhideWhenUsed/>
    <w:qFormat/>
    <w:uiPriority w:val="0"/>
    <w:rPr>
      <w:rFonts w:ascii="宋体" w:hAnsi="Courier New"/>
      <w:kern w:val="0"/>
      <w:sz w:val="20"/>
      <w:szCs w:val="21"/>
    </w:rPr>
  </w:style>
  <w:style w:type="paragraph" w:styleId="13">
    <w:name w:val="Balloon Text"/>
    <w:basedOn w:val="1"/>
    <w:link w:val="27"/>
    <w:unhideWhenUsed/>
    <w:qFormat/>
    <w:uiPriority w:val="99"/>
    <w:rPr>
      <w:kern w:val="0"/>
      <w:sz w:val="18"/>
      <w:szCs w:val="18"/>
    </w:rPr>
  </w:style>
  <w:style w:type="paragraph" w:styleId="14">
    <w:name w:val="footer"/>
    <w:basedOn w:val="1"/>
    <w:link w:val="28"/>
    <w:unhideWhenUsed/>
    <w:qFormat/>
    <w:uiPriority w:val="99"/>
    <w:pPr>
      <w:tabs>
        <w:tab w:val="center" w:pos="4153"/>
        <w:tab w:val="right" w:pos="8306"/>
      </w:tabs>
      <w:snapToGrid w:val="0"/>
      <w:jc w:val="left"/>
    </w:pPr>
    <w:rPr>
      <w:kern w:val="0"/>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Normal (Web)"/>
    <w:basedOn w:val="1"/>
    <w:qFormat/>
    <w:uiPriority w:val="0"/>
    <w:pPr>
      <w:widowControl/>
      <w:spacing w:beforeAutospacing="1" w:afterAutospacing="1"/>
      <w:jc w:val="left"/>
    </w:pPr>
    <w:rPr>
      <w:rFonts w:ascii="宋体" w:hAnsi="宋体"/>
      <w:kern w:val="0"/>
      <w:sz w:val="24"/>
    </w:rPr>
  </w:style>
  <w:style w:type="paragraph" w:styleId="17">
    <w:name w:val="annotation subject"/>
    <w:basedOn w:val="8"/>
    <w:next w:val="8"/>
    <w:link w:val="30"/>
    <w:unhideWhenUsed/>
    <w:qFormat/>
    <w:uiPriority w:val="99"/>
    <w:rPr>
      <w:b/>
      <w:bCs/>
    </w:rPr>
  </w:style>
  <w:style w:type="paragraph" w:styleId="18">
    <w:name w:val="Body Text First Indent 2"/>
    <w:basedOn w:val="10"/>
    <w:qFormat/>
    <w:uiPriority w:val="0"/>
    <w:pPr>
      <w:spacing w:after="120"/>
      <w:ind w:left="200" w:leftChars="200" w:firstLine="200" w:firstLineChars="200"/>
    </w:pPr>
    <w:rPr>
      <w:rFonts w:ascii="Calibri" w:hAnsi="Calibri"/>
      <w:kern w:val="2"/>
      <w:sz w:val="21"/>
      <w:szCs w:val="24"/>
    </w:rPr>
  </w:style>
  <w:style w:type="character" w:styleId="21">
    <w:name w:val="Hyperlink"/>
    <w:qFormat/>
    <w:uiPriority w:val="0"/>
    <w:rPr>
      <w:color w:val="000000"/>
      <w:u w:val="none"/>
    </w:rPr>
  </w:style>
  <w:style w:type="character" w:styleId="22">
    <w:name w:val="annotation reference"/>
    <w:unhideWhenUsed/>
    <w:qFormat/>
    <w:uiPriority w:val="99"/>
    <w:rPr>
      <w:sz w:val="21"/>
      <w:szCs w:val="21"/>
    </w:rPr>
  </w:style>
  <w:style w:type="character" w:customStyle="1" w:styleId="23">
    <w:name w:val="标题 2 Char"/>
    <w:link w:val="4"/>
    <w:qFormat/>
    <w:uiPriority w:val="99"/>
    <w:rPr>
      <w:rFonts w:ascii="Cambria" w:hAnsi="Cambria" w:eastAsia="宋体" w:cs="Times New Roman"/>
      <w:b/>
      <w:bCs/>
      <w:kern w:val="0"/>
      <w:sz w:val="30"/>
      <w:szCs w:val="30"/>
    </w:rPr>
  </w:style>
  <w:style w:type="character" w:customStyle="1" w:styleId="24">
    <w:name w:val="标题 3 Char"/>
    <w:link w:val="5"/>
    <w:qFormat/>
    <w:uiPriority w:val="1"/>
    <w:rPr>
      <w:rFonts w:ascii="Times New Roman" w:hAnsi="Times New Roman" w:eastAsia="宋体" w:cs="Times New Roman"/>
      <w:bCs/>
      <w:szCs w:val="32"/>
    </w:rPr>
  </w:style>
  <w:style w:type="character" w:customStyle="1" w:styleId="25">
    <w:name w:val="批注文字 Char"/>
    <w:link w:val="8"/>
    <w:semiHidden/>
    <w:qFormat/>
    <w:uiPriority w:val="99"/>
    <w:rPr>
      <w:kern w:val="2"/>
      <w:sz w:val="21"/>
      <w:szCs w:val="24"/>
    </w:rPr>
  </w:style>
  <w:style w:type="character" w:customStyle="1" w:styleId="26">
    <w:name w:val="正文文本 Char"/>
    <w:link w:val="9"/>
    <w:semiHidden/>
    <w:qFormat/>
    <w:uiPriority w:val="99"/>
    <w:rPr>
      <w:kern w:val="2"/>
      <w:sz w:val="21"/>
      <w:szCs w:val="24"/>
    </w:rPr>
  </w:style>
  <w:style w:type="character" w:customStyle="1" w:styleId="27">
    <w:name w:val="批注框文本 Char"/>
    <w:link w:val="13"/>
    <w:semiHidden/>
    <w:qFormat/>
    <w:uiPriority w:val="99"/>
    <w:rPr>
      <w:sz w:val="18"/>
      <w:szCs w:val="18"/>
    </w:rPr>
  </w:style>
  <w:style w:type="character" w:customStyle="1" w:styleId="28">
    <w:name w:val="页脚 Char"/>
    <w:link w:val="14"/>
    <w:qFormat/>
    <w:uiPriority w:val="99"/>
    <w:rPr>
      <w:sz w:val="18"/>
      <w:szCs w:val="18"/>
    </w:rPr>
  </w:style>
  <w:style w:type="character" w:customStyle="1" w:styleId="29">
    <w:name w:val="页眉 Char"/>
    <w:link w:val="15"/>
    <w:semiHidden/>
    <w:qFormat/>
    <w:uiPriority w:val="99"/>
    <w:rPr>
      <w:sz w:val="18"/>
      <w:szCs w:val="18"/>
    </w:rPr>
  </w:style>
  <w:style w:type="character" w:customStyle="1" w:styleId="30">
    <w:name w:val="批注主题 Char"/>
    <w:link w:val="17"/>
    <w:semiHidden/>
    <w:qFormat/>
    <w:uiPriority w:val="99"/>
    <w:rPr>
      <w:b/>
      <w:bCs/>
      <w:kern w:val="2"/>
      <w:sz w:val="21"/>
      <w:szCs w:val="24"/>
    </w:rPr>
  </w:style>
  <w:style w:type="character" w:customStyle="1" w:styleId="31">
    <w:name w:val="16"/>
    <w:qFormat/>
    <w:uiPriority w:val="0"/>
    <w:rPr>
      <w:rFonts w:hint="default" w:ascii="Calibri" w:hAnsi="Calibri" w:cs="Calibri"/>
      <w:color w:val="0000FF"/>
      <w:u w:val="single"/>
    </w:rPr>
  </w:style>
  <w:style w:type="paragraph" w:customStyle="1" w:styleId="32">
    <w:name w:val="_Style 15"/>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34">
    <w:name w:val="_Style 31"/>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p0"/>
    <w:basedOn w:val="1"/>
    <w:qFormat/>
    <w:uiPriority w:val="99"/>
    <w:pPr>
      <w:widowControl/>
    </w:pPr>
    <w:rPr>
      <w:kern w:val="0"/>
      <w:szCs w:val="21"/>
    </w:rPr>
  </w:style>
  <w:style w:type="paragraph" w:customStyle="1" w:styleId="36">
    <w:name w:val="报告正文"/>
    <w:basedOn w:val="1"/>
    <w:qFormat/>
    <w:uiPriority w:val="0"/>
    <w:pPr>
      <w:adjustRightInd w:val="0"/>
      <w:snapToGrid w:val="0"/>
      <w:ind w:firstLine="480" w:firstLineChars="200"/>
    </w:pPr>
    <w:rPr>
      <w:rFonts w:cs="Times New Roman"/>
      <w:kern w:val="0"/>
      <w:szCs w:val="21"/>
    </w:rPr>
  </w:style>
  <w:style w:type="paragraph" w:customStyle="1" w:styleId="37">
    <w:name w:val="发文落款"/>
    <w:basedOn w:val="33"/>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22</TotalTime>
  <Pages>14</Pages>
  <Words>7980</Words>
  <Characters>8809</Characters>
  <DocSecurity>0</DocSecurity>
  <Lines>76</Lines>
  <Paragraphs>21</Paragraphs>
  <ScaleCrop>false</ScaleCrop>
  <LinksUpToDate>false</LinksUpToDate>
  <CharactersWithSpaces>9341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2023-04-14T00:54:00Z</cp:lastPrinted>
  <dcterms:created xsi:type="dcterms:W3CDTF">2022-11-02T04:05:00Z</dcterms:created>
  <dcterms:modified xsi:type="dcterms:W3CDTF">2023-05-25T03:55:10Z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7AC92FA95B1144D5B62DA8B0D705284D_13</vt:lpwstr>
  </property>
</Properties>
</file>