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auto"/>
          <w:sz w:val="44"/>
          <w:szCs w:val="44"/>
          <w:highlight w:val="none"/>
        </w:rPr>
      </w:pPr>
    </w:p>
    <w:p>
      <w:pPr>
        <w:jc w:val="center"/>
        <w:rPr>
          <w:rFonts w:ascii="宋体" w:hAnsi="宋体"/>
          <w:b/>
          <w:bCs/>
          <w:color w:val="auto"/>
          <w:sz w:val="44"/>
          <w:szCs w:val="44"/>
          <w:highlight w:val="none"/>
        </w:rPr>
      </w:pPr>
    </w:p>
    <w:p>
      <w:pPr>
        <w:jc w:val="center"/>
        <w:rPr>
          <w:rFonts w:ascii="方正小标宋简体" w:hAnsi="宋体" w:eastAsia="方正小标宋简体"/>
          <w:bCs/>
          <w:color w:val="auto"/>
          <w:sz w:val="48"/>
          <w:szCs w:val="48"/>
          <w:highlight w:val="none"/>
        </w:rPr>
      </w:pPr>
    </w:p>
    <w:p>
      <w:pPr>
        <w:spacing w:line="720" w:lineRule="auto"/>
        <w:jc w:val="center"/>
        <w:rPr>
          <w:rFonts w:ascii="方正小标宋简体" w:hAnsi="黑体" w:eastAsia="方正小标宋简体"/>
          <w:bCs/>
          <w:color w:val="auto"/>
          <w:sz w:val="48"/>
          <w:szCs w:val="48"/>
          <w:highlight w:val="none"/>
        </w:rPr>
      </w:pPr>
      <w:r>
        <w:rPr>
          <w:rFonts w:hint="eastAsia" w:ascii="方正小标宋简体" w:hAnsi="黑体" w:eastAsia="方正小标宋简体"/>
          <w:bCs/>
          <w:color w:val="auto"/>
          <w:sz w:val="48"/>
          <w:szCs w:val="48"/>
          <w:highlight w:val="none"/>
        </w:rPr>
        <w:t>广州市城市排水有限公司</w:t>
      </w:r>
    </w:p>
    <w:p>
      <w:pPr>
        <w:spacing w:line="720" w:lineRule="auto"/>
        <w:jc w:val="center"/>
        <w:rPr>
          <w:rFonts w:ascii="方正小标宋简体" w:hAnsi="黑体" w:eastAsia="方正小标宋简体"/>
          <w:bCs/>
          <w:color w:val="auto"/>
          <w:sz w:val="48"/>
          <w:szCs w:val="48"/>
          <w:highlight w:val="none"/>
        </w:rPr>
      </w:pPr>
      <w:bookmarkStart w:id="0" w:name="_Hlk107588091"/>
      <w:r>
        <w:rPr>
          <w:rFonts w:hint="eastAsia" w:ascii="方正小标宋简体" w:hAnsi="黑体" w:eastAsia="方正小标宋简体"/>
          <w:bCs/>
          <w:color w:val="auto"/>
          <w:sz w:val="48"/>
          <w:szCs w:val="48"/>
          <w:highlight w:val="none"/>
        </w:rPr>
        <w:t>建设工程勘察合同</w:t>
      </w:r>
      <w:bookmarkEnd w:id="0"/>
    </w:p>
    <w:p>
      <w:pPr>
        <w:spacing w:line="720" w:lineRule="auto"/>
        <w:jc w:val="center"/>
        <w:rPr>
          <w:rFonts w:ascii="方正小标宋简体" w:hAnsi="黑体" w:eastAsia="方正小标宋简体"/>
          <w:bCs/>
          <w:color w:val="auto"/>
          <w:sz w:val="48"/>
          <w:szCs w:val="48"/>
          <w:highlight w:val="none"/>
        </w:rPr>
      </w:pPr>
      <w:r>
        <w:rPr>
          <w:rFonts w:hint="eastAsia" w:ascii="方正小标宋简体" w:hAnsi="黑体" w:eastAsia="方正小标宋简体"/>
          <w:bCs/>
          <w:color w:val="auto"/>
          <w:sz w:val="48"/>
          <w:szCs w:val="48"/>
          <w:highlight w:val="none"/>
        </w:rPr>
        <w:t>（标准文本）</w:t>
      </w:r>
    </w:p>
    <w:p>
      <w:pPr>
        <w:jc w:val="center"/>
        <w:rPr>
          <w:rFonts w:ascii="仿宋_GB2312" w:eastAsia="仿宋_GB2312"/>
          <w:bCs/>
          <w:color w:val="auto"/>
          <w:sz w:val="24"/>
          <w:highlight w:val="none"/>
        </w:rPr>
      </w:pPr>
      <w:r>
        <w:rPr>
          <w:rFonts w:hint="eastAsia" w:ascii="仿宋_GB2312" w:eastAsia="仿宋_GB2312"/>
          <w:bCs/>
          <w:color w:val="auto"/>
          <w:sz w:val="24"/>
          <w:highlight w:val="none"/>
        </w:rPr>
        <w:t>[适用于岩土工程勘察、物探、测试检测监测、工程测量等项目]</w:t>
      </w:r>
    </w:p>
    <w:p>
      <w:pPr>
        <w:rPr>
          <w:b/>
          <w:bCs/>
          <w:color w:val="auto"/>
          <w:sz w:val="44"/>
          <w:highlight w:val="none"/>
        </w:rPr>
      </w:pPr>
    </w:p>
    <w:p>
      <w:pPr>
        <w:rPr>
          <w:b/>
          <w:bCs/>
          <w:color w:val="auto"/>
          <w:sz w:val="44"/>
          <w:highlight w:val="none"/>
        </w:rPr>
      </w:pPr>
    </w:p>
    <w:p>
      <w:pPr>
        <w:rPr>
          <w:b/>
          <w:bCs/>
          <w:color w:val="auto"/>
          <w:sz w:val="44"/>
          <w:highlight w:val="none"/>
        </w:rPr>
      </w:pPr>
    </w:p>
    <w:p>
      <w:pPr>
        <w:rPr>
          <w:b/>
          <w:bCs/>
          <w:color w:val="auto"/>
          <w:sz w:val="44"/>
          <w:highlight w:val="none"/>
        </w:rPr>
      </w:pP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工程名称：</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工程编号：</w:t>
      </w:r>
      <w:r>
        <w:rPr>
          <w:rFonts w:ascii="仿宋_GB2312" w:eastAsia="仿宋_GB2312"/>
          <w:bCs/>
          <w:color w:val="auto"/>
          <w:sz w:val="30"/>
          <w:highlight w:val="none"/>
          <w:u w:val="single"/>
        </w:rPr>
        <w:t xml:space="preserve">                          </w:t>
      </w: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工程地点：</w:t>
      </w:r>
      <w:r>
        <w:rPr>
          <w:rFonts w:hint="eastAsia" w:ascii="仿宋_GB2312" w:eastAsia="仿宋_GB2312"/>
          <w:bCs/>
          <w:color w:val="auto"/>
          <w:sz w:val="30"/>
          <w:highlight w:val="none"/>
          <w:u w:val="single"/>
        </w:rPr>
        <w:t xml:space="preserve">                          </w:t>
      </w:r>
    </w:p>
    <w:p>
      <w:pPr>
        <w:pStyle w:val="2"/>
        <w:rPr>
          <w:color w:val="auto"/>
          <w:highlight w:val="none"/>
        </w:rPr>
      </w:pPr>
      <w:r>
        <w:rPr>
          <w:rFonts w:hint="eastAsia" w:ascii="仿宋_GB2312" w:eastAsia="仿宋_GB2312"/>
          <w:bCs/>
          <w:color w:val="auto"/>
          <w:sz w:val="30"/>
          <w:highlight w:val="none"/>
        </w:rPr>
        <w:t>资金来源：</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合同名称：</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bCs/>
          <w:color w:val="auto"/>
          <w:sz w:val="30"/>
          <w:highlight w:val="none"/>
          <w:u w:val="single"/>
        </w:rPr>
      </w:pPr>
      <w:r>
        <w:rPr>
          <w:rFonts w:hint="eastAsia" w:ascii="仿宋_GB2312" w:eastAsia="仿宋_GB2312"/>
          <w:bCs/>
          <w:color w:val="auto"/>
          <w:sz w:val="30"/>
          <w:highlight w:val="none"/>
        </w:rPr>
        <w:t>合同编号：</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color w:val="auto"/>
          <w:sz w:val="30"/>
          <w:szCs w:val="30"/>
          <w:highlight w:val="none"/>
        </w:rPr>
      </w:pPr>
      <w:r>
        <w:rPr>
          <w:rFonts w:hint="eastAsia" w:ascii="仿宋_GB2312" w:eastAsia="仿宋_GB2312"/>
          <w:bCs/>
          <w:color w:val="auto"/>
          <w:sz w:val="30"/>
          <w:highlight w:val="none"/>
        </w:rPr>
        <w:t>发包人：</w:t>
      </w:r>
      <w:r>
        <w:rPr>
          <w:rFonts w:hint="eastAsia" w:ascii="仿宋_GB2312" w:eastAsia="仿宋_GB2312"/>
          <w:color w:val="auto"/>
          <w:sz w:val="30"/>
          <w:szCs w:val="30"/>
          <w:highlight w:val="none"/>
        </w:rPr>
        <w:t>广州市城市排水有限公司</w:t>
      </w:r>
    </w:p>
    <w:p>
      <w:pPr>
        <w:spacing w:line="360" w:lineRule="auto"/>
        <w:rPr>
          <w:rFonts w:ascii="仿宋_GB2312" w:eastAsia="仿宋_GB2312"/>
          <w:bCs/>
          <w:color w:val="auto"/>
          <w:sz w:val="30"/>
          <w:highlight w:val="none"/>
          <w:u w:val="single"/>
        </w:rPr>
      </w:pPr>
      <w:r>
        <w:rPr>
          <w:rFonts w:ascii="仿宋_GB2312" w:eastAsia="仿宋_GB2312"/>
          <w:bCs/>
          <w:color w:val="auto"/>
          <w:sz w:val="30"/>
          <w:highlight w:val="none"/>
        </w:rPr>
        <w:t>勘察</w:t>
      </w:r>
      <w:r>
        <w:rPr>
          <w:rFonts w:hint="eastAsia" w:ascii="仿宋_GB2312" w:eastAsia="仿宋_GB2312"/>
          <w:bCs/>
          <w:color w:val="auto"/>
          <w:sz w:val="30"/>
          <w:highlight w:val="none"/>
        </w:rPr>
        <w:t>人：</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bCs/>
          <w:color w:val="auto"/>
          <w:sz w:val="30"/>
          <w:highlight w:val="none"/>
        </w:rPr>
      </w:pPr>
      <w:r>
        <w:rPr>
          <w:rFonts w:hint="eastAsia" w:ascii="仿宋_GB2312" w:eastAsia="仿宋_GB2312"/>
          <w:color w:val="auto"/>
          <w:sz w:val="30"/>
          <w:szCs w:val="30"/>
          <w:highlight w:val="none"/>
        </w:rPr>
        <w:t>签订日期：</w:t>
      </w:r>
      <w:r>
        <w:rPr>
          <w:rFonts w:hint="eastAsia" w:ascii="仿宋_GB2312" w:eastAsia="仿宋_GB2312"/>
          <w:bCs/>
          <w:color w:val="auto"/>
          <w:sz w:val="30"/>
          <w:highlight w:val="none"/>
        </w:rPr>
        <w:t xml:space="preserve">   年   月   日  </w:t>
      </w:r>
      <w:r>
        <w:rPr>
          <w:rFonts w:hint="eastAsia" w:ascii="仿宋_GB2312" w:eastAsia="仿宋_GB2312"/>
          <w:bCs/>
          <w:color w:val="auto"/>
          <w:sz w:val="30"/>
          <w:highlight w:val="none"/>
        </w:rPr>
        <w:tab/>
      </w:r>
      <w:r>
        <w:rPr>
          <w:rFonts w:hint="eastAsia" w:ascii="仿宋_GB2312" w:eastAsia="仿宋_GB2312"/>
          <w:bCs/>
          <w:color w:val="auto"/>
          <w:sz w:val="30"/>
          <w:highlight w:val="none"/>
        </w:rPr>
        <w:tab/>
      </w:r>
      <w:r>
        <w:rPr>
          <w:rFonts w:hint="eastAsia" w:ascii="仿宋_GB2312" w:eastAsia="仿宋_GB2312"/>
          <w:bCs/>
          <w:color w:val="auto"/>
          <w:sz w:val="30"/>
          <w:highlight w:val="none"/>
        </w:rPr>
        <w:tab/>
      </w:r>
      <w:r>
        <w:rPr>
          <w:rFonts w:hint="eastAsia" w:ascii="仿宋_GB2312" w:eastAsia="仿宋_GB2312"/>
          <w:bCs/>
          <w:color w:val="auto"/>
          <w:sz w:val="30"/>
          <w:highlight w:val="none"/>
        </w:rPr>
        <w:t xml:space="preserve"> </w:t>
      </w:r>
    </w:p>
    <w:p>
      <w:pPr>
        <w:spacing w:line="240" w:lineRule="exact"/>
        <w:rPr>
          <w:rFonts w:ascii="仿宋_GB2312" w:eastAsia="仿宋_GB2312"/>
          <w:bCs/>
          <w:color w:val="auto"/>
          <w:sz w:val="32"/>
          <w:highlight w:val="none"/>
          <w:u w:val="single"/>
        </w:rPr>
      </w:pP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甲方（发包人）：</w:t>
      </w:r>
      <w:r>
        <w:rPr>
          <w:rFonts w:hint="eastAsia" w:ascii="仿宋_GB2312" w:eastAsia="仿宋_GB2312"/>
          <w:color w:val="auto"/>
          <w:sz w:val="24"/>
          <w:highlight w:val="none"/>
          <w:u w:val="single"/>
        </w:rPr>
        <w:t>广州市城市排水有限公司</w:t>
      </w:r>
    </w:p>
    <w:p>
      <w:pPr>
        <w:spacing w:line="360" w:lineRule="auto"/>
        <w:rPr>
          <w:rFonts w:ascii="仿宋_GB2312" w:eastAsia="仿宋_GB2312"/>
          <w:color w:val="auto"/>
          <w:sz w:val="24"/>
          <w:highlight w:val="none"/>
          <w:u w:val="single"/>
        </w:rPr>
      </w:pPr>
      <w:r>
        <w:rPr>
          <w:rFonts w:hint="eastAsia" w:ascii="仿宋_GB2312" w:eastAsia="仿宋_GB2312"/>
          <w:color w:val="auto"/>
          <w:sz w:val="24"/>
          <w:highlight w:val="none"/>
        </w:rPr>
        <w:t>乙方（勘察人）：</w:t>
      </w:r>
      <w:r>
        <w:rPr>
          <w:rFonts w:hint="eastAsia" w:ascii="仿宋_GB2312" w:eastAsia="仿宋_GB2312"/>
          <w:color w:val="auto"/>
          <w:sz w:val="24"/>
          <w:highlight w:val="none"/>
          <w:u w:val="single"/>
        </w:rPr>
        <w:t xml:space="preserve">                      </w:t>
      </w:r>
    </w:p>
    <w:p>
      <w:pPr>
        <w:pStyle w:val="31"/>
        <w:ind w:firstLine="0" w:firstLineChars="0"/>
        <w:rPr>
          <w:color w:val="auto"/>
          <w:highlight w:val="none"/>
        </w:rPr>
      </w:pPr>
    </w:p>
    <w:p>
      <w:pPr>
        <w:pStyle w:val="31"/>
        <w:ind w:firstLine="480"/>
        <w:rPr>
          <w:color w:val="auto"/>
          <w:highlight w:val="none"/>
        </w:rPr>
      </w:pPr>
      <w:r>
        <w:rPr>
          <w:rFonts w:hint="eastAsia"/>
          <w:color w:val="auto"/>
          <w:highlight w:val="none"/>
        </w:rPr>
        <w:t>根据《中华人民共和国民法典》、《中华人民共和国建筑法》</w:t>
      </w:r>
      <w:r>
        <w:rPr>
          <w:rFonts w:hint="eastAsia"/>
          <w:color w:val="auto"/>
          <w:spacing w:val="-6"/>
          <w:highlight w:val="none"/>
        </w:rPr>
        <w:t>等相关法律法规的规定，遵循平等、自愿、公平和诚实信用的原则</w:t>
      </w:r>
      <w:r>
        <w:rPr>
          <w:rFonts w:hint="eastAsia"/>
          <w:color w:val="auto"/>
          <w:highlight w:val="none"/>
        </w:rPr>
        <w:t>，现甲方通过</w:t>
      </w:r>
      <w:r>
        <w:rPr>
          <w:rFonts w:hint="eastAsia"/>
          <w:color w:val="auto"/>
          <w:highlight w:val="none"/>
          <w:u w:val="single"/>
        </w:rPr>
        <w:t>□</w:t>
      </w:r>
      <w:r>
        <w:rPr>
          <w:rFonts w:hint="eastAsia" w:ascii="仿宋_GB2312" w:hAnsi="宋体"/>
          <w:color w:val="auto"/>
          <w:highlight w:val="none"/>
          <w:u w:val="single"/>
        </w:rPr>
        <w:t>公开招标/</w:t>
      </w:r>
      <w:r>
        <w:rPr>
          <w:rFonts w:hint="eastAsia"/>
          <w:color w:val="auto"/>
          <w:highlight w:val="none"/>
          <w:u w:val="single"/>
        </w:rPr>
        <w:t>□</w:t>
      </w:r>
      <w:r>
        <w:rPr>
          <w:rFonts w:hint="eastAsia" w:ascii="仿宋_GB2312" w:hAnsi="宋体"/>
          <w:color w:val="auto"/>
          <w:highlight w:val="none"/>
          <w:u w:val="single"/>
        </w:rPr>
        <w:t>询比采购/</w:t>
      </w:r>
      <w:r>
        <w:rPr>
          <w:rFonts w:hint="eastAsia"/>
          <w:color w:val="auto"/>
          <w:highlight w:val="none"/>
          <w:u w:val="single"/>
        </w:rPr>
        <w:t>□</w:t>
      </w:r>
      <w:r>
        <w:rPr>
          <w:rFonts w:hint="eastAsia" w:ascii="仿宋_GB2312" w:hAnsi="宋体"/>
          <w:color w:val="auto"/>
          <w:highlight w:val="none"/>
          <w:u w:val="single"/>
        </w:rPr>
        <w:t>单源直接采购</w:t>
      </w:r>
      <w:r>
        <w:rPr>
          <w:rFonts w:hint="eastAsia" w:ascii="仿宋_GB2312" w:hAnsi="宋体"/>
          <w:color w:val="auto"/>
          <w:highlight w:val="none"/>
        </w:rPr>
        <w:t>方式确认</w:t>
      </w:r>
      <w:r>
        <w:rPr>
          <w:rFonts w:hint="eastAsia"/>
          <w:color w:val="auto"/>
          <w:highlight w:val="none"/>
        </w:rPr>
        <w:t>乙方承担</w:t>
      </w:r>
      <w:r>
        <w:rPr>
          <w:rFonts w:hint="eastAsia"/>
          <w:color w:val="auto"/>
          <w:highlight w:val="none"/>
          <w:u w:val="single"/>
        </w:rPr>
        <w:t xml:space="preserve">        </w:t>
      </w:r>
      <w:r>
        <w:rPr>
          <w:rFonts w:hint="eastAsia"/>
          <w:color w:val="auto"/>
          <w:highlight w:val="none"/>
        </w:rPr>
        <w:t>项目（以下简称本项目）勘察工作，经双方协商一致，签订本合同，共同遵守。</w:t>
      </w:r>
    </w:p>
    <w:p>
      <w:pPr>
        <w:spacing w:line="360" w:lineRule="auto"/>
        <w:rPr>
          <w:rFonts w:ascii="仿宋_GB2312" w:eastAsia="仿宋_GB2312"/>
          <w:color w:val="auto"/>
          <w:sz w:val="24"/>
          <w:highlight w:val="none"/>
        </w:rPr>
      </w:pPr>
    </w:p>
    <w:p>
      <w:pPr>
        <w:pStyle w:val="16"/>
        <w:rPr>
          <w:color w:val="auto"/>
          <w:highlight w:val="none"/>
        </w:rPr>
      </w:pPr>
      <w:r>
        <w:rPr>
          <w:rFonts w:hint="eastAsia"/>
          <w:color w:val="auto"/>
          <w:highlight w:val="none"/>
        </w:rPr>
        <w:t>签订依据</w:t>
      </w:r>
    </w:p>
    <w:p>
      <w:pPr>
        <w:pStyle w:val="20"/>
        <w:rPr>
          <w:color w:val="auto"/>
          <w:highlight w:val="none"/>
        </w:rPr>
      </w:pPr>
      <w:r>
        <w:rPr>
          <w:rFonts w:hint="eastAsia"/>
          <w:color w:val="auto"/>
          <w:highlight w:val="none"/>
        </w:rPr>
        <w:t xml:space="preserve">《中华人民共和国民法典》、《中华人民共和国建筑法》和《建设工程勘察设计管理条例》；    </w:t>
      </w:r>
    </w:p>
    <w:p>
      <w:pPr>
        <w:pStyle w:val="20"/>
        <w:jc w:val="both"/>
        <w:rPr>
          <w:color w:val="auto"/>
          <w:highlight w:val="none"/>
        </w:rPr>
      </w:pPr>
      <w:r>
        <w:rPr>
          <w:rFonts w:hint="eastAsia"/>
          <w:color w:val="auto"/>
          <w:highlight w:val="none"/>
        </w:rPr>
        <w:t>国家及地方有关建设工程勘察设计管理法规、规章和其他规范性法律文件；</w:t>
      </w:r>
    </w:p>
    <w:p>
      <w:pPr>
        <w:pStyle w:val="20"/>
        <w:rPr>
          <w:color w:val="auto"/>
          <w:highlight w:val="none"/>
        </w:rPr>
      </w:pPr>
      <w:r>
        <w:rPr>
          <w:rFonts w:hint="eastAsia"/>
          <w:color w:val="auto"/>
          <w:highlight w:val="none"/>
        </w:rPr>
        <w:t>建设工程批准文件等；</w:t>
      </w:r>
    </w:p>
    <w:p>
      <w:pPr>
        <w:pStyle w:val="20"/>
        <w:rPr>
          <w:color w:val="auto"/>
          <w:highlight w:val="none"/>
        </w:rPr>
      </w:pPr>
      <w:r>
        <w:rPr>
          <w:rFonts w:hint="eastAsia"/>
          <w:color w:val="auto"/>
          <w:highlight w:val="none"/>
        </w:rPr>
        <w:t>招标文件/采购文件（如有）；</w:t>
      </w:r>
    </w:p>
    <w:p>
      <w:pPr>
        <w:pStyle w:val="20"/>
        <w:rPr>
          <w:color w:val="auto"/>
          <w:highlight w:val="none"/>
        </w:rPr>
      </w:pPr>
      <w:r>
        <w:rPr>
          <w:rFonts w:hint="eastAsia"/>
          <w:color w:val="auto"/>
          <w:highlight w:val="none"/>
        </w:rPr>
        <w:t>成交通知书/发包通知书/委托书/中标通知书等（如有）。</w:t>
      </w:r>
    </w:p>
    <w:p>
      <w:pPr>
        <w:pStyle w:val="20"/>
        <w:numPr>
          <w:ilvl w:val="0"/>
          <w:numId w:val="0"/>
        </w:numPr>
        <w:rPr>
          <w:color w:val="auto"/>
          <w:highlight w:val="none"/>
        </w:rPr>
      </w:pPr>
    </w:p>
    <w:p>
      <w:pPr>
        <w:pStyle w:val="16"/>
        <w:rPr>
          <w:color w:val="auto"/>
          <w:highlight w:val="none"/>
        </w:rPr>
      </w:pPr>
      <w:r>
        <w:rPr>
          <w:rFonts w:hint="eastAsia"/>
          <w:color w:val="auto"/>
          <w:highlight w:val="none"/>
        </w:rPr>
        <w:t>勘察依据</w:t>
      </w:r>
    </w:p>
    <w:p>
      <w:pPr>
        <w:pStyle w:val="20"/>
        <w:rPr>
          <w:color w:val="auto"/>
          <w:highlight w:val="none"/>
        </w:rPr>
      </w:pPr>
      <w:r>
        <w:rPr>
          <w:rFonts w:hint="eastAsia"/>
          <w:color w:val="auto"/>
          <w:highlight w:val="none"/>
        </w:rPr>
        <w:t>甲方给乙方的</w:t>
      </w:r>
      <w:bookmarkStart w:id="1" w:name="_Hlk105663027"/>
      <w:r>
        <w:rPr>
          <w:rFonts w:hint="eastAsia"/>
          <w:color w:val="auto"/>
          <w:highlight w:val="none"/>
        </w:rPr>
        <w:t>成交通知书/发包通知书/委托书/中标通知书</w:t>
      </w:r>
      <w:bookmarkEnd w:id="1"/>
      <w:r>
        <w:rPr>
          <w:rFonts w:hint="eastAsia"/>
          <w:color w:val="auto"/>
          <w:highlight w:val="none"/>
        </w:rPr>
        <w:t>等；</w:t>
      </w:r>
    </w:p>
    <w:p>
      <w:pPr>
        <w:pStyle w:val="20"/>
        <w:rPr>
          <w:color w:val="auto"/>
          <w:highlight w:val="none"/>
        </w:rPr>
      </w:pPr>
      <w:r>
        <w:rPr>
          <w:rFonts w:hint="eastAsia"/>
          <w:color w:val="auto"/>
          <w:highlight w:val="none"/>
        </w:rPr>
        <w:t>甲方提交的基础资料；</w:t>
      </w:r>
    </w:p>
    <w:p>
      <w:pPr>
        <w:pStyle w:val="20"/>
        <w:rPr>
          <w:color w:val="auto"/>
          <w:highlight w:val="none"/>
        </w:rPr>
      </w:pPr>
      <w:r>
        <w:rPr>
          <w:rFonts w:hint="eastAsia"/>
          <w:color w:val="auto"/>
          <w:highlight w:val="none"/>
        </w:rPr>
        <w:t>乙方采用的主要技术标准按法律、国家及地方标准、规范、定额等规定执行。有新规定的，按最新规定执行。</w:t>
      </w:r>
    </w:p>
    <w:p>
      <w:pPr>
        <w:pStyle w:val="31"/>
        <w:ind w:firstLine="480"/>
        <w:rPr>
          <w:color w:val="auto"/>
          <w:highlight w:val="none"/>
        </w:rPr>
      </w:pPr>
    </w:p>
    <w:p>
      <w:pPr>
        <w:pStyle w:val="16"/>
        <w:rPr>
          <w:color w:val="auto"/>
          <w:highlight w:val="none"/>
        </w:rPr>
      </w:pPr>
      <w:r>
        <w:rPr>
          <w:rFonts w:hint="eastAsia"/>
          <w:color w:val="auto"/>
          <w:highlight w:val="none"/>
        </w:rPr>
        <w:t>合同文件的优先次序</w:t>
      </w:r>
    </w:p>
    <w:p>
      <w:pPr>
        <w:spacing w:line="360" w:lineRule="auto"/>
        <w:ind w:firstLine="480" w:firstLineChars="200"/>
        <w:rPr>
          <w:rFonts w:ascii="仿宋_GB2312" w:eastAsia="仿宋_GB2312"/>
          <w:color w:val="auto"/>
          <w:sz w:val="24"/>
          <w:highlight w:val="none"/>
        </w:rPr>
      </w:pPr>
      <w:r>
        <w:rPr>
          <w:rStyle w:val="32"/>
          <w:rFonts w:hint="eastAsia" w:ascii="仿宋_GB2312"/>
          <w:color w:val="auto"/>
          <w:highlight w:val="none"/>
        </w:rPr>
        <w:t>下列文件应被认为是组成本合同的一部分，并互为补充和解释，如与上述各部分存在冲突或歧义之处，以如下先后排列次序为优先</w:t>
      </w:r>
      <w:r>
        <w:rPr>
          <w:rFonts w:hint="eastAsia" w:ascii="仿宋_GB2312" w:eastAsia="仿宋_GB2312"/>
          <w:color w:val="auto"/>
          <w:sz w:val="24"/>
          <w:highlight w:val="none"/>
        </w:rPr>
        <w:t>：</w:t>
      </w:r>
    </w:p>
    <w:p>
      <w:pPr>
        <w:pStyle w:val="33"/>
        <w:numPr>
          <w:ilvl w:val="0"/>
          <w:numId w:val="3"/>
        </w:numPr>
        <w:ind w:leftChars="0" w:firstLineChars="0"/>
        <w:rPr>
          <w:rFonts w:ascii="仿宋_GB2312"/>
          <w:color w:val="auto"/>
          <w:highlight w:val="none"/>
        </w:rPr>
      </w:pPr>
      <w:bookmarkStart w:id="2" w:name="_Hlk41575027"/>
      <w:r>
        <w:rPr>
          <w:rFonts w:hint="eastAsia" w:ascii="仿宋_GB2312"/>
          <w:color w:val="auto"/>
          <w:highlight w:val="none"/>
        </w:rPr>
        <w:t>在本合同实施过程中双方签署的符合法律法规的补充与修正文件</w:t>
      </w:r>
      <w:bookmarkEnd w:id="2"/>
      <w:r>
        <w:rPr>
          <w:rFonts w:hint="eastAsia" w:ascii="仿宋_GB2312"/>
          <w:color w:val="auto"/>
          <w:highlight w:val="none"/>
        </w:rPr>
        <w:t>；</w:t>
      </w:r>
    </w:p>
    <w:p>
      <w:pPr>
        <w:pStyle w:val="33"/>
        <w:numPr>
          <w:ilvl w:val="0"/>
          <w:numId w:val="3"/>
        </w:numPr>
        <w:ind w:leftChars="0" w:firstLineChars="0"/>
        <w:rPr>
          <w:rFonts w:ascii="仿宋_GB2312"/>
          <w:color w:val="auto"/>
          <w:highlight w:val="none"/>
        </w:rPr>
      </w:pPr>
      <w:r>
        <w:rPr>
          <w:rFonts w:hint="eastAsia" w:ascii="仿宋_GB2312"/>
          <w:color w:val="auto"/>
          <w:highlight w:val="none"/>
        </w:rPr>
        <w:t>本合同及其附件；</w:t>
      </w:r>
    </w:p>
    <w:p>
      <w:pPr>
        <w:pStyle w:val="33"/>
        <w:numPr>
          <w:ilvl w:val="0"/>
          <w:numId w:val="3"/>
        </w:numPr>
        <w:ind w:leftChars="0" w:firstLineChars="0"/>
        <w:rPr>
          <w:rFonts w:ascii="仿宋_GB2312"/>
          <w:color w:val="auto"/>
          <w:highlight w:val="none"/>
        </w:rPr>
      </w:pPr>
      <w:r>
        <w:rPr>
          <w:rFonts w:hint="eastAsia" w:ascii="仿宋_GB2312"/>
          <w:color w:val="auto"/>
          <w:highlight w:val="none"/>
        </w:rPr>
        <w:t>成交通知书/发包通知书/委托书/中标通知书（如有）；</w:t>
      </w:r>
    </w:p>
    <w:p>
      <w:pPr>
        <w:pStyle w:val="33"/>
        <w:numPr>
          <w:ilvl w:val="0"/>
          <w:numId w:val="3"/>
        </w:numPr>
        <w:ind w:leftChars="0" w:firstLineChars="0"/>
        <w:rPr>
          <w:rFonts w:ascii="仿宋_GB2312"/>
          <w:color w:val="auto"/>
          <w:highlight w:val="none"/>
        </w:rPr>
      </w:pPr>
      <w:r>
        <w:rPr>
          <w:rFonts w:hint="eastAsia" w:ascii="仿宋_GB2312"/>
          <w:color w:val="auto"/>
          <w:highlight w:val="none"/>
        </w:rPr>
        <w:t>适用于本工程管理的各项制度、规定（含甲方内部管理制度文件）；</w:t>
      </w:r>
    </w:p>
    <w:p>
      <w:pPr>
        <w:pStyle w:val="33"/>
        <w:numPr>
          <w:ilvl w:val="0"/>
          <w:numId w:val="3"/>
        </w:numPr>
        <w:ind w:leftChars="0" w:firstLineChars="0"/>
        <w:rPr>
          <w:rFonts w:ascii="仿宋_GB2312"/>
          <w:color w:val="auto"/>
          <w:highlight w:val="none"/>
        </w:rPr>
      </w:pPr>
      <w:r>
        <w:rPr>
          <w:rFonts w:hint="eastAsia" w:ascii="仿宋_GB2312"/>
          <w:color w:val="auto"/>
          <w:highlight w:val="none"/>
        </w:rPr>
        <w:t>招标文件/采购文件[含勘察任务书、招标文件补充文件、招标澄清文件、答疑文件等]（如有）；</w:t>
      </w:r>
    </w:p>
    <w:p>
      <w:pPr>
        <w:pStyle w:val="33"/>
        <w:numPr>
          <w:ilvl w:val="0"/>
          <w:numId w:val="3"/>
        </w:numPr>
        <w:ind w:leftChars="0" w:firstLineChars="0"/>
        <w:rPr>
          <w:rFonts w:ascii="仿宋_GB2312"/>
          <w:color w:val="auto"/>
          <w:highlight w:val="none"/>
        </w:rPr>
      </w:pPr>
      <w:r>
        <w:rPr>
          <w:rFonts w:hint="eastAsia" w:ascii="仿宋_GB2312" w:hAnsi="宋体"/>
          <w:bCs/>
          <w:snapToGrid w:val="0"/>
          <w:color w:val="auto"/>
          <w:kern w:val="0"/>
          <w:highlight w:val="none"/>
        </w:rPr>
        <w:t>乙方投标文件/响应文件及其附件[含投标文件澄清等]</w:t>
      </w:r>
      <w:r>
        <w:rPr>
          <w:rFonts w:hint="eastAsia" w:ascii="仿宋_GB2312" w:hAnsi="宋体"/>
          <w:color w:val="auto"/>
          <w:highlight w:val="none"/>
        </w:rPr>
        <w:t>（如有）</w:t>
      </w:r>
      <w:r>
        <w:rPr>
          <w:rFonts w:hint="eastAsia" w:ascii="仿宋_GB2312"/>
          <w:color w:val="auto"/>
          <w:highlight w:val="none"/>
        </w:rPr>
        <w:t>；</w:t>
      </w:r>
    </w:p>
    <w:p>
      <w:pPr>
        <w:pStyle w:val="33"/>
        <w:numPr>
          <w:ilvl w:val="0"/>
          <w:numId w:val="3"/>
        </w:numPr>
        <w:ind w:leftChars="0" w:firstLineChars="0"/>
        <w:rPr>
          <w:rFonts w:ascii="仿宋_GB2312"/>
          <w:color w:val="auto"/>
          <w:highlight w:val="none"/>
        </w:rPr>
      </w:pPr>
      <w:r>
        <w:rPr>
          <w:rFonts w:hint="eastAsia" w:ascii="仿宋_GB2312" w:hAnsi="仿宋" w:cs="仿宋"/>
          <w:color w:val="auto"/>
          <w:highlight w:val="none"/>
        </w:rPr>
        <w:t>标准、规范及有关技术文件；</w:t>
      </w:r>
    </w:p>
    <w:p>
      <w:pPr>
        <w:pStyle w:val="33"/>
        <w:numPr>
          <w:ilvl w:val="0"/>
          <w:numId w:val="3"/>
        </w:numPr>
        <w:ind w:leftChars="0" w:firstLineChars="0"/>
        <w:rPr>
          <w:rFonts w:ascii="仿宋_GB2312"/>
          <w:color w:val="auto"/>
          <w:highlight w:val="none"/>
        </w:rPr>
      </w:pPr>
      <w:r>
        <w:rPr>
          <w:rFonts w:hint="eastAsia" w:ascii="仿宋_GB2312" w:hAnsi="宋体"/>
          <w:color w:val="auto"/>
          <w:highlight w:val="none"/>
        </w:rPr>
        <w:t>其他合同文件。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上述各项合同文件包括合同当事人就该项合同文件所作出的补充和修改，属于同一类内容的文件，应以最新签署的为准。在本合同履行过程中，经双方法定代表人或其委托代理人签字认可的来往电报、信函、传真、会议纪要、有关对本合同补充的书面协议以及经双方共同确认的文件等，均构成合同文件的组成部分；按规定或约定需要办理审批手续的，需审批同意后才生效。</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通过上述顺序解释仍无法明确的事项，由甲方与乙方协商解决；如协商不成，由甲方按照公平合理和有利于本合同工程建设的原则作出决定。如乙方对此决定有异议的，应在接到甲方决定之日起三日内提出书面异议；到期未提出书面异议的，视为同意甲方的决定。甲方收到乙方的书面异议后七日内应作出进一步的决定，如乙方仍有异议的，可按合同条款第14条的约定处理，但在有关单位没有作出正式裁判之前，乙方必须无条件先行执行甲方的决定。</w:t>
      </w:r>
    </w:p>
    <w:p>
      <w:pPr>
        <w:spacing w:line="360" w:lineRule="auto"/>
        <w:ind w:firstLine="480" w:firstLineChars="200"/>
        <w:rPr>
          <w:rFonts w:ascii="仿宋_GB2312" w:eastAsia="仿宋_GB2312"/>
          <w:color w:val="auto"/>
          <w:sz w:val="24"/>
          <w:highlight w:val="none"/>
        </w:rPr>
      </w:pPr>
    </w:p>
    <w:p>
      <w:pPr>
        <w:pStyle w:val="16"/>
        <w:rPr>
          <w:color w:val="auto"/>
          <w:highlight w:val="none"/>
        </w:rPr>
      </w:pPr>
      <w:r>
        <w:rPr>
          <w:rFonts w:hint="eastAsia"/>
          <w:color w:val="auto"/>
          <w:highlight w:val="none"/>
        </w:rPr>
        <w:t>工程概况</w:t>
      </w:r>
    </w:p>
    <w:p>
      <w:pPr>
        <w:pStyle w:val="20"/>
        <w:rPr>
          <w:color w:val="auto"/>
          <w:highlight w:val="none"/>
        </w:rPr>
      </w:pPr>
      <w:r>
        <w:rPr>
          <w:rFonts w:hint="eastAsia"/>
          <w:color w:val="auto"/>
          <w:highlight w:val="none"/>
        </w:rPr>
        <w:t>工程名称：</w:t>
      </w:r>
      <w:r>
        <w:rPr>
          <w:rFonts w:hint="eastAsia"/>
          <w:color w:val="auto"/>
          <w:highlight w:val="none"/>
          <w:u w:val="single"/>
        </w:rPr>
        <w:t xml:space="preserve"> </w:t>
      </w:r>
      <w:r>
        <w:rPr>
          <w:color w:val="auto"/>
          <w:highlight w:val="none"/>
          <w:u w:val="single"/>
        </w:rPr>
        <w:t xml:space="preserve">                                     </w:t>
      </w:r>
    </w:p>
    <w:p>
      <w:pPr>
        <w:pStyle w:val="20"/>
        <w:rPr>
          <w:color w:val="auto"/>
          <w:highlight w:val="none"/>
        </w:rPr>
      </w:pPr>
      <w:r>
        <w:rPr>
          <w:rFonts w:hint="eastAsia"/>
          <w:color w:val="auto"/>
          <w:highlight w:val="none"/>
        </w:rPr>
        <w:t>工程地点：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pStyle w:val="20"/>
        <w:rPr>
          <w:color w:val="auto"/>
          <w:highlight w:val="none"/>
        </w:rPr>
      </w:pPr>
      <w:r>
        <w:rPr>
          <w:rFonts w:hint="eastAsia"/>
          <w:color w:val="auto"/>
          <w:highlight w:val="none"/>
        </w:rPr>
        <w:t>工程总投资：</w:t>
      </w:r>
      <w:r>
        <w:rPr>
          <w:rFonts w:hint="eastAsia"/>
          <w:color w:val="auto"/>
          <w:highlight w:val="none"/>
          <w:u w:val="single"/>
        </w:rPr>
        <w:t xml:space="preserve"> </w:t>
      </w:r>
      <w:r>
        <w:rPr>
          <w:color w:val="auto"/>
          <w:highlight w:val="none"/>
          <w:u w:val="single"/>
        </w:rPr>
        <w:t xml:space="preserve">                                   </w:t>
      </w:r>
    </w:p>
    <w:p>
      <w:pPr>
        <w:pStyle w:val="20"/>
        <w:rPr>
          <w:color w:val="auto"/>
          <w:highlight w:val="none"/>
        </w:rPr>
      </w:pPr>
      <w:r>
        <w:rPr>
          <w:rFonts w:hint="eastAsia"/>
          <w:color w:val="auto"/>
          <w:highlight w:val="none"/>
        </w:rPr>
        <w:t>工程规模、特征：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pPr>
        <w:spacing w:line="360" w:lineRule="auto"/>
        <w:ind w:firstLine="480" w:firstLineChars="200"/>
        <w:rPr>
          <w:rFonts w:ascii="仿宋_GB2312" w:eastAsia="仿宋_GB2312"/>
          <w:color w:val="auto"/>
          <w:sz w:val="24"/>
          <w:highlight w:val="none"/>
        </w:rPr>
      </w:pPr>
    </w:p>
    <w:p>
      <w:pPr>
        <w:pStyle w:val="16"/>
        <w:rPr>
          <w:color w:val="auto"/>
          <w:highlight w:val="none"/>
        </w:rPr>
      </w:pPr>
      <w:r>
        <w:rPr>
          <w:rFonts w:hint="eastAsia"/>
          <w:color w:val="auto"/>
          <w:highlight w:val="none"/>
        </w:rPr>
        <w:t>范围、技术要求、工期、承包方式</w:t>
      </w:r>
    </w:p>
    <w:p>
      <w:pPr>
        <w:pStyle w:val="20"/>
        <w:rPr>
          <w:color w:val="auto"/>
          <w:highlight w:val="none"/>
        </w:rPr>
      </w:pPr>
      <w:r>
        <w:rPr>
          <w:rFonts w:hint="eastAsia"/>
          <w:color w:val="auto"/>
          <w:highlight w:val="none"/>
        </w:rPr>
        <w:t>勘察范围：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pStyle w:val="20"/>
        <w:rPr>
          <w:color w:val="auto"/>
          <w:highlight w:val="none"/>
        </w:rPr>
      </w:pPr>
      <w:r>
        <w:rPr>
          <w:rFonts w:hint="eastAsia"/>
          <w:color w:val="auto"/>
          <w:highlight w:val="none"/>
        </w:rPr>
        <w:t>技术要求：</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pStyle w:val="20"/>
        <w:rPr>
          <w:color w:val="auto"/>
          <w:highlight w:val="none"/>
        </w:rPr>
      </w:pPr>
      <w:r>
        <w:rPr>
          <w:rFonts w:hint="eastAsia"/>
          <w:color w:val="auto"/>
          <w:highlight w:val="none"/>
        </w:rPr>
        <w:t>工期：总日历天</w:t>
      </w:r>
      <w:r>
        <w:rPr>
          <w:rFonts w:hint="eastAsia"/>
          <w:color w:val="auto"/>
          <w:highlight w:val="none"/>
          <w:u w:val="single"/>
        </w:rPr>
        <w:t xml:space="preserve">      </w:t>
      </w:r>
      <w:r>
        <w:rPr>
          <w:rFonts w:hint="eastAsia"/>
          <w:color w:val="auto"/>
          <w:highlight w:val="none"/>
        </w:rPr>
        <w:t>天。</w:t>
      </w:r>
    </w:p>
    <w:p>
      <w:pPr>
        <w:pStyle w:val="31"/>
        <w:ind w:firstLine="480"/>
        <w:rPr>
          <w:color w:val="auto"/>
          <w:highlight w:val="none"/>
        </w:rPr>
      </w:pPr>
      <w:r>
        <w:rPr>
          <w:rFonts w:hint="eastAsia"/>
          <w:color w:val="auto"/>
          <w:highlight w:val="none"/>
        </w:rPr>
        <w:t>勘察工作有效期限以甲方下达的开工通知书或合同规定的时间为准，如遇特殊情况（设计变更、工作量变化、不可抗力影响以及非乙方原因造成的停、窝工等）时，工期顺延。</w:t>
      </w:r>
    </w:p>
    <w:p>
      <w:pPr>
        <w:pStyle w:val="20"/>
        <w:rPr>
          <w:color w:val="auto"/>
          <w:highlight w:val="none"/>
          <w:u w:val="single"/>
        </w:rPr>
      </w:pPr>
      <w:r>
        <w:rPr>
          <w:rFonts w:hint="eastAsia"/>
          <w:color w:val="auto"/>
          <w:highlight w:val="none"/>
        </w:rPr>
        <w:t>勘察工作内容：</w:t>
      </w:r>
      <w:r>
        <w:rPr>
          <w:rFonts w:hint="eastAsia"/>
          <w:color w:val="auto"/>
          <w:highlight w:val="none"/>
          <w:u w:val="single"/>
        </w:rPr>
        <w:t xml:space="preserve">                                  </w:t>
      </w:r>
    </w:p>
    <w:p>
      <w:pPr>
        <w:pStyle w:val="20"/>
        <w:rPr>
          <w:color w:val="auto"/>
          <w:highlight w:val="none"/>
          <w:u w:val="single"/>
        </w:rPr>
      </w:pPr>
      <w:r>
        <w:rPr>
          <w:rFonts w:hint="eastAsia"/>
          <w:color w:val="auto"/>
          <w:highlight w:val="none"/>
        </w:rPr>
        <w:t>承包方式：</w:t>
      </w:r>
    </w:p>
    <w:p>
      <w:pPr>
        <w:pStyle w:val="20"/>
        <w:numPr>
          <w:ilvl w:val="0"/>
          <w:numId w:val="0"/>
        </w:numPr>
        <w:ind w:left="454"/>
        <w:rPr>
          <w:color w:val="auto"/>
          <w:highlight w:val="none"/>
        </w:rPr>
      </w:pPr>
      <w:r>
        <w:rPr>
          <w:rFonts w:hint="eastAsia"/>
          <w:color w:val="auto"/>
          <w:highlight w:val="none"/>
        </w:rPr>
        <w:t>□本项目采用全费用单价包干，工作量按实结算的方式（选择此项时，本合同第9点结算方式采用第9.1.款）</w:t>
      </w:r>
    </w:p>
    <w:p>
      <w:pPr>
        <w:pStyle w:val="20"/>
        <w:numPr>
          <w:ilvl w:val="0"/>
          <w:numId w:val="0"/>
        </w:numPr>
        <w:ind w:left="454"/>
        <w:rPr>
          <w:color w:val="auto"/>
          <w:highlight w:val="none"/>
        </w:rPr>
      </w:pPr>
      <w:r>
        <w:rPr>
          <w:rFonts w:hint="eastAsia"/>
          <w:color w:val="auto"/>
          <w:highlight w:val="none"/>
        </w:rPr>
        <w:sym w:font="Wingdings 2" w:char="00A3"/>
      </w:r>
      <w:r>
        <w:rPr>
          <w:rFonts w:hint="eastAsia"/>
          <w:color w:val="auto"/>
          <w:highlight w:val="none"/>
        </w:rPr>
        <w:t>本项目采用询比限价</w:t>
      </w:r>
      <w:r>
        <w:rPr>
          <w:rFonts w:hint="eastAsia"/>
          <w:color w:val="auto"/>
          <w:highlight w:val="none"/>
          <w:lang w:val="en-US" w:eastAsia="zh-CN"/>
        </w:rPr>
        <w:t>/招标控制价</w:t>
      </w:r>
      <w:r>
        <w:rPr>
          <w:rFonts w:hint="eastAsia"/>
          <w:color w:val="auto"/>
          <w:highlight w:val="none"/>
        </w:rPr>
        <w:t>的全费用单价（或经甲方审定的全费用预算单价）×（1-中选下浮率），工作量按实结算的方式（选择此项时，本合同第9点结算方式采用第9.2.款）</w:t>
      </w:r>
    </w:p>
    <w:p>
      <w:pPr>
        <w:pStyle w:val="20"/>
        <w:numPr>
          <w:ilvl w:val="0"/>
          <w:numId w:val="0"/>
        </w:numPr>
        <w:ind w:left="454"/>
        <w:rPr>
          <w:color w:val="auto"/>
          <w:highlight w:val="none"/>
          <w:u w:val="single"/>
        </w:rPr>
      </w:pPr>
      <w:r>
        <w:rPr>
          <w:rFonts w:hint="eastAsia"/>
          <w:color w:val="auto"/>
          <w:highlight w:val="none"/>
        </w:rPr>
        <w:sym w:font="Wingdings 2" w:char="0052"/>
      </w:r>
      <w:r>
        <w:rPr>
          <w:rFonts w:hint="eastAsia"/>
          <w:color w:val="auto"/>
          <w:highlight w:val="none"/>
        </w:rPr>
        <w:t>本项目采用按中选</w:t>
      </w:r>
      <w:r>
        <w:rPr>
          <w:rFonts w:hint="eastAsia"/>
          <w:color w:val="auto"/>
          <w:highlight w:val="none"/>
          <w:lang w:eastAsia="zh-CN"/>
        </w:rPr>
        <w:t>（投标）</w:t>
      </w:r>
      <w:r>
        <w:rPr>
          <w:rFonts w:hint="eastAsia"/>
          <w:color w:val="auto"/>
          <w:highlight w:val="none"/>
        </w:rPr>
        <w:t>下浮率</w:t>
      </w:r>
      <w:r>
        <w:rPr>
          <w:rFonts w:hint="eastAsia"/>
          <w:color w:val="auto"/>
          <w:highlight w:val="none"/>
          <w:lang w:eastAsia="zh-CN"/>
        </w:rPr>
        <w:t>（以下简称中选下浮率）</w:t>
      </w:r>
      <w:r>
        <w:rPr>
          <w:rFonts w:hint="eastAsia"/>
          <w:color w:val="auto"/>
          <w:highlight w:val="none"/>
        </w:rPr>
        <w:t>结算的方式（选择此项时，本合同第9点结算方式采用第9.3.款）</w:t>
      </w:r>
    </w:p>
    <w:p>
      <w:pPr>
        <w:pStyle w:val="20"/>
        <w:numPr>
          <w:ilvl w:val="0"/>
          <w:numId w:val="0"/>
        </w:numPr>
        <w:ind w:left="454"/>
        <w:rPr>
          <w:color w:val="auto"/>
          <w:highlight w:val="none"/>
          <w:u w:val="single"/>
        </w:rPr>
      </w:pPr>
      <w:r>
        <w:rPr>
          <w:rFonts w:hint="eastAsia"/>
          <w:color w:val="auto"/>
          <w:highlight w:val="none"/>
        </w:rPr>
        <w:t>□其他：</w:t>
      </w:r>
      <w:r>
        <w:rPr>
          <w:rFonts w:hint="eastAsia"/>
          <w:color w:val="auto"/>
          <w:highlight w:val="none"/>
          <w:u w:val="single"/>
        </w:rPr>
        <w:t xml:space="preserve">          </w:t>
      </w:r>
      <w:r>
        <w:rPr>
          <w:rFonts w:hint="eastAsia"/>
          <w:color w:val="auto"/>
          <w:highlight w:val="none"/>
        </w:rPr>
        <w:t>。（选择此项时，项目需求部门/单位需按相关交易文件详细填写，并在本合同第9点结算方式的第9.4款内填写相应的结算方式）</w:t>
      </w:r>
    </w:p>
    <w:p>
      <w:pPr>
        <w:pStyle w:val="20"/>
        <w:rPr>
          <w:color w:val="auto"/>
          <w:highlight w:val="none"/>
        </w:rPr>
      </w:pPr>
      <w:r>
        <w:rPr>
          <w:rFonts w:hint="eastAsia"/>
          <w:color w:val="auto"/>
          <w:highlight w:val="none"/>
        </w:rPr>
        <w:t>特殊约定：</w:t>
      </w:r>
      <w:r>
        <w:rPr>
          <w:rFonts w:hint="eastAsia"/>
          <w:color w:val="auto"/>
          <w:highlight w:val="none"/>
          <w:u w:val="single"/>
        </w:rPr>
        <w:t xml:space="preserve"> </w:t>
      </w:r>
      <w:r>
        <w:rPr>
          <w:color w:val="auto"/>
          <w:highlight w:val="none"/>
          <w:u w:val="single"/>
        </w:rPr>
        <w:t xml:space="preserve">                                      </w:t>
      </w:r>
    </w:p>
    <w:p>
      <w:pPr>
        <w:pStyle w:val="20"/>
        <w:numPr>
          <w:ilvl w:val="0"/>
          <w:numId w:val="0"/>
        </w:numPr>
        <w:ind w:left="567"/>
        <w:rPr>
          <w:color w:val="auto"/>
          <w:highlight w:val="none"/>
        </w:rPr>
      </w:pPr>
    </w:p>
    <w:p>
      <w:pPr>
        <w:pStyle w:val="16"/>
        <w:rPr>
          <w:color w:val="auto"/>
          <w:highlight w:val="none"/>
        </w:rPr>
      </w:pPr>
      <w:r>
        <w:rPr>
          <w:rFonts w:hint="eastAsia"/>
          <w:color w:val="auto"/>
          <w:highlight w:val="none"/>
        </w:rPr>
        <w:t>甲方向乙方提交的有关资料及文件</w:t>
      </w:r>
    </w:p>
    <w:p>
      <w:pPr>
        <w:pStyle w:val="16"/>
        <w:numPr>
          <w:ilvl w:val="0"/>
          <w:numId w:val="0"/>
        </w:numPr>
        <w:spacing w:line="240" w:lineRule="exact"/>
        <w:rPr>
          <w:color w:val="auto"/>
          <w:highlight w:val="none"/>
        </w:rPr>
      </w:pPr>
    </w:p>
    <w:tbl>
      <w:tblPr>
        <w:tblStyle w:val="11"/>
        <w:tblW w:w="8364"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5" w:hRule="exact"/>
        </w:trPr>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6804"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资料及文件名称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6804"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6804"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p>
        </w:tc>
        <w:tc>
          <w:tcPr>
            <w:tcW w:w="6804"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w:t>
            </w:r>
          </w:p>
        </w:tc>
      </w:tr>
    </w:tbl>
    <w:p>
      <w:pPr>
        <w:pStyle w:val="16"/>
        <w:numPr>
          <w:ilvl w:val="0"/>
          <w:numId w:val="0"/>
        </w:numPr>
        <w:rPr>
          <w:color w:val="auto"/>
          <w:highlight w:val="none"/>
        </w:rPr>
      </w:pPr>
    </w:p>
    <w:p>
      <w:pPr>
        <w:pStyle w:val="16"/>
        <w:rPr>
          <w:color w:val="auto"/>
          <w:highlight w:val="none"/>
        </w:rPr>
      </w:pPr>
      <w:r>
        <w:rPr>
          <w:rFonts w:hint="eastAsia"/>
          <w:color w:val="auto"/>
          <w:highlight w:val="none"/>
        </w:rPr>
        <w:t>乙方向甲方交付的文件、份数、时间</w:t>
      </w:r>
    </w:p>
    <w:tbl>
      <w:tblPr>
        <w:tblStyle w:val="11"/>
        <w:tblpPr w:leftFromText="180" w:rightFromText="180" w:vertAnchor="text" w:horzAnchor="margin" w:tblpXSpec="center" w:tblpY="221"/>
        <w:tblW w:w="832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2827"/>
        <w:gridCol w:w="851"/>
        <w:gridCol w:w="1992"/>
        <w:gridCol w:w="19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09"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2827"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资料及文件名称</w:t>
            </w:r>
          </w:p>
        </w:tc>
        <w:tc>
          <w:tcPr>
            <w:tcW w:w="851"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份数</w:t>
            </w:r>
          </w:p>
        </w:tc>
        <w:tc>
          <w:tcPr>
            <w:tcW w:w="1992"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内容要求</w:t>
            </w:r>
          </w:p>
        </w:tc>
        <w:tc>
          <w:tcPr>
            <w:tcW w:w="1947"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09"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2827" w:type="dxa"/>
            <w:vAlign w:val="center"/>
          </w:tcPr>
          <w:p>
            <w:pPr>
              <w:spacing w:line="360" w:lineRule="auto"/>
              <w:jc w:val="center"/>
              <w:rPr>
                <w:rFonts w:ascii="仿宋_GB2312" w:hAnsi="宋体" w:eastAsia="仿宋_GB2312"/>
                <w:color w:val="auto"/>
                <w:sz w:val="24"/>
                <w:highlight w:val="none"/>
              </w:rPr>
            </w:pPr>
          </w:p>
        </w:tc>
        <w:tc>
          <w:tcPr>
            <w:tcW w:w="851" w:type="dxa"/>
            <w:vAlign w:val="center"/>
          </w:tcPr>
          <w:p>
            <w:pPr>
              <w:spacing w:line="360" w:lineRule="auto"/>
              <w:jc w:val="center"/>
              <w:rPr>
                <w:rFonts w:ascii="仿宋_GB2312" w:hAnsi="宋体" w:eastAsia="仿宋_GB2312"/>
                <w:bCs/>
                <w:iCs/>
                <w:color w:val="auto"/>
                <w:sz w:val="24"/>
                <w:highlight w:val="none"/>
              </w:rPr>
            </w:pPr>
          </w:p>
        </w:tc>
        <w:tc>
          <w:tcPr>
            <w:tcW w:w="1992" w:type="dxa"/>
            <w:vMerge w:val="restart"/>
            <w:vAlign w:val="center"/>
          </w:tcPr>
          <w:p>
            <w:pPr>
              <w:spacing w:line="360" w:lineRule="auto"/>
              <w:jc w:val="center"/>
              <w:rPr>
                <w:rFonts w:ascii="仿宋_GB2312" w:hAnsi="宋体" w:eastAsia="仿宋_GB2312"/>
                <w:bCs/>
                <w:color w:val="auto"/>
                <w:sz w:val="24"/>
                <w:highlight w:val="none"/>
              </w:rPr>
            </w:pPr>
          </w:p>
        </w:tc>
        <w:tc>
          <w:tcPr>
            <w:tcW w:w="1947" w:type="dxa"/>
            <w:vMerge w:val="restart"/>
            <w:vAlign w:val="center"/>
          </w:tcPr>
          <w:p>
            <w:pPr>
              <w:spacing w:line="360" w:lineRule="auto"/>
              <w:jc w:val="center"/>
              <w:rPr>
                <w:rFonts w:ascii="仿宋_GB2312" w:hAnsi="宋体"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09"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2827" w:type="dxa"/>
            <w:vAlign w:val="center"/>
          </w:tcPr>
          <w:p>
            <w:pPr>
              <w:spacing w:line="360" w:lineRule="auto"/>
              <w:jc w:val="center"/>
              <w:rPr>
                <w:rFonts w:ascii="仿宋_GB2312" w:hAnsi="宋体" w:eastAsia="仿宋_GB2312"/>
                <w:color w:val="auto"/>
                <w:sz w:val="24"/>
                <w:highlight w:val="none"/>
              </w:rPr>
            </w:pPr>
          </w:p>
        </w:tc>
        <w:tc>
          <w:tcPr>
            <w:tcW w:w="851" w:type="dxa"/>
            <w:vAlign w:val="center"/>
          </w:tcPr>
          <w:p>
            <w:pPr>
              <w:spacing w:line="360" w:lineRule="auto"/>
              <w:jc w:val="center"/>
              <w:rPr>
                <w:rFonts w:ascii="仿宋_GB2312" w:hAnsi="宋体" w:eastAsia="仿宋_GB2312"/>
                <w:bCs/>
                <w:iCs/>
                <w:color w:val="auto"/>
                <w:sz w:val="24"/>
                <w:highlight w:val="none"/>
              </w:rPr>
            </w:pPr>
          </w:p>
        </w:tc>
        <w:tc>
          <w:tcPr>
            <w:tcW w:w="1992" w:type="dxa"/>
            <w:vMerge w:val="continue"/>
            <w:vAlign w:val="center"/>
          </w:tcPr>
          <w:p>
            <w:pPr>
              <w:spacing w:line="360" w:lineRule="auto"/>
              <w:jc w:val="center"/>
              <w:rPr>
                <w:rFonts w:ascii="仿宋_GB2312" w:hAnsi="宋体" w:eastAsia="仿宋_GB2312"/>
                <w:bCs/>
                <w:color w:val="auto"/>
                <w:sz w:val="24"/>
                <w:highlight w:val="none"/>
              </w:rPr>
            </w:pPr>
          </w:p>
        </w:tc>
        <w:tc>
          <w:tcPr>
            <w:tcW w:w="1947" w:type="dxa"/>
            <w:vMerge w:val="continue"/>
            <w:vAlign w:val="center"/>
          </w:tcPr>
          <w:p>
            <w:pPr>
              <w:spacing w:line="360" w:lineRule="auto"/>
              <w:jc w:val="center"/>
              <w:rPr>
                <w:rFonts w:ascii="仿宋_GB2312" w:hAnsi="宋体"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09" w:type="dxa"/>
            <w:vAlign w:val="center"/>
          </w:tcPr>
          <w:p>
            <w:pPr>
              <w:spacing w:line="360" w:lineRule="auto"/>
              <w:jc w:val="center"/>
              <w:rPr>
                <w:rFonts w:ascii="仿宋_GB2312" w:hAnsi="宋体" w:eastAsia="仿宋_GB2312"/>
                <w:color w:val="auto"/>
                <w:sz w:val="24"/>
                <w:highlight w:val="none"/>
              </w:rPr>
            </w:pPr>
          </w:p>
        </w:tc>
        <w:tc>
          <w:tcPr>
            <w:tcW w:w="2827" w:type="dxa"/>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851" w:type="dxa"/>
            <w:vAlign w:val="center"/>
          </w:tcPr>
          <w:p>
            <w:pPr>
              <w:spacing w:line="360" w:lineRule="auto"/>
              <w:jc w:val="center"/>
              <w:rPr>
                <w:rFonts w:ascii="仿宋_GB2312" w:hAnsi="宋体" w:eastAsia="仿宋_GB2312"/>
                <w:color w:val="auto"/>
                <w:sz w:val="24"/>
                <w:highlight w:val="none"/>
              </w:rPr>
            </w:pPr>
          </w:p>
        </w:tc>
        <w:tc>
          <w:tcPr>
            <w:tcW w:w="1992" w:type="dxa"/>
            <w:vMerge w:val="continue"/>
            <w:vAlign w:val="center"/>
          </w:tcPr>
          <w:p>
            <w:pPr>
              <w:spacing w:line="360" w:lineRule="auto"/>
              <w:jc w:val="center"/>
              <w:rPr>
                <w:rFonts w:ascii="仿宋_GB2312" w:hAnsi="宋体" w:eastAsia="仿宋_GB2312"/>
                <w:b/>
                <w:bCs/>
                <w:color w:val="auto"/>
                <w:sz w:val="24"/>
                <w:highlight w:val="none"/>
              </w:rPr>
            </w:pPr>
          </w:p>
        </w:tc>
        <w:tc>
          <w:tcPr>
            <w:tcW w:w="1947" w:type="dxa"/>
            <w:vMerge w:val="continue"/>
            <w:vAlign w:val="center"/>
          </w:tcPr>
          <w:p>
            <w:pPr>
              <w:spacing w:line="360" w:lineRule="auto"/>
              <w:jc w:val="center"/>
              <w:rPr>
                <w:rFonts w:ascii="仿宋_GB2312" w:hAnsi="宋体" w:eastAsia="仿宋_GB2312"/>
                <w:color w:val="auto"/>
                <w:sz w:val="24"/>
                <w:highlight w:val="none"/>
              </w:rPr>
            </w:pPr>
          </w:p>
        </w:tc>
      </w:tr>
    </w:tbl>
    <w:p>
      <w:pPr>
        <w:pStyle w:val="31"/>
        <w:spacing w:line="240" w:lineRule="exact"/>
        <w:ind w:firstLine="480"/>
        <w:rPr>
          <w:color w:val="auto"/>
          <w:highlight w:val="none"/>
        </w:rPr>
      </w:pPr>
    </w:p>
    <w:p>
      <w:pPr>
        <w:pStyle w:val="31"/>
        <w:ind w:firstLine="480"/>
        <w:rPr>
          <w:color w:val="auto"/>
          <w:highlight w:val="none"/>
        </w:rPr>
      </w:pPr>
      <w:r>
        <w:rPr>
          <w:rFonts w:hint="eastAsia"/>
          <w:color w:val="auto"/>
          <w:highlight w:val="none"/>
        </w:rPr>
        <w:t>乙方向甲方提交勘察成果资料并对其质量负责。乙方负责向甲方提交勘察成果资料（需满足相关规范要求，提供相应精度的勘察成果）以及电子文件资料、交付现状地形图及电子文件、管线探测报告。</w:t>
      </w:r>
    </w:p>
    <w:p>
      <w:pPr>
        <w:spacing w:line="360" w:lineRule="auto"/>
        <w:ind w:firstLine="480" w:firstLineChars="200"/>
        <w:rPr>
          <w:rFonts w:ascii="仿宋_GB2312" w:eastAsia="仿宋_GB2312"/>
          <w:color w:val="auto"/>
          <w:sz w:val="24"/>
          <w:highlight w:val="none"/>
        </w:rPr>
      </w:pPr>
      <w:r>
        <w:rPr>
          <w:rFonts w:hint="eastAsia" w:ascii="仿宋_GB2312" w:hAnsi="宋体" w:eastAsia="仿宋_GB2312"/>
          <w:color w:val="auto"/>
          <w:sz w:val="24"/>
          <w:highlight w:val="none"/>
          <w:lang w:bidi="ar"/>
        </w:rPr>
        <w:t>上述文件份数，甲方有权根据实际需要增加或减少，乙方不得有异议或要求增加费用。</w:t>
      </w:r>
    </w:p>
    <w:p>
      <w:pPr>
        <w:pStyle w:val="16"/>
        <w:rPr>
          <w:color w:val="auto"/>
          <w:highlight w:val="none"/>
        </w:rPr>
      </w:pPr>
      <w:r>
        <w:rPr>
          <w:rFonts w:hint="eastAsia"/>
          <w:color w:val="auto"/>
          <w:highlight w:val="none"/>
        </w:rPr>
        <w:t>合同价款及支付方式</w:t>
      </w:r>
    </w:p>
    <w:p>
      <w:pPr>
        <w:pStyle w:val="20"/>
        <w:rPr>
          <w:color w:val="auto"/>
          <w:highlight w:val="none"/>
        </w:rPr>
      </w:pPr>
      <w:r>
        <w:rPr>
          <w:rFonts w:hint="eastAsia"/>
          <w:color w:val="auto"/>
          <w:highlight w:val="none"/>
        </w:rPr>
        <w:t>合同暂定价（含税）：￥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元(大写：人民币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pPr>
        <w:pStyle w:val="31"/>
        <w:ind w:firstLine="439" w:firstLineChars="183"/>
        <w:rPr>
          <w:color w:val="auto"/>
          <w:highlight w:val="none"/>
        </w:rPr>
      </w:pPr>
      <w:r>
        <w:rPr>
          <w:rFonts w:hint="eastAsia"/>
          <w:color w:val="auto"/>
          <w:highlight w:val="none"/>
        </w:rPr>
        <w:t>勘察费（摸查费）中选</w:t>
      </w:r>
      <w:r>
        <w:rPr>
          <w:rFonts w:hint="eastAsia"/>
          <w:color w:val="auto"/>
          <w:highlight w:val="none"/>
          <w:lang w:eastAsia="zh-CN"/>
        </w:rPr>
        <w:t>（投标）</w:t>
      </w:r>
      <w:r>
        <w:rPr>
          <w:rFonts w:hint="eastAsia"/>
          <w:color w:val="auto"/>
          <w:highlight w:val="none"/>
        </w:rPr>
        <w:t>下浮率</w:t>
      </w:r>
      <w:r>
        <w:rPr>
          <w:rFonts w:hint="eastAsia"/>
          <w:color w:val="auto"/>
          <w:highlight w:val="none"/>
          <w:lang w:eastAsia="zh-CN"/>
        </w:rPr>
        <w:t>（以下简称中选</w:t>
      </w:r>
      <w:r>
        <w:rPr>
          <w:rFonts w:hint="eastAsia"/>
          <w:color w:val="auto"/>
          <w:highlight w:val="none"/>
        </w:rPr>
        <w:t>下浮率</w:t>
      </w:r>
      <w:r>
        <w:rPr>
          <w:rFonts w:hint="eastAsia"/>
          <w:color w:val="auto"/>
          <w:highlight w:val="none"/>
          <w:lang w:eastAsia="zh-CN"/>
        </w:rPr>
        <w:t>）</w:t>
      </w:r>
      <w:r>
        <w:rPr>
          <w:rFonts w:hint="eastAsia"/>
          <w:color w:val="auto"/>
          <w:highlight w:val="none"/>
        </w:rPr>
        <w:t>：</w:t>
      </w:r>
      <w:r>
        <w:rPr>
          <w:rFonts w:hint="eastAsia"/>
          <w:color w:val="auto"/>
          <w:highlight w:val="none"/>
          <w:u w:val="single"/>
        </w:rPr>
        <w:t xml:space="preserve">   </w:t>
      </w:r>
      <w:r>
        <w:rPr>
          <w:rFonts w:hint="eastAsia"/>
          <w:color w:val="auto"/>
          <w:highlight w:val="none"/>
        </w:rPr>
        <w:t>%</w:t>
      </w:r>
      <w:r>
        <w:rPr>
          <w:color w:val="auto"/>
          <w:highlight w:val="none"/>
        </w:rPr>
        <w:t xml:space="preserve"> </w:t>
      </w:r>
      <w:r>
        <w:rPr>
          <w:rFonts w:hint="eastAsia"/>
          <w:color w:val="auto"/>
          <w:highlight w:val="none"/>
        </w:rPr>
        <w:t>。</w:t>
      </w:r>
    </w:p>
    <w:p>
      <w:pPr>
        <w:pStyle w:val="33"/>
        <w:ind w:left="525" w:leftChars="250" w:firstLine="361" w:firstLineChars="200"/>
        <w:rPr>
          <w:b/>
          <w:color w:val="auto"/>
          <w:sz w:val="18"/>
          <w:highlight w:val="none"/>
        </w:rPr>
      </w:pPr>
      <w:r>
        <w:rPr>
          <w:rFonts w:hint="eastAsia"/>
          <w:b/>
          <w:color w:val="auto"/>
          <w:sz w:val="18"/>
          <w:highlight w:val="none"/>
        </w:rPr>
        <w:t>注：1</w:t>
      </w:r>
      <w:r>
        <w:rPr>
          <w:b/>
          <w:color w:val="auto"/>
          <w:sz w:val="18"/>
          <w:highlight w:val="none"/>
        </w:rPr>
        <w:t>.</w:t>
      </w:r>
      <w:r>
        <w:rPr>
          <w:rFonts w:hint="eastAsia"/>
          <w:b/>
          <w:color w:val="auto"/>
          <w:sz w:val="18"/>
          <w:highlight w:val="none"/>
        </w:rPr>
        <w:t>中选下浮率=（发包限价总价-中选报价总价）÷发包限价总价×100%</w:t>
      </w:r>
      <w:r>
        <w:rPr>
          <w:rFonts w:hint="eastAsia"/>
          <w:b/>
          <w:color w:val="auto"/>
          <w:sz w:val="18"/>
          <w:highlight w:val="none"/>
          <w:lang w:eastAsia="zh-CN"/>
        </w:rPr>
        <w:t>，</w:t>
      </w:r>
      <w:r>
        <w:rPr>
          <w:rFonts w:hint="eastAsia"/>
          <w:b/>
          <w:color w:val="auto"/>
          <w:sz w:val="18"/>
          <w:highlight w:val="none"/>
        </w:rPr>
        <w:t>投标下浮率=（招标控制价总价-投标报价总价）÷招标控制价总价×100%；</w:t>
      </w:r>
    </w:p>
    <w:p>
      <w:pPr>
        <w:pStyle w:val="33"/>
        <w:numPr>
          <w:ilvl w:val="0"/>
          <w:numId w:val="4"/>
        </w:numPr>
        <w:ind w:left="525" w:leftChars="250" w:firstLine="723" w:firstLineChars="400"/>
        <w:rPr>
          <w:b/>
          <w:color w:val="auto"/>
          <w:sz w:val="18"/>
          <w:highlight w:val="none"/>
        </w:rPr>
      </w:pPr>
      <w:r>
        <w:rPr>
          <w:rFonts w:hint="eastAsia"/>
          <w:b/>
          <w:color w:val="auto"/>
          <w:sz w:val="18"/>
          <w:highlight w:val="none"/>
        </w:rPr>
        <w:t>如本合同的项目属于《广州市财政投资评审管理办法》评审范围的财政性资金投资项目，财政投资评审结果作为该项目价款结算的依据。</w:t>
      </w:r>
    </w:p>
    <w:p>
      <w:pPr>
        <w:pStyle w:val="20"/>
        <w:rPr>
          <w:color w:val="auto"/>
          <w:highlight w:val="none"/>
        </w:rPr>
      </w:pPr>
      <w:r>
        <w:rPr>
          <w:rFonts w:hint="eastAsia"/>
          <w:color w:val="auto"/>
          <w:highlight w:val="none"/>
        </w:rPr>
        <w:t>支付方式：</w:t>
      </w:r>
      <w:r>
        <w:rPr>
          <w:rFonts w:hint="eastAsia" w:hAnsi="仿宋" w:cs="仿宋"/>
          <w:color w:val="auto"/>
          <w:highlight w:val="none"/>
        </w:rPr>
        <w:t>本合同款项按以下第</w:t>
      </w:r>
      <w:bookmarkStart w:id="3" w:name="_Hlk83808541"/>
      <w:sdt>
        <w:sdtPr>
          <w:rPr>
            <w:rFonts w:hint="eastAsia" w:hAnsi="仿宋" w:cs="仿宋"/>
            <w:color w:val="auto"/>
            <w:highlight w:val="none"/>
            <w:u w:val="single"/>
          </w:rPr>
          <w:id w:val="-282272252"/>
          <w:placeholder>
            <w:docPart w:val="F6EBD124AFD647B7852BEB5BF5535F4B"/>
          </w:placeholder>
          <w:comboBox>
            <w:listItem w:value="选择一项。"/>
            <w:listItem w:displayText="（1）" w:value="（1）"/>
            <w:listItem w:displayText="（2）" w:value="（2）"/>
            <w:listItem w:displayText="（3）" w:value="（3）"/>
            <w:listItem w:displayText="（4）" w:value="（4）"/>
            <w:listItem w:displayText="（5）" w:value="（5）"/>
            <w:listItem w:displayText="（6）" w:value="（6）"/>
          </w:comboBox>
        </w:sdtPr>
        <w:sdtEndPr>
          <w:rPr>
            <w:rFonts w:hint="eastAsia" w:hAnsi="仿宋" w:cs="仿宋"/>
            <w:color w:val="auto"/>
            <w:highlight w:val="none"/>
            <w:u w:val="single"/>
          </w:rPr>
        </w:sdtEndPr>
        <w:sdtContent>
          <w:r>
            <w:rPr>
              <w:rFonts w:hint="eastAsia" w:hAnsi="仿宋" w:cs="仿宋"/>
              <w:color w:val="auto"/>
              <w:highlight w:val="none"/>
              <w:u w:val="single"/>
            </w:rPr>
            <w:t>（</w:t>
          </w:r>
          <w:r>
            <w:rPr>
              <w:rFonts w:hint="eastAsia" w:hAnsi="仿宋" w:cs="仿宋"/>
              <w:color w:val="auto"/>
              <w:highlight w:val="none"/>
              <w:u w:val="single"/>
              <w:lang w:val="en-US" w:eastAsia="zh-CN"/>
            </w:rPr>
            <w:t>1</w:t>
          </w:r>
          <w:r>
            <w:rPr>
              <w:rFonts w:hint="eastAsia" w:hAnsi="仿宋" w:cs="仿宋"/>
              <w:color w:val="auto"/>
              <w:highlight w:val="none"/>
              <w:u w:val="single"/>
            </w:rPr>
            <w:t>）</w:t>
          </w:r>
        </w:sdtContent>
      </w:sdt>
      <w:bookmarkEnd w:id="3"/>
      <w:r>
        <w:rPr>
          <w:rFonts w:hint="eastAsia" w:hAnsi="仿宋" w:cs="仿宋"/>
          <w:color w:val="auto"/>
          <w:highlight w:val="none"/>
        </w:rPr>
        <w:t>种方式支付。</w:t>
      </w:r>
    </w:p>
    <w:p>
      <w:pPr>
        <w:pStyle w:val="33"/>
        <w:numPr>
          <w:ilvl w:val="0"/>
          <w:numId w:val="5"/>
        </w:numPr>
        <w:ind w:leftChars="0" w:firstLineChars="0"/>
        <w:rPr>
          <w:rFonts w:ascii="仿宋_GB2312"/>
          <w:color w:val="auto"/>
          <w:highlight w:val="none"/>
        </w:rPr>
      </w:pPr>
      <w:r>
        <w:rPr>
          <w:rFonts w:hint="eastAsia" w:ascii="仿宋_GB2312"/>
          <w:color w:val="auto"/>
          <w:highlight w:val="none"/>
        </w:rPr>
        <w:t>a.本合同生效后,乙方向甲方提出支付申请，甲方向乙方支付合同价的20％；</w:t>
      </w:r>
    </w:p>
    <w:p>
      <w:pPr>
        <w:pStyle w:val="33"/>
        <w:ind w:left="735" w:leftChars="0" w:firstLine="240" w:firstLineChars="100"/>
        <w:rPr>
          <w:rFonts w:ascii="仿宋_GB2312"/>
          <w:color w:val="auto"/>
          <w:highlight w:val="none"/>
        </w:rPr>
      </w:pPr>
      <w:r>
        <w:rPr>
          <w:rFonts w:hint="eastAsia" w:ascii="仿宋_GB2312"/>
          <w:color w:val="auto"/>
          <w:highlight w:val="none"/>
        </w:rPr>
        <w:t>b.</w:t>
      </w:r>
      <w:bookmarkStart w:id="4" w:name="_Hlk107503666"/>
      <w:r>
        <w:rPr>
          <w:rFonts w:hint="eastAsia" w:ascii="仿宋_GB2312"/>
          <w:color w:val="auto"/>
          <w:highlight w:val="none"/>
        </w:rPr>
        <w:t>乙方按期提交勘察报告成果并提交电子成果后，可申请支付至经甲方确认的实际完成工作量的60%，最高不超过合同暂定价60%</w:t>
      </w:r>
      <w:bookmarkEnd w:id="4"/>
      <w:r>
        <w:rPr>
          <w:rFonts w:hint="eastAsia" w:ascii="仿宋_GB2312"/>
          <w:color w:val="auto"/>
          <w:highlight w:val="none"/>
        </w:rPr>
        <w:t>；</w:t>
      </w:r>
    </w:p>
    <w:p>
      <w:pPr>
        <w:pStyle w:val="33"/>
        <w:ind w:left="735" w:leftChars="0" w:firstLine="240" w:firstLineChars="100"/>
        <w:rPr>
          <w:rFonts w:ascii="仿宋_GB2312"/>
          <w:color w:val="auto"/>
          <w:highlight w:val="none"/>
        </w:rPr>
      </w:pPr>
      <w:r>
        <w:rPr>
          <w:rFonts w:hint="eastAsia" w:ascii="仿宋_GB2312"/>
          <w:color w:val="auto"/>
          <w:highlight w:val="none"/>
        </w:rPr>
        <w:t>c.乙方完成全部勘察工作，取得施工图审查合格书，并按要求提供成果文件及电子文件后，可申请支付至经甲方确认的实际完成工作量的80％，最高不超过合同暂定价80%；</w:t>
      </w:r>
    </w:p>
    <w:p>
      <w:pPr>
        <w:pStyle w:val="33"/>
        <w:ind w:left="735" w:leftChars="0" w:firstLine="240" w:firstLineChars="100"/>
        <w:rPr>
          <w:rFonts w:ascii="仿宋_GB2312"/>
          <w:color w:val="auto"/>
          <w:highlight w:val="none"/>
        </w:rPr>
      </w:pPr>
      <w:r>
        <w:rPr>
          <w:rFonts w:hint="eastAsia" w:ascii="仿宋_GB2312"/>
          <w:color w:val="auto"/>
          <w:highlight w:val="none"/>
        </w:rPr>
        <w:t>d.项目竣工验收并经财局或甲方或甲方委托的第三方审核结算后，甲方支付至合同结算价的100%，并无息退还履约保证金（如有）给乙方。</w:t>
      </w:r>
    </w:p>
    <w:p>
      <w:pPr>
        <w:pStyle w:val="33"/>
        <w:numPr>
          <w:ilvl w:val="0"/>
          <w:numId w:val="5"/>
        </w:numPr>
        <w:ind w:leftChars="0" w:firstLineChars="0"/>
        <w:rPr>
          <w:color w:val="auto"/>
          <w:highlight w:val="none"/>
        </w:rPr>
      </w:pPr>
      <w:r>
        <w:rPr>
          <w:rFonts w:hint="eastAsia"/>
          <w:color w:val="auto"/>
          <w:highlight w:val="none"/>
        </w:rPr>
        <w:t>乙方完成全部勘察工作，取得施工图审查合格书，并按要求提供成果文件及电子文件，项目竣工验收并经财局或甲方或甲方委托的第三方审核结算后，甲方支付至合同结算价的100%，并无息退还履约保证金（如有）给乙方。</w:t>
      </w:r>
    </w:p>
    <w:p>
      <w:pPr>
        <w:pStyle w:val="33"/>
        <w:numPr>
          <w:ilvl w:val="0"/>
          <w:numId w:val="5"/>
        </w:numPr>
        <w:ind w:leftChars="0" w:firstLineChars="0"/>
        <w:rPr>
          <w:color w:val="auto"/>
          <w:highlight w:val="none"/>
          <w:u w:val="single"/>
        </w:rPr>
      </w:pPr>
      <w:bookmarkStart w:id="5" w:name="_Hlk107507318"/>
      <w:r>
        <w:rPr>
          <w:rFonts w:hint="eastAsia" w:ascii="仿宋_GB2312"/>
          <w:color w:val="auto"/>
          <w:highlight w:val="none"/>
        </w:rPr>
        <w:t>其他：</w:t>
      </w:r>
      <w:r>
        <w:rPr>
          <w:rFonts w:ascii="仿宋_GB2312"/>
          <w:color w:val="auto"/>
          <w:highlight w:val="none"/>
          <w:u w:val="single"/>
        </w:rPr>
        <w:t xml:space="preserve">          </w:t>
      </w:r>
      <w:r>
        <w:rPr>
          <w:rFonts w:hint="eastAsia" w:ascii="仿宋_GB2312"/>
          <w:color w:val="auto"/>
          <w:highlight w:val="none"/>
        </w:rPr>
        <w:t>。</w:t>
      </w:r>
      <w:r>
        <w:rPr>
          <w:rFonts w:hint="eastAsia" w:ascii="仿宋_GB2312"/>
          <w:b/>
          <w:color w:val="auto"/>
          <w:highlight w:val="none"/>
        </w:rPr>
        <w:t>（选择此项时，项目需求部门/单位需按相关交易文件详细填写）</w:t>
      </w:r>
    </w:p>
    <w:bookmarkEnd w:id="5"/>
    <w:p>
      <w:pPr>
        <w:pStyle w:val="20"/>
        <w:jc w:val="both"/>
        <w:rPr>
          <w:color w:val="auto"/>
          <w:highlight w:val="none"/>
        </w:rPr>
      </w:pPr>
      <w:r>
        <w:rPr>
          <w:rFonts w:hint="eastAsia"/>
          <w:color w:val="auto"/>
          <w:highlight w:val="none"/>
        </w:rPr>
        <w:t>项目资金涉及政府财政资金的，按照国库集中支付等国家相关规定办理，财政资金落实到位后，乙方向甲方提供书面请款申请并提供相应的发票与请款资料，经甲方审核通过后向财政部门申请支付勘察费。乙方申请合同进度款时应知悉财政资金拨付的周期，经乙方申请、甲方配合办理本合同涉财政资金进度款拨付期间，乙方不得以合同进度款未支付为由，拒绝履行本合同所有义务和职责或向甲方主张任何权利。由于财政资金拨付不到位而导致甲方逾期付款，甲方不承担由此引起的违约责任，并且此情况不能成为乙方不配合完成结算工作的理由。</w:t>
      </w:r>
    </w:p>
    <w:p>
      <w:pPr>
        <w:pStyle w:val="20"/>
        <w:jc w:val="both"/>
        <w:rPr>
          <w:color w:val="auto"/>
          <w:highlight w:val="none"/>
        </w:rPr>
      </w:pPr>
      <w:r>
        <w:rPr>
          <w:rFonts w:hint="eastAsia"/>
          <w:color w:val="auto"/>
          <w:highlight w:val="none"/>
        </w:rPr>
        <w:t>乙方应在请款时提供等额合法有效的增值税发票。否则甲方有权推迟付款至乙方按要求提供发票时为止且不承担迟延付款的违约责任。</w:t>
      </w:r>
    </w:p>
    <w:p>
      <w:pPr>
        <w:pStyle w:val="20"/>
        <w:numPr>
          <w:ilvl w:val="0"/>
          <w:numId w:val="0"/>
        </w:numPr>
        <w:ind w:left="210" w:leftChars="100" w:firstLine="240" w:firstLineChars="100"/>
        <w:rPr>
          <w:color w:val="auto"/>
          <w:highlight w:val="none"/>
        </w:rPr>
      </w:pPr>
      <w:bookmarkStart w:id="6" w:name="_Hlk107507339"/>
      <w:r>
        <w:rPr>
          <w:rFonts w:hint="eastAsia"/>
          <w:color w:val="auto"/>
          <w:highlight w:val="none"/>
        </w:rPr>
        <w:t>本项目要求提供□增值税专用发票/□增值税普通发票。</w:t>
      </w:r>
      <w:bookmarkEnd w:id="6"/>
    </w:p>
    <w:p>
      <w:pPr>
        <w:pStyle w:val="20"/>
        <w:rPr>
          <w:color w:val="auto"/>
          <w:highlight w:val="none"/>
        </w:rPr>
      </w:pPr>
      <w:r>
        <w:rPr>
          <w:rFonts w:hint="eastAsia"/>
          <w:color w:val="auto"/>
          <w:highlight w:val="none"/>
        </w:rPr>
        <w:t>乙方收款账户：</w:t>
      </w:r>
      <w:r>
        <w:rPr>
          <w:rFonts w:hint="eastAsia"/>
          <w:color w:val="auto"/>
          <w:highlight w:val="none"/>
          <w:u w:val="single"/>
        </w:rPr>
        <w:t xml:space="preserve">                         </w:t>
      </w:r>
      <w:r>
        <w:rPr>
          <w:rFonts w:hint="eastAsia"/>
          <w:color w:val="auto"/>
          <w:highlight w:val="none"/>
        </w:rPr>
        <w:t>；</w:t>
      </w:r>
    </w:p>
    <w:p>
      <w:pPr>
        <w:pStyle w:val="20"/>
        <w:numPr>
          <w:ilvl w:val="255"/>
          <w:numId w:val="0"/>
        </w:numPr>
        <w:ind w:left="210" w:leftChars="100" w:firstLine="240" w:firstLineChars="100"/>
        <w:rPr>
          <w:color w:val="auto"/>
          <w:highlight w:val="none"/>
        </w:rPr>
      </w:pPr>
      <w:r>
        <w:rPr>
          <w:rFonts w:hint="eastAsia"/>
          <w:color w:val="auto"/>
          <w:highlight w:val="none"/>
        </w:rPr>
        <w:t>收款账号：</w:t>
      </w:r>
      <w:r>
        <w:rPr>
          <w:rFonts w:hint="eastAsia"/>
          <w:color w:val="auto"/>
          <w:highlight w:val="none"/>
          <w:u w:val="single"/>
        </w:rPr>
        <w:t xml:space="preserve">                              </w:t>
      </w:r>
      <w:r>
        <w:rPr>
          <w:rFonts w:hint="eastAsia"/>
          <w:color w:val="auto"/>
          <w:highlight w:val="none"/>
        </w:rPr>
        <w:t>；</w:t>
      </w:r>
    </w:p>
    <w:p>
      <w:pPr>
        <w:pStyle w:val="20"/>
        <w:numPr>
          <w:ilvl w:val="255"/>
          <w:numId w:val="0"/>
        </w:numPr>
        <w:ind w:left="210" w:leftChars="100" w:firstLine="240" w:firstLineChars="100"/>
        <w:rPr>
          <w:color w:val="auto"/>
          <w:highlight w:val="none"/>
        </w:rPr>
      </w:pPr>
      <w:r>
        <w:rPr>
          <w:rFonts w:hint="eastAsia"/>
          <w:color w:val="auto"/>
          <w:highlight w:val="none"/>
        </w:rPr>
        <w:t>开户行：</w:t>
      </w:r>
      <w:r>
        <w:rPr>
          <w:rFonts w:hint="eastAsia"/>
          <w:color w:val="auto"/>
          <w:highlight w:val="none"/>
          <w:u w:val="single"/>
        </w:rPr>
        <w:t xml:space="preserve">                                </w:t>
      </w:r>
      <w:r>
        <w:rPr>
          <w:rFonts w:hint="eastAsia"/>
          <w:color w:val="auto"/>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确认以上银行账户为其指定的唯一的收款账户。如乙方须更改银行账户信息的，须于甲方完成支付手续3日前书面通知甲方，否则甲方向以上账户支付款项后，视为已履行付款义务，乙方自行承担怠于通知的不利后果。</w:t>
      </w:r>
    </w:p>
    <w:p>
      <w:pPr>
        <w:pStyle w:val="2"/>
        <w:rPr>
          <w:color w:val="auto"/>
          <w:highlight w:val="none"/>
        </w:rPr>
      </w:pPr>
    </w:p>
    <w:p>
      <w:pPr>
        <w:pStyle w:val="16"/>
        <w:rPr>
          <w:color w:val="auto"/>
          <w:highlight w:val="none"/>
        </w:rPr>
      </w:pPr>
      <w:r>
        <w:rPr>
          <w:rFonts w:hint="eastAsia"/>
          <w:color w:val="auto"/>
          <w:highlight w:val="none"/>
        </w:rPr>
        <w:t>结算方式</w:t>
      </w:r>
    </w:p>
    <w:p>
      <w:pPr>
        <w:pStyle w:val="20"/>
        <w:numPr>
          <w:ilvl w:val="1"/>
          <w:numId w:val="6"/>
        </w:numPr>
        <w:ind w:left="454" w:hanging="454"/>
        <w:rPr>
          <w:color w:val="auto"/>
          <w:highlight w:val="none"/>
        </w:rPr>
      </w:pPr>
      <w:bookmarkStart w:id="7" w:name="_Hlk107507458"/>
      <w:r>
        <w:rPr>
          <w:rFonts w:hint="eastAsia"/>
          <w:b/>
          <w:color w:val="auto"/>
          <w:highlight w:val="none"/>
        </w:rPr>
        <w:t>采用全费用单价包干，工作量按实结算的项目，</w:t>
      </w:r>
      <w:r>
        <w:rPr>
          <w:rFonts w:hint="eastAsia"/>
          <w:b/>
          <w:bCs/>
          <w:color w:val="auto"/>
          <w:spacing w:val="-6"/>
          <w:highlight w:val="none"/>
        </w:rPr>
        <w:t>适用第9.1.1款至第9.1.</w:t>
      </w:r>
      <w:r>
        <w:rPr>
          <w:rFonts w:hint="eastAsia"/>
          <w:b/>
          <w:bCs/>
          <w:color w:val="auto"/>
          <w:spacing w:val="-6"/>
          <w:highlight w:val="none"/>
          <w:lang w:val="en-US" w:eastAsia="zh-CN"/>
        </w:rPr>
        <w:t>10</w:t>
      </w:r>
      <w:r>
        <w:rPr>
          <w:rFonts w:hint="eastAsia"/>
          <w:b/>
          <w:bCs/>
          <w:color w:val="auto"/>
          <w:spacing w:val="-6"/>
          <w:highlight w:val="none"/>
        </w:rPr>
        <w:t>款的结算方式</w:t>
      </w:r>
      <w:r>
        <w:rPr>
          <w:rFonts w:hint="eastAsia"/>
          <w:b/>
          <w:color w:val="auto"/>
          <w:highlight w:val="none"/>
        </w:rPr>
        <w:t>。</w:t>
      </w:r>
    </w:p>
    <w:p>
      <w:pPr>
        <w:pStyle w:val="21"/>
        <w:numPr>
          <w:ilvl w:val="2"/>
          <w:numId w:val="6"/>
        </w:numPr>
        <w:ind w:left="851" w:hanging="851"/>
        <w:jc w:val="both"/>
        <w:rPr>
          <w:color w:val="auto"/>
          <w:highlight w:val="none"/>
        </w:rPr>
      </w:pPr>
      <w:r>
        <w:rPr>
          <w:rFonts w:hint="eastAsia"/>
          <w:color w:val="auto"/>
          <w:highlight w:val="none"/>
        </w:rPr>
        <w:t>本项目采用全费用单价包干，工作量按实结算的模式，结算时乙方需提供经甲方确认的勘察测量成果报告、签证及其他现场资料，以上资料可根据项目实际情况及甲方的要求按需提供。</w:t>
      </w:r>
    </w:p>
    <w:p>
      <w:pPr>
        <w:pStyle w:val="21"/>
        <w:numPr>
          <w:ilvl w:val="2"/>
          <w:numId w:val="6"/>
        </w:numPr>
        <w:ind w:left="851" w:hanging="851"/>
        <w:jc w:val="both"/>
        <w:rPr>
          <w:color w:val="auto"/>
          <w:highlight w:val="none"/>
        </w:rPr>
      </w:pPr>
      <w:r>
        <w:rPr>
          <w:rFonts w:hint="eastAsia"/>
          <w:color w:val="auto"/>
          <w:highlight w:val="none"/>
        </w:rPr>
        <w:t>当中选的全费用单价不超过询比限价的全费用单价时，该清单项目的中选单价为该项目的结算单价，当中选单价超过询比限价的全费用单价时，该项目中选全费用单价按该清单项目的询比限价全费用单价×（1-中选下浮率）进行修正（中选下浮率详见9.1.</w:t>
      </w:r>
      <w:r>
        <w:rPr>
          <w:rFonts w:hint="eastAsia"/>
          <w:color w:val="auto"/>
          <w:highlight w:val="none"/>
          <w:lang w:val="en-US" w:eastAsia="zh-CN"/>
        </w:rPr>
        <w:t>6</w:t>
      </w:r>
      <w:r>
        <w:rPr>
          <w:rFonts w:hint="eastAsia"/>
          <w:color w:val="auto"/>
          <w:highlight w:val="none"/>
        </w:rPr>
        <w:t>），修正之后的中选清单项目全费用单价作为该清单项目的结算全费用单价。</w:t>
      </w:r>
    </w:p>
    <w:p>
      <w:pPr>
        <w:pStyle w:val="21"/>
        <w:numPr>
          <w:ilvl w:val="2"/>
          <w:numId w:val="6"/>
        </w:numPr>
        <w:ind w:left="851" w:hanging="851"/>
        <w:jc w:val="both"/>
        <w:rPr>
          <w:color w:val="auto"/>
          <w:highlight w:val="none"/>
        </w:rPr>
      </w:pPr>
      <w:r>
        <w:rPr>
          <w:rFonts w:hint="eastAsia"/>
          <w:color w:val="auto"/>
          <w:highlight w:val="none"/>
        </w:rPr>
        <w:t>勘察测量工作完成后，工程通过竣工验收方可办理结算，结算价按实物工作量×中选全费用单价计算，中选工程量清单中没有相同项目或类似项目的，其新增项目全费用单价执行同期（服务期）国家、省、市行政主管部门及造价管理机构颁布的相关收费标准、综合定额及相关计价文件编制</w:t>
      </w:r>
      <w:bookmarkStart w:id="8" w:name="_Hlk107507380"/>
      <w:r>
        <w:rPr>
          <w:rFonts w:hint="eastAsia"/>
          <w:color w:val="auto"/>
          <w:highlight w:val="none"/>
        </w:rPr>
        <w:t>×</w:t>
      </w:r>
      <w:bookmarkEnd w:id="8"/>
      <w:r>
        <w:rPr>
          <w:rFonts w:hint="eastAsia"/>
          <w:color w:val="auto"/>
          <w:highlight w:val="none"/>
        </w:rPr>
        <w:t>（1-专业下浮率）×（1-市场调节下浮率）×（1-中选下浮率）确定（专业下浮率</w:t>
      </w:r>
      <w:r>
        <w:rPr>
          <w:rFonts w:hint="eastAsia"/>
          <w:color w:val="auto"/>
          <w:highlight w:val="none"/>
          <w:lang w:val="en-US" w:eastAsia="zh-CN"/>
        </w:rPr>
        <w:t>、</w:t>
      </w:r>
      <w:r>
        <w:rPr>
          <w:rFonts w:hint="eastAsia"/>
          <w:color w:val="auto"/>
          <w:highlight w:val="none"/>
        </w:rPr>
        <w:t>市场调节下浮率及中选下浮率详见9.1.4</w:t>
      </w:r>
      <w:r>
        <w:rPr>
          <w:rFonts w:hint="eastAsia"/>
          <w:color w:val="auto"/>
          <w:highlight w:val="none"/>
          <w:lang w:val="en-US" w:eastAsia="zh-CN"/>
        </w:rPr>
        <w:t>-9.1.6</w:t>
      </w:r>
      <w:r>
        <w:rPr>
          <w:rFonts w:hint="eastAsia"/>
          <w:color w:val="auto"/>
          <w:highlight w:val="none"/>
        </w:rPr>
        <w:t>），相关收费标准包括但不限于《工程勘察设计收费标准》（计价格[2002]10号），综合定额包括但不限于《广东省市政工程综合定额（2018年）》、《广州市市政工程补充综合定额(2019)》、《广东省房屋建筑和市政修缮工程综合定额（2012）》（其中市政修缮部分采用《广东省市政工程综合定额（2018）》第8册“市政设施养护维修工2程”）、《广东省排水管道非开挖修复更新工程预算定额（2019）》，新增项目的人工、材料、机械价格按广州市造价管理站同期（服务期）《广州地区建设工程常用材料税前综合价格》予以调整，服务期是指实际工期，如工期跨月则参考价格最低的月份进行计算，《广州地区建设工程常用材料税前综合价格》没有的材料单价，则参考同期（服务期）该材料的市场价格，最终以甲方核准后确定。</w:t>
      </w:r>
    </w:p>
    <w:p>
      <w:pPr>
        <w:pStyle w:val="21"/>
        <w:jc w:val="both"/>
        <w:rPr>
          <w:rFonts w:hint="eastAsia" w:cs="仿宋_GB2312"/>
          <w:color w:val="auto"/>
          <w:highlight w:val="none"/>
        </w:rPr>
      </w:pPr>
      <w:r>
        <w:rPr>
          <w:rFonts w:hint="eastAsia" w:cs="仿宋_GB2312"/>
          <w:color w:val="auto"/>
          <w:highlight w:val="none"/>
        </w:rPr>
        <w:t>专业下浮率是指各专业针对不同的定额或相关收费标准而产生对应的下浮率，具体分以下几种情况：</w:t>
      </w:r>
    </w:p>
    <w:p>
      <w:pPr>
        <w:pStyle w:val="21"/>
        <w:keepNext w:val="0"/>
        <w:keepLines w:val="0"/>
        <w:pageBreakBefore w:val="0"/>
        <w:widowControl w:val="0"/>
        <w:numPr>
          <w:ilvl w:val="0"/>
          <w:numId w:val="7"/>
        </w:numPr>
        <w:kinsoku/>
        <w:wordWrap/>
        <w:overflowPunct/>
        <w:topLinePunct w:val="0"/>
        <w:autoSpaceDE/>
        <w:autoSpaceDN/>
        <w:bidi w:val="0"/>
        <w:adjustRightInd/>
        <w:snapToGrid/>
        <w:ind w:left="850" w:leftChars="0" w:firstLine="0" w:firstLineChars="0"/>
        <w:jc w:val="both"/>
        <w:textAlignment w:val="auto"/>
        <w:rPr>
          <w:color w:val="auto"/>
          <w:highlight w:val="none"/>
        </w:rPr>
      </w:pPr>
      <w:r>
        <w:rPr>
          <w:rFonts w:hint="eastAsia"/>
          <w:color w:val="auto"/>
          <w:highlight w:val="none"/>
        </w:rPr>
        <w:t>采用省、市行政主管部门及造价管理机构颁布综合定额进行计价的，建筑、装修、安装专业的专业下浮率为3%，市政、园林绿化专业的专业下浮率为5%；</w:t>
      </w:r>
    </w:p>
    <w:p>
      <w:pPr>
        <w:pStyle w:val="21"/>
        <w:keepNext w:val="0"/>
        <w:keepLines w:val="0"/>
        <w:pageBreakBefore w:val="0"/>
        <w:widowControl w:val="0"/>
        <w:numPr>
          <w:ilvl w:val="0"/>
          <w:numId w:val="7"/>
        </w:numPr>
        <w:kinsoku/>
        <w:wordWrap/>
        <w:overflowPunct/>
        <w:topLinePunct w:val="0"/>
        <w:autoSpaceDE/>
        <w:autoSpaceDN/>
        <w:bidi w:val="0"/>
        <w:adjustRightInd/>
        <w:snapToGrid/>
        <w:ind w:left="850" w:leftChars="0" w:firstLine="0" w:firstLineChars="0"/>
        <w:jc w:val="both"/>
        <w:textAlignment w:val="auto"/>
        <w:rPr>
          <w:color w:val="auto"/>
          <w:highlight w:val="none"/>
        </w:rPr>
      </w:pPr>
      <w:r>
        <w:rPr>
          <w:rFonts w:hint="eastAsia" w:hAnsi="宋体"/>
          <w:color w:val="auto"/>
          <w:highlight w:val="none"/>
          <w:u w:val="none"/>
          <w:lang w:val="en-US" w:eastAsia="zh-CN"/>
        </w:rPr>
        <w:t>采用国家、省、市行政主管部门颁布的相关收费标准进行计价的专业下浮率不低于10%，其中采用《工程勘察设计收费标准》（计价格【2002】10号）的专业下浮率为</w:t>
      </w:r>
      <w:r>
        <w:rPr>
          <w:rFonts w:hint="eastAsia" w:hAnsi="宋体"/>
          <w:color w:val="auto"/>
          <w:highlight w:val="none"/>
          <w:u w:val="single"/>
          <w:lang w:val="en-US" w:eastAsia="zh-CN"/>
        </w:rPr>
        <w:t xml:space="preserve">   </w:t>
      </w:r>
      <w:r>
        <w:rPr>
          <w:rFonts w:hint="eastAsia"/>
          <w:color w:val="auto"/>
          <w:highlight w:val="none"/>
          <w:lang w:eastAsia="zh-CN"/>
        </w:rPr>
        <w:t>%</w:t>
      </w:r>
      <w:r>
        <w:rPr>
          <w:rFonts w:hint="eastAsia" w:hAnsi="宋体"/>
          <w:color w:val="auto"/>
          <w:highlight w:val="none"/>
          <w:lang w:eastAsia="zh-CN"/>
        </w:rPr>
        <w:t>（</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color w:val="auto"/>
          <w:highlight w:val="none"/>
          <w:lang w:eastAsia="zh-CN"/>
        </w:rPr>
        <w:t>）；</w:t>
      </w:r>
    </w:p>
    <w:p>
      <w:pPr>
        <w:pStyle w:val="21"/>
        <w:jc w:val="both"/>
        <w:rPr>
          <w:color w:val="auto"/>
          <w:highlight w:val="none"/>
        </w:rPr>
      </w:pPr>
      <w:r>
        <w:rPr>
          <w:rFonts w:hint="eastAsia" w:cs="仿宋_GB2312"/>
          <w:color w:val="auto"/>
          <w:highlight w:val="none"/>
        </w:rPr>
        <w:t>市场调节下浮率是指采用行业协会</w:t>
      </w:r>
      <w:r>
        <w:rPr>
          <w:rFonts w:hint="eastAsia" w:cs="仿宋_GB2312"/>
          <w:color w:val="auto"/>
          <w:highlight w:val="none"/>
          <w:lang w:val="en-US" w:eastAsia="zh-CN"/>
        </w:rPr>
        <w:t>颁布</w:t>
      </w:r>
      <w:r>
        <w:rPr>
          <w:rFonts w:hint="eastAsia"/>
          <w:color w:val="auto"/>
          <w:highlight w:val="none"/>
        </w:rPr>
        <w:t>的相关收费标准、</w:t>
      </w:r>
      <w:r>
        <w:rPr>
          <w:rFonts w:hint="eastAsia" w:cs="仿宋_GB2312"/>
          <w:color w:val="auto"/>
          <w:highlight w:val="none"/>
        </w:rPr>
        <w:t>定额进行计价的，还要结合市场进行下浮调节，其市场下浮调节率不低于5%，</w:t>
      </w:r>
      <w:r>
        <w:rPr>
          <w:rFonts w:hint="eastAsia" w:cs="仿宋_GB2312"/>
          <w:b w:val="0"/>
          <w:bCs w:val="0"/>
          <w:color w:val="auto"/>
          <w:highlight w:val="none"/>
          <w:lang w:val="en-US" w:eastAsia="zh-CN"/>
        </w:rPr>
        <w:t>采用国家、省、市行政主管部门颁布的相关</w:t>
      </w:r>
      <w:r>
        <w:rPr>
          <w:rFonts w:hint="eastAsia" w:cs="仿宋_GB2312"/>
          <w:color w:val="auto"/>
          <w:highlight w:val="none"/>
          <w:lang w:val="en-US" w:eastAsia="zh-CN"/>
        </w:rPr>
        <w:t>收费标准不用计算</w:t>
      </w:r>
      <w:r>
        <w:rPr>
          <w:rFonts w:hint="eastAsia" w:cs="仿宋_GB2312"/>
          <w:color w:val="auto"/>
          <w:highlight w:val="none"/>
        </w:rPr>
        <w:t>市场调节下浮率</w:t>
      </w:r>
      <w:r>
        <w:rPr>
          <w:rFonts w:hint="eastAsia" w:cs="仿宋_GB2312"/>
          <w:color w:val="auto"/>
          <w:highlight w:val="none"/>
          <w:lang w:val="en-US" w:eastAsia="zh-CN"/>
        </w:rPr>
        <w:t>，即采用国家发展计划委员会、建设部2002年颁布的《勘察设计费收费标准》</w:t>
      </w:r>
      <w:r>
        <w:rPr>
          <w:rFonts w:hint="eastAsia" w:cs="仿宋_GB2312"/>
          <w:color w:val="auto"/>
          <w:highlight w:val="none"/>
        </w:rPr>
        <w:t>的市场调节下浮率为</w:t>
      </w:r>
      <w:r>
        <w:rPr>
          <w:rFonts w:hint="eastAsia" w:cs="仿宋_GB2312"/>
          <w:color w:val="auto"/>
          <w:highlight w:val="none"/>
          <w:lang w:val="en-US" w:eastAsia="zh-CN"/>
        </w:rPr>
        <w:t>0</w:t>
      </w:r>
      <w:r>
        <w:rPr>
          <w:rFonts w:hint="eastAsia" w:cs="仿宋_GB2312"/>
          <w:color w:val="auto"/>
          <w:highlight w:val="none"/>
        </w:rPr>
        <w:t>%</w:t>
      </w:r>
      <w:r>
        <w:rPr>
          <w:rFonts w:hint="eastAsia" w:cs="仿宋_GB2312"/>
          <w:color w:val="auto"/>
          <w:highlight w:val="none"/>
          <w:lang w:eastAsia="zh-CN"/>
        </w:rPr>
        <w:t>，</w:t>
      </w:r>
      <w:r>
        <w:rPr>
          <w:rFonts w:hint="eastAsia" w:cs="仿宋_GB2312"/>
          <w:color w:val="auto"/>
          <w:highlight w:val="none"/>
        </w:rPr>
        <w:t>采用广东省非开挖技术协会发布的《广东省排水管道非开挖修复更新工程预算定额（2019）》的市场调节下浮率为15%，该市场调节下浮率不适用于《广东省排水管道非开挖修复更新工程预算定额（2019）》的补充定额，如《排水管渠水下机器人清淤定额（2022）》、《排水管渠空气潜水作业台班单价（2022）》等，以上补充定额及行业协会颁布</w:t>
      </w:r>
      <w:r>
        <w:rPr>
          <w:rFonts w:hint="eastAsia"/>
          <w:color w:val="auto"/>
          <w:highlight w:val="none"/>
        </w:rPr>
        <w:t>的相关收费标准、</w:t>
      </w:r>
      <w:r>
        <w:rPr>
          <w:rFonts w:hint="eastAsia" w:cs="仿宋_GB2312"/>
          <w:color w:val="auto"/>
          <w:highlight w:val="none"/>
        </w:rPr>
        <w:t>其他定额的市场调节下浮率由发包人根据市场具体情况确定。</w:t>
      </w:r>
    </w:p>
    <w:p>
      <w:pPr>
        <w:pStyle w:val="21"/>
        <w:jc w:val="both"/>
        <w:rPr>
          <w:color w:val="auto"/>
          <w:highlight w:val="none"/>
        </w:rPr>
      </w:pPr>
      <w:r>
        <w:rPr>
          <w:rFonts w:hint="eastAsia"/>
          <w:color w:val="auto"/>
          <w:highlight w:val="none"/>
        </w:rPr>
        <w:t>中选下浮率=（发包限价总价-中选报价总价）÷发包限价总价×100%</w:t>
      </w:r>
      <w:r>
        <w:rPr>
          <w:rFonts w:hint="eastAsia"/>
          <w:color w:val="auto"/>
          <w:highlight w:val="none"/>
          <w:lang w:eastAsia="zh-CN"/>
        </w:rPr>
        <w:t>。</w:t>
      </w:r>
    </w:p>
    <w:p>
      <w:pPr>
        <w:pStyle w:val="21"/>
        <w:numPr>
          <w:ilvl w:val="2"/>
          <w:numId w:val="6"/>
        </w:numPr>
        <w:ind w:left="851" w:hanging="851"/>
        <w:jc w:val="both"/>
        <w:rPr>
          <w:color w:val="auto"/>
          <w:highlight w:val="none"/>
        </w:rPr>
      </w:pPr>
      <w:r>
        <w:rPr>
          <w:rFonts w:hint="eastAsia"/>
          <w:color w:val="auto"/>
          <w:highlight w:val="none"/>
        </w:rPr>
        <w:t>本项目优先采用国家、省、市行政主管部门及造价管理机构颁布的收费标准、综合定额及相关计价文件，行业协会颁布的收费标准、定额与行政主管部门、造价管理机构颁布的收费标准、定额有重复的，计价时以行政主管部门及造价管理机构颁布的收费标准、定额为准。其中，相关收费标准原则上采用《工程勘察设计收费标准》（计价格[2002]10号），市政专业原则上套用国家、省、市行政主管部门及造价管理机构颁布《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其他定额和收费标准须经过发包人同意后方可使用。其他收费标准及定额须经过甲方同意后可使用。当国家、省、市行政主管部门及造价管理机构颁布的收费标准、定额有更新时，以最新颁布的定额为准，其他部门及协会颁布的定额有更新时须经过甲方同意后方可使用。</w:t>
      </w:r>
    </w:p>
    <w:p>
      <w:pPr>
        <w:pStyle w:val="21"/>
        <w:numPr>
          <w:ilvl w:val="2"/>
          <w:numId w:val="6"/>
        </w:numPr>
        <w:ind w:left="851" w:hanging="851"/>
        <w:jc w:val="both"/>
        <w:rPr>
          <w:color w:val="auto"/>
          <w:highlight w:val="none"/>
        </w:rPr>
      </w:pPr>
      <w:r>
        <w:rPr>
          <w:rFonts w:hint="eastAsia"/>
          <w:color w:val="auto"/>
          <w:highlight w:val="none"/>
        </w:rPr>
        <w:t>全费用单价包括分部分项工程费、措施项目费、其他项目费、规费和税金等完成清单工作内容所需的全部费用，包含所有施工设备费、设施费、劳务费、材料费、管理费、利润、税金、措施项目费、风险费用、相关政府部门收取的一切规费、发电设备燃料采购及运输费、附属工作费用及合同明示暗示的所有一般风险、责任和业务等一切费用。</w:t>
      </w:r>
    </w:p>
    <w:p>
      <w:pPr>
        <w:pStyle w:val="21"/>
        <w:numPr>
          <w:ilvl w:val="2"/>
          <w:numId w:val="6"/>
        </w:numPr>
        <w:ind w:left="851" w:hanging="851"/>
        <w:jc w:val="both"/>
        <w:rPr>
          <w:color w:val="auto"/>
          <w:highlight w:val="none"/>
        </w:rPr>
      </w:pPr>
      <w:r>
        <w:rPr>
          <w:rFonts w:hint="eastAsia"/>
          <w:color w:val="auto"/>
          <w:highlight w:val="none"/>
        </w:rPr>
        <w:t>本项目结算造价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21"/>
        <w:numPr>
          <w:ilvl w:val="2"/>
          <w:numId w:val="6"/>
        </w:numPr>
        <w:ind w:left="851" w:hanging="851"/>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20"/>
        <w:numPr>
          <w:ilvl w:val="1"/>
          <w:numId w:val="6"/>
        </w:numPr>
        <w:ind w:left="454" w:hanging="454"/>
        <w:rPr>
          <w:color w:val="auto"/>
          <w:highlight w:val="none"/>
        </w:rPr>
      </w:pPr>
      <w:r>
        <w:rPr>
          <w:rFonts w:hint="eastAsia"/>
          <w:b/>
          <w:color w:val="auto"/>
          <w:highlight w:val="none"/>
        </w:rPr>
        <w:t>采用询比限价</w:t>
      </w:r>
      <w:r>
        <w:rPr>
          <w:rFonts w:hint="eastAsia"/>
          <w:b/>
          <w:bCs w:val="0"/>
          <w:color w:val="auto"/>
          <w:highlight w:val="none"/>
          <w:lang w:val="en-US" w:eastAsia="zh-CN"/>
        </w:rPr>
        <w:t>/招标控制价</w:t>
      </w:r>
      <w:r>
        <w:rPr>
          <w:rFonts w:hint="eastAsia"/>
          <w:b/>
          <w:color w:val="auto"/>
          <w:highlight w:val="none"/>
        </w:rPr>
        <w:t>的全费用单价（或经甲方审定的全费用预算单价）×（1-中选下浮率），工作量按实结算的项目，</w:t>
      </w:r>
      <w:r>
        <w:rPr>
          <w:rFonts w:hint="eastAsia"/>
          <w:b/>
          <w:bCs/>
          <w:color w:val="auto"/>
          <w:spacing w:val="-6"/>
          <w:highlight w:val="none"/>
        </w:rPr>
        <w:t>适用第9.2.1款至第</w:t>
      </w:r>
      <w:r>
        <w:rPr>
          <w:rFonts w:hint="eastAsia"/>
          <w:b/>
          <w:bCs/>
          <w:color w:val="auto"/>
          <w:spacing w:val="-6"/>
          <w:sz w:val="24"/>
          <w:szCs w:val="24"/>
          <w:highlight w:val="none"/>
        </w:rPr>
        <w:t>9.2.</w:t>
      </w:r>
      <w:r>
        <w:rPr>
          <w:rFonts w:hint="eastAsia"/>
          <w:b/>
          <w:bCs/>
          <w:color w:val="auto"/>
          <w:spacing w:val="-6"/>
          <w:sz w:val="24"/>
          <w:szCs w:val="24"/>
          <w:highlight w:val="none"/>
          <w:lang w:val="en-US" w:eastAsia="zh-CN"/>
        </w:rPr>
        <w:t>10</w:t>
      </w:r>
      <w:r>
        <w:rPr>
          <w:rFonts w:hint="eastAsia"/>
          <w:b/>
          <w:bCs/>
          <w:color w:val="auto"/>
          <w:spacing w:val="-6"/>
          <w:highlight w:val="none"/>
        </w:rPr>
        <w:t>款的结算方式</w:t>
      </w:r>
      <w:r>
        <w:rPr>
          <w:rFonts w:hint="eastAsia"/>
          <w:b/>
          <w:color w:val="auto"/>
          <w:highlight w:val="none"/>
        </w:rPr>
        <w:t>。</w:t>
      </w:r>
    </w:p>
    <w:p>
      <w:pPr>
        <w:pStyle w:val="21"/>
        <w:numPr>
          <w:ilvl w:val="2"/>
          <w:numId w:val="6"/>
        </w:numPr>
        <w:ind w:left="851" w:hanging="851"/>
        <w:jc w:val="both"/>
        <w:rPr>
          <w:color w:val="auto"/>
          <w:highlight w:val="none"/>
        </w:rPr>
      </w:pPr>
      <w:bookmarkStart w:id="9" w:name="_Hlk68272262"/>
      <w:bookmarkStart w:id="10" w:name="_Hlk68268986"/>
      <w:r>
        <w:rPr>
          <w:rFonts w:hint="eastAsia"/>
          <w:color w:val="auto"/>
          <w:highlight w:val="none"/>
        </w:rPr>
        <w:t>本项目采用询比限价</w:t>
      </w:r>
      <w:r>
        <w:rPr>
          <w:rFonts w:hint="eastAsia"/>
          <w:b w:val="0"/>
          <w:bCs w:val="0"/>
          <w:color w:val="auto"/>
          <w:highlight w:val="none"/>
          <w:lang w:val="en-US" w:eastAsia="zh-CN"/>
        </w:rPr>
        <w:t>/招标控制价</w:t>
      </w:r>
      <w:r>
        <w:rPr>
          <w:rFonts w:hint="eastAsia"/>
          <w:color w:val="auto"/>
          <w:highlight w:val="none"/>
        </w:rPr>
        <w:t>的全费用单价（或经甲方审定的全费用预算单价）×（1-中选下浮率），工作量按实结算的模式，结算时乙方需提供经甲方确认的勘察测量成果报告、签证及其他现场资料，以上资料可根据项目实际情况及甲方的要求按需提供。</w:t>
      </w:r>
    </w:p>
    <w:p>
      <w:pPr>
        <w:pStyle w:val="21"/>
        <w:numPr>
          <w:ilvl w:val="2"/>
          <w:numId w:val="6"/>
        </w:numPr>
        <w:ind w:left="851" w:hanging="851"/>
        <w:jc w:val="both"/>
        <w:rPr>
          <w:color w:val="auto"/>
          <w:highlight w:val="none"/>
        </w:rPr>
      </w:pPr>
      <w:r>
        <w:rPr>
          <w:rFonts w:hint="eastAsia"/>
          <w:color w:val="auto"/>
          <w:highlight w:val="none"/>
        </w:rPr>
        <w:t>勘察测量工作完成后，工程通过竣工验收方可办理结算，结算价按实物工作量×询比限价的全费用单价（或经甲方审定的全费用预算单价）×（1-中选下浮率）计算（中选下浮率详见9.2.</w:t>
      </w:r>
      <w:r>
        <w:rPr>
          <w:rFonts w:hint="eastAsia"/>
          <w:color w:val="auto"/>
          <w:highlight w:val="none"/>
          <w:lang w:val="en-US" w:eastAsia="zh-CN"/>
        </w:rPr>
        <w:t>6</w:t>
      </w:r>
      <w:r>
        <w:rPr>
          <w:rFonts w:hint="eastAsia"/>
          <w:color w:val="auto"/>
          <w:highlight w:val="none"/>
        </w:rPr>
        <w:t>）。</w:t>
      </w:r>
    </w:p>
    <w:p>
      <w:pPr>
        <w:pStyle w:val="21"/>
        <w:numPr>
          <w:ilvl w:val="2"/>
          <w:numId w:val="6"/>
        </w:numPr>
        <w:ind w:left="851" w:hanging="851"/>
        <w:jc w:val="both"/>
        <w:rPr>
          <w:color w:val="auto"/>
          <w:highlight w:val="none"/>
        </w:rPr>
      </w:pPr>
      <w:r>
        <w:rPr>
          <w:rFonts w:hint="eastAsia"/>
          <w:color w:val="auto"/>
          <w:highlight w:val="none"/>
        </w:rPr>
        <w:t>当询比限价</w:t>
      </w:r>
      <w:r>
        <w:rPr>
          <w:rFonts w:hint="eastAsia"/>
          <w:color w:val="auto"/>
          <w:highlight w:val="none"/>
          <w:lang w:val="en-US" w:eastAsia="zh-CN"/>
        </w:rPr>
        <w:t>/招标控制价</w:t>
      </w:r>
      <w:r>
        <w:rPr>
          <w:rFonts w:hint="eastAsia"/>
          <w:color w:val="auto"/>
          <w:highlight w:val="none"/>
        </w:rPr>
        <w:t>（或经甲方审定的全费用预算单价）中没有相同项目或类似项目时，其新增项目全费用单价执行同期（服务期）国家、省、市行政主管部门及造价管理机构颁布的相关收费标准、综合定额及相关计价文件或相关收费标准编制×（1-专业下浮率）×（1-市场调节下浮率）×（1-中选下浮率）确定（专业下浮率</w:t>
      </w:r>
      <w:r>
        <w:rPr>
          <w:rFonts w:hint="eastAsia"/>
          <w:color w:val="auto"/>
          <w:highlight w:val="none"/>
          <w:lang w:eastAsia="zh-CN"/>
        </w:rPr>
        <w:t>、</w:t>
      </w:r>
      <w:r>
        <w:rPr>
          <w:rFonts w:hint="eastAsia"/>
          <w:color w:val="auto"/>
          <w:highlight w:val="none"/>
        </w:rPr>
        <w:t>市场调节下浮率及中选下浮率详见9.2.4</w:t>
      </w:r>
      <w:r>
        <w:rPr>
          <w:rFonts w:hint="eastAsia"/>
          <w:color w:val="auto"/>
          <w:highlight w:val="none"/>
          <w:lang w:val="en-US" w:eastAsia="zh-CN"/>
        </w:rPr>
        <w:t>-9.2.6</w:t>
      </w:r>
      <w:r>
        <w:rPr>
          <w:rFonts w:hint="eastAsia"/>
          <w:color w:val="auto"/>
          <w:highlight w:val="none"/>
        </w:rPr>
        <w:t>），相关收费标准包括但不限于《工程勘察设计收费标准》（计价格[2002]10号），综合定额包括但不限于《广东省市政工程综合定额（2018年）》、《广州市市政工程补充综合定额(2019)》、《广东省房屋建筑和市政修缮工程综合定额（2012）》（其中市政修缮部分采用《广东省市政工程综合定额（2018）》第8册“市政设施养护维修工程”）、《广东省排水管道非开挖修复更新工程预算定额（2019）》，新增项目的人工、材料、机械价格按广州市造价管理站同期（服务期）《广州地区建设工程常用材料税前综合价格》予以调整，服务期是指实际工期，如工期跨月则参考价格最低的月份进行计算，《广州地区建设工程常用材料税前综合价格》没有的材料单价，则参考同期（服务期）该材料的市场价格，最终以甲方核准后确定。</w:t>
      </w:r>
    </w:p>
    <w:p>
      <w:pPr>
        <w:pStyle w:val="21"/>
        <w:jc w:val="both"/>
        <w:rPr>
          <w:rFonts w:hint="eastAsia" w:cs="仿宋_GB2312"/>
          <w:color w:val="auto"/>
          <w:highlight w:val="none"/>
        </w:rPr>
      </w:pPr>
      <w:r>
        <w:rPr>
          <w:rFonts w:hint="eastAsia" w:cs="仿宋_GB2312"/>
          <w:color w:val="auto"/>
          <w:highlight w:val="none"/>
        </w:rPr>
        <w:t>专业下浮率是指各专业针对不同的定额或相关收费标准而产生对应的下浮率，具体分以下几种情况：</w:t>
      </w:r>
    </w:p>
    <w:p>
      <w:pPr>
        <w:pStyle w:val="21"/>
        <w:keepNext w:val="0"/>
        <w:keepLines w:val="0"/>
        <w:pageBreakBefore w:val="0"/>
        <w:widowControl w:val="0"/>
        <w:numPr>
          <w:ilvl w:val="0"/>
          <w:numId w:val="8"/>
        </w:numPr>
        <w:kinsoku/>
        <w:wordWrap/>
        <w:overflowPunct/>
        <w:topLinePunct w:val="0"/>
        <w:autoSpaceDE/>
        <w:autoSpaceDN/>
        <w:bidi w:val="0"/>
        <w:adjustRightInd/>
        <w:snapToGrid/>
        <w:ind w:left="850" w:leftChars="0" w:firstLine="0" w:firstLineChars="0"/>
        <w:jc w:val="both"/>
        <w:textAlignment w:val="auto"/>
        <w:rPr>
          <w:color w:val="auto"/>
          <w:highlight w:val="none"/>
        </w:rPr>
      </w:pPr>
      <w:r>
        <w:rPr>
          <w:rFonts w:hint="eastAsia"/>
          <w:color w:val="auto"/>
          <w:highlight w:val="none"/>
        </w:rPr>
        <w:t>采用省、市行政主管部门及造价管理机构颁布综合定额进行计价的，建筑、装修、安装专业的专业下浮率为3%，市政、园林绿化专业的专业下浮率为5%；</w:t>
      </w:r>
    </w:p>
    <w:p>
      <w:pPr>
        <w:pStyle w:val="21"/>
        <w:keepNext w:val="0"/>
        <w:keepLines w:val="0"/>
        <w:pageBreakBefore w:val="0"/>
        <w:widowControl w:val="0"/>
        <w:numPr>
          <w:ilvl w:val="0"/>
          <w:numId w:val="8"/>
        </w:numPr>
        <w:kinsoku/>
        <w:wordWrap/>
        <w:overflowPunct/>
        <w:topLinePunct w:val="0"/>
        <w:autoSpaceDE/>
        <w:autoSpaceDN/>
        <w:bidi w:val="0"/>
        <w:adjustRightInd/>
        <w:snapToGrid/>
        <w:ind w:left="850" w:leftChars="0" w:firstLine="0" w:firstLineChars="0"/>
        <w:jc w:val="both"/>
        <w:textAlignment w:val="auto"/>
        <w:rPr>
          <w:color w:val="auto"/>
          <w:highlight w:val="none"/>
        </w:rPr>
      </w:pPr>
      <w:r>
        <w:rPr>
          <w:rFonts w:hint="eastAsia" w:hAnsi="宋体"/>
          <w:color w:val="auto"/>
          <w:highlight w:val="none"/>
          <w:u w:val="none"/>
          <w:lang w:val="en-US" w:eastAsia="zh-CN"/>
        </w:rPr>
        <w:t>采用国家、省、市行政主管部门颁布的相关收费标准进行计价的专业下浮率不低于10%，其中采用《工程勘察设计收费标准》（计价格【2002】10号）的专业下浮率为</w:t>
      </w:r>
      <w:r>
        <w:rPr>
          <w:rFonts w:hint="eastAsia" w:hAnsi="宋体"/>
          <w:color w:val="auto"/>
          <w:highlight w:val="none"/>
          <w:u w:val="single"/>
          <w:lang w:val="en-US" w:eastAsia="zh-CN"/>
        </w:rPr>
        <w:t xml:space="preserve">   </w:t>
      </w:r>
      <w:r>
        <w:rPr>
          <w:rFonts w:hint="eastAsia"/>
          <w:color w:val="auto"/>
          <w:highlight w:val="none"/>
          <w:lang w:eastAsia="zh-CN"/>
        </w:rPr>
        <w:t>%</w:t>
      </w:r>
      <w:r>
        <w:rPr>
          <w:rFonts w:hint="eastAsia" w:hAnsi="宋体"/>
          <w:color w:val="auto"/>
          <w:highlight w:val="none"/>
          <w:lang w:eastAsia="zh-CN"/>
        </w:rPr>
        <w:t>（</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color w:val="auto"/>
          <w:highlight w:val="none"/>
          <w:lang w:eastAsia="zh-CN"/>
        </w:rPr>
        <w:t>）；</w:t>
      </w:r>
    </w:p>
    <w:p>
      <w:pPr>
        <w:pStyle w:val="21"/>
        <w:jc w:val="both"/>
        <w:rPr>
          <w:color w:val="auto"/>
          <w:highlight w:val="none"/>
        </w:rPr>
      </w:pPr>
      <w:r>
        <w:rPr>
          <w:rFonts w:hint="eastAsia" w:cs="仿宋_GB2312"/>
          <w:color w:val="auto"/>
          <w:highlight w:val="none"/>
        </w:rPr>
        <w:t>市场调节下浮率是指采用行业协会</w:t>
      </w:r>
      <w:r>
        <w:rPr>
          <w:rFonts w:hint="eastAsia" w:cs="仿宋_GB2312"/>
          <w:color w:val="auto"/>
          <w:highlight w:val="none"/>
          <w:lang w:val="en-US" w:eastAsia="zh-CN"/>
        </w:rPr>
        <w:t>颁布</w:t>
      </w:r>
      <w:r>
        <w:rPr>
          <w:rFonts w:hint="eastAsia"/>
          <w:color w:val="auto"/>
          <w:highlight w:val="none"/>
        </w:rPr>
        <w:t>的相关收费标准、</w:t>
      </w:r>
      <w:r>
        <w:rPr>
          <w:rFonts w:hint="eastAsia" w:cs="仿宋_GB2312"/>
          <w:color w:val="auto"/>
          <w:highlight w:val="none"/>
        </w:rPr>
        <w:t>定额进行计价的，还要结合市场进行下浮调节，其市场下浮调节率不低于5%，</w:t>
      </w:r>
      <w:r>
        <w:rPr>
          <w:rFonts w:hint="eastAsia" w:cs="仿宋_GB2312"/>
          <w:b w:val="0"/>
          <w:bCs w:val="0"/>
          <w:color w:val="auto"/>
          <w:highlight w:val="none"/>
          <w:lang w:val="en-US" w:eastAsia="zh-CN"/>
        </w:rPr>
        <w:t>采用国家、省、市行政主管部门颁布的相关</w:t>
      </w:r>
      <w:r>
        <w:rPr>
          <w:rFonts w:hint="eastAsia" w:cs="仿宋_GB2312"/>
          <w:color w:val="auto"/>
          <w:highlight w:val="none"/>
          <w:lang w:val="en-US" w:eastAsia="zh-CN"/>
        </w:rPr>
        <w:t>收费标准不用计算</w:t>
      </w:r>
      <w:r>
        <w:rPr>
          <w:rFonts w:hint="eastAsia" w:cs="仿宋_GB2312"/>
          <w:color w:val="auto"/>
          <w:highlight w:val="none"/>
        </w:rPr>
        <w:t>市场调节下浮率</w:t>
      </w:r>
      <w:r>
        <w:rPr>
          <w:rFonts w:hint="eastAsia" w:cs="仿宋_GB2312"/>
          <w:color w:val="auto"/>
          <w:highlight w:val="none"/>
          <w:lang w:val="en-US" w:eastAsia="zh-CN"/>
        </w:rPr>
        <w:t>，即采用国家发展计划委员会、建设部2002年颁布的《勘察设计费收费标准》</w:t>
      </w:r>
      <w:r>
        <w:rPr>
          <w:rFonts w:hint="eastAsia" w:cs="仿宋_GB2312"/>
          <w:color w:val="auto"/>
          <w:highlight w:val="none"/>
        </w:rPr>
        <w:t>的市场调节下浮率为</w:t>
      </w:r>
      <w:r>
        <w:rPr>
          <w:rFonts w:hint="eastAsia" w:cs="仿宋_GB2312"/>
          <w:color w:val="auto"/>
          <w:highlight w:val="none"/>
          <w:lang w:val="en-US" w:eastAsia="zh-CN"/>
        </w:rPr>
        <w:t>0</w:t>
      </w:r>
      <w:r>
        <w:rPr>
          <w:rFonts w:hint="eastAsia" w:cs="仿宋_GB2312"/>
          <w:color w:val="auto"/>
          <w:highlight w:val="none"/>
        </w:rPr>
        <w:t>%</w:t>
      </w:r>
      <w:r>
        <w:rPr>
          <w:rFonts w:hint="eastAsia" w:cs="仿宋_GB2312"/>
          <w:color w:val="auto"/>
          <w:highlight w:val="none"/>
          <w:lang w:eastAsia="zh-CN"/>
        </w:rPr>
        <w:t>，</w:t>
      </w:r>
      <w:r>
        <w:rPr>
          <w:rFonts w:hint="eastAsia" w:cs="仿宋_GB2312"/>
          <w:color w:val="auto"/>
          <w:highlight w:val="none"/>
        </w:rPr>
        <w:t>采用广东省非开挖技术协会发布的《广东省排水管道非开挖修复更新工程预算定额（2019）》的市场调节下浮率为15%，该市场调节下浮率不适用于《广东省排水管道非开挖修复更新工程预算定额（2019）》的补充定额，如《排水管渠水下机器人清淤定额（2022）》、《排水管渠空气潜水作业台班单价（2022）》等，以上补充定额及行业协会颁布</w:t>
      </w:r>
      <w:r>
        <w:rPr>
          <w:rFonts w:hint="eastAsia"/>
          <w:color w:val="auto"/>
          <w:highlight w:val="none"/>
        </w:rPr>
        <w:t>的相关收费标准、</w:t>
      </w:r>
      <w:r>
        <w:rPr>
          <w:rFonts w:hint="eastAsia" w:cs="仿宋_GB2312"/>
          <w:color w:val="auto"/>
          <w:highlight w:val="none"/>
        </w:rPr>
        <w:t>其他定额的市场调节下浮率由发包人根据市场具体情况确定。</w:t>
      </w:r>
    </w:p>
    <w:p>
      <w:pPr>
        <w:pStyle w:val="21"/>
        <w:jc w:val="both"/>
        <w:rPr>
          <w:color w:val="auto"/>
          <w:highlight w:val="none"/>
        </w:rPr>
      </w:pPr>
      <w:r>
        <w:rPr>
          <w:rFonts w:hint="eastAsia"/>
          <w:color w:val="auto"/>
          <w:highlight w:val="none"/>
        </w:rPr>
        <w:t>中选下浮率=（发包限价总价-中选报价总价）÷发包限价总价×100%</w:t>
      </w:r>
      <w:r>
        <w:rPr>
          <w:rFonts w:hint="eastAsia"/>
          <w:color w:val="auto"/>
          <w:highlight w:val="none"/>
          <w:lang w:eastAsia="zh-CN"/>
        </w:rPr>
        <w:t>。</w:t>
      </w:r>
    </w:p>
    <w:p>
      <w:pPr>
        <w:pStyle w:val="21"/>
        <w:numPr>
          <w:ilvl w:val="2"/>
          <w:numId w:val="6"/>
        </w:numPr>
        <w:ind w:left="851" w:hanging="851"/>
        <w:jc w:val="both"/>
        <w:rPr>
          <w:color w:val="auto"/>
          <w:highlight w:val="none"/>
        </w:rPr>
      </w:pPr>
      <w:r>
        <w:rPr>
          <w:rFonts w:hint="eastAsia"/>
          <w:color w:val="auto"/>
          <w:highlight w:val="none"/>
        </w:rPr>
        <w:t>本项目优先采用国家、省、市行政主管部门及造价管理机构颁布的收费标准、综合定额及相关计价文件，行业协会颁布的收费标准、定额与行政主管部门、造价管理机构颁布的收费标准、定额有重复的，计价时以行政主管部门及造价管理机构颁布的收费标准、定额为准。其中，相关收费标准原则上采用《工程勘察设计收费标准》（计价格[2002]10号），市政专业原则上套用国家、省、市行政主管部门及造价管理机构颁布《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其他定额和收费标准须经过发包人同意后方可使用。当国家、省、市行政主管部门及造价管理机构颁布的收费标准、定额有更新时，以最新颁布的定额为准，其他部门及协会颁布的定额有更新时须经过甲方同意后方可使用。</w:t>
      </w:r>
    </w:p>
    <w:p>
      <w:pPr>
        <w:pStyle w:val="21"/>
        <w:numPr>
          <w:ilvl w:val="2"/>
          <w:numId w:val="6"/>
        </w:numPr>
        <w:ind w:left="851" w:hanging="851"/>
        <w:jc w:val="both"/>
        <w:rPr>
          <w:color w:val="auto"/>
          <w:highlight w:val="none"/>
        </w:rPr>
      </w:pPr>
      <w:r>
        <w:rPr>
          <w:rFonts w:hint="eastAsia"/>
          <w:color w:val="auto"/>
          <w:highlight w:val="none"/>
        </w:rPr>
        <w:t>全费用单价包括分部分项工程费、措施项目费、其他项目费、规费和税金等完成清单工作内容所需的全部费用，包含所有施工设备费、设施费、劳务费、材料费、管理费、利润、税金、措施项目费、风险费用、相关政府部门收取的一切规费、发电设备燃料采购及运输费、附属工作费用及合同明示暗示的所有一般风险、责任和业务等一切费用。</w:t>
      </w:r>
    </w:p>
    <w:p>
      <w:pPr>
        <w:pStyle w:val="21"/>
        <w:numPr>
          <w:ilvl w:val="2"/>
          <w:numId w:val="6"/>
        </w:numPr>
        <w:ind w:left="851" w:hanging="851"/>
        <w:jc w:val="both"/>
        <w:rPr>
          <w:color w:val="auto"/>
          <w:highlight w:val="none"/>
        </w:rPr>
      </w:pPr>
      <w:r>
        <w:rPr>
          <w:rFonts w:hint="eastAsia"/>
          <w:color w:val="auto"/>
          <w:highlight w:val="none"/>
        </w:rPr>
        <w:t>本项目结算造价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21"/>
        <w:numPr>
          <w:ilvl w:val="2"/>
          <w:numId w:val="6"/>
        </w:numPr>
        <w:ind w:left="851" w:hanging="851"/>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20"/>
        <w:numPr>
          <w:ilvl w:val="1"/>
          <w:numId w:val="6"/>
        </w:numPr>
        <w:ind w:left="454" w:hanging="454"/>
        <w:jc w:val="both"/>
        <w:rPr>
          <w:color w:val="auto"/>
          <w:highlight w:val="none"/>
        </w:rPr>
      </w:pPr>
      <w:r>
        <w:rPr>
          <w:rFonts w:hint="eastAsia"/>
          <w:b/>
          <w:color w:val="auto"/>
          <w:highlight w:val="none"/>
        </w:rPr>
        <w:t>采用</w:t>
      </w:r>
      <w:r>
        <w:rPr>
          <w:rFonts w:hint="eastAsia"/>
          <w:b/>
          <w:bCs/>
          <w:color w:val="auto"/>
          <w:spacing w:val="-6"/>
          <w:highlight w:val="none"/>
        </w:rPr>
        <w:t>按中选</w:t>
      </w:r>
      <w:r>
        <w:rPr>
          <w:rFonts w:hint="eastAsia"/>
          <w:b/>
          <w:bCs/>
          <w:color w:val="auto"/>
          <w:spacing w:val="-6"/>
          <w:highlight w:val="none"/>
          <w:lang w:eastAsia="zh-CN"/>
        </w:rPr>
        <w:t>（投标）</w:t>
      </w:r>
      <w:r>
        <w:rPr>
          <w:rFonts w:hint="eastAsia"/>
          <w:b/>
          <w:bCs/>
          <w:color w:val="auto"/>
          <w:spacing w:val="-6"/>
          <w:highlight w:val="none"/>
        </w:rPr>
        <w:t>下浮率结算</w:t>
      </w:r>
      <w:r>
        <w:rPr>
          <w:rFonts w:hint="eastAsia"/>
          <w:b/>
          <w:color w:val="auto"/>
          <w:highlight w:val="none"/>
        </w:rPr>
        <w:t>的项目</w:t>
      </w:r>
      <w:r>
        <w:rPr>
          <w:rFonts w:hint="eastAsia"/>
          <w:b/>
          <w:bCs/>
          <w:color w:val="auto"/>
          <w:spacing w:val="-6"/>
          <w:highlight w:val="none"/>
        </w:rPr>
        <w:t>，</w:t>
      </w:r>
      <w:r>
        <w:rPr>
          <w:rFonts w:hint="eastAsia"/>
          <w:b/>
          <w:color w:val="auto"/>
          <w:highlight w:val="none"/>
        </w:rPr>
        <w:t>适用第9.3.1款至第9.3.</w:t>
      </w:r>
      <w:r>
        <w:rPr>
          <w:rFonts w:hint="eastAsia"/>
          <w:b/>
          <w:color w:val="auto"/>
          <w:highlight w:val="none"/>
          <w:lang w:val="en-US" w:eastAsia="zh-CN"/>
        </w:rPr>
        <w:t>10</w:t>
      </w:r>
      <w:r>
        <w:rPr>
          <w:rFonts w:hint="eastAsia"/>
          <w:b/>
          <w:color w:val="auto"/>
          <w:highlight w:val="none"/>
        </w:rPr>
        <w:t>款的结算方式</w:t>
      </w:r>
      <w:r>
        <w:rPr>
          <w:rFonts w:hint="eastAsia"/>
          <w:b/>
          <w:bCs/>
          <w:color w:val="auto"/>
          <w:spacing w:val="-6"/>
          <w:highlight w:val="none"/>
        </w:rPr>
        <w:t>。</w:t>
      </w:r>
      <w:bookmarkEnd w:id="9"/>
      <w:bookmarkEnd w:id="10"/>
    </w:p>
    <w:p>
      <w:pPr>
        <w:pStyle w:val="21"/>
        <w:numPr>
          <w:ilvl w:val="2"/>
          <w:numId w:val="6"/>
        </w:numPr>
        <w:ind w:left="851" w:hanging="851"/>
        <w:jc w:val="both"/>
        <w:rPr>
          <w:color w:val="auto"/>
          <w:highlight w:val="none"/>
        </w:rPr>
      </w:pPr>
      <w:r>
        <w:rPr>
          <w:rFonts w:hint="eastAsia"/>
          <w:color w:val="auto"/>
          <w:highlight w:val="none"/>
        </w:rPr>
        <w:t>本项目采用按中选下浮率结算的模式，结算时乙方需提供经甲方确认的勘察测量成果报告、签证及其他现场资料，以上资料可根据项目实际情况及甲方的要求按需提供。</w:t>
      </w:r>
    </w:p>
    <w:p>
      <w:pPr>
        <w:pStyle w:val="21"/>
        <w:numPr>
          <w:ilvl w:val="2"/>
          <w:numId w:val="6"/>
        </w:numPr>
        <w:ind w:left="851" w:hanging="851"/>
        <w:jc w:val="both"/>
        <w:rPr>
          <w:color w:val="auto"/>
          <w:highlight w:val="none"/>
        </w:rPr>
      </w:pPr>
      <w:r>
        <w:rPr>
          <w:rFonts w:hint="eastAsia"/>
          <w:color w:val="auto"/>
          <w:highlight w:val="none"/>
        </w:rPr>
        <w:t>勘察测量工作完成后，工程通过竣工验收方可办理结算，结算价按实物工作量×全费用结算单价×（1-专业下浮率）×（1-市场调节下浮率）×（1-中选下浮率）确定（专业下浮率</w:t>
      </w:r>
      <w:r>
        <w:rPr>
          <w:rFonts w:hint="eastAsia"/>
          <w:color w:val="auto"/>
          <w:highlight w:val="none"/>
          <w:lang w:eastAsia="zh-CN"/>
        </w:rPr>
        <w:t>、</w:t>
      </w:r>
      <w:r>
        <w:rPr>
          <w:rFonts w:hint="eastAsia"/>
          <w:color w:val="auto"/>
          <w:highlight w:val="none"/>
        </w:rPr>
        <w:t>市场调节下浮率及中选下浮率详见9.3.4</w:t>
      </w:r>
      <w:r>
        <w:rPr>
          <w:rFonts w:hint="eastAsia"/>
          <w:color w:val="auto"/>
          <w:highlight w:val="none"/>
          <w:lang w:val="en-US" w:eastAsia="zh-CN"/>
        </w:rPr>
        <w:t>-9.3.6</w:t>
      </w:r>
      <w:r>
        <w:rPr>
          <w:rFonts w:hint="eastAsia"/>
          <w:color w:val="auto"/>
          <w:highlight w:val="none"/>
        </w:rPr>
        <w:t>）。</w:t>
      </w:r>
    </w:p>
    <w:p>
      <w:pPr>
        <w:pStyle w:val="21"/>
        <w:numPr>
          <w:ilvl w:val="2"/>
          <w:numId w:val="6"/>
        </w:numPr>
        <w:ind w:left="851" w:hanging="851"/>
        <w:jc w:val="both"/>
        <w:rPr>
          <w:color w:val="auto"/>
          <w:highlight w:val="none"/>
        </w:rPr>
      </w:pPr>
      <w:r>
        <w:rPr>
          <w:rFonts w:hint="eastAsia"/>
          <w:color w:val="auto"/>
          <w:highlight w:val="none"/>
        </w:rPr>
        <w:t>全费用结算单价执行同期（服务期）国家、省、市行政主管部门及造价管理机构颁布的相关收费标准、综合定额及相关计价文件编制×（1-专业下浮率）×（1-市场调节下浮率）×（1-中选下浮率）确定（专业下浮率</w:t>
      </w:r>
      <w:r>
        <w:rPr>
          <w:rFonts w:hint="eastAsia"/>
          <w:color w:val="auto"/>
          <w:highlight w:val="none"/>
          <w:lang w:eastAsia="zh-CN"/>
        </w:rPr>
        <w:t>、</w:t>
      </w:r>
      <w:r>
        <w:rPr>
          <w:rFonts w:hint="eastAsia"/>
          <w:color w:val="auto"/>
          <w:highlight w:val="none"/>
        </w:rPr>
        <w:t>市场调节下浮率及中选下浮率详见9.3.4</w:t>
      </w:r>
      <w:r>
        <w:rPr>
          <w:rFonts w:hint="eastAsia"/>
          <w:color w:val="auto"/>
          <w:highlight w:val="none"/>
          <w:lang w:val="en-US" w:eastAsia="zh-CN"/>
        </w:rPr>
        <w:t>-9.3.6</w:t>
      </w:r>
      <w:r>
        <w:rPr>
          <w:rFonts w:hint="eastAsia"/>
          <w:color w:val="auto"/>
          <w:highlight w:val="none"/>
        </w:rPr>
        <w:t>），相关收费标准包括但不限于《工程勘察设计收费标准》（计价格[2002]10号），综合定额包括但不限于《广东省市政工程综合定额（2018年）》、《广州市市政工程补充综合定额(2019)》、《广东省房屋建筑和市政修缮工程综合定额（2012）》（其中市政修缮部分采用《广东省市政工程综合定额（2018）》第8册“市政设施养护维修工程”）、《广东省排水管道非开挖修复更新工程预算定额（2019）》，新增项目的人工、材料、机械价格按广州市造价管理站同期（服务期）《广州地区建设工程常用材料税前综合价格》予以调整，服务期是指实际工期，如工期跨月则参考价格最低的月份进行计算，《广州地区建设工程常用材料税前综合价格》没有的材料单价，则参考同期（服务期）该材料的市场价格，最终以甲方核准后确定。</w:t>
      </w:r>
    </w:p>
    <w:p>
      <w:pPr>
        <w:pStyle w:val="21"/>
        <w:jc w:val="both"/>
        <w:rPr>
          <w:rFonts w:hint="eastAsia" w:cs="仿宋_GB2312"/>
          <w:color w:val="auto"/>
          <w:highlight w:val="none"/>
        </w:rPr>
      </w:pPr>
      <w:r>
        <w:rPr>
          <w:rFonts w:hint="eastAsia" w:cs="仿宋_GB2312"/>
          <w:color w:val="auto"/>
          <w:highlight w:val="none"/>
        </w:rPr>
        <w:t>专业下浮率是指各专业针对不同的定额或相关收费标准而产生对应的下浮率，具体分以下几种情况：</w:t>
      </w:r>
    </w:p>
    <w:p>
      <w:pPr>
        <w:pStyle w:val="21"/>
        <w:keepNext w:val="0"/>
        <w:keepLines w:val="0"/>
        <w:pageBreakBefore w:val="0"/>
        <w:widowControl w:val="0"/>
        <w:numPr>
          <w:ilvl w:val="0"/>
          <w:numId w:val="9"/>
        </w:numPr>
        <w:kinsoku/>
        <w:wordWrap/>
        <w:overflowPunct/>
        <w:topLinePunct w:val="0"/>
        <w:autoSpaceDE/>
        <w:autoSpaceDN/>
        <w:bidi w:val="0"/>
        <w:adjustRightInd/>
        <w:snapToGrid/>
        <w:ind w:left="850" w:leftChars="0" w:firstLine="0" w:firstLineChars="0"/>
        <w:jc w:val="both"/>
        <w:textAlignment w:val="auto"/>
        <w:rPr>
          <w:color w:val="auto"/>
          <w:highlight w:val="none"/>
        </w:rPr>
      </w:pPr>
      <w:r>
        <w:rPr>
          <w:rFonts w:hint="eastAsia"/>
          <w:color w:val="auto"/>
          <w:highlight w:val="none"/>
        </w:rPr>
        <w:t>采用省、市行政主管部门及造价管理机构颁布综合定额进行计价的，建筑、装修、安装专业的专业下浮率为3%，市政、园林绿化专业的专业下浮率为5%；</w:t>
      </w:r>
    </w:p>
    <w:p>
      <w:pPr>
        <w:pStyle w:val="21"/>
        <w:keepNext w:val="0"/>
        <w:keepLines w:val="0"/>
        <w:pageBreakBefore w:val="0"/>
        <w:widowControl w:val="0"/>
        <w:numPr>
          <w:ilvl w:val="0"/>
          <w:numId w:val="9"/>
        </w:numPr>
        <w:kinsoku/>
        <w:wordWrap/>
        <w:overflowPunct/>
        <w:topLinePunct w:val="0"/>
        <w:autoSpaceDE/>
        <w:autoSpaceDN/>
        <w:bidi w:val="0"/>
        <w:adjustRightInd/>
        <w:snapToGrid/>
        <w:ind w:left="850" w:leftChars="0" w:firstLine="0" w:firstLineChars="0"/>
        <w:jc w:val="both"/>
        <w:textAlignment w:val="auto"/>
        <w:rPr>
          <w:color w:val="auto"/>
          <w:highlight w:val="none"/>
        </w:rPr>
      </w:pPr>
      <w:r>
        <w:rPr>
          <w:rFonts w:hint="eastAsia" w:hAnsi="宋体"/>
          <w:color w:val="auto"/>
          <w:highlight w:val="none"/>
          <w:u w:val="none"/>
          <w:lang w:val="en-US" w:eastAsia="zh-CN"/>
        </w:rPr>
        <w:t>采用国家、省、市行政主管部门颁布的相关收费标准进行计价的专业下浮率不低于10%，其中采用《工程勘察设计收费标准》（计价格【2002】10号）的专业下浮率为</w:t>
      </w:r>
      <w:r>
        <w:rPr>
          <w:rFonts w:hint="eastAsia" w:hAnsi="宋体"/>
          <w:color w:val="auto"/>
          <w:highlight w:val="none"/>
          <w:u w:val="single"/>
          <w:lang w:val="en-US" w:eastAsia="zh-CN"/>
        </w:rPr>
        <w:t>10</w:t>
      </w:r>
      <w:bookmarkStart w:id="19" w:name="_GoBack"/>
      <w:bookmarkEnd w:id="19"/>
      <w:r>
        <w:rPr>
          <w:rFonts w:hint="eastAsia"/>
          <w:color w:val="auto"/>
          <w:highlight w:val="none"/>
          <w:lang w:eastAsia="zh-CN"/>
        </w:rPr>
        <w:t>%</w:t>
      </w:r>
      <w:r>
        <w:rPr>
          <w:rFonts w:hint="eastAsia" w:hAnsi="宋体"/>
          <w:color w:val="auto"/>
          <w:highlight w:val="none"/>
          <w:lang w:eastAsia="zh-CN"/>
        </w:rPr>
        <w:t>（</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color w:val="auto"/>
          <w:highlight w:val="none"/>
          <w:lang w:eastAsia="zh-CN"/>
        </w:rPr>
        <w:t>）；</w:t>
      </w:r>
    </w:p>
    <w:p>
      <w:pPr>
        <w:pStyle w:val="21"/>
        <w:jc w:val="both"/>
        <w:rPr>
          <w:color w:val="auto"/>
          <w:highlight w:val="none"/>
        </w:rPr>
      </w:pPr>
      <w:r>
        <w:rPr>
          <w:rFonts w:hint="eastAsia" w:cs="仿宋_GB2312"/>
          <w:color w:val="auto"/>
          <w:highlight w:val="none"/>
        </w:rPr>
        <w:t>市场调节下浮率是指采用行业协会</w:t>
      </w:r>
      <w:r>
        <w:rPr>
          <w:rFonts w:hint="eastAsia" w:cs="仿宋_GB2312"/>
          <w:color w:val="auto"/>
          <w:highlight w:val="none"/>
          <w:lang w:val="en-US" w:eastAsia="zh-CN"/>
        </w:rPr>
        <w:t>颁布</w:t>
      </w:r>
      <w:r>
        <w:rPr>
          <w:rFonts w:hint="eastAsia"/>
          <w:color w:val="auto"/>
          <w:highlight w:val="none"/>
        </w:rPr>
        <w:t>的相关收费标准、</w:t>
      </w:r>
      <w:r>
        <w:rPr>
          <w:rFonts w:hint="eastAsia" w:cs="仿宋_GB2312"/>
          <w:color w:val="auto"/>
          <w:highlight w:val="none"/>
        </w:rPr>
        <w:t>定额进行计价的，还要结合市场进行下浮调节，其市场下浮调节率不低于5%，</w:t>
      </w:r>
      <w:r>
        <w:rPr>
          <w:rFonts w:hint="eastAsia" w:cs="仿宋_GB2312"/>
          <w:b w:val="0"/>
          <w:bCs w:val="0"/>
          <w:color w:val="auto"/>
          <w:highlight w:val="none"/>
          <w:lang w:val="en-US" w:eastAsia="zh-CN"/>
        </w:rPr>
        <w:t>采用国家、省、市行政主管部门颁布的相关</w:t>
      </w:r>
      <w:r>
        <w:rPr>
          <w:rFonts w:hint="eastAsia" w:cs="仿宋_GB2312"/>
          <w:color w:val="auto"/>
          <w:highlight w:val="none"/>
          <w:lang w:val="en-US" w:eastAsia="zh-CN"/>
        </w:rPr>
        <w:t>收费标准不用计算</w:t>
      </w:r>
      <w:r>
        <w:rPr>
          <w:rFonts w:hint="eastAsia" w:cs="仿宋_GB2312"/>
          <w:color w:val="auto"/>
          <w:highlight w:val="none"/>
        </w:rPr>
        <w:t>市场调节下浮率</w:t>
      </w:r>
      <w:r>
        <w:rPr>
          <w:rFonts w:hint="eastAsia" w:cs="仿宋_GB2312"/>
          <w:color w:val="auto"/>
          <w:highlight w:val="none"/>
          <w:lang w:val="en-US" w:eastAsia="zh-CN"/>
        </w:rPr>
        <w:t>，即采用国家发展计划委员会、建设部2002年颁布的《勘察设计费收费标准》</w:t>
      </w:r>
      <w:r>
        <w:rPr>
          <w:rFonts w:hint="eastAsia" w:cs="仿宋_GB2312"/>
          <w:color w:val="auto"/>
          <w:highlight w:val="none"/>
        </w:rPr>
        <w:t>的市场调节下浮率为</w:t>
      </w:r>
      <w:r>
        <w:rPr>
          <w:rFonts w:hint="eastAsia" w:cs="仿宋_GB2312"/>
          <w:color w:val="auto"/>
          <w:highlight w:val="none"/>
          <w:lang w:val="en-US" w:eastAsia="zh-CN"/>
        </w:rPr>
        <w:t>0</w:t>
      </w:r>
      <w:r>
        <w:rPr>
          <w:rFonts w:hint="eastAsia" w:cs="仿宋_GB2312"/>
          <w:color w:val="auto"/>
          <w:highlight w:val="none"/>
        </w:rPr>
        <w:t>%</w:t>
      </w:r>
      <w:r>
        <w:rPr>
          <w:rFonts w:hint="eastAsia" w:cs="仿宋_GB2312"/>
          <w:color w:val="auto"/>
          <w:highlight w:val="none"/>
          <w:lang w:eastAsia="zh-CN"/>
        </w:rPr>
        <w:t>，</w:t>
      </w:r>
      <w:r>
        <w:rPr>
          <w:rFonts w:hint="eastAsia" w:cs="仿宋_GB2312"/>
          <w:color w:val="auto"/>
          <w:highlight w:val="none"/>
        </w:rPr>
        <w:t>采用广东省非开挖技术协会发布的《广东省排水管道非开挖修复更新工程预算定额（2019）》的市场调节下浮率为15%，该市场调节下浮率不适用于《广东省排水管道非开挖修复更新工程预算定额（2019）》的补充定额，如《排水管渠水下机器人清淤定额（2022）》、《排水管渠空气潜水作业台班单价（2022）》等，以上补充定额及行业协会颁布</w:t>
      </w:r>
      <w:r>
        <w:rPr>
          <w:rFonts w:hint="eastAsia"/>
          <w:color w:val="auto"/>
          <w:highlight w:val="none"/>
        </w:rPr>
        <w:t>的相关收费标准、</w:t>
      </w:r>
      <w:r>
        <w:rPr>
          <w:rFonts w:hint="eastAsia" w:cs="仿宋_GB2312"/>
          <w:color w:val="auto"/>
          <w:highlight w:val="none"/>
        </w:rPr>
        <w:t>其他定额的市场调节下浮率由发包人根据市场具体情况确定。</w:t>
      </w:r>
    </w:p>
    <w:p>
      <w:pPr>
        <w:pStyle w:val="21"/>
        <w:jc w:val="both"/>
        <w:rPr>
          <w:color w:val="auto"/>
          <w:highlight w:val="none"/>
        </w:rPr>
      </w:pPr>
      <w:r>
        <w:rPr>
          <w:rFonts w:hint="eastAsia"/>
          <w:color w:val="auto"/>
          <w:highlight w:val="none"/>
        </w:rPr>
        <w:t>中选下浮率=（发包限价总价-中选报价总价）÷发包限价总价×100%</w:t>
      </w:r>
      <w:r>
        <w:rPr>
          <w:rFonts w:hint="eastAsia"/>
          <w:color w:val="auto"/>
          <w:highlight w:val="none"/>
          <w:lang w:eastAsia="zh-CN"/>
        </w:rPr>
        <w:t>。</w:t>
      </w:r>
    </w:p>
    <w:p>
      <w:pPr>
        <w:pStyle w:val="21"/>
        <w:numPr>
          <w:ilvl w:val="2"/>
          <w:numId w:val="6"/>
        </w:numPr>
        <w:ind w:left="851" w:hanging="851"/>
        <w:jc w:val="both"/>
        <w:rPr>
          <w:color w:val="auto"/>
          <w:highlight w:val="none"/>
        </w:rPr>
      </w:pPr>
      <w:r>
        <w:rPr>
          <w:rFonts w:hint="eastAsia"/>
          <w:color w:val="auto"/>
          <w:highlight w:val="none"/>
        </w:rPr>
        <w:t>本项目优先采用国家、省、市行政主管部门及造价管理机构颁布的收费标准、综合定额及相关计价文件，行业协会颁布的收费标准、定额与行政主管部门、造价管理机构颁布的收费标准、定额有重复的，计价时以行政主管部门及造价管理机构颁布的收费标准、定额为准。其中，相关收费标准原则上采用《工程勘察设计收费标准》（计价格[2002]10号），市政专业原则上套用国家、省、市行政主管部门及造价管理机构颁布《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其他定额和收费标准须经过发包人同意后方可使用。当国家、省、市行政主管部门及造价管理机构颁布的收费标准、定额有更新时，以最新颁布的定额为准，其他部门及协会颁布的定额有更新时须经过甲方同意后方可使用。</w:t>
      </w:r>
    </w:p>
    <w:p>
      <w:pPr>
        <w:pStyle w:val="21"/>
        <w:numPr>
          <w:ilvl w:val="2"/>
          <w:numId w:val="6"/>
        </w:numPr>
        <w:ind w:left="851" w:hanging="851"/>
        <w:jc w:val="both"/>
        <w:rPr>
          <w:color w:val="auto"/>
          <w:highlight w:val="none"/>
        </w:rPr>
      </w:pPr>
      <w:r>
        <w:rPr>
          <w:rFonts w:hint="eastAsia"/>
          <w:color w:val="auto"/>
          <w:highlight w:val="none"/>
        </w:rPr>
        <w:t>全费用单价包括分部分项工程费、措施项目费、其他项目费、规费和税金等完成清单工作内容所需的全部费用，包含所有施工设备费、设施费、劳务费、材料费、管理费、利润、税金、措施项目费、风险费用、相关政府部门收取的一切规费、发电设备燃料采购及运输费、附属工作费用及合同明示暗示的所有一般风险、责任和业务等一切费用。</w:t>
      </w:r>
    </w:p>
    <w:p>
      <w:pPr>
        <w:pStyle w:val="21"/>
        <w:numPr>
          <w:ilvl w:val="2"/>
          <w:numId w:val="6"/>
        </w:numPr>
        <w:ind w:left="851" w:hanging="851"/>
        <w:jc w:val="both"/>
        <w:rPr>
          <w:color w:val="auto"/>
          <w:highlight w:val="none"/>
        </w:rPr>
      </w:pPr>
      <w:r>
        <w:rPr>
          <w:rFonts w:hint="eastAsia"/>
          <w:color w:val="auto"/>
          <w:highlight w:val="none"/>
        </w:rPr>
        <w:t>本项目结算造价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21"/>
        <w:numPr>
          <w:ilvl w:val="2"/>
          <w:numId w:val="6"/>
        </w:numPr>
        <w:ind w:left="851" w:hanging="851"/>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20"/>
        <w:rPr>
          <w:color w:val="auto"/>
          <w:highlight w:val="none"/>
        </w:rPr>
      </w:pPr>
      <w:bookmarkStart w:id="11" w:name="_Hlk107507453"/>
      <w:r>
        <w:rPr>
          <w:rFonts w:hint="eastAsia"/>
          <w:color w:val="auto"/>
          <w:highlight w:val="none"/>
        </w:rPr>
        <w:t>其他结算方式：</w:t>
      </w:r>
      <w:r>
        <w:rPr>
          <w:color w:val="auto"/>
          <w:highlight w:val="none"/>
          <w:u w:val="single"/>
        </w:rPr>
        <w:t xml:space="preserve">          </w:t>
      </w:r>
      <w:r>
        <w:rPr>
          <w:rFonts w:hint="eastAsia"/>
          <w:color w:val="auto"/>
          <w:highlight w:val="none"/>
        </w:rPr>
        <w:t>。</w:t>
      </w:r>
      <w:bookmarkStart w:id="12" w:name="_Hlk69494901"/>
      <w:r>
        <w:rPr>
          <w:rFonts w:hint="eastAsia"/>
          <w:color w:val="auto"/>
          <w:highlight w:val="none"/>
        </w:rPr>
        <w:t>（本合同第5</w:t>
      </w:r>
      <w:r>
        <w:rPr>
          <w:color w:val="auto"/>
          <w:highlight w:val="none"/>
        </w:rPr>
        <w:t>.5</w:t>
      </w:r>
      <w:r>
        <w:rPr>
          <w:rFonts w:hint="eastAsia"/>
          <w:color w:val="auto"/>
          <w:highlight w:val="none"/>
        </w:rPr>
        <w:t>款承包方式选择“其他”时适用第</w:t>
      </w:r>
      <w:r>
        <w:rPr>
          <w:color w:val="auto"/>
          <w:highlight w:val="none"/>
        </w:rPr>
        <w:t>9.4</w:t>
      </w:r>
      <w:r>
        <w:rPr>
          <w:rFonts w:hint="eastAsia"/>
          <w:color w:val="auto"/>
          <w:highlight w:val="none"/>
        </w:rPr>
        <w:t>条“其他结算方式”）</w:t>
      </w:r>
      <w:bookmarkEnd w:id="7"/>
      <w:bookmarkEnd w:id="11"/>
      <w:bookmarkEnd w:id="12"/>
    </w:p>
    <w:p>
      <w:pPr>
        <w:pStyle w:val="20"/>
        <w:numPr>
          <w:ilvl w:val="1"/>
          <w:numId w:val="0"/>
        </w:numPr>
        <w:ind w:leftChars="0"/>
        <w:rPr>
          <w:color w:val="auto"/>
          <w:highlight w:val="none"/>
        </w:rPr>
      </w:pPr>
    </w:p>
    <w:p>
      <w:pPr>
        <w:pStyle w:val="16"/>
        <w:rPr>
          <w:color w:val="auto"/>
          <w:highlight w:val="none"/>
        </w:rPr>
      </w:pPr>
      <w:r>
        <w:rPr>
          <w:rFonts w:hint="eastAsia"/>
          <w:color w:val="auto"/>
          <w:highlight w:val="none"/>
        </w:rPr>
        <w:t>双方权利义务</w:t>
      </w:r>
    </w:p>
    <w:p>
      <w:pPr>
        <w:pStyle w:val="20"/>
        <w:rPr>
          <w:color w:val="auto"/>
          <w:highlight w:val="none"/>
        </w:rPr>
      </w:pPr>
      <w:r>
        <w:rPr>
          <w:rFonts w:hint="eastAsia"/>
          <w:color w:val="auto"/>
          <w:highlight w:val="none"/>
        </w:rPr>
        <w:t>甲方权利义务</w:t>
      </w:r>
    </w:p>
    <w:p>
      <w:pPr>
        <w:pStyle w:val="21"/>
        <w:jc w:val="both"/>
        <w:rPr>
          <w:color w:val="auto"/>
          <w:highlight w:val="none"/>
        </w:rPr>
      </w:pPr>
      <w:r>
        <w:rPr>
          <w:rFonts w:hint="eastAsia"/>
          <w:color w:val="auto"/>
          <w:highlight w:val="none"/>
        </w:rPr>
        <w:t>甲方有权对乙方履行合同进行督导，对于乙方不履行合同、不正确履行合同、不完全履行合同等行为，甲方有权要求乙方立即更正，并采取其他补救措施。</w:t>
      </w:r>
    </w:p>
    <w:p>
      <w:pPr>
        <w:pStyle w:val="21"/>
        <w:jc w:val="both"/>
        <w:rPr>
          <w:color w:val="auto"/>
          <w:highlight w:val="none"/>
        </w:rPr>
      </w:pPr>
      <w:r>
        <w:rPr>
          <w:rFonts w:hint="eastAsia"/>
          <w:color w:val="auto"/>
          <w:highlight w:val="none"/>
        </w:rPr>
        <w:t>甲方应协助乙方解决勘察现场的工作条件和出现的问题。</w:t>
      </w:r>
    </w:p>
    <w:p>
      <w:pPr>
        <w:pStyle w:val="21"/>
        <w:jc w:val="both"/>
        <w:rPr>
          <w:color w:val="auto"/>
          <w:highlight w:val="none"/>
        </w:rPr>
      </w:pPr>
      <w:r>
        <w:rPr>
          <w:rFonts w:hint="eastAsia"/>
          <w:color w:val="auto"/>
          <w:highlight w:val="none"/>
        </w:rPr>
        <w:t>勘察过程中的合理变更，经办理正式变更手续后，甲方应按实际发生的工作量支付勘察费。</w:t>
      </w:r>
    </w:p>
    <w:p>
      <w:pPr>
        <w:pStyle w:val="21"/>
        <w:jc w:val="both"/>
        <w:rPr>
          <w:color w:val="auto"/>
          <w:highlight w:val="none"/>
        </w:rPr>
      </w:pPr>
      <w:r>
        <w:rPr>
          <w:rFonts w:hint="eastAsia"/>
          <w:color w:val="auto"/>
          <w:highlight w:val="none"/>
        </w:rPr>
        <w:t>由于甲方原因造成乙方停、窝工，工期顺延。</w:t>
      </w:r>
    </w:p>
    <w:p>
      <w:pPr>
        <w:pStyle w:val="21"/>
        <w:jc w:val="both"/>
        <w:rPr>
          <w:color w:val="auto"/>
          <w:highlight w:val="none"/>
        </w:rPr>
      </w:pPr>
      <w:r>
        <w:rPr>
          <w:rFonts w:hint="eastAsia"/>
          <w:color w:val="auto"/>
          <w:highlight w:val="none"/>
        </w:rPr>
        <w:t>甲方应保护乙方的勘察方案、报告书、文件、资料图纸、数据、特殊工艺（方法）、专利技术和合理化建议，未经乙方同意，甲方不得泄露、不得擅自修改、传送或向第三人转让，否则，甲方应负法律责任，给乙方造成损失的，乙方有权索赔。</w:t>
      </w:r>
    </w:p>
    <w:p>
      <w:pPr>
        <w:pStyle w:val="21"/>
        <w:jc w:val="both"/>
        <w:rPr>
          <w:color w:val="auto"/>
          <w:highlight w:val="none"/>
        </w:rPr>
      </w:pPr>
      <w:r>
        <w:rPr>
          <w:rFonts w:hint="eastAsia"/>
          <w:color w:val="auto"/>
          <w:highlight w:val="none"/>
        </w:rPr>
        <w:tab/>
      </w:r>
      <w:r>
        <w:rPr>
          <w:rFonts w:hint="eastAsia"/>
          <w:color w:val="auto"/>
          <w:highlight w:val="none"/>
        </w:rPr>
        <w:t>在合同履行期间，非乙方原因甲方要求终止或解除合同，乙方未开始勘察工作的，甲方无需支付任何费用；已开始勘察工作的，甲方根据乙方已进行的实际工作量结算。</w:t>
      </w:r>
    </w:p>
    <w:p>
      <w:pPr>
        <w:pStyle w:val="21"/>
        <w:jc w:val="both"/>
        <w:rPr>
          <w:color w:val="auto"/>
          <w:highlight w:val="none"/>
        </w:rPr>
      </w:pPr>
      <w:r>
        <w:rPr>
          <w:rFonts w:hint="eastAsia"/>
          <w:color w:val="auto"/>
          <w:highlight w:val="none"/>
        </w:rPr>
        <w:t>甲方有权要求乙方更换不称职人员，乙方应当在收到甲方的书面通知后5天内更换，更换人员的资历不得低于本合同相应条款对各类乙方人员资历规定的要求，且更换人员须先经过甲方书面确认。</w:t>
      </w:r>
    </w:p>
    <w:p>
      <w:pPr>
        <w:pStyle w:val="20"/>
        <w:jc w:val="both"/>
        <w:rPr>
          <w:color w:val="auto"/>
          <w:highlight w:val="none"/>
        </w:rPr>
      </w:pPr>
      <w:r>
        <w:rPr>
          <w:rFonts w:hint="eastAsia"/>
          <w:color w:val="auto"/>
          <w:highlight w:val="none"/>
        </w:rPr>
        <w:t>乙方权利义务</w:t>
      </w:r>
    </w:p>
    <w:p>
      <w:pPr>
        <w:pStyle w:val="21"/>
        <w:jc w:val="both"/>
        <w:rPr>
          <w:color w:val="auto"/>
          <w:highlight w:val="none"/>
        </w:rPr>
      </w:pPr>
      <w:r>
        <w:rPr>
          <w:rFonts w:hint="eastAsia"/>
          <w:color w:val="auto"/>
          <w:highlight w:val="none"/>
        </w:rPr>
        <w:t>乙方有权要求甲方按照合同的约定支付乙方的勘探费用，并对乙方的勘探工作提供相关便利条件。</w:t>
      </w:r>
    </w:p>
    <w:p>
      <w:pPr>
        <w:pStyle w:val="21"/>
        <w:jc w:val="both"/>
        <w:rPr>
          <w:color w:val="auto"/>
          <w:highlight w:val="none"/>
        </w:rPr>
      </w:pPr>
      <w:r>
        <w:rPr>
          <w:rFonts w:hint="eastAsia"/>
          <w:color w:val="auto"/>
          <w:highlight w:val="none"/>
        </w:rPr>
        <w:t>乙方应按国家技术规范、标准、规程、和甲方的任务委托书及经甲方审定的勘察大纲进行工程勘察，按本合同约定的时间提交质量合格的勘察报告，并对其负责。</w:t>
      </w:r>
    </w:p>
    <w:p>
      <w:pPr>
        <w:pStyle w:val="21"/>
        <w:jc w:val="both"/>
        <w:rPr>
          <w:color w:val="auto"/>
          <w:highlight w:val="none"/>
        </w:rPr>
      </w:pPr>
      <w:r>
        <w:rPr>
          <w:rFonts w:hint="eastAsia"/>
          <w:color w:val="auto"/>
          <w:highlight w:val="none"/>
        </w:rPr>
        <w:t>乙方在勘察作业前，应按国家、省、市等相关规定办理相关行政报批手续，包括但不限于申请《路政管理许可证》及《挖掘占用公路施工证》等手续，所涉费用包含在合同价中，甲方不另行支付费用。</w:t>
      </w:r>
    </w:p>
    <w:p>
      <w:pPr>
        <w:pStyle w:val="21"/>
        <w:jc w:val="both"/>
        <w:rPr>
          <w:color w:val="auto"/>
          <w:highlight w:val="none"/>
        </w:rPr>
      </w:pPr>
      <w:r>
        <w:rPr>
          <w:rFonts w:hint="eastAsia"/>
          <w:color w:val="auto"/>
          <w:highlight w:val="none"/>
        </w:rPr>
        <w:t>勘察过程中，若乙方需要对勘察大纲进行调整，需报甲方审批，经甲方书面同意后才能实施。否则，发生的费用甲方不予支付。</w:t>
      </w:r>
    </w:p>
    <w:p>
      <w:pPr>
        <w:pStyle w:val="21"/>
        <w:jc w:val="both"/>
        <w:rPr>
          <w:color w:val="auto"/>
          <w:highlight w:val="none"/>
        </w:rPr>
      </w:pPr>
      <w:r>
        <w:rPr>
          <w:rFonts w:hint="eastAsia"/>
          <w:color w:val="auto"/>
          <w:highlight w:val="none"/>
        </w:rPr>
        <w:t>乙方应遵守甲方的安全保卫及其它有关的规章制度，承担其有关资料保密义务。</w:t>
      </w:r>
    </w:p>
    <w:p>
      <w:pPr>
        <w:pStyle w:val="21"/>
        <w:jc w:val="both"/>
        <w:rPr>
          <w:color w:val="auto"/>
          <w:highlight w:val="none"/>
        </w:rPr>
      </w:pPr>
      <w:r>
        <w:rPr>
          <w:rFonts w:hint="eastAsia"/>
          <w:color w:val="auto"/>
          <w:highlight w:val="none"/>
        </w:rPr>
        <w:t>乙方主动解决勘察现场的工作条件和出现的问题（如：落实借地、青苗树木赔偿、拆除地上地下障碍物、影响施工正常进行的有关问题和水上作业用船等），相关费用已包含在勘察费中，甲方不再另行支付。</w:t>
      </w:r>
    </w:p>
    <w:p>
      <w:pPr>
        <w:pStyle w:val="21"/>
        <w:jc w:val="both"/>
        <w:rPr>
          <w:color w:val="auto"/>
          <w:highlight w:val="none"/>
        </w:rPr>
      </w:pPr>
      <w:r>
        <w:rPr>
          <w:rFonts w:hint="eastAsia"/>
          <w:color w:val="auto"/>
          <w:highlight w:val="none"/>
        </w:rPr>
        <w:t>由乙方收集勘察工作范围地下已有埋藏物的资料（如电力、电讯电缆、各种管道、人防设施、洞室等）及具体位置分布图，由此发生的费用已包含在合同价内，甲方不再另行支付费用。在勘察工作范围内，没有资料、图纸的地区（段），乙方应负责清查地下埋藏物。因乙方为探明地下埋藏物即进行钻探而发生人身伤害或造成经济损失的，乙方承担相应法律责任，给甲方或第三方造成损失的，由乙方负责赔偿。</w:t>
      </w:r>
    </w:p>
    <w:p>
      <w:pPr>
        <w:pStyle w:val="21"/>
        <w:rPr>
          <w:color w:val="auto"/>
          <w:highlight w:val="none"/>
        </w:rPr>
      </w:pPr>
      <w:r>
        <w:rPr>
          <w:rFonts w:hint="eastAsia"/>
          <w:color w:val="auto"/>
          <w:highlight w:val="none"/>
        </w:rPr>
        <w:t>勘察现场需要看守，特别是在有毒、有害等危险现场作业时，乙方应做好安全保卫工作，并按国家有关规定，对从事危险作业的现场人员进行保健防护。乙方工作人员的人身安全由乙方自行承担责任。</w:t>
      </w:r>
    </w:p>
    <w:p>
      <w:pPr>
        <w:pStyle w:val="21"/>
        <w:rPr>
          <w:color w:val="auto"/>
          <w:highlight w:val="none"/>
        </w:rPr>
      </w:pPr>
      <w:r>
        <w:rPr>
          <w:rFonts w:hint="eastAsia"/>
          <w:color w:val="auto"/>
          <w:highlight w:val="none"/>
        </w:rPr>
        <w:t>勘察过程中乙方应做好安全保障措施，若发生事故造成自身或第三方损失的，由乙方承担相关责任。若因此造成甲方损失的，乙方应予赔偿。</w:t>
      </w:r>
    </w:p>
    <w:p>
      <w:pPr>
        <w:pStyle w:val="21"/>
        <w:rPr>
          <w:color w:val="auto"/>
          <w:highlight w:val="none"/>
        </w:rPr>
      </w:pPr>
      <w:r>
        <w:rPr>
          <w:rFonts w:hint="eastAsia"/>
          <w:color w:val="auto"/>
          <w:highlight w:val="none"/>
        </w:rPr>
        <w:t>乙方应在广州设有固定办公场所和人员并做到：</w:t>
      </w:r>
    </w:p>
    <w:p>
      <w:pPr>
        <w:pStyle w:val="31"/>
        <w:numPr>
          <w:ilvl w:val="0"/>
          <w:numId w:val="10"/>
        </w:numPr>
        <w:ind w:firstLineChars="0"/>
        <w:rPr>
          <w:color w:val="auto"/>
          <w:highlight w:val="none"/>
        </w:rPr>
      </w:pPr>
      <w:r>
        <w:rPr>
          <w:rFonts w:hint="eastAsia"/>
          <w:color w:val="auto"/>
          <w:highlight w:val="none"/>
        </w:rPr>
        <w:t>严格按照计划工期提交质量合格的勘察成果。</w:t>
      </w:r>
    </w:p>
    <w:p>
      <w:pPr>
        <w:pStyle w:val="31"/>
        <w:numPr>
          <w:ilvl w:val="0"/>
          <w:numId w:val="10"/>
        </w:numPr>
        <w:ind w:firstLineChars="0"/>
        <w:rPr>
          <w:color w:val="auto"/>
          <w:highlight w:val="none"/>
        </w:rPr>
      </w:pPr>
      <w:r>
        <w:rPr>
          <w:rFonts w:hint="eastAsia"/>
          <w:color w:val="auto"/>
          <w:highlight w:val="none"/>
        </w:rPr>
        <w:t>准时参加甲方要求的相关会议。</w:t>
      </w:r>
    </w:p>
    <w:p>
      <w:pPr>
        <w:pStyle w:val="21"/>
        <w:jc w:val="both"/>
        <w:rPr>
          <w:color w:val="auto"/>
          <w:highlight w:val="none"/>
        </w:rPr>
      </w:pPr>
      <w:r>
        <w:rPr>
          <w:rFonts w:hint="eastAsia"/>
          <w:color w:val="auto"/>
          <w:highlight w:val="none"/>
        </w:rPr>
        <w:t xml:space="preserve">由于乙方提供的勘察成果资料质量不合格，乙方应无偿给予补充完善使其达到质量合格标准；如后续施工中出现与乙方提交勘察成果不符施工场地现状，由乙方负责补勘，甲方不另行支付费用。 </w:t>
      </w:r>
    </w:p>
    <w:p>
      <w:pPr>
        <w:pStyle w:val="21"/>
        <w:jc w:val="both"/>
        <w:rPr>
          <w:color w:val="auto"/>
          <w:highlight w:val="none"/>
        </w:rPr>
      </w:pPr>
      <w:r>
        <w:rPr>
          <w:rFonts w:hint="eastAsia"/>
          <w:color w:val="auto"/>
          <w:highlight w:val="none"/>
        </w:rPr>
        <w:t>甲方要求增加本合同约定外文件份数时，加晒费用已包含在勘察费中，甲方不再另行支付加晒费用。</w:t>
      </w:r>
    </w:p>
    <w:p>
      <w:pPr>
        <w:pStyle w:val="21"/>
        <w:jc w:val="both"/>
        <w:rPr>
          <w:color w:val="auto"/>
          <w:highlight w:val="none"/>
        </w:rPr>
      </w:pPr>
      <w:r>
        <w:rPr>
          <w:rFonts w:hint="eastAsia"/>
          <w:color w:val="auto"/>
          <w:highlight w:val="none"/>
        </w:rPr>
        <w:t>乙方应在商定的时间内向甲方提交有关成果文件，乙方保证具备相应的资质并对提交的文件、报告及所出的结论负责。</w:t>
      </w:r>
    </w:p>
    <w:p>
      <w:pPr>
        <w:pStyle w:val="21"/>
        <w:jc w:val="both"/>
        <w:rPr>
          <w:color w:val="auto"/>
          <w:highlight w:val="none"/>
        </w:rPr>
      </w:pPr>
      <w:r>
        <w:rPr>
          <w:rFonts w:hint="eastAsia"/>
          <w:color w:val="auto"/>
          <w:highlight w:val="none"/>
        </w:rPr>
        <w:t>乙方不得将本项目转包给第三方，不得未经甲方同意擅自将本合同项目分包给第三方。</w:t>
      </w:r>
    </w:p>
    <w:p>
      <w:pPr>
        <w:pStyle w:val="21"/>
        <w:jc w:val="both"/>
        <w:rPr>
          <w:color w:val="auto"/>
          <w:highlight w:val="none"/>
        </w:rPr>
      </w:pPr>
      <w:r>
        <w:rPr>
          <w:rFonts w:hint="eastAsia"/>
          <w:color w:val="auto"/>
          <w:highlight w:val="none"/>
        </w:rPr>
        <w:t>乙方应配合甲方开展结算工作并提交结算的相关资料。若乙方逾期超过</w:t>
      </w:r>
      <w:r>
        <w:rPr>
          <w:color w:val="auto"/>
          <w:highlight w:val="none"/>
          <w:u w:val="single"/>
        </w:rPr>
        <w:t>30</w:t>
      </w:r>
      <w:r>
        <w:rPr>
          <w:rFonts w:hint="eastAsia"/>
          <w:color w:val="auto"/>
          <w:highlight w:val="none"/>
        </w:rPr>
        <w:t>天未提交完整的结算资料和结算报告等，甲方有权单方自行结算，</w:t>
      </w:r>
      <w:r>
        <w:rPr>
          <w:bCs/>
          <w:color w:val="auto"/>
          <w:highlight w:val="none"/>
        </w:rPr>
        <w:t>乙方不得提出异议，</w:t>
      </w:r>
      <w:r>
        <w:rPr>
          <w:rFonts w:hint="eastAsia"/>
          <w:color w:val="auto"/>
          <w:highlight w:val="none"/>
        </w:rPr>
        <w:t>由此产生的一切责任由乙方承担。</w:t>
      </w:r>
    </w:p>
    <w:p>
      <w:pPr>
        <w:pStyle w:val="21"/>
        <w:jc w:val="both"/>
        <w:rPr>
          <w:color w:val="auto"/>
          <w:highlight w:val="none"/>
        </w:rPr>
      </w:pPr>
      <w:r>
        <w:rPr>
          <w:rFonts w:hint="eastAsia"/>
          <w:color w:val="auto"/>
          <w:highlight w:val="none"/>
        </w:rPr>
        <w:t>乙方应根据政府行政管理部门关于保险险种方面的要求购买相关保险。乙方应为本项目购买的保险包括但不限于：建设工程勘察责任保险、工伤保险、社会保险、人身意外伤害保险等，乙方应在合同有效期内保持上述保险有效。</w:t>
      </w:r>
    </w:p>
    <w:p>
      <w:pPr>
        <w:pStyle w:val="16"/>
        <w:numPr>
          <w:ilvl w:val="0"/>
          <w:numId w:val="0"/>
        </w:numPr>
        <w:rPr>
          <w:color w:val="auto"/>
          <w:highlight w:val="none"/>
        </w:rPr>
      </w:pPr>
    </w:p>
    <w:p>
      <w:pPr>
        <w:pStyle w:val="16"/>
        <w:rPr>
          <w:color w:val="auto"/>
          <w:highlight w:val="none"/>
        </w:rPr>
      </w:pPr>
      <w:r>
        <w:rPr>
          <w:rFonts w:hint="eastAsia"/>
          <w:color w:val="auto"/>
          <w:highlight w:val="none"/>
        </w:rPr>
        <w:t>违约责任</w:t>
      </w:r>
    </w:p>
    <w:p>
      <w:pPr>
        <w:pStyle w:val="20"/>
        <w:rPr>
          <w:color w:val="auto"/>
          <w:highlight w:val="none"/>
        </w:rPr>
      </w:pPr>
      <w:r>
        <w:rPr>
          <w:rFonts w:hint="eastAsia"/>
          <w:color w:val="auto"/>
          <w:highlight w:val="none"/>
        </w:rPr>
        <w:t>甲方违约责任</w:t>
      </w:r>
    </w:p>
    <w:p>
      <w:pPr>
        <w:pStyle w:val="21"/>
        <w:jc w:val="both"/>
        <w:rPr>
          <w:color w:val="auto"/>
          <w:highlight w:val="none"/>
        </w:rPr>
      </w:pPr>
      <w:r>
        <w:rPr>
          <w:rFonts w:hint="eastAsia"/>
          <w:color w:val="auto"/>
          <w:highlight w:val="none"/>
        </w:rPr>
        <w:t>因为甲方的原因导致乙方勘察期限延期的，乙方的勘察期限顺延，但不增加费用。</w:t>
      </w:r>
    </w:p>
    <w:p>
      <w:pPr>
        <w:pStyle w:val="20"/>
        <w:jc w:val="both"/>
        <w:rPr>
          <w:color w:val="auto"/>
          <w:highlight w:val="none"/>
        </w:rPr>
      </w:pPr>
      <w:r>
        <w:rPr>
          <w:rFonts w:hint="eastAsia"/>
          <w:color w:val="auto"/>
          <w:highlight w:val="none"/>
        </w:rPr>
        <w:t>乙方违约责任</w:t>
      </w:r>
    </w:p>
    <w:p>
      <w:pPr>
        <w:pStyle w:val="21"/>
        <w:jc w:val="both"/>
        <w:rPr>
          <w:color w:val="auto"/>
          <w:highlight w:val="none"/>
        </w:rPr>
      </w:pPr>
      <w:r>
        <w:rPr>
          <w:rFonts w:hint="eastAsia"/>
          <w:color w:val="auto"/>
          <w:highlight w:val="none"/>
        </w:rPr>
        <w:t>合同生效后，乙方因自身原因要求终止或解除合同，乙方必须退还甲方已支付的合同价款并向甲方支付合同暂定价款</w:t>
      </w:r>
      <w:r>
        <w:rPr>
          <w:color w:val="auto"/>
          <w:highlight w:val="none"/>
          <w:u w:val="single"/>
        </w:rPr>
        <w:t>10</w:t>
      </w:r>
      <w:r>
        <w:rPr>
          <w:rFonts w:hint="eastAsia"/>
          <w:color w:val="auto"/>
          <w:highlight w:val="none"/>
          <w:u w:val="single"/>
        </w:rPr>
        <w:t>%</w:t>
      </w:r>
      <w:r>
        <w:rPr>
          <w:rFonts w:hint="eastAsia"/>
          <w:color w:val="auto"/>
          <w:highlight w:val="none"/>
        </w:rPr>
        <w:t>的违约金。</w:t>
      </w:r>
    </w:p>
    <w:p>
      <w:pPr>
        <w:pStyle w:val="21"/>
        <w:jc w:val="both"/>
        <w:rPr>
          <w:color w:val="auto"/>
          <w:highlight w:val="none"/>
          <w:u w:val="single"/>
        </w:rPr>
      </w:pPr>
      <w:r>
        <w:rPr>
          <w:rFonts w:hint="eastAsia"/>
          <w:color w:val="auto"/>
          <w:highlight w:val="none"/>
        </w:rPr>
        <w:t>由于乙方原因造成勘察成果资料质量不合格，不能满足技术要求时，</w:t>
      </w:r>
      <w:bookmarkStart w:id="13" w:name="_Hlk107509500"/>
      <w:r>
        <w:rPr>
          <w:rFonts w:hint="eastAsia"/>
          <w:color w:val="auto"/>
          <w:highlight w:val="none"/>
        </w:rPr>
        <w:t>其返工勘察费用由乙方承担</w:t>
      </w:r>
      <w:bookmarkStart w:id="14" w:name="_Hlk107509439"/>
      <w:r>
        <w:rPr>
          <w:rFonts w:hint="eastAsia"/>
          <w:color w:val="auto"/>
          <w:highlight w:val="none"/>
        </w:rPr>
        <w:t>，且工期不予顺延</w:t>
      </w:r>
      <w:bookmarkEnd w:id="13"/>
      <w:bookmarkEnd w:id="14"/>
      <w:r>
        <w:rPr>
          <w:rFonts w:hint="eastAsia"/>
          <w:color w:val="auto"/>
          <w:highlight w:val="none"/>
        </w:rPr>
        <w:t>。如因乙方原因导致未能将勘察成果资料按时按质提供给甲方的，每延迟一天，乙方应向甲方支付合同暂定价款</w:t>
      </w:r>
      <w:r>
        <w:rPr>
          <w:color w:val="auto"/>
          <w:highlight w:val="none"/>
          <w:u w:val="single"/>
        </w:rPr>
        <w:t>3‰</w:t>
      </w:r>
      <w:r>
        <w:rPr>
          <w:rFonts w:hint="eastAsia"/>
          <w:color w:val="auto"/>
          <w:highlight w:val="none"/>
        </w:rPr>
        <w:t>的违约金。逾期</w:t>
      </w:r>
      <w:r>
        <w:rPr>
          <w:color w:val="auto"/>
          <w:highlight w:val="none"/>
          <w:u w:val="single"/>
        </w:rPr>
        <w:t>10</w:t>
      </w:r>
      <w:r>
        <w:rPr>
          <w:rFonts w:hint="eastAsia"/>
          <w:color w:val="auto"/>
          <w:highlight w:val="none"/>
        </w:rPr>
        <w:t>个日历天不提交勘察成果资料，甲方有权解除合同，并要求乙方赔偿所有损失。</w:t>
      </w:r>
    </w:p>
    <w:p>
      <w:pPr>
        <w:pStyle w:val="21"/>
        <w:jc w:val="both"/>
        <w:rPr>
          <w:color w:val="auto"/>
          <w:highlight w:val="none"/>
          <w:u w:val="single"/>
        </w:rPr>
      </w:pPr>
      <w:r>
        <w:rPr>
          <w:rFonts w:hint="eastAsia"/>
          <w:color w:val="auto"/>
          <w:highlight w:val="none"/>
        </w:rPr>
        <w:t>若因乙方原因造成勘察成果资料质量不合格，乙方无力补充完善，甲方需另行委托其他单位时，乙方应承担全部勘察费用。</w:t>
      </w:r>
    </w:p>
    <w:p>
      <w:pPr>
        <w:pStyle w:val="21"/>
        <w:jc w:val="both"/>
        <w:rPr>
          <w:color w:val="auto"/>
          <w:highlight w:val="none"/>
        </w:rPr>
      </w:pPr>
      <w:r>
        <w:rPr>
          <w:rFonts w:hint="eastAsia"/>
          <w:color w:val="auto"/>
          <w:highlight w:val="none"/>
        </w:rPr>
        <w:t>由于乙方勘察质量造成经济损失或工程事故时，乙方负责采取补救措施，赔偿甲方、第三方因此受到的损失，并</w:t>
      </w:r>
      <w:r>
        <w:rPr>
          <w:rFonts w:hint="eastAsia"/>
          <w:bCs/>
          <w:color w:val="auto"/>
          <w:highlight w:val="none"/>
        </w:rPr>
        <w:t>向甲方支付合同暂定价款10%的违约金。</w:t>
      </w:r>
      <w:r>
        <w:rPr>
          <w:rFonts w:hint="eastAsia"/>
          <w:color w:val="auto"/>
          <w:highlight w:val="none"/>
        </w:rPr>
        <w:t xml:space="preserve">                                                                       </w:t>
      </w:r>
    </w:p>
    <w:p>
      <w:pPr>
        <w:pStyle w:val="21"/>
        <w:jc w:val="both"/>
        <w:rPr>
          <w:color w:val="auto"/>
          <w:highlight w:val="none"/>
        </w:rPr>
      </w:pPr>
      <w:r>
        <w:rPr>
          <w:rFonts w:hint="eastAsia"/>
          <w:color w:val="auto"/>
          <w:highlight w:val="none"/>
        </w:rPr>
        <w:t>由于乙方原因，造成不良社会影响并被媒体披露的，甲方有权立即单方解除本合同。乙方必须退还除甲方已支付的合同价款外（如有），还需向甲方支付合同暂定价款</w:t>
      </w:r>
      <w:r>
        <w:rPr>
          <w:color w:val="auto"/>
          <w:highlight w:val="none"/>
          <w:u w:val="single"/>
        </w:rPr>
        <w:t>10</w:t>
      </w:r>
      <w:r>
        <w:rPr>
          <w:rFonts w:hint="eastAsia"/>
          <w:color w:val="auto"/>
          <w:highlight w:val="none"/>
          <w:u w:val="single"/>
        </w:rPr>
        <w:t>%</w:t>
      </w:r>
      <w:r>
        <w:rPr>
          <w:rFonts w:hint="eastAsia"/>
          <w:color w:val="auto"/>
          <w:highlight w:val="none"/>
        </w:rPr>
        <w:t>的违约金。</w:t>
      </w:r>
    </w:p>
    <w:p>
      <w:pPr>
        <w:pStyle w:val="21"/>
        <w:jc w:val="both"/>
        <w:rPr>
          <w:color w:val="auto"/>
          <w:highlight w:val="none"/>
        </w:rPr>
      </w:pPr>
      <w:r>
        <w:rPr>
          <w:rFonts w:hint="eastAsia"/>
          <w:color w:val="auto"/>
          <w:highlight w:val="none"/>
        </w:rPr>
        <w:tab/>
      </w:r>
      <w:r>
        <w:rPr>
          <w:rFonts w:hint="eastAsia"/>
          <w:color w:val="auto"/>
          <w:highlight w:val="none"/>
        </w:rPr>
        <w:t>本合同签订后，乙方不履行合同时，甲方有权解除合同并委托第三方进行服务，乙方必须退还除甲方已支付的合同价款（如有），并由乙方向甲方补偿二者报价间的差价损失。</w:t>
      </w:r>
    </w:p>
    <w:p>
      <w:pPr>
        <w:pStyle w:val="21"/>
        <w:jc w:val="both"/>
        <w:rPr>
          <w:color w:val="auto"/>
          <w:highlight w:val="none"/>
        </w:rPr>
      </w:pPr>
      <w:r>
        <w:rPr>
          <w:rFonts w:hint="eastAsia"/>
          <w:color w:val="auto"/>
          <w:highlight w:val="none"/>
        </w:rPr>
        <w:t>乙方转包给第三方或未经甲方同意，擅自分包给第三方的，甲方有权单方解除合同，并要求乙方退还除甲方已支付的合同价款（如有），支付合同暂定价款的</w:t>
      </w:r>
      <w:r>
        <w:rPr>
          <w:color w:val="auto"/>
          <w:highlight w:val="none"/>
          <w:u w:val="single"/>
        </w:rPr>
        <w:t>10</w:t>
      </w:r>
      <w:r>
        <w:rPr>
          <w:rFonts w:hint="eastAsia"/>
          <w:color w:val="auto"/>
          <w:highlight w:val="none"/>
        </w:rPr>
        <w:t>%作为违约金。</w:t>
      </w:r>
    </w:p>
    <w:p>
      <w:pPr>
        <w:pStyle w:val="21"/>
        <w:rPr>
          <w:color w:val="auto"/>
          <w:highlight w:val="none"/>
        </w:rPr>
      </w:pPr>
      <w:r>
        <w:rPr>
          <w:rFonts w:hint="eastAsia"/>
          <w:color w:val="auto"/>
          <w:highlight w:val="none"/>
        </w:rPr>
        <w:t>乙方未按本合同约定购买相关保险的，由此造成的一切财产损失和人身损害由乙方承担。</w:t>
      </w:r>
    </w:p>
    <w:p>
      <w:pPr>
        <w:pStyle w:val="21"/>
        <w:jc w:val="both"/>
        <w:rPr>
          <w:color w:val="auto"/>
          <w:highlight w:val="none"/>
        </w:rPr>
      </w:pPr>
      <w:r>
        <w:rPr>
          <w:rFonts w:hint="eastAsia"/>
          <w:color w:val="auto"/>
          <w:highlight w:val="none"/>
        </w:rPr>
        <w:t>乙方发生其他违约情形时，乙方应承担违约责任并赔偿因其违约给甲方造成的损失。</w:t>
      </w:r>
    </w:p>
    <w:p>
      <w:pPr>
        <w:pStyle w:val="21"/>
        <w:jc w:val="both"/>
        <w:rPr>
          <w:color w:val="auto"/>
          <w:highlight w:val="none"/>
        </w:rPr>
      </w:pPr>
      <w:r>
        <w:rPr>
          <w:rFonts w:hint="eastAsia" w:ascii="宋体" w:hAnsi="宋体"/>
          <w:color w:val="auto"/>
          <w:kern w:val="0"/>
          <w:highlight w:val="none"/>
        </w:rPr>
        <w:t>如乙方为联合体，联合体各方共同连带承担合同规定的一切义务和责任。</w:t>
      </w:r>
    </w:p>
    <w:p>
      <w:pPr>
        <w:pStyle w:val="21"/>
        <w:rPr>
          <w:color w:val="auto"/>
          <w:highlight w:val="none"/>
        </w:rPr>
      </w:pPr>
      <w:r>
        <w:rPr>
          <w:rFonts w:hint="eastAsia"/>
          <w:color w:val="auto"/>
          <w:highlight w:val="none"/>
        </w:rPr>
        <w:t>其他：</w:t>
      </w:r>
      <w:r>
        <w:rPr>
          <w:rFonts w:hint="eastAsia"/>
          <w:color w:val="auto"/>
          <w:highlight w:val="none"/>
          <w:u w:val="single"/>
        </w:rPr>
        <w:t xml:space="preserve">                          </w:t>
      </w:r>
      <w:r>
        <w:rPr>
          <w:rFonts w:hint="eastAsia"/>
          <w:color w:val="auto"/>
          <w:highlight w:val="none"/>
        </w:rPr>
        <w:t>。</w:t>
      </w:r>
    </w:p>
    <w:p>
      <w:pPr>
        <w:spacing w:line="360" w:lineRule="auto"/>
        <w:rPr>
          <w:rFonts w:ascii="仿宋_GB2312" w:eastAsia="仿宋_GB2312"/>
          <w:color w:val="auto"/>
          <w:sz w:val="24"/>
          <w:highlight w:val="none"/>
        </w:rPr>
      </w:pPr>
    </w:p>
    <w:p>
      <w:pPr>
        <w:pStyle w:val="16"/>
        <w:rPr>
          <w:color w:val="auto"/>
          <w:highlight w:val="none"/>
        </w:rPr>
      </w:pPr>
      <w:r>
        <w:rPr>
          <w:rFonts w:hint="eastAsia" w:ascii="仿宋" w:hAnsi="仿宋" w:eastAsia="仿宋" w:cs="仿宋"/>
          <w:color w:val="auto"/>
          <w:szCs w:val="21"/>
          <w:highlight w:val="none"/>
        </w:rPr>
        <w:sym w:font="Wingdings 2" w:char="0052"/>
      </w:r>
      <w:r>
        <w:rPr>
          <w:rFonts w:hint="eastAsia" w:ascii="宋体" w:hAnsi="宋体"/>
          <w:bCs/>
          <w:color w:val="auto"/>
          <w:highlight w:val="none"/>
        </w:rPr>
        <w:t>履约保证金</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12.1.乙方应在申请第一笔款项前向甲方提交履约保证金。</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12.2.履约保证金可选择履约担保函、工程保证保险或转账形式提交。（履约担保函应由在中国注册的银行开具）</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12.3.担保金额：</w:t>
      </w:r>
      <w:r>
        <w:rPr>
          <w:rFonts w:hint="eastAsia" w:hAnsi="仿宋" w:eastAsia="仿宋_GB2312" w:cs="仿宋"/>
          <w:b w:val="0"/>
          <w:bCs/>
          <w:color w:val="auto"/>
          <w:highlight w:val="none"/>
          <w:u w:val="single"/>
        </w:rPr>
        <w:t>签约</w:t>
      </w:r>
      <w:ins w:id="0" w:author="廖皓明" w:date="2023-05-22T09:58:14Z">
        <w:r>
          <w:rPr>
            <w:rFonts w:hint="eastAsia" w:hAnsi="仿宋" w:eastAsia="仿宋_GB2312" w:cs="仿宋"/>
            <w:b w:val="0"/>
            <w:bCs/>
            <w:color w:val="auto"/>
            <w:highlight w:val="none"/>
            <w:u w:val="single"/>
            <w:lang w:val="en-US" w:eastAsia="zh-CN"/>
          </w:rPr>
          <w:t>勘察</w:t>
        </w:r>
      </w:ins>
      <w:r>
        <w:rPr>
          <w:rFonts w:hint="eastAsia" w:hAnsi="仿宋" w:eastAsia="仿宋_GB2312" w:cs="仿宋"/>
          <w:b w:val="0"/>
          <w:bCs/>
          <w:color w:val="auto"/>
          <w:highlight w:val="none"/>
          <w:u w:val="single"/>
        </w:rPr>
        <w:t>合同价的10%</w:t>
      </w:r>
      <w:r>
        <w:rPr>
          <w:rFonts w:hint="eastAsia" w:hAnsi="仿宋" w:eastAsia="仿宋_GB2312" w:cs="仿宋"/>
          <w:b w:val="0"/>
          <w:bCs/>
          <w:color w:val="auto"/>
          <w:highlight w:val="none"/>
        </w:rPr>
        <w:t>。</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12.4.担保期限：</w:t>
      </w:r>
      <w:r>
        <w:rPr>
          <w:rFonts w:hint="eastAsia" w:hAnsi="仿宋" w:eastAsia="仿宋_GB2312" w:cs="仿宋"/>
          <w:b w:val="0"/>
          <w:bCs/>
          <w:color w:val="auto"/>
          <w:highlight w:val="none"/>
          <w:u w:val="single"/>
        </w:rPr>
        <w:t xml:space="preserve"> </w:t>
      </w:r>
      <w:r>
        <w:rPr>
          <w:rFonts w:hAnsi="仿宋" w:eastAsia="仿宋_GB2312" w:cs="仿宋"/>
          <w:b w:val="0"/>
          <w:bCs/>
          <w:color w:val="auto"/>
          <w:highlight w:val="none"/>
          <w:u w:val="single"/>
        </w:rPr>
        <w:t xml:space="preserve">                      </w:t>
      </w:r>
      <w:r>
        <w:rPr>
          <w:rFonts w:hint="eastAsia" w:hAnsi="仿宋" w:eastAsia="仿宋_GB2312" w:cs="仿宋"/>
          <w:b w:val="0"/>
          <w:bCs/>
          <w:color w:val="auto"/>
          <w:highlight w:val="none"/>
        </w:rPr>
        <w:t>，乙方须保证履约担保在整个合同履行期间内有效、足额。</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12.5.遇到以下情况，甲方有权直接要求提供上述保函或保险的单位支付其担保的全部或部分金额，或甲方有权直接动用履约担保相应金额：</w:t>
      </w:r>
    </w:p>
    <w:p>
      <w:pPr>
        <w:pStyle w:val="31"/>
        <w:numPr>
          <w:ilvl w:val="0"/>
          <w:numId w:val="11"/>
        </w:numPr>
        <w:ind w:firstLineChars="0"/>
        <w:rPr>
          <w:color w:val="auto"/>
          <w:highlight w:val="none"/>
        </w:rPr>
      </w:pPr>
      <w:r>
        <w:rPr>
          <w:rFonts w:hint="eastAsia"/>
          <w:color w:val="auto"/>
          <w:highlight w:val="none"/>
        </w:rPr>
        <w:t>乙方违反本合同约定，逾期提交新的履约保函或保证保险或者提交的新保函（保险）不符合本合同约定，或逾期补足履约保证金现金的；</w:t>
      </w:r>
    </w:p>
    <w:p>
      <w:pPr>
        <w:pStyle w:val="31"/>
        <w:numPr>
          <w:ilvl w:val="0"/>
          <w:numId w:val="11"/>
        </w:numPr>
        <w:ind w:firstLineChars="0"/>
        <w:rPr>
          <w:color w:val="auto"/>
          <w:highlight w:val="none"/>
        </w:rPr>
      </w:pPr>
      <w:r>
        <w:rPr>
          <w:rFonts w:hint="eastAsia"/>
          <w:color w:val="auto"/>
          <w:highlight w:val="none"/>
        </w:rPr>
        <w:t>乙方未按合同约定履行合同义务，需向甲方缴纳违约金、赔偿金及其他费用的；</w:t>
      </w:r>
    </w:p>
    <w:p>
      <w:pPr>
        <w:pStyle w:val="31"/>
        <w:numPr>
          <w:ilvl w:val="0"/>
          <w:numId w:val="11"/>
        </w:numPr>
        <w:ind w:firstLineChars="0"/>
        <w:rPr>
          <w:color w:val="auto"/>
          <w:highlight w:val="none"/>
        </w:rPr>
      </w:pPr>
      <w:r>
        <w:rPr>
          <w:rFonts w:hint="eastAsia"/>
          <w:color w:val="auto"/>
          <w:highlight w:val="none"/>
        </w:rPr>
        <w:t>因乙方违反本合同约定或相关规定，给甲方造成损失或导致甲方被第三方索赔的；</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12.6.如果甲方根据本合同的有关规定动用履约保证金，乙方应确保在甲方动用履约保证金后的十个工作日内，重新提交足额的符合本合同约定的履约保函、保险，或补足履约保证金现金。</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12.7.逾期未补足履约保证金现金或未重新提交履约保函、保险的，甲方有权发出催告，乙方应在催告之日起三十日内予以补足或提交;乙方在前述期限内仍未补足或提交的，则甲方有权扣除全部履约保证金现金或提取履约保函项下的全部余额，并有权解除合同。</w:t>
      </w:r>
    </w:p>
    <w:p>
      <w:pPr>
        <w:pStyle w:val="16"/>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12.8.乙方应在履约保函或保证保险有效期届满之日三十日前向甲方提交足额续期的新保函，否则甲方有权提取全部履约保证金，并解除合同。</w:t>
      </w:r>
    </w:p>
    <w:p>
      <w:pPr>
        <w:pStyle w:val="16"/>
        <w:numPr>
          <w:ilvl w:val="255"/>
          <w:numId w:val="0"/>
        </w:numPr>
        <w:ind w:firstLine="480" w:firstLineChars="200"/>
        <w:rPr>
          <w:rFonts w:ascii="仿宋" w:hAnsi="仿宋" w:eastAsia="仿宋" w:cs="仿宋"/>
          <w:b w:val="0"/>
          <w:bCs/>
          <w:color w:val="auto"/>
          <w:highlight w:val="none"/>
        </w:rPr>
      </w:pPr>
    </w:p>
    <w:p>
      <w:pPr>
        <w:pStyle w:val="16"/>
        <w:rPr>
          <w:color w:val="auto"/>
          <w:highlight w:val="none"/>
        </w:rPr>
      </w:pPr>
      <w:r>
        <w:rPr>
          <w:rFonts w:hint="eastAsia"/>
          <w:color w:val="auto"/>
          <w:highlight w:val="none"/>
        </w:rPr>
        <w:t>保密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双方均应保护对方的知识产权，未经对方书面同意，任何一方均不得对对方的资料及文件擅自修改、复制或向第三人转让或用于本合同项目外的项目。如发生以上情况，泄密方承担一切由此引起的后果并承担赔偿责任。</w:t>
      </w:r>
    </w:p>
    <w:p>
      <w:pPr>
        <w:spacing w:line="360" w:lineRule="auto"/>
        <w:ind w:firstLine="480" w:firstLineChars="200"/>
        <w:rPr>
          <w:rFonts w:ascii="仿宋_GB2312" w:eastAsia="仿宋_GB2312"/>
          <w:color w:val="auto"/>
          <w:sz w:val="24"/>
          <w:highlight w:val="none"/>
        </w:rPr>
      </w:pPr>
    </w:p>
    <w:p>
      <w:pPr>
        <w:pStyle w:val="16"/>
        <w:rPr>
          <w:color w:val="auto"/>
          <w:highlight w:val="none"/>
        </w:rPr>
      </w:pPr>
      <w:r>
        <w:rPr>
          <w:rFonts w:hint="eastAsia"/>
          <w:color w:val="auto"/>
          <w:highlight w:val="none"/>
        </w:rPr>
        <w:t>争议解决</w:t>
      </w:r>
    </w:p>
    <w:p>
      <w:pPr>
        <w:pStyle w:val="20"/>
        <w:ind w:left="567" w:hanging="567"/>
        <w:rPr>
          <w:color w:val="auto"/>
          <w:highlight w:val="none"/>
        </w:rPr>
      </w:pPr>
      <w:r>
        <w:rPr>
          <w:rFonts w:hint="eastAsia"/>
          <w:color w:val="auto"/>
          <w:highlight w:val="none"/>
        </w:rPr>
        <w:t>本合同履行过程中发生争议，由双方当事人协商解决。协商不成的，双方可向甲方所在地人民法院起诉。</w:t>
      </w:r>
    </w:p>
    <w:p>
      <w:pPr>
        <w:pStyle w:val="20"/>
        <w:rPr>
          <w:color w:val="auto"/>
          <w:highlight w:val="none"/>
        </w:rPr>
      </w:pPr>
      <w:r>
        <w:rPr>
          <w:rFonts w:hint="eastAsia"/>
          <w:color w:val="auto"/>
          <w:highlight w:val="none"/>
        </w:rPr>
        <w:t>发生争议后,相关费用的承担:</w:t>
      </w:r>
    </w:p>
    <w:p>
      <w:pPr>
        <w:pStyle w:val="33"/>
        <w:numPr>
          <w:ilvl w:val="0"/>
          <w:numId w:val="12"/>
        </w:numPr>
        <w:ind w:leftChars="0" w:firstLineChars="0"/>
        <w:rPr>
          <w:color w:val="auto"/>
          <w:highlight w:val="none"/>
        </w:rPr>
      </w:pPr>
      <w:r>
        <w:rPr>
          <w:rFonts w:hint="eastAsia"/>
          <w:color w:val="auto"/>
          <w:highlight w:val="none"/>
        </w:rPr>
        <w:t>因一方（违约方）原因给另一方（守约方）造成的损失（包括但不限于实际经济损失、预期利益损失以及因追究违约方责任所产生的律师费、诉讼费、保全费、保险费、担保费、鉴定费、评估费、差旅费等合理费用），守约方有权要求违约方承担全额赔偿责任。</w:t>
      </w:r>
    </w:p>
    <w:p>
      <w:pPr>
        <w:pStyle w:val="33"/>
        <w:numPr>
          <w:ilvl w:val="0"/>
          <w:numId w:val="12"/>
        </w:numPr>
        <w:ind w:leftChars="0" w:firstLineChars="0"/>
        <w:rPr>
          <w:color w:val="auto"/>
          <w:highlight w:val="none"/>
        </w:rPr>
      </w:pPr>
      <w:r>
        <w:rPr>
          <w:rFonts w:hint="eastAsia"/>
          <w:color w:val="auto"/>
          <w:highlight w:val="none"/>
        </w:rPr>
        <w:t>若一方向另一方提出赔偿或支付相关款项等要求不成立时，提出方应赔偿因前述要求（或诉求）所导致另一方的各种费用支出（包括但不限于因提出方原因导致另一方支出的律师费、诉讼费、保全费、保险费、担保费、鉴定费、评估费、差旅费等合理费用）。</w:t>
      </w:r>
    </w:p>
    <w:p>
      <w:pPr>
        <w:pStyle w:val="33"/>
        <w:numPr>
          <w:ilvl w:val="0"/>
          <w:numId w:val="12"/>
        </w:numPr>
        <w:ind w:leftChars="0" w:firstLineChars="0"/>
        <w:rPr>
          <w:color w:val="auto"/>
          <w:highlight w:val="none"/>
        </w:rPr>
      </w:pPr>
      <w:r>
        <w:rPr>
          <w:rFonts w:hint="eastAsia"/>
          <w:color w:val="auto"/>
          <w:highlight w:val="none"/>
        </w:rPr>
        <w:t>甲、乙双方任一方就本合同相关纠纷提起诉讼的，若最终以双方和解或法院调解形式解决的，因该纠纷产生的一切费用（包括但不限于双方因该纠纷支出的律师费、诉讼费、保全费、保险费、担保费、鉴定费、评估费、差旅费等合理费用）按和解或调解结果承担。</w:t>
      </w:r>
    </w:p>
    <w:p>
      <w:pPr>
        <w:pStyle w:val="2"/>
        <w:rPr>
          <w:color w:val="auto"/>
          <w:highlight w:val="none"/>
        </w:rPr>
      </w:pPr>
    </w:p>
    <w:p>
      <w:pPr>
        <w:pStyle w:val="16"/>
        <w:rPr>
          <w:color w:val="auto"/>
          <w:highlight w:val="none"/>
        </w:rPr>
      </w:pPr>
      <w:r>
        <w:rPr>
          <w:rFonts w:hint="eastAsia"/>
          <w:color w:val="auto"/>
          <w:highlight w:val="none"/>
        </w:rPr>
        <w:t>合同变更、解除及终止</w:t>
      </w:r>
    </w:p>
    <w:p>
      <w:pPr>
        <w:pStyle w:val="20"/>
        <w:jc w:val="both"/>
        <w:rPr>
          <w:color w:val="auto"/>
          <w:highlight w:val="none"/>
        </w:rPr>
      </w:pPr>
      <w:r>
        <w:rPr>
          <w:color w:val="auto"/>
          <w:highlight w:val="none"/>
        </w:rPr>
        <w:t>双方协商一致，可以对合同事项予以变更</w:t>
      </w:r>
      <w:r>
        <w:rPr>
          <w:rFonts w:hint="eastAsia"/>
          <w:color w:val="auto"/>
          <w:highlight w:val="none"/>
        </w:rPr>
        <w:t>。</w:t>
      </w:r>
    </w:p>
    <w:p>
      <w:pPr>
        <w:pStyle w:val="20"/>
        <w:jc w:val="both"/>
        <w:rPr>
          <w:color w:val="auto"/>
          <w:highlight w:val="none"/>
        </w:rPr>
      </w:pPr>
      <w:r>
        <w:rPr>
          <w:color w:val="auto"/>
          <w:highlight w:val="none"/>
        </w:rPr>
        <w:t>除双方约定外，任何一方不得单方变更、解除及终止合同，解除、终止合同一方应承担合同规定相关责任</w:t>
      </w:r>
      <w:r>
        <w:rPr>
          <w:rFonts w:hint="eastAsia"/>
          <w:color w:val="auto"/>
          <w:highlight w:val="none"/>
        </w:rPr>
        <w:t>。</w:t>
      </w:r>
    </w:p>
    <w:p>
      <w:pPr>
        <w:pStyle w:val="20"/>
        <w:jc w:val="both"/>
        <w:rPr>
          <w:color w:val="auto"/>
          <w:highlight w:val="none"/>
        </w:rPr>
      </w:pPr>
      <w:r>
        <w:rPr>
          <w:color w:val="auto"/>
          <w:highlight w:val="none"/>
        </w:rPr>
        <w:t>合同解</w:t>
      </w:r>
      <w:r>
        <w:rPr>
          <w:color w:val="auto"/>
          <w:spacing w:val="-2"/>
          <w:highlight w:val="none"/>
        </w:rPr>
        <w:t>除后乙方须在</w:t>
      </w:r>
      <w:r>
        <w:rPr>
          <w:color w:val="auto"/>
          <w:spacing w:val="-2"/>
          <w:highlight w:val="none"/>
          <w:u w:val="single"/>
        </w:rPr>
        <w:t>7</w:t>
      </w:r>
      <w:r>
        <w:rPr>
          <w:color w:val="auto"/>
          <w:spacing w:val="-2"/>
          <w:highlight w:val="none"/>
        </w:rPr>
        <w:t>日内搬离作业场所，没有按期搬离的，视为放弃作业场地内的全部机械设备和物品</w:t>
      </w:r>
      <w:r>
        <w:rPr>
          <w:rFonts w:hint="eastAsia"/>
          <w:color w:val="auto"/>
          <w:spacing w:val="-2"/>
          <w:highlight w:val="none"/>
        </w:rPr>
        <w:t>的所有权</w:t>
      </w:r>
      <w:r>
        <w:rPr>
          <w:color w:val="auto"/>
          <w:spacing w:val="-2"/>
          <w:highlight w:val="none"/>
        </w:rPr>
        <w:t>，甲方有权自行处置，所有责任由乙方承担</w:t>
      </w:r>
      <w:r>
        <w:rPr>
          <w:rFonts w:hint="eastAsia"/>
          <w:color w:val="auto"/>
          <w:spacing w:val="-2"/>
          <w:highlight w:val="none"/>
        </w:rPr>
        <w:t>。</w:t>
      </w:r>
    </w:p>
    <w:p>
      <w:pPr>
        <w:pStyle w:val="20"/>
        <w:numPr>
          <w:ilvl w:val="255"/>
          <w:numId w:val="0"/>
        </w:numPr>
        <w:rPr>
          <w:color w:val="auto"/>
          <w:highlight w:val="none"/>
        </w:rPr>
      </w:pPr>
    </w:p>
    <w:p>
      <w:pPr>
        <w:pStyle w:val="16"/>
        <w:rPr>
          <w:color w:val="auto"/>
          <w:highlight w:val="none"/>
        </w:rPr>
      </w:pPr>
      <w:r>
        <w:rPr>
          <w:rFonts w:hint="eastAsia" w:ascii="宋体" w:hAnsi="宋体"/>
          <w:bCs/>
          <w:color w:val="auto"/>
          <w:kern w:val="0"/>
          <w:highlight w:val="none"/>
        </w:rPr>
        <w:t>不可抗力</w:t>
      </w:r>
    </w:p>
    <w:p>
      <w:pPr>
        <w:pStyle w:val="20"/>
        <w:jc w:val="both"/>
        <w:rPr>
          <w:bCs/>
          <w:color w:val="auto"/>
          <w:highlight w:val="none"/>
        </w:rPr>
      </w:pPr>
      <w:r>
        <w:rPr>
          <w:bCs/>
          <w:color w:val="auto"/>
          <w:highlight w:val="none"/>
        </w:rPr>
        <w:t>不可抗力，是指不能预见、不能避免并不能克服、对本合同的</w:t>
      </w:r>
      <w:r>
        <w:rPr>
          <w:rFonts w:hint="eastAsia"/>
          <w:bCs/>
          <w:color w:val="auto"/>
          <w:highlight w:val="none"/>
        </w:rPr>
        <w:t>相关</w:t>
      </w:r>
      <w:r>
        <w:rPr>
          <w:bCs/>
          <w:color w:val="auto"/>
          <w:highlight w:val="none"/>
        </w:rPr>
        <w:t>工作造成实质性影响的自然灾害和战争、动乱（不包括乙方内部的任何纠纷和纷争）等社会事件</w:t>
      </w:r>
      <w:r>
        <w:rPr>
          <w:rFonts w:hint="eastAsia"/>
          <w:bCs/>
          <w:color w:val="auto"/>
          <w:highlight w:val="none"/>
        </w:rPr>
        <w:t>。</w:t>
      </w:r>
    </w:p>
    <w:p>
      <w:pPr>
        <w:pStyle w:val="20"/>
        <w:jc w:val="both"/>
        <w:rPr>
          <w:color w:val="auto"/>
          <w:highlight w:val="none"/>
        </w:rPr>
      </w:pPr>
      <w:r>
        <w:rPr>
          <w:color w:val="auto"/>
          <w:highlight w:val="none"/>
        </w:rPr>
        <w:t>因不可抗力事件导致的费用损失，由双方各自承担自己的损失。对不可抗力事件导致的乙方勘察成果文件提交时间的延误，由双方协商确定乙方提交勘察成果的提交时间</w:t>
      </w:r>
      <w:r>
        <w:rPr>
          <w:rFonts w:hint="eastAsia"/>
          <w:color w:val="auto"/>
          <w:highlight w:val="none"/>
        </w:rPr>
        <w:t>。</w:t>
      </w:r>
    </w:p>
    <w:p>
      <w:pPr>
        <w:pStyle w:val="20"/>
        <w:numPr>
          <w:ilvl w:val="255"/>
          <w:numId w:val="0"/>
        </w:numPr>
        <w:rPr>
          <w:color w:val="auto"/>
          <w:highlight w:val="none"/>
        </w:rPr>
      </w:pPr>
    </w:p>
    <w:p>
      <w:pPr>
        <w:pStyle w:val="16"/>
        <w:rPr>
          <w:color w:val="auto"/>
          <w:highlight w:val="none"/>
        </w:rPr>
      </w:pPr>
      <w:r>
        <w:rPr>
          <w:rFonts w:hint="eastAsia"/>
          <w:color w:val="auto"/>
          <w:highlight w:val="none"/>
        </w:rPr>
        <w:t>合同生效及其他</w:t>
      </w:r>
    </w:p>
    <w:p>
      <w:pPr>
        <w:pStyle w:val="2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份，其中正本</w:t>
      </w:r>
      <w:r>
        <w:rPr>
          <w:color w:val="auto"/>
          <w:highlight w:val="none"/>
        </w:rPr>
        <w:t>2</w:t>
      </w:r>
      <w:r>
        <w:rPr>
          <w:rFonts w:hint="eastAsia"/>
          <w:color w:val="auto"/>
          <w:highlight w:val="none"/>
        </w:rPr>
        <w:t>份，副本</w:t>
      </w:r>
      <w:r>
        <w:rPr>
          <w:rFonts w:hint="eastAsia"/>
          <w:color w:val="auto"/>
          <w:highlight w:val="none"/>
          <w:u w:val="single"/>
        </w:rPr>
        <w:t xml:space="preserve">   </w:t>
      </w:r>
      <w:r>
        <w:rPr>
          <w:rFonts w:hint="eastAsia"/>
          <w:color w:val="auto"/>
          <w:highlight w:val="none"/>
        </w:rPr>
        <w:t>份，甲方执正本</w:t>
      </w:r>
      <w:r>
        <w:rPr>
          <w:color w:val="auto"/>
          <w:highlight w:val="none"/>
        </w:rPr>
        <w:t>1</w:t>
      </w:r>
      <w:r>
        <w:rPr>
          <w:rFonts w:hint="eastAsia"/>
          <w:color w:val="auto"/>
          <w:highlight w:val="none"/>
        </w:rPr>
        <w:t>份，副本</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份，乙方执正本</w:t>
      </w:r>
      <w:r>
        <w:rPr>
          <w:color w:val="auto"/>
          <w:highlight w:val="none"/>
        </w:rPr>
        <w:t>1</w:t>
      </w:r>
      <w:r>
        <w:rPr>
          <w:rFonts w:hint="eastAsia"/>
          <w:color w:val="auto"/>
          <w:highlight w:val="none"/>
        </w:rPr>
        <w:t>份，副本</w:t>
      </w:r>
      <w:r>
        <w:rPr>
          <w:rFonts w:hint="eastAsia"/>
          <w:color w:val="auto"/>
          <w:highlight w:val="none"/>
          <w:u w:val="single"/>
        </w:rPr>
        <w:t xml:space="preserve">    </w:t>
      </w:r>
      <w:r>
        <w:rPr>
          <w:rFonts w:hint="eastAsia"/>
          <w:color w:val="auto"/>
          <w:highlight w:val="none"/>
        </w:rPr>
        <w:t>份</w:t>
      </w:r>
      <w:r>
        <w:rPr>
          <w:rFonts w:hint="eastAsia"/>
          <w:bCs/>
          <w:color w:val="auto"/>
          <w:highlight w:val="none"/>
        </w:rPr>
        <w:t>，正副本具有同等法律效力，当正副本不一致时，以正本为准</w:t>
      </w:r>
      <w:r>
        <w:rPr>
          <w:rFonts w:hint="eastAsia"/>
          <w:color w:val="auto"/>
          <w:highlight w:val="none"/>
        </w:rPr>
        <w:t>。</w:t>
      </w:r>
    </w:p>
    <w:p>
      <w:pPr>
        <w:pStyle w:val="20"/>
        <w:rPr>
          <w:color w:val="auto"/>
          <w:highlight w:val="none"/>
        </w:rPr>
      </w:pPr>
      <w:r>
        <w:rPr>
          <w:rFonts w:hint="eastAsia" w:hAnsi="宋体"/>
          <w:color w:val="auto"/>
          <w:kern w:val="0"/>
          <w:highlight w:val="none"/>
        </w:rPr>
        <w:t>本合同自双方签字盖章之日起生效。</w:t>
      </w:r>
    </w:p>
    <w:p>
      <w:pPr>
        <w:pStyle w:val="20"/>
        <w:rPr>
          <w:color w:val="auto"/>
          <w:highlight w:val="none"/>
        </w:rPr>
      </w:pPr>
      <w:r>
        <w:rPr>
          <w:rFonts w:hint="eastAsia"/>
          <w:color w:val="auto"/>
          <w:highlight w:val="none"/>
        </w:rPr>
        <w:t>双方履行完合同规定的义务后，本合同即行终止。</w:t>
      </w:r>
    </w:p>
    <w:p>
      <w:pPr>
        <w:pStyle w:val="20"/>
        <w:rPr>
          <w:color w:val="auto"/>
          <w:highlight w:val="none"/>
        </w:rPr>
      </w:pPr>
      <w:r>
        <w:rPr>
          <w:rFonts w:hint="eastAsia"/>
          <w:color w:val="auto"/>
          <w:highlight w:val="none"/>
        </w:rPr>
        <w:t>双方认可的来往传真、会议纪要等，均为合同的组成部分，与本合同具有同等法律效力。</w:t>
      </w:r>
    </w:p>
    <w:p>
      <w:pPr>
        <w:pStyle w:val="20"/>
        <w:ind w:left="567" w:hanging="567"/>
        <w:rPr>
          <w:color w:val="auto"/>
          <w:highlight w:val="none"/>
        </w:rPr>
      </w:pPr>
      <w:bookmarkStart w:id="15" w:name="_Hlk108684657"/>
      <w:r>
        <w:rPr>
          <w:rFonts w:hint="eastAsia"/>
          <w:color w:val="auto"/>
          <w:highlight w:val="none"/>
        </w:rPr>
        <w:t>双方确定，在本合同有效期内，甲方指定</w:t>
      </w:r>
      <w:r>
        <w:rPr>
          <w:rFonts w:hint="eastAsia"/>
          <w:color w:val="auto"/>
          <w:highlight w:val="none"/>
          <w:u w:val="single"/>
        </w:rPr>
        <w:t xml:space="preserve">     </w:t>
      </w:r>
      <w:r>
        <w:rPr>
          <w:rFonts w:hint="eastAsia"/>
          <w:color w:val="auto"/>
          <w:highlight w:val="none"/>
        </w:rPr>
        <w:t>为甲方项目联系人，联系方式：</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，乙方指定</w:t>
      </w:r>
      <w:r>
        <w:rPr>
          <w:rFonts w:hint="eastAsia"/>
          <w:color w:val="auto"/>
          <w:highlight w:val="none"/>
          <w:u w:val="single"/>
        </w:rPr>
        <w:t xml:space="preserve">     </w:t>
      </w:r>
      <w:r>
        <w:rPr>
          <w:rFonts w:hint="eastAsia"/>
          <w:color w:val="auto"/>
          <w:highlight w:val="none"/>
        </w:rPr>
        <w:t>为乙方项目联系人，联系方式：</w:t>
      </w:r>
      <w:r>
        <w:rPr>
          <w:rFonts w:hint="eastAsia"/>
          <w:color w:val="auto"/>
          <w:highlight w:val="none"/>
          <w:u w:val="single"/>
        </w:rPr>
        <w:t xml:space="preserve">      </w:t>
      </w:r>
      <w:r>
        <w:rPr>
          <w:rFonts w:hint="eastAsia"/>
          <w:color w:val="auto"/>
          <w:highlight w:val="none"/>
        </w:rPr>
        <w:t>。项目联系人承担以下责任：</w:t>
      </w:r>
    </w:p>
    <w:p>
      <w:pPr>
        <w:pStyle w:val="20"/>
        <w:numPr>
          <w:ilvl w:val="0"/>
          <w:numId w:val="0"/>
        </w:numPr>
        <w:ind w:firstLine="720" w:firstLineChars="300"/>
        <w:rPr>
          <w:color w:val="auto"/>
          <w:highlight w:val="none"/>
        </w:rPr>
      </w:pPr>
      <w:r>
        <w:rPr>
          <w:rFonts w:hint="eastAsia"/>
          <w:color w:val="auto"/>
          <w:highlight w:val="none"/>
        </w:rPr>
        <w:t>（1）负责项目有关事宜的联络与沟通。</w:t>
      </w:r>
    </w:p>
    <w:p>
      <w:pPr>
        <w:pStyle w:val="20"/>
        <w:numPr>
          <w:ilvl w:val="0"/>
          <w:numId w:val="0"/>
        </w:numPr>
        <w:ind w:firstLine="720" w:firstLineChars="300"/>
        <w:rPr>
          <w:color w:val="auto"/>
          <w:highlight w:val="none"/>
        </w:rPr>
      </w:pPr>
      <w:r>
        <w:rPr>
          <w:rFonts w:hint="eastAsia"/>
          <w:color w:val="auto"/>
          <w:highlight w:val="none"/>
        </w:rPr>
        <w:t>（2）跟进项目进度。</w:t>
      </w:r>
    </w:p>
    <w:p>
      <w:pPr>
        <w:pStyle w:val="20"/>
        <w:numPr>
          <w:ilvl w:val="0"/>
          <w:numId w:val="0"/>
        </w:numPr>
        <w:ind w:firstLine="720" w:firstLineChars="300"/>
        <w:rPr>
          <w:color w:val="auto"/>
          <w:highlight w:val="none"/>
        </w:rPr>
      </w:pPr>
      <w:r>
        <w:rPr>
          <w:rFonts w:hint="eastAsia"/>
          <w:color w:val="auto"/>
          <w:highlight w:val="none"/>
        </w:rPr>
        <w:t>（3）解决实际进程中出现的问题，并进行联络和沟通。</w:t>
      </w:r>
    </w:p>
    <w:p>
      <w:pPr>
        <w:pStyle w:val="20"/>
        <w:numPr>
          <w:ilvl w:val="0"/>
          <w:numId w:val="0"/>
        </w:numPr>
        <w:ind w:firstLine="480" w:firstLineChars="200"/>
        <w:rPr>
          <w:color w:val="auto"/>
          <w:highlight w:val="none"/>
        </w:rPr>
      </w:pPr>
      <w:r>
        <w:rPr>
          <w:rFonts w:hint="eastAsia"/>
          <w:color w:val="auto"/>
          <w:highlight w:val="none"/>
        </w:rPr>
        <w:t>一方变更项目联系人的，应当及时以书面形式通知另一方。未及时通知并影响本合同履行或造成损失的，应承担相应的责任。</w:t>
      </w:r>
      <w:bookmarkEnd w:id="15"/>
    </w:p>
    <w:p>
      <w:pPr>
        <w:pStyle w:val="20"/>
        <w:rPr>
          <w:color w:val="auto"/>
          <w:highlight w:val="none"/>
        </w:rPr>
      </w:pPr>
      <w:r>
        <w:rPr>
          <w:rFonts w:hint="eastAsia"/>
          <w:color w:val="auto"/>
          <w:highlight w:val="none"/>
        </w:rPr>
        <w:t>未尽事宜，双方协商一致，可签订补充协议，补充协议与本合同具有同等效力。</w:t>
      </w:r>
    </w:p>
    <w:p>
      <w:pPr>
        <w:pStyle w:val="20"/>
        <w:jc w:val="both"/>
        <w:rPr>
          <w:color w:val="auto"/>
          <w:highlight w:val="none"/>
        </w:rPr>
      </w:pPr>
      <w:r>
        <w:rPr>
          <w:rFonts w:hint="eastAsia"/>
          <w:color w:val="auto"/>
          <w:highlight w:val="none"/>
        </w:rPr>
        <w:tab/>
      </w:r>
      <w:r>
        <w:rPr>
          <w:rFonts w:hint="eastAsia"/>
          <w:color w:val="auto"/>
          <w:highlight w:val="none"/>
        </w:rPr>
        <w:t>下列合同附件为本合同不可分割的组成部分，与本合同具有同等法律效力：</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（1）安全生产管理协议书</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（2）廉洁责任书</w:t>
      </w:r>
    </w:p>
    <w:p>
      <w:pPr>
        <w:spacing w:line="360" w:lineRule="auto"/>
        <w:ind w:firstLine="480" w:firstLineChars="200"/>
        <w:rPr>
          <w:color w:val="auto"/>
          <w:highlight w:val="none"/>
        </w:rPr>
      </w:pPr>
      <w:r>
        <w:rPr>
          <w:rFonts w:hint="eastAsia" w:ascii="仿宋_GB2312" w:eastAsia="仿宋_GB2312"/>
          <w:color w:val="auto"/>
          <w:sz w:val="24"/>
          <w:highlight w:val="none"/>
        </w:rPr>
        <w:t>（</w:t>
      </w:r>
      <w:r>
        <w:rPr>
          <w:rFonts w:ascii="仿宋_GB2312" w:eastAsia="仿宋_GB2312"/>
          <w:color w:val="auto"/>
          <w:sz w:val="24"/>
          <w:highlight w:val="none"/>
        </w:rPr>
        <w:t>3</w:t>
      </w:r>
      <w:r>
        <w:rPr>
          <w:rFonts w:hint="eastAsia" w:ascii="仿宋_GB2312" w:eastAsia="仿宋_GB2312"/>
          <w:color w:val="auto"/>
          <w:sz w:val="24"/>
          <w:highlight w:val="none"/>
        </w:rPr>
        <w:t>）保密协议</w:t>
      </w:r>
    </w:p>
    <w:p>
      <w:pPr>
        <w:spacing w:line="360" w:lineRule="auto"/>
        <w:ind w:firstLine="480" w:firstLineChars="200"/>
        <w:rPr>
          <w:rFonts w:ascii="仿宋_GB2312" w:hAnsi="宋体" w:eastAsia="仿宋_GB2312"/>
          <w:color w:val="auto"/>
          <w:kern w:val="0"/>
          <w:sz w:val="24"/>
          <w:highlight w:val="none"/>
          <w:u w:val="single"/>
        </w:rPr>
      </w:pPr>
      <w:r>
        <w:rPr>
          <w:rFonts w:hint="eastAsia" w:ascii="仿宋_GB2312" w:hAnsi="宋体" w:eastAsia="仿宋_GB2312"/>
          <w:color w:val="auto"/>
          <w:kern w:val="0"/>
          <w:sz w:val="24"/>
          <w:highlight w:val="none"/>
          <w:u w:val="single"/>
        </w:rPr>
        <w:t>（</w:t>
      </w:r>
      <w:r>
        <w:rPr>
          <w:rFonts w:ascii="仿宋_GB2312" w:hAnsi="宋体" w:eastAsia="仿宋_GB2312"/>
          <w:color w:val="auto"/>
          <w:kern w:val="0"/>
          <w:sz w:val="24"/>
          <w:highlight w:val="none"/>
          <w:u w:val="single"/>
        </w:rPr>
        <w:t>4</w:t>
      </w:r>
      <w:r>
        <w:rPr>
          <w:rFonts w:hint="eastAsia" w:ascii="仿宋_GB2312" w:hAnsi="宋体" w:eastAsia="仿宋_GB2312"/>
          <w:color w:val="auto"/>
          <w:kern w:val="0"/>
          <w:sz w:val="24"/>
          <w:highlight w:val="none"/>
          <w:u w:val="single"/>
        </w:rPr>
        <w:t>）法定代表人证明书和授权委托书</w:t>
      </w:r>
    </w:p>
    <w:p>
      <w:pPr>
        <w:spacing w:line="360" w:lineRule="auto"/>
        <w:ind w:firstLine="480" w:firstLineChars="200"/>
        <w:rPr>
          <w:rFonts w:ascii="仿宋_GB2312" w:eastAsia="仿宋_GB2312"/>
          <w:color w:val="auto"/>
          <w:sz w:val="24"/>
          <w:highlight w:val="none"/>
          <w:u w:val="single"/>
        </w:rPr>
      </w:pPr>
      <w:r>
        <w:rPr>
          <w:rFonts w:hint="eastAsia" w:ascii="仿宋_GB2312" w:eastAsia="仿宋_GB2312"/>
          <w:color w:val="auto"/>
          <w:sz w:val="24"/>
          <w:highlight w:val="none"/>
          <w:u w:val="single"/>
        </w:rPr>
        <w:t>（</w:t>
      </w:r>
      <w:r>
        <w:rPr>
          <w:rFonts w:ascii="仿宋_GB2312" w:eastAsia="仿宋_GB2312"/>
          <w:color w:val="auto"/>
          <w:sz w:val="24"/>
          <w:highlight w:val="none"/>
          <w:u w:val="single"/>
        </w:rPr>
        <w:t>5</w:t>
      </w:r>
      <w:r>
        <w:rPr>
          <w:rFonts w:hint="eastAsia" w:ascii="仿宋_GB2312" w:eastAsia="仿宋_GB2312"/>
          <w:color w:val="auto"/>
          <w:sz w:val="24"/>
          <w:highlight w:val="none"/>
          <w:u w:val="single"/>
        </w:rPr>
        <w:t>）</w:t>
      </w:r>
      <w:r>
        <w:rPr>
          <w:rFonts w:hint="eastAsia" w:ascii="仿宋_GB2312" w:eastAsia="仿宋_GB2312"/>
          <w:color w:val="auto"/>
          <w:sz w:val="24"/>
          <w:highlight w:val="none"/>
          <w:u w:val="single"/>
        </w:rPr>
        <w:tab/>
      </w:r>
      <w:r>
        <w:rPr>
          <w:rFonts w:hint="eastAsia" w:ascii="仿宋_GB2312" w:eastAsia="仿宋_GB2312"/>
          <w:color w:val="auto"/>
          <w:sz w:val="24"/>
          <w:highlight w:val="none"/>
          <w:u w:val="single"/>
        </w:rPr>
        <w:t>成交通知书/发包通知书/委托书/中标通知书（如有）</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w:t>
      </w:r>
    </w:p>
    <w:p>
      <w:pPr>
        <w:pStyle w:val="2"/>
        <w:rPr>
          <w:color w:val="auto"/>
          <w:highlight w:val="none"/>
        </w:rPr>
      </w:pPr>
    </w:p>
    <w:p>
      <w:pPr>
        <w:pStyle w:val="2"/>
        <w:rPr>
          <w:color w:val="auto"/>
          <w:highlight w:val="none"/>
        </w:rPr>
      </w:pPr>
      <w:r>
        <w:rPr>
          <w:rFonts w:hint="eastAsia" w:ascii="仿宋_GB2312" w:hAnsi="宋体" w:eastAsia="仿宋_GB2312"/>
          <w:color w:val="auto"/>
          <w:highlight w:val="none"/>
        </w:rPr>
        <w:t xml:space="preserve">（合同签署页 合同编号： </w:t>
      </w:r>
      <w:r>
        <w:rPr>
          <w:rFonts w:ascii="仿宋_GB2312" w:hAnsi="宋体" w:eastAsia="仿宋_GB2312"/>
          <w:color w:val="auto"/>
          <w:highlight w:val="none"/>
        </w:rPr>
        <w:t xml:space="preserve">                       </w:t>
      </w:r>
      <w:r>
        <w:rPr>
          <w:rFonts w:hint="eastAsia" w:ascii="仿宋_GB2312" w:hAnsi="宋体" w:eastAsia="仿宋_GB2312"/>
          <w:color w:val="auto"/>
          <w:highlight w:val="none"/>
        </w:rPr>
        <w:t>）</w:t>
      </w:r>
    </w:p>
    <w:p>
      <w:pPr>
        <w:pStyle w:val="3"/>
        <w:rPr>
          <w:color w:val="auto"/>
          <w:highlight w:val="none"/>
        </w:rPr>
      </w:pPr>
    </w:p>
    <w:p>
      <w:pPr>
        <w:pStyle w:val="3"/>
        <w:rPr>
          <w:color w:val="auto"/>
          <w:highlight w:val="none"/>
        </w:rPr>
      </w:pPr>
    </w:p>
    <w:p>
      <w:pPr>
        <w:rPr>
          <w:color w:val="auto"/>
          <w:highlight w:val="none"/>
        </w:rPr>
      </w:pPr>
    </w:p>
    <w:tbl>
      <w:tblPr>
        <w:tblStyle w:val="12"/>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甲方（盖章）：               </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乙方（盖章）：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p>
        </w:tc>
        <w:tc>
          <w:tcPr>
            <w:tcW w:w="4148" w:type="dxa"/>
            <w:vAlign w:val="center"/>
          </w:tcPr>
          <w:p>
            <w:pPr>
              <w:rPr>
                <w:rFonts w:ascii="仿宋_GB2312" w:eastAsia="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法定代表人    </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或授权代表：</w:t>
            </w:r>
            <w:r>
              <w:rPr>
                <w:rFonts w:hint="eastAsia" w:ascii="仿宋_GB2312" w:hAnsi="等线" w:eastAsia="仿宋_GB2312"/>
                <w:color w:val="0000FF"/>
                <w:sz w:val="24"/>
                <w:highlight w:val="none"/>
                <w:lang w:eastAsia="zh-CN"/>
              </w:rPr>
              <w:t>（</w:t>
            </w:r>
            <w:r>
              <w:rPr>
                <w:rFonts w:hint="eastAsia" w:ascii="仿宋_GB2312" w:hAnsi="等线" w:eastAsia="仿宋_GB2312"/>
                <w:color w:val="0000FF"/>
                <w:sz w:val="24"/>
                <w:highlight w:val="none"/>
                <w:lang w:val="en-US" w:eastAsia="zh-CN"/>
              </w:rPr>
              <w:t>签章</w:t>
            </w:r>
            <w:r>
              <w:rPr>
                <w:rFonts w:hint="eastAsia" w:ascii="仿宋_GB2312" w:hAnsi="等线" w:eastAsia="仿宋_GB2312"/>
                <w:color w:val="0000FF"/>
                <w:sz w:val="24"/>
                <w:highlight w:val="none"/>
                <w:lang w:eastAsia="zh-CN"/>
              </w:rPr>
              <w:t>）</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或授权代表（签章）：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开户名称：广州市城市排水有限公司</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纳税人识别号： 91440101MA5AUN3J6L</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开户银行：中国民生银行股份有限公司广州分行营业部</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账    </w:t>
            </w:r>
            <w:r>
              <w:rPr>
                <w:rFonts w:hint="eastAsia" w:ascii="仿宋_GB2312" w:hAnsi="宋体" w:eastAsia="仿宋_GB2312"/>
                <w:color w:val="auto"/>
                <w:sz w:val="24"/>
                <w:highlight w:val="none"/>
              </w:rPr>
              <w:t>号：6</w:t>
            </w:r>
            <w:r>
              <w:rPr>
                <w:rFonts w:ascii="仿宋_GB2312" w:hAnsi="宋体" w:eastAsia="仿宋_GB2312"/>
                <w:color w:val="auto"/>
                <w:sz w:val="24"/>
                <w:highlight w:val="none"/>
              </w:rPr>
              <w:t>95610067</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账    号：</w:t>
            </w:r>
          </w:p>
        </w:tc>
      </w:tr>
    </w:tbl>
    <w:p>
      <w:pPr>
        <w:ind w:firstLine="420" w:firstLineChars="200"/>
        <w:rPr>
          <w:color w:val="auto"/>
          <w:highlight w:val="none"/>
        </w:rPr>
      </w:pPr>
    </w:p>
    <w:p>
      <w:pPr>
        <w:widowControl/>
        <w:jc w:val="left"/>
        <w:rPr>
          <w:color w:val="auto"/>
          <w:highlight w:val="none"/>
        </w:rPr>
      </w:pPr>
      <w:r>
        <w:rPr>
          <w:color w:val="auto"/>
          <w:highlight w:val="none"/>
        </w:rPr>
        <w:br w:type="page"/>
      </w:r>
    </w:p>
    <w:p>
      <w:pPr>
        <w:jc w:val="center"/>
        <w:rPr>
          <w:b/>
          <w:color w:val="auto"/>
          <w:sz w:val="36"/>
          <w:szCs w:val="36"/>
          <w:highlight w:val="none"/>
        </w:rPr>
      </w:pPr>
      <w:r>
        <w:rPr>
          <w:rFonts w:hint="eastAsia" w:ascii="黑体" w:hAnsi="黑体" w:eastAsia="黑体"/>
          <w:color w:val="auto"/>
          <w:sz w:val="30"/>
          <w:szCs w:val="30"/>
          <w:highlight w:val="none"/>
        </w:rPr>
        <mc:AlternateContent>
          <mc:Choice Requires="wps">
            <w:drawing>
              <wp:anchor distT="0" distB="0" distL="114300" distR="114300" simplePos="0" relativeHeight="251662336" behindDoc="0" locked="0" layoutInCell="1" allowOverlap="1">
                <wp:simplePos x="0" y="0"/>
                <wp:positionH relativeFrom="leftMargin">
                  <wp:posOffset>333375</wp:posOffset>
                </wp:positionH>
                <wp:positionV relativeFrom="paragraph">
                  <wp:posOffset>-480695</wp:posOffset>
                </wp:positionV>
                <wp:extent cx="800100" cy="4762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34.15pt;height:37.5pt;width:63pt;mso-position-horizontal-relative:page;mso-position-vertical-relative:page;z-index:251662336;mso-width-relative:page;mso-height-relative:page;" filled="f" stroked="f" coordsize="21600,21600" o:gfxdata="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e/IH2AAAAAgBAAAPAAAAAAAAAAEAIAAAACIAAABkcnMvZG93&#10;bnJldi54bWxQSwECFAAUAAAACACHTuJAE79RKzkCAABlBAAADgAAAAAAAAABACAAAAAnAQAAZHJz&#10;L2Uyb0RvYy54bWxQSwUGAAAAAAYABgBZAQAA0g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1</w:t>
                      </w:r>
                    </w:p>
                  </w:txbxContent>
                </v:textbox>
              </v:shape>
            </w:pict>
          </mc:Fallback>
        </mc:AlternateContent>
      </w:r>
      <w:r>
        <w:rPr>
          <w:rFonts w:hint="eastAsia"/>
          <w:b/>
          <w:color w:val="auto"/>
          <w:sz w:val="36"/>
          <w:szCs w:val="36"/>
          <w:highlight w:val="none"/>
        </w:rPr>
        <w:t>安全生产管理协议书</w:t>
      </w:r>
    </w:p>
    <w:p>
      <w:pPr>
        <w:rPr>
          <w:b/>
          <w:color w:val="auto"/>
          <w:sz w:val="44"/>
          <w:szCs w:val="28"/>
          <w:highlight w:val="none"/>
        </w:rPr>
      </w:pP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甲方（发包人）：</w:t>
      </w:r>
      <w:r>
        <w:rPr>
          <w:rFonts w:hint="eastAsia" w:ascii="仿宋_GB2312" w:eastAsia="仿宋_GB2312"/>
          <w:color w:val="auto"/>
          <w:sz w:val="24"/>
          <w:highlight w:val="none"/>
          <w:u w:val="single"/>
          <w:lang w:val="zh-CN"/>
        </w:rPr>
        <w:t>广州市城市排水有限公司</w:t>
      </w:r>
    </w:p>
    <w:p>
      <w:pPr>
        <w:spacing w:line="400" w:lineRule="exact"/>
        <w:rPr>
          <w:rFonts w:ascii="仿宋_GB2312" w:eastAsia="仿宋_GB2312"/>
          <w:color w:val="auto"/>
          <w:sz w:val="24"/>
          <w:highlight w:val="none"/>
          <w:u w:val="single"/>
          <w:lang w:val="zh-CN"/>
        </w:rPr>
      </w:pPr>
      <w:r>
        <w:rPr>
          <w:rFonts w:hint="eastAsia" w:ascii="仿宋_GB2312" w:eastAsia="仿宋_GB2312"/>
          <w:color w:val="auto"/>
          <w:sz w:val="24"/>
          <w:highlight w:val="none"/>
        </w:rPr>
        <w:t>乙方（承包人）：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zh-CN"/>
        </w:rPr>
        <w:t xml:space="preserve"> </w:t>
      </w:r>
    </w:p>
    <w:p>
      <w:pPr>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项目名称：</w:t>
      </w:r>
      <w:bookmarkStart w:id="16" w:name="_Hlk47943498"/>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bookmarkEnd w:id="16"/>
    </w:p>
    <w:p>
      <w:pPr>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项目编号：</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pPr>
        <w:spacing w:line="400" w:lineRule="exact"/>
        <w:rPr>
          <w:rFonts w:ascii="仿宋_GB2312" w:eastAsia="仿宋_GB2312"/>
          <w:color w:val="auto"/>
          <w:sz w:val="24"/>
          <w:highlight w:val="none"/>
        </w:rPr>
      </w:pPr>
    </w:p>
    <w:p>
      <w:pPr>
        <w:spacing w:line="360" w:lineRule="auto"/>
        <w:ind w:firstLine="480" w:firstLineChars="200"/>
        <w:rPr>
          <w:rFonts w:hAnsi="??" w:eastAsia="仿宋_GB2312"/>
          <w:color w:val="auto"/>
          <w:sz w:val="24"/>
          <w:highlight w:val="none"/>
        </w:rPr>
      </w:pPr>
      <w:r>
        <w:rPr>
          <w:rFonts w:hint="eastAsia" w:eastAsia="仿宋_GB2312"/>
          <w:color w:val="auto"/>
          <w:sz w:val="24"/>
          <w:highlight w:val="none"/>
        </w:rPr>
        <w:t>根据《中华人民共和国安全生产法》、《中华人民共和国建筑法》、《建设工程安全生产管理条例》、《生产安全事故报告和调查处理条例》和《广州市安全生产条例》</w:t>
      </w:r>
      <w:r>
        <w:rPr>
          <w:rFonts w:hint="eastAsia" w:hAnsi="??" w:eastAsia="仿宋_GB2312"/>
          <w:color w:val="auto"/>
          <w:sz w:val="24"/>
          <w:highlight w:val="none"/>
        </w:rPr>
        <w:t>等有关安全生产法律法规，经双方协商，签订本协议书，以明确各自的安全生产（含文明施工、职业健康、消防安全等）责任并共同遵守。</w:t>
      </w:r>
    </w:p>
    <w:p>
      <w:pPr>
        <w:numPr>
          <w:ilvl w:val="0"/>
          <w:numId w:val="13"/>
        </w:numPr>
        <w:spacing w:line="360" w:lineRule="auto"/>
        <w:rPr>
          <w:rFonts w:ascii="仿宋_GB2312" w:eastAsia="黑体"/>
          <w:b/>
          <w:color w:val="auto"/>
          <w:sz w:val="24"/>
          <w:highlight w:val="none"/>
        </w:rPr>
      </w:pPr>
      <w:r>
        <w:rPr>
          <w:rFonts w:hint="eastAsia" w:ascii="仿宋_GB2312" w:eastAsia="黑体"/>
          <w:b/>
          <w:color w:val="auto"/>
          <w:sz w:val="24"/>
          <w:highlight w:val="none"/>
        </w:rPr>
        <w:t>承包人管理架构</w:t>
      </w:r>
    </w:p>
    <w:p>
      <w:pPr>
        <w:widowControl/>
        <w:spacing w:line="400" w:lineRule="exact"/>
        <w:ind w:firstLine="480" w:firstLineChars="200"/>
        <w:rPr>
          <w:rFonts w:ascii="仿宋_GB2312" w:hAnsi="??" w:eastAsia="仿宋_GB2312"/>
          <w:color w:val="auto"/>
          <w:kern w:val="0"/>
          <w:sz w:val="24"/>
          <w:highlight w:val="none"/>
        </w:rPr>
      </w:pPr>
      <w:r>
        <w:rPr>
          <w:rFonts w:hint="eastAsia" w:ascii="仿宋_GB2312" w:hAnsi="??" w:eastAsia="仿宋_GB2312"/>
          <w:color w:val="auto"/>
          <w:kern w:val="0"/>
          <w:sz w:val="24"/>
          <w:highlight w:val="none"/>
        </w:rPr>
        <w:t>承包人任命</w:t>
      </w:r>
      <w:r>
        <w:rPr>
          <w:rFonts w:hint="eastAsia" w:ascii="仿宋_GB2312" w:hAnsi="??" w:eastAsia="仿宋_GB2312"/>
          <w:color w:val="auto"/>
          <w:kern w:val="0"/>
          <w:sz w:val="24"/>
          <w:highlight w:val="none"/>
          <w:u w:val="single"/>
        </w:rPr>
        <w:t xml:space="preserve">    </w:t>
      </w:r>
      <w:r>
        <w:rPr>
          <w:rFonts w:hint="eastAsia" w:ascii="仿宋_GB2312" w:hAnsi="??" w:eastAsia="仿宋_GB2312"/>
          <w:color w:val="auto"/>
          <w:kern w:val="0"/>
          <w:sz w:val="24"/>
          <w:highlight w:val="none"/>
        </w:rPr>
        <w:t>为该项目负责人，全面负责该项目项目管理；任命</w:t>
      </w:r>
      <w:r>
        <w:rPr>
          <w:rFonts w:hint="eastAsia" w:ascii="仿宋_GB2312" w:hAnsi="??" w:eastAsia="仿宋_GB2312"/>
          <w:color w:val="auto"/>
          <w:kern w:val="0"/>
          <w:sz w:val="24"/>
          <w:highlight w:val="none"/>
          <w:u w:val="single"/>
        </w:rPr>
        <w:t xml:space="preserve">     </w:t>
      </w:r>
      <w:r>
        <w:rPr>
          <w:rFonts w:hint="eastAsia" w:ascii="仿宋_GB2312" w:hAnsi="??" w:eastAsia="仿宋_GB2312"/>
          <w:color w:val="auto"/>
          <w:kern w:val="0"/>
          <w:sz w:val="24"/>
          <w:highlight w:val="none"/>
        </w:rPr>
        <w:t>为该项目安全员，负责该项目安全管理。</w:t>
      </w:r>
    </w:p>
    <w:p>
      <w:pPr>
        <w:numPr>
          <w:ilvl w:val="0"/>
          <w:numId w:val="13"/>
        </w:numPr>
        <w:spacing w:line="360" w:lineRule="auto"/>
        <w:rPr>
          <w:rFonts w:ascii="仿宋_GB2312" w:eastAsia="黑体"/>
          <w:b/>
          <w:color w:val="auto"/>
          <w:sz w:val="24"/>
          <w:highlight w:val="none"/>
        </w:rPr>
      </w:pPr>
      <w:r>
        <w:rPr>
          <w:rFonts w:hint="eastAsia" w:ascii="仿宋_GB2312" w:eastAsia="黑体"/>
          <w:b/>
          <w:color w:val="auto"/>
          <w:sz w:val="24"/>
          <w:highlight w:val="none"/>
        </w:rPr>
        <w:t>发包人的责任、权利及义务</w:t>
      </w:r>
    </w:p>
    <w:p>
      <w:pPr>
        <w:numPr>
          <w:ilvl w:val="0"/>
          <w:numId w:val="14"/>
        </w:numPr>
        <w:spacing w:line="360" w:lineRule="auto"/>
        <w:rPr>
          <w:rFonts w:ascii="仿宋_GB2312" w:eastAsia="仿宋_GB2312"/>
          <w:vanish/>
          <w:color w:val="auto"/>
          <w:sz w:val="24"/>
          <w:highlight w:val="none"/>
        </w:rPr>
      </w:pP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对承包人安全生产工作进行监督、指导、检查，对发现的问题及薄弱环节，督促承包人限期整改。</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有权制止承包人的违规作业，对于安全管理不到位、存在重大安全隐患或发生安全事故的，有权责令承包人停工整顿、限期退场，或单方解除工程委托、合同及相关协议（以下统称“合同”）。</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有权责令安全素质差、不服从安全生产指挥的承包人人员限期退场，承包人应当自接到发包人退场通知之日起1个日历天内进行人员更换。否则，发包人有权责令承包人停工直至解除合同。由此造成发包人损失的，承包人应予赔偿。</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对于承包人的违法违规、违约行为，有权追究承包人的法律责任。</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按合同约定支付安全生产措施费。</w:t>
      </w:r>
    </w:p>
    <w:p>
      <w:pPr>
        <w:numPr>
          <w:ilvl w:val="0"/>
          <w:numId w:val="13"/>
        </w:numPr>
        <w:spacing w:line="360" w:lineRule="auto"/>
        <w:rPr>
          <w:rFonts w:ascii="仿宋_GB2312" w:eastAsia="黑体"/>
          <w:b/>
          <w:color w:val="auto"/>
          <w:sz w:val="24"/>
          <w:highlight w:val="none"/>
        </w:rPr>
      </w:pPr>
      <w:r>
        <w:rPr>
          <w:rFonts w:hint="eastAsia" w:ascii="仿宋_GB2312" w:eastAsia="黑体"/>
          <w:b/>
          <w:color w:val="auto"/>
          <w:sz w:val="24"/>
          <w:highlight w:val="none"/>
        </w:rPr>
        <w:t>承包人的责任、权利及义务</w:t>
      </w:r>
    </w:p>
    <w:p>
      <w:pPr>
        <w:numPr>
          <w:ilvl w:val="0"/>
          <w:numId w:val="14"/>
        </w:numPr>
        <w:spacing w:line="360" w:lineRule="auto"/>
        <w:rPr>
          <w:rFonts w:ascii="仿宋_GB2312" w:eastAsia="仿宋_GB2312"/>
          <w:vanish/>
          <w:color w:val="auto"/>
          <w:sz w:val="24"/>
          <w:highlight w:val="none"/>
        </w:rPr>
      </w:pP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依法对所施工的项目安全生产工作全面负责，按规定做到“五落实五到位”。</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应建立健全安全生产责任制度和安全教育培训制度，制定安全生产规章制度、操作规程和生产安全事故应急预案，保证安全生产条件所需资金的投入，对项目进行定期、不定期和专项安全检查，检查中发现隐患或违规作业应及时停业整改。如有较大安全隐患必须及时向安全管理部门汇报，制定措施，按照“三定原则”落实（确定整改措施，确定整改时限，确定整改人员尤其是责任人）。</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认真贯彻执行国家、省、市有关安全生产法律、法规，建立健全安全生产组织领导机构及管理机构，按规定配备专职安全生产管理人员，健全安全生产管理网络，按照行业标准及规范组织实施。随项目进度各项安全防护设施及时到位。</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必须在施工现场建立消防安全责任制度，确定消防安全责任人，制定用火、用电、使用易燃易爆材料等各项消防安全管理制度和操作规程，设置消防水源、配备消防设施和灭火器材，并在施工现场入口处设置明显标志。</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安排上岗的人员的身体素质、技术水平、安全意识均应符合要求。项目负责人、技术负责人、专职安全员、特殊工种人员均应具备相应资格，持证上岗。设置一名兼职安全员，负责参与安全生产活动，同步建立安全台帐。</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针对重大危险源，开展应急演练，并及时建立安全台帐。</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如项目涉及有限空间作业，应根据《广州市排水设施维护有限空间作业安全生产工作指引（试行）》（穗水排水</w:t>
      </w:r>
      <w:r>
        <w:rPr>
          <w:rFonts w:hint="eastAsia" w:ascii="仿宋_GB2312" w:hAnsi="仿宋_GB2312" w:eastAsia="仿宋_GB2312" w:cs="仿宋_GB2312"/>
          <w:color w:val="auto"/>
          <w:sz w:val="24"/>
          <w:highlight w:val="none"/>
        </w:rPr>
        <w:t>〔2021〕7号</w:t>
      </w:r>
      <w:r>
        <w:rPr>
          <w:rFonts w:hint="eastAsia" w:ascii="仿宋_GB2312" w:eastAsia="仿宋_GB2312"/>
          <w:color w:val="auto"/>
          <w:sz w:val="24"/>
          <w:highlight w:val="none"/>
        </w:rPr>
        <w:t>）要求，落实相关安全措施，并配备视频监控设备，在开展有限空间作业时应正确使用视频监控设备并保存作业影像资料。</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应有保障施工等人员安全施工的、完整齐全的安全防护设施。购置的安全防护用品必须具有生产许可证、产品备案证，各项指标均应达到国家或行业的合格标准，严禁不合格防护用品进入施工现场。建立劳动防护用品储存、发放台帐，督促、教育进场人员按照使用规则佩戴、使用。</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应对进场人员进行安全技术交底和教育培训，开展安全检查和安全学习活动，保证从业人员具备安全生产知识，熟悉安全生产规章制度和安全操作规程，掌握本岗位的安全操作技能，未经安全生产教育培训合格的人员不得上岗作业。</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不得违规指挥，或强令工人冒险作业，也不得强迫工人长时间连续作业，做好劳动保护工作同时做好季节性的安全防护工作。</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对危险较大的作业场所和有关设施、设备要设置明显的安全警示标志。</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主动接受发包人各级、各类安全检查，并积极配合，不得拒绝、阻挠或拖延，并应在检查记录上签字。</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定期自查自纠安全隐患及违反安全管理规定的因素，保证项目安全顺利进行。</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使用的施工工具(包括电器用具)要符合安全要求,发包人在检查中若发现有不符合安全要求的，有权禁止承包方使用;同时应做好防盗工作。</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油类、化学物品等易燃、易爆及有毒物品应指定专人管理, 不得露天存放,防止因泄漏或雨水冲刷污染环境。</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在施工过程中, 除考虑采用先进的施工设备、先进的施工方法外,特别应调整好(如:打桩、搅拌、灌浆等) 作业时间，防止和减轻粉尘、噪声、震动等对周围环境的污染和危害。在运输施工材料或土石、泥浆时,应采用防泄漏容器或加盖篷罩,防止粉尘飞扬或泄漏污染环境。</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施工过程中的废油、废水、固废不得随意排放，应集中妥善处理。</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事故发生后，应立即保护事故现场，采取有效措施抢救人员和财产；对事故现场进行拍照或录像；同时在半小时内向发包人报告事故详情，在两小时内向行政主管部门及当地政府报告事故详情。</w:t>
      </w:r>
    </w:p>
    <w:p>
      <w:pPr>
        <w:numPr>
          <w:ilvl w:val="0"/>
          <w:numId w:val="13"/>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违约责任</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承包人未尽到安全责任而发生安全事故的，一切责任由承包人承担，给发包人造成损失的，承包人应予赔偿。</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发生安全事故重伤一人以上（含一人）的扣除承包人合同暂定价的5%／次／人，发生安全事故死亡一人以上（含一人）的扣除承包人合同暂定价的10%／次／人，且任一情形下发包人均有权单方解除合同。</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承包人安排未持证人员从事特种作业的，发包人有权责令无证照人员立即退场，并按500元/人次对承包人扣除。超过3人次的，发包人有权单方解除合同。承包人应按合同暂定价的1%向发包人支付违约金。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承包人进场人员未按要求佩戴安全防护用品的，发包人有权要求整改，并按200元／人次对承包人扣除。超过3人次的，发包人有权单方解除合同。承包人应按合同暂定价的1%向发包人支付违约金。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承包人未按要求设置安全警示标志或对施工场所进行围蔽的，发包人有权要求整改，并按500元／次对承包人扣除 。超过3次的，发包人有权单方解除合同。承包人应按合同暂定价的1%向发包人支付违约金。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未履行有限空间作业“七个必须”职责，未落实有限空间作业“七不准”相关要求的，发包人有权要求整改，并按1000元/项对承包人扣除；开展有限空间作业时未配备视频监控设备或无作业影像资料的，发包人有权要求整改，按500元/次对承包人扣除。超过3次的，发包人有权单方解除合同，承包人应按合同暂定价的1%向发包人支付违约金。</w:t>
      </w:r>
    </w:p>
    <w:p>
      <w:pPr>
        <w:numPr>
          <w:ilvl w:val="1"/>
          <w:numId w:val="13"/>
        </w:numPr>
        <w:spacing w:line="360" w:lineRule="auto"/>
        <w:rPr>
          <w:color w:val="auto"/>
          <w:highlight w:val="none"/>
        </w:rPr>
      </w:pPr>
      <w:r>
        <w:rPr>
          <w:rFonts w:hint="eastAsia" w:ascii="仿宋_GB2312" w:eastAsia="仿宋_GB2312"/>
          <w:color w:val="auto"/>
          <w:sz w:val="24"/>
          <w:highlight w:val="none"/>
        </w:rPr>
        <w:t>项目负责人如不到位，每发生一次则扣除合同暂定价的2%。技术负责人、安全员、施工员未到岗履职，记违约一次，发包人有权每次以每人次1000元进行扣除违约金。超过3次的，发包人有权要求承包人更换相应人员且更换人员的资质不得低于前者。</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除上述约定外，承包人未按约定履行相应义务的，每违反一次，发包人有权按合同暂定价的1%进行扣除或要求承包人支付违约金。经发包人要求整改后不予整改或未按要求整改，或累计违反次数达3次的，发包人有权单方解除合同，承包人应按合同暂定价的2%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如上述约定的违约金不能弥补因承包人违约而给发包人造成的损失的，发包人有权进一步要求承包人赔偿。</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上述提及的扣除款、违约金等，发包人有权在应付款、履约保证金（如有）中优先扣除。</w:t>
      </w:r>
    </w:p>
    <w:p>
      <w:pPr>
        <w:pStyle w:val="16"/>
        <w:numPr>
          <w:ilvl w:val="0"/>
          <w:numId w:val="0"/>
        </w:numPr>
        <w:rPr>
          <w:color w:val="auto"/>
          <w:highlight w:val="none"/>
        </w:rPr>
      </w:pPr>
      <w:r>
        <w:rPr>
          <w:rFonts w:hint="eastAsia"/>
          <w:color w:val="auto"/>
          <w:highlight w:val="none"/>
        </w:rPr>
        <w:t>5.协议书生效</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5.1本协议作为主合同组成部分，与主合同具有同等法律效力。</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5.2本协议有效期为双方盖章之日起至项目完成</w:t>
      </w:r>
      <w:r>
        <w:rPr>
          <w:rFonts w:ascii="仿宋_GB2312" w:eastAsia="仿宋_GB2312"/>
          <w:color w:val="auto"/>
          <w:sz w:val="24"/>
          <w:highlight w:val="none"/>
        </w:rPr>
        <w:t>(</w:t>
      </w:r>
      <w:r>
        <w:rPr>
          <w:rFonts w:hint="eastAsia" w:ascii="仿宋_GB2312" w:eastAsia="仿宋_GB2312"/>
          <w:color w:val="auto"/>
          <w:sz w:val="24"/>
          <w:highlight w:val="none"/>
        </w:rPr>
        <w:t>验收合格</w:t>
      </w:r>
      <w:r>
        <w:rPr>
          <w:rFonts w:ascii="仿宋_GB2312" w:eastAsia="仿宋_GB2312"/>
          <w:color w:val="auto"/>
          <w:sz w:val="24"/>
          <w:highlight w:val="none"/>
        </w:rPr>
        <w:t>)</w:t>
      </w:r>
      <w:r>
        <w:rPr>
          <w:rFonts w:hint="eastAsia" w:ascii="仿宋_GB2312" w:eastAsia="仿宋_GB2312"/>
          <w:color w:val="auto"/>
          <w:sz w:val="24"/>
          <w:highlight w:val="none"/>
        </w:rPr>
        <w:t>时。</w:t>
      </w:r>
    </w:p>
    <w:p>
      <w:pPr>
        <w:widowControl/>
        <w:spacing w:line="600" w:lineRule="exact"/>
        <w:jc w:val="left"/>
        <w:rPr>
          <w:rFonts w:ascii="宋体" w:cs="宋体"/>
          <w:color w:val="auto"/>
          <w:kern w:val="0"/>
          <w:sz w:val="24"/>
          <w:highlight w:val="none"/>
        </w:rPr>
      </w:pPr>
    </w:p>
    <w:p>
      <w:pPr>
        <w:pStyle w:val="2"/>
        <w:rPr>
          <w:color w:val="auto"/>
          <w:highlight w:val="none"/>
        </w:rPr>
      </w:pPr>
    </w:p>
    <w:tbl>
      <w:tblPr>
        <w:tblStyle w:val="36"/>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tbl>
    <w:p>
      <w:pPr>
        <w:widowControl/>
        <w:jc w:val="left"/>
        <w:rPr>
          <w:rFonts w:ascii="宋体" w:hAnsi="宋体"/>
          <w:color w:val="auto"/>
          <w:kern w:val="0"/>
          <w:szCs w:val="21"/>
          <w:highlight w:val="none"/>
        </w:rPr>
      </w:pPr>
    </w:p>
    <w:p>
      <w:pPr>
        <w:pStyle w:val="2"/>
        <w:rPr>
          <w:color w:val="auto"/>
          <w:highlight w:val="none"/>
        </w:rPr>
      </w:pPr>
      <w:r>
        <w:rPr>
          <w:color w:val="auto"/>
          <w:highlight w:val="none"/>
        </w:rPr>
        <w:br w:type="page"/>
      </w:r>
    </w:p>
    <w:p>
      <w:pPr>
        <w:widowControl/>
        <w:jc w:val="left"/>
        <w:rPr>
          <w:rFonts w:ascii="宋体" w:hAnsi="宋体"/>
          <w:color w:val="auto"/>
          <w:kern w:val="0"/>
          <w:szCs w:val="21"/>
          <w:highlight w:val="none"/>
        </w:rPr>
      </w:pPr>
    </w:p>
    <w:p>
      <w:pPr>
        <w:tabs>
          <w:tab w:val="left" w:pos="709"/>
        </w:tabs>
        <w:jc w:val="center"/>
        <w:rPr>
          <w:b/>
          <w:color w:val="auto"/>
          <w:sz w:val="32"/>
          <w:szCs w:val="32"/>
          <w:highlight w:val="none"/>
        </w:rPr>
      </w:pPr>
      <w:r>
        <w:rPr>
          <w:rFonts w:hint="eastAsia" w:ascii="黑体" w:hAnsi="黑体" w:eastAsia="黑体"/>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leftMargin">
                  <wp:align>right</wp:align>
                </wp:positionH>
                <wp:positionV relativeFrom="paragraph">
                  <wp:posOffset>-495300</wp:posOffset>
                </wp:positionV>
                <wp:extent cx="800100" cy="4762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48.6pt;height:37.5pt;width:63pt;mso-position-horizontal-relative:page;mso-position-vertical-relative:page;z-index:251661312;mso-width-relative:page;mso-height-relative:page;" filled="f" stroked="f" coordsize="21600,21600" o:gfxdata="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Vks51wAAAAcBAAAPAAAAAAAAAAEAIAAAACIAAABkcnMvZG93&#10;bnJldi54bWxQSwECFAAUAAAACACHTuJAlLNxJToCAABlBAAADgAAAAAAAAABACAAAAAmAQAAZHJz&#10;L2Uyb0RvYy54bWxQSwUGAAAAAAYABgBZAQAA0g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2</w:t>
                      </w:r>
                    </w:p>
                  </w:txbxContent>
                </v:textbox>
              </v:shape>
            </w:pict>
          </mc:Fallback>
        </mc:AlternateContent>
      </w:r>
      <w:r>
        <w:rPr>
          <w:rFonts w:hint="eastAsia"/>
          <w:b/>
          <w:color w:val="auto"/>
          <w:sz w:val="32"/>
          <w:szCs w:val="32"/>
          <w:highlight w:val="none"/>
        </w:rPr>
        <w:t>廉洁责任书</w:t>
      </w:r>
    </w:p>
    <w:p>
      <w:pPr>
        <w:widowControl/>
        <w:spacing w:line="500" w:lineRule="exact"/>
        <w:jc w:val="left"/>
        <w:rPr>
          <w:b/>
          <w:color w:val="auto"/>
          <w:sz w:val="32"/>
          <w:szCs w:val="32"/>
          <w:highlight w:val="none"/>
        </w:rPr>
      </w:pP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发包人（甲方）：</w:t>
      </w:r>
      <w:r>
        <w:rPr>
          <w:rFonts w:hint="eastAsia" w:ascii="仿宋_GB2312" w:eastAsia="仿宋_GB2312"/>
          <w:color w:val="auto"/>
          <w:sz w:val="24"/>
          <w:highlight w:val="none"/>
          <w:u w:val="single"/>
        </w:rPr>
        <w:t xml:space="preserve">广州市城市排水有限公司 </w:t>
      </w:r>
      <w:r>
        <w:rPr>
          <w:rFonts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勘察人（乙方）：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pStyle w:val="2"/>
        <w:rPr>
          <w:color w:val="auto"/>
          <w:highlight w:val="none"/>
        </w:rPr>
      </w:pPr>
    </w:p>
    <w:p>
      <w:pPr>
        <w:spacing w:line="360" w:lineRule="auto"/>
        <w:ind w:firstLine="480" w:firstLineChars="200"/>
        <w:rPr>
          <w:rFonts w:eastAsia="仿宋_GB2312"/>
          <w:color w:val="auto"/>
          <w:sz w:val="24"/>
          <w:highlight w:val="none"/>
        </w:rPr>
      </w:pPr>
      <w:r>
        <w:rPr>
          <w:rFonts w:hint="eastAsia" w:eastAsia="仿宋_GB2312"/>
          <w:color w:val="auto"/>
          <w:sz w:val="24"/>
          <w:highlight w:val="none"/>
        </w:rPr>
        <w:t>为加强廉洁建设，防止主合同履约过程中发生各种谋取不正当利益的违法违纪行为，甲方、乙方双方经共同协商，在双方签订的</w:t>
      </w:r>
      <w:r>
        <w:rPr>
          <w:rFonts w:hint="eastAsia" w:eastAsia="仿宋_GB2312"/>
          <w:color w:val="auto"/>
          <w:sz w:val="24"/>
          <w:highlight w:val="none"/>
          <w:u w:val="single"/>
        </w:rPr>
        <w:t xml:space="preserve">                  </w:t>
      </w:r>
      <w:r>
        <w:rPr>
          <w:rFonts w:hint="eastAsia" w:eastAsia="仿宋_GB2312"/>
          <w:color w:val="auto"/>
          <w:sz w:val="24"/>
          <w:highlight w:val="none"/>
        </w:rPr>
        <w:t>项目（以下简称“本项目”）合同（合同编号：</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hint="eastAsia" w:eastAsia="仿宋_GB2312"/>
          <w:color w:val="auto"/>
          <w:sz w:val="24"/>
          <w:highlight w:val="none"/>
        </w:rPr>
        <w:t>，以下简称“主合同”）约定条款的基础上，根据国家有关法律法规和廉政建设的有关规定，特订立本廉洁责任书，以资共同遵守。</w:t>
      </w:r>
    </w:p>
    <w:p>
      <w:pPr>
        <w:numPr>
          <w:ilvl w:val="0"/>
          <w:numId w:val="15"/>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双方的责任</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严格遵守国家关于</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服务等有关法律法规、相关政策以及廉政建设的各项规定。</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严格执行主合同条款，自觉按合同办事。</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业务活动必须坚持公开、公平、公正、诚信的原则，不得为获取不正当利益，损害国家、集体和对方利益，不得违反</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服务管理的规章制度。</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在业务活动中任何一方如发现单位或人员有违规、违纪、违法行为的，均有义务向其上级主管部门或纪检监察、司法等机关举报。</w:t>
      </w:r>
    </w:p>
    <w:p>
      <w:pPr>
        <w:numPr>
          <w:ilvl w:val="0"/>
          <w:numId w:val="17"/>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 xml:space="preserve">甲方责任 </w:t>
      </w:r>
    </w:p>
    <w:p>
      <w:pPr>
        <w:numPr>
          <w:ilvl w:val="0"/>
          <w:numId w:val="16"/>
        </w:numPr>
        <w:spacing w:line="360" w:lineRule="auto"/>
        <w:jc w:val="left"/>
        <w:rPr>
          <w:rFonts w:ascii="仿宋_GB2312" w:eastAsia="仿宋_GB2312"/>
          <w:vanish/>
          <w:color w:val="auto"/>
          <w:sz w:val="24"/>
          <w:highlight w:val="none"/>
        </w:rPr>
      </w:pP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甲方须向乙方介绍本单位有关廉政建设的各项制度和规定，并有权监督乙方履行主合同的廉洁情况。</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甲方须对本单位工作人员开展廉洁教育,督促本单位从业人员遵守以下规定：</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不得向乙方索要或接受回扣、礼金、有价证券、贵重物品等。</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不得要求乙方报销任何应由甲方或其工作人员支付的费用。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不得要求、暗示或接受乙方为甲方工作人员的住房装修、婚丧嫁娶、配偶子女工作安排以及出国（境）、旅游等事项提供方便。</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不得参加有可能影响公正履行岗位职责的乙方安排的宴请、健身、娱乐等活动。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不得向乙方推荐与主合同有关的劳务分包单位。</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不得向乙方推荐甲方工作人员的配偶、子女、亲属参与主合同的设备材料、劳务分包等经济活动。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不得有其他可能影响公正履行岗位职责的行为。</w:t>
      </w:r>
    </w:p>
    <w:p>
      <w:pPr>
        <w:numPr>
          <w:ilvl w:val="0"/>
          <w:numId w:val="19"/>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乙方责任</w:t>
      </w:r>
    </w:p>
    <w:p>
      <w:pPr>
        <w:numPr>
          <w:ilvl w:val="0"/>
          <w:numId w:val="16"/>
        </w:numPr>
        <w:spacing w:line="360" w:lineRule="auto"/>
        <w:jc w:val="left"/>
        <w:rPr>
          <w:rFonts w:ascii="仿宋_GB2312" w:eastAsia="仿宋_GB2312"/>
          <w:vanish/>
          <w:color w:val="auto"/>
          <w:sz w:val="24"/>
          <w:highlight w:val="none"/>
        </w:rPr>
      </w:pP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乙方应了解并支持执行甲方有关廉政建设的各项制度和规定。</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乙方应对本单位工作人员开展廉洁教育（包括甲方制定的有关廉政建设方面的各项制度和规定），按时出席甲方召集的有关会议。</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乙方应与甲方保持正常的业务交往，按照有关法律法规和程序开展业务工作，严格执行有关政策规定，并遵守以下规定：</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不得向甲方及其工作人员赠送回扣、礼金、有价证券、贵重物品等。</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不得为甲方报销应由甲方或其工作人员支付的费用。</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不得为甲方工作人员的住房装修、婚丧嫁娶、配偶子女工作安排以及出国（境）、旅游等事项提供方便。</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不得为甲方及其工作人员安排、组织有可能影响公正履行岗位职责的宴请、健身、娱乐等活动。</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不得接受甲方推荐的与主合同有关的劳务分包单位。</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不得接受甲方工作人员推荐其配偶、子女、亲属参与主合同的设备材料、劳务分包等经济活动。</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不得有其他可能影响甲方工作人员公正履行岗位职责的行为。</w:t>
      </w:r>
    </w:p>
    <w:p>
      <w:pPr>
        <w:numPr>
          <w:ilvl w:val="0"/>
          <w:numId w:val="19"/>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违约责任及处理</w:t>
      </w:r>
    </w:p>
    <w:p>
      <w:pPr>
        <w:numPr>
          <w:ilvl w:val="0"/>
          <w:numId w:val="2"/>
        </w:numPr>
        <w:spacing w:line="480" w:lineRule="auto"/>
        <w:jc w:val="left"/>
        <w:rPr>
          <w:rFonts w:ascii="仿宋_GB2312" w:eastAsia="黑体"/>
          <w:b/>
          <w:vanish/>
          <w:color w:val="auto"/>
          <w:sz w:val="24"/>
          <w:highlight w:val="none"/>
        </w:rPr>
      </w:pPr>
    </w:p>
    <w:p>
      <w:pPr>
        <w:numPr>
          <w:ilvl w:val="0"/>
          <w:numId w:val="2"/>
        </w:numPr>
        <w:spacing w:line="480" w:lineRule="auto"/>
        <w:jc w:val="left"/>
        <w:rPr>
          <w:rFonts w:ascii="仿宋_GB2312" w:eastAsia="黑体"/>
          <w:b/>
          <w:vanish/>
          <w:color w:val="auto"/>
          <w:sz w:val="24"/>
          <w:highlight w:val="none"/>
        </w:rPr>
      </w:pPr>
    </w:p>
    <w:p>
      <w:pPr>
        <w:numPr>
          <w:ilvl w:val="0"/>
          <w:numId w:val="2"/>
        </w:numPr>
        <w:spacing w:line="480" w:lineRule="auto"/>
        <w:jc w:val="left"/>
        <w:rPr>
          <w:rFonts w:ascii="仿宋_GB2312" w:eastAsia="黑体"/>
          <w:b/>
          <w:vanish/>
          <w:color w:val="auto"/>
          <w:sz w:val="24"/>
          <w:highlight w:val="none"/>
        </w:rPr>
      </w:pPr>
    </w:p>
    <w:p>
      <w:pPr>
        <w:numPr>
          <w:ilvl w:val="0"/>
          <w:numId w:val="2"/>
        </w:numPr>
        <w:spacing w:line="480" w:lineRule="auto"/>
        <w:jc w:val="left"/>
        <w:rPr>
          <w:rFonts w:ascii="仿宋_GB2312" w:eastAsia="黑体"/>
          <w:b/>
          <w:vanish/>
          <w:color w:val="auto"/>
          <w:sz w:val="24"/>
          <w:highlight w:val="none"/>
        </w:rPr>
      </w:pPr>
    </w:p>
    <w:p>
      <w:pPr>
        <w:numPr>
          <w:ilvl w:val="0"/>
          <w:numId w:val="21"/>
        </w:numPr>
        <w:tabs>
          <w:tab w:val="left" w:pos="510"/>
        </w:tabs>
        <w:spacing w:after="120" w:line="360" w:lineRule="auto"/>
        <w:jc w:val="left"/>
        <w:rPr>
          <w:rFonts w:ascii="仿宋_GB2312" w:eastAsia="仿宋_GB2312"/>
          <w:vanish/>
          <w:color w:val="auto"/>
          <w:sz w:val="24"/>
          <w:highlight w:val="none"/>
        </w:rPr>
      </w:pPr>
    </w:p>
    <w:p>
      <w:pPr>
        <w:numPr>
          <w:ilvl w:val="0"/>
          <w:numId w:val="21"/>
        </w:numPr>
        <w:tabs>
          <w:tab w:val="left" w:pos="510"/>
        </w:tabs>
        <w:spacing w:after="120" w:line="360" w:lineRule="auto"/>
        <w:jc w:val="left"/>
        <w:rPr>
          <w:rFonts w:ascii="仿宋_GB2312" w:eastAsia="仿宋_GB2312"/>
          <w:vanish/>
          <w:color w:val="auto"/>
          <w:sz w:val="24"/>
          <w:highlight w:val="none"/>
        </w:rPr>
      </w:pPr>
    </w:p>
    <w:p>
      <w:pPr>
        <w:numPr>
          <w:ilvl w:val="0"/>
          <w:numId w:val="21"/>
        </w:numPr>
        <w:tabs>
          <w:tab w:val="left" w:pos="510"/>
        </w:tabs>
        <w:spacing w:after="120" w:line="360" w:lineRule="auto"/>
        <w:jc w:val="left"/>
        <w:rPr>
          <w:rFonts w:ascii="仿宋_GB2312" w:eastAsia="仿宋_GB2312"/>
          <w:vanish/>
          <w:color w:val="auto"/>
          <w:sz w:val="24"/>
          <w:highlight w:val="none"/>
        </w:rPr>
      </w:pPr>
    </w:p>
    <w:p>
      <w:pPr>
        <w:numPr>
          <w:ilvl w:val="0"/>
          <w:numId w:val="21"/>
        </w:numPr>
        <w:tabs>
          <w:tab w:val="left" w:pos="510"/>
        </w:tabs>
        <w:spacing w:after="120" w:line="360" w:lineRule="auto"/>
        <w:jc w:val="left"/>
        <w:rPr>
          <w:rFonts w:ascii="仿宋_GB2312" w:eastAsia="仿宋_GB2312"/>
          <w:vanish/>
          <w:color w:val="auto"/>
          <w:sz w:val="24"/>
          <w:highlight w:val="none"/>
        </w:rPr>
      </w:pPr>
    </w:p>
    <w:p>
      <w:pPr>
        <w:numPr>
          <w:ilvl w:val="1"/>
          <w:numId w:val="21"/>
        </w:numPr>
        <w:tabs>
          <w:tab w:val="left" w:pos="510"/>
        </w:tabs>
        <w:spacing w:after="120"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甲方工作人员有违反本责任书“1”“2”条约定的，视情节轻重，依据有关法律法规和甲方相关制度规定给予组织处理、党纪政纪处分等。</w:t>
      </w:r>
    </w:p>
    <w:p>
      <w:pPr>
        <w:numPr>
          <w:ilvl w:val="1"/>
          <w:numId w:val="21"/>
        </w:numPr>
        <w:tabs>
          <w:tab w:val="left" w:pos="510"/>
        </w:tabs>
        <w:spacing w:after="120"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乙方工作人员有违反本责任书“1”“3”条约定的，甲方有权向乙方单位上级纪检监察部门、有关行政管理部门等提出对乙方进行责任追究和处罚；涉嫌犯罪的，移送司法机关追究刑事责任。</w:t>
      </w:r>
    </w:p>
    <w:p>
      <w:pPr>
        <w:numPr>
          <w:ilvl w:val="1"/>
          <w:numId w:val="21"/>
        </w:numPr>
        <w:tabs>
          <w:tab w:val="left" w:pos="510"/>
        </w:tabs>
        <w:spacing w:after="120"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应严格执行有关勘察设计、建筑施工安装的强制性标准和规范，以及监理法规，根据广州市及甲方关于水务工程勘察设计、施工和监理企业诚信评价的有关规定，如乙方存在被纪检监察部门认定有行贿行为、被法院判决犯有行贿罪记录等违反廉政规定的，甲方书面提请水务行政主管部门处理。（工程建设项目适用）</w:t>
      </w:r>
    </w:p>
    <w:p>
      <w:pPr>
        <w:numPr>
          <w:ilvl w:val="0"/>
          <w:numId w:val="19"/>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责任书有效期</w:t>
      </w:r>
    </w:p>
    <w:p>
      <w:pPr>
        <w:numPr>
          <w:ilvl w:val="0"/>
          <w:numId w:val="16"/>
        </w:numPr>
        <w:spacing w:line="360" w:lineRule="auto"/>
        <w:jc w:val="left"/>
        <w:rPr>
          <w:rFonts w:ascii="仿宋_GB2312" w:eastAsia="仿宋_GB2312"/>
          <w:vanish/>
          <w:color w:val="auto"/>
          <w:sz w:val="24"/>
          <w:highlight w:val="none"/>
        </w:rPr>
      </w:pPr>
    </w:p>
    <w:p>
      <w:pPr>
        <w:numPr>
          <w:ilvl w:val="0"/>
          <w:numId w:val="16"/>
        </w:numPr>
        <w:spacing w:line="360" w:lineRule="auto"/>
        <w:jc w:val="left"/>
        <w:rPr>
          <w:rFonts w:ascii="仿宋_GB2312" w:eastAsia="仿宋_GB2312"/>
          <w:vanish/>
          <w:color w:val="auto"/>
          <w:sz w:val="24"/>
          <w:highlight w:val="none"/>
        </w:rPr>
      </w:pPr>
    </w:p>
    <w:p>
      <w:pPr>
        <w:numPr>
          <w:ilvl w:val="1"/>
          <w:numId w:val="16"/>
        </w:numPr>
        <w:spacing w:line="360" w:lineRule="auto"/>
        <w:jc w:val="left"/>
        <w:rPr>
          <w:rFonts w:ascii="仿宋_GB2312" w:eastAsia="仿宋_GB2312"/>
          <w:color w:val="auto"/>
          <w:sz w:val="24"/>
          <w:highlight w:val="none"/>
        </w:rPr>
      </w:pPr>
      <w:bookmarkStart w:id="17" w:name="_Hlk107992842"/>
      <w:r>
        <w:rPr>
          <w:rFonts w:hint="eastAsia" w:ascii="仿宋_GB2312" w:eastAsia="仿宋_GB2312"/>
          <w:color w:val="auto"/>
          <w:sz w:val="24"/>
          <w:highlight w:val="none"/>
        </w:rPr>
        <w:t>本责任书作为主合同组成部分，与主合同具有同等法律效力。经双方签署后立即生效。</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本责任书的有效期为合同生效之日起至主合同履约结束时止。</w:t>
      </w:r>
      <w:bookmarkEnd w:id="17"/>
    </w:p>
    <w:p>
      <w:pPr>
        <w:widowControl/>
        <w:spacing w:line="360" w:lineRule="auto"/>
        <w:jc w:val="left"/>
        <w:rPr>
          <w:rFonts w:ascii="仿宋_GB2312" w:eastAsia="仿宋_GB2312"/>
          <w:color w:val="auto"/>
          <w:sz w:val="24"/>
          <w:highlight w:val="none"/>
        </w:rPr>
      </w:pPr>
    </w:p>
    <w:p>
      <w:pPr>
        <w:pStyle w:val="2"/>
        <w:rPr>
          <w:color w:val="auto"/>
          <w:highlight w:val="none"/>
        </w:rPr>
      </w:pPr>
    </w:p>
    <w:p>
      <w:pPr>
        <w:pStyle w:val="2"/>
        <w:rPr>
          <w:color w:val="auto"/>
          <w:highlight w:val="none"/>
        </w:rPr>
      </w:pPr>
    </w:p>
    <w:tbl>
      <w:tblPr>
        <w:tblStyle w:val="35"/>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tbl>
    <w:p>
      <w:pPr>
        <w:widowControl/>
        <w:spacing w:line="500" w:lineRule="exact"/>
        <w:ind w:firstLine="1920" w:firstLineChars="800"/>
        <w:jc w:val="left"/>
        <w:rPr>
          <w:rFonts w:ascii="??" w:hAnsi="??"/>
          <w:color w:val="auto"/>
          <w:kern w:val="0"/>
          <w:sz w:val="24"/>
          <w:highlight w:val="none"/>
        </w:rPr>
      </w:pPr>
    </w:p>
    <w:p>
      <w:pPr>
        <w:pStyle w:val="4"/>
        <w:jc w:val="center"/>
        <w:rPr>
          <w:color w:val="auto"/>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color w:val="auto"/>
          <w:highlight w:val="none"/>
        </w:rPr>
        <w:br w:type="page"/>
      </w:r>
    </w:p>
    <w:p>
      <w:pPr>
        <w:pStyle w:val="4"/>
        <w:jc w:val="center"/>
        <w:rPr>
          <w:rFonts w:ascii="宋体" w:hAnsi="宋体" w:eastAsia="宋体" w:cs="Times New Roman"/>
          <w:bCs w:val="0"/>
          <w:color w:val="auto"/>
          <w:highlight w:val="none"/>
        </w:rPr>
      </w:pPr>
      <w:bookmarkStart w:id="18" w:name="_Hlk107992935"/>
      <w:r>
        <w:rPr>
          <w:rFonts w:hint="eastAsia" w:ascii="黑体" w:hAnsi="黑体" w:eastAsia="黑体"/>
          <w:color w:val="auto"/>
          <w:sz w:val="30"/>
          <w:szCs w:val="30"/>
          <w:highlight w:val="none"/>
        </w:rPr>
        <mc:AlternateContent>
          <mc:Choice Requires="wps">
            <w:drawing>
              <wp:anchor distT="0" distB="0" distL="114300" distR="114300" simplePos="0" relativeHeight="251665408" behindDoc="0" locked="0" layoutInCell="1" allowOverlap="1">
                <wp:simplePos x="0" y="0"/>
                <wp:positionH relativeFrom="leftMargin">
                  <wp:posOffset>342900</wp:posOffset>
                </wp:positionH>
                <wp:positionV relativeFrom="paragraph">
                  <wp:posOffset>-467360</wp:posOffset>
                </wp:positionV>
                <wp:extent cx="800100" cy="4762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35.2pt;height:37.5pt;width:63pt;mso-position-horizontal-relative:page;mso-position-vertical-relative:page;z-index:251665408;mso-width-relative:page;mso-height-relative:page;" filled="f" stroked="f" coordsize="21600,21600" o:gfxdata="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RSuWraAAAACAEAAA8AAAAAAAAAAQAgAAAAIgAAAGRycy9k&#10;b3ducmV2LnhtbFBLAQIUABQAAAAIAIdO4kAyezr8OQIAAGUEAAAOAAAAAAAAAAEAIAAAACk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3</w:t>
                      </w:r>
                    </w:p>
                  </w:txbxContent>
                </v:textbox>
              </v:shape>
            </w:pict>
          </mc:Fallback>
        </mc:AlternateContent>
      </w:r>
      <w:r>
        <w:rPr>
          <w:rFonts w:hint="eastAsia" w:ascii="宋体" w:hAnsi="宋体" w:eastAsia="宋体" w:cs="Times New Roman"/>
          <w:bCs w:val="0"/>
          <w:color w:val="auto"/>
          <w:highlight w:val="none"/>
        </w:rPr>
        <w:t>保密协议</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甲方（信息披露方）： 广州市城市排水有限公司</w:t>
      </w:r>
    </w:p>
    <w:p>
      <w:pPr>
        <w:spacing w:line="360" w:lineRule="auto"/>
        <w:rPr>
          <w:rFonts w:ascii="仿宋_GB2312" w:eastAsia="仿宋_GB2312"/>
          <w:color w:val="auto"/>
          <w:sz w:val="24"/>
          <w:highlight w:val="none"/>
          <w:u w:val="single"/>
        </w:rPr>
      </w:pPr>
      <w:r>
        <w:rPr>
          <w:rFonts w:hint="eastAsia" w:ascii="仿宋_GB2312" w:eastAsia="仿宋_GB2312"/>
          <w:color w:val="auto"/>
          <w:sz w:val="24"/>
          <w:highlight w:val="none"/>
        </w:rPr>
        <w:t>乙方（信息接受方）：</w:t>
      </w:r>
      <w:r>
        <w:rPr>
          <w:rFonts w:hint="eastAsia" w:ascii="仿宋_GB2312" w:eastAsia="仿宋_GB2312"/>
          <w:color w:val="auto"/>
          <w:sz w:val="24"/>
          <w:highlight w:val="none"/>
          <w:u w:val="single"/>
        </w:rPr>
        <w:t xml:space="preserve">                        </w:t>
      </w:r>
    </w:p>
    <w:p>
      <w:pPr>
        <w:spacing w:line="360" w:lineRule="auto"/>
        <w:rPr>
          <w:color w:val="auto"/>
          <w:highlight w:val="none"/>
        </w:rPr>
      </w:pP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鉴于甲乙双方有意进行商业及技术合作，乙方为甲方及其关联公司提供咨询、设计等技术服务；乙方同意对在服务过程中知悉的甲方及其关联公司的商业、技术信息保密。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依据《中华人民共和国民法典》及相关法律、法规的规定，双方本着诚实信用的原则，就乙方的保密义务事宜，达成以下协议：</w:t>
      </w:r>
    </w:p>
    <w:p>
      <w:pPr>
        <w:pStyle w:val="16"/>
        <w:numPr>
          <w:ilvl w:val="0"/>
          <w:numId w:val="22"/>
        </w:numPr>
        <w:rPr>
          <w:color w:val="auto"/>
          <w:highlight w:val="none"/>
        </w:rPr>
      </w:pPr>
      <w:r>
        <w:rPr>
          <w:rFonts w:hint="eastAsia"/>
          <w:color w:val="auto"/>
          <w:highlight w:val="none"/>
        </w:rPr>
        <w:t>保密范围</w:t>
      </w:r>
    </w:p>
    <w:p>
      <w:pPr>
        <w:pStyle w:val="20"/>
        <w:rPr>
          <w:color w:val="auto"/>
          <w:highlight w:val="none"/>
        </w:rPr>
      </w:pPr>
      <w:r>
        <w:rPr>
          <w:rFonts w:hint="eastAsia"/>
          <w:color w:val="auto"/>
          <w:highlight w:val="none"/>
        </w:rPr>
        <w:t>保密信息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本协议中保密信息是指乙方在技术服务过程中知悉的甲方及其关联公司的全部商业、技术信息和资料，包括但不限于： </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（1）水质水量数据、地形图、测量资料、规划资料等设计输入文件；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（2）项目建议书、方案、可研、环评、初步设计、施工图设计等技术文件；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（3）政府批复、会议纪要、照片及视频等相关文件；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（4）管理方法、内部业务规程、运行成本及员工信息等运营信息；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（5）费用预算、利润、财务数据等财务资料；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（6）专有技术、研究成果、产品设计图纸等技术信息。</w:t>
      </w:r>
    </w:p>
    <w:p>
      <w:pPr>
        <w:pStyle w:val="20"/>
        <w:rPr>
          <w:color w:val="auto"/>
          <w:highlight w:val="none"/>
        </w:rPr>
      </w:pPr>
      <w:r>
        <w:rPr>
          <w:rFonts w:hint="eastAsia"/>
          <w:color w:val="auto"/>
          <w:highlight w:val="none"/>
        </w:rPr>
        <w:t>保密信息例外</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存在下列情形之一的，视为保密信息例外，乙方不承担保密义务：</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（1）根据政府、司法机构或监管机构合法要求或命令所披露的信息；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（2）甲方书面同意乙方公开；</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（3）已依法公开发表，并依法向公众披露的信息。</w:t>
      </w:r>
    </w:p>
    <w:p>
      <w:pPr>
        <w:pStyle w:val="16"/>
        <w:rPr>
          <w:color w:val="auto"/>
          <w:highlight w:val="none"/>
        </w:rPr>
      </w:pPr>
      <w:r>
        <w:rPr>
          <w:rFonts w:hint="eastAsia"/>
          <w:color w:val="auto"/>
          <w:highlight w:val="none"/>
        </w:rPr>
        <w:t>乙方的责任和义务</w:t>
      </w:r>
    </w:p>
    <w:p>
      <w:pPr>
        <w:pStyle w:val="20"/>
        <w:jc w:val="both"/>
        <w:rPr>
          <w:color w:val="auto"/>
          <w:highlight w:val="none"/>
        </w:rPr>
      </w:pPr>
      <w:r>
        <w:rPr>
          <w:rFonts w:hint="eastAsia"/>
          <w:color w:val="auto"/>
          <w:highlight w:val="none"/>
        </w:rPr>
        <w:t>乙方应主动采取加密措施对第一条所述及保密信息进行保护，防止不承担同等保密义务的任何第三方知悉及使用。</w:t>
      </w:r>
    </w:p>
    <w:p>
      <w:pPr>
        <w:pStyle w:val="20"/>
        <w:jc w:val="both"/>
        <w:rPr>
          <w:color w:val="auto"/>
          <w:highlight w:val="none"/>
        </w:rPr>
      </w:pPr>
      <w:r>
        <w:rPr>
          <w:rFonts w:hint="eastAsia"/>
          <w:color w:val="auto"/>
          <w:highlight w:val="none"/>
        </w:rPr>
        <w:t>乙方保证在其持有甲方披露的保密信息资料时，采取必要的措施防止保密文件失窃或丢失。</w:t>
      </w:r>
    </w:p>
    <w:p>
      <w:pPr>
        <w:pStyle w:val="20"/>
        <w:jc w:val="both"/>
        <w:rPr>
          <w:color w:val="auto"/>
          <w:highlight w:val="none"/>
        </w:rPr>
      </w:pPr>
      <w:r>
        <w:rPr>
          <w:rFonts w:hint="eastAsia"/>
          <w:color w:val="auto"/>
          <w:highlight w:val="none"/>
        </w:rPr>
        <w:t>甲方的保密信息以某种载体或其他任何形式记录的，乙方应承担保管责任。由于乙方的原因，包括故意或过失，导致甲方保密信息被第三人获取的，乙方应承担违约责任。</w:t>
      </w:r>
    </w:p>
    <w:p>
      <w:pPr>
        <w:pStyle w:val="20"/>
        <w:jc w:val="both"/>
        <w:rPr>
          <w:color w:val="auto"/>
          <w:highlight w:val="none"/>
        </w:rPr>
      </w:pPr>
      <w:r>
        <w:rPr>
          <w:rFonts w:hint="eastAsia"/>
          <w:color w:val="auto"/>
          <w:highlight w:val="none"/>
        </w:rPr>
        <w:t>乙方保证未经甲方的书面授权，不得在任何时候以任何方式将保密信息批露给除下述第5款约定的其他任何第三方，包括但不限于保密信息的原件、复印件、电子文件，及对该资料做出的概括性的分析、判断、报告、意见，以及发表公开文章等。由于项目进行过程中，需要向有关部门（如审图机构、规划、土地、环保、水务、卫生、电力、交港、交通、消防、绿化、民防等）提供的成果（包括书面材料或电子版本），须先取得甲方的书面同意。</w:t>
      </w:r>
    </w:p>
    <w:p>
      <w:pPr>
        <w:pStyle w:val="20"/>
        <w:rPr>
          <w:color w:val="auto"/>
          <w:highlight w:val="none"/>
        </w:rPr>
      </w:pPr>
      <w:r>
        <w:rPr>
          <w:rFonts w:hint="eastAsia"/>
          <w:color w:val="auto"/>
          <w:highlight w:val="none"/>
        </w:rPr>
        <w:t>下列可能接收保密信息的人员及机构均应签署相应的保密协议：</w:t>
      </w:r>
    </w:p>
    <w:p>
      <w:pPr>
        <w:widowControl/>
        <w:numPr>
          <w:ilvl w:val="0"/>
          <w:numId w:val="2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直接参与本项目的乙方及其合作团队的相关合伙人、项目总监、项目经理、项目组成员、雇员及顾问，且这些人员在接触保密信息前已经充分了解了本协议的内容。在甲乙双方签订的书面项目合作协议等相关合作文件之日起15日内，乙方应将前述人员名单书面告知甲方，经甲方书面同意后，乙方方可根据项目的需要向前述人员披露所接受的保密信息。同时，乙方保证知悉保密信息的人员严格履行本协议约定的保密义务，乙方提供的人员违反本协议约定的，视为乙方违约，甲方有权要求乙方承担违约责任。</w:t>
      </w:r>
    </w:p>
    <w:p>
      <w:pPr>
        <w:widowControl/>
        <w:numPr>
          <w:ilvl w:val="0"/>
          <w:numId w:val="23"/>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甲方书面同意情况下的第三人。</w:t>
      </w:r>
    </w:p>
    <w:p>
      <w:pPr>
        <w:ind w:firstLine="420" w:firstLineChars="200"/>
        <w:rPr>
          <w:color w:val="auto"/>
          <w:highlight w:val="none"/>
        </w:rPr>
      </w:pPr>
    </w:p>
    <w:p>
      <w:pPr>
        <w:pStyle w:val="16"/>
        <w:rPr>
          <w:color w:val="auto"/>
          <w:highlight w:val="none"/>
        </w:rPr>
      </w:pPr>
      <w:r>
        <w:rPr>
          <w:rFonts w:hint="eastAsia"/>
          <w:color w:val="auto"/>
          <w:highlight w:val="none"/>
        </w:rPr>
        <w:t>甲方的权利和义务</w:t>
      </w:r>
    </w:p>
    <w:p>
      <w:pPr>
        <w:pStyle w:val="20"/>
        <w:rPr>
          <w:color w:val="auto"/>
          <w:highlight w:val="none"/>
        </w:rPr>
      </w:pPr>
      <w:r>
        <w:rPr>
          <w:rFonts w:hint="eastAsia"/>
          <w:color w:val="auto"/>
          <w:highlight w:val="none"/>
        </w:rPr>
        <w:t>甲方向乙方披露的保密信息及相关知识产权全部归属于甲方。</w:t>
      </w:r>
    </w:p>
    <w:p>
      <w:pPr>
        <w:pStyle w:val="20"/>
        <w:rPr>
          <w:color w:val="auto"/>
          <w:highlight w:val="none"/>
        </w:rPr>
      </w:pPr>
      <w:r>
        <w:rPr>
          <w:rFonts w:hint="eastAsia"/>
          <w:color w:val="auto"/>
          <w:highlight w:val="none"/>
        </w:rPr>
        <w:t>本协议并不授予乙方任何使用许可权。</w:t>
      </w:r>
    </w:p>
    <w:p>
      <w:pPr>
        <w:pStyle w:val="20"/>
        <w:rPr>
          <w:color w:val="auto"/>
          <w:highlight w:val="none"/>
        </w:rPr>
      </w:pPr>
      <w:r>
        <w:rPr>
          <w:rFonts w:hint="eastAsia"/>
          <w:color w:val="auto"/>
          <w:highlight w:val="none"/>
        </w:rPr>
        <w:t>甲方应保证所提供的信息真实、准确、完整，无虚假或误导。</w:t>
      </w:r>
    </w:p>
    <w:p>
      <w:pPr>
        <w:pStyle w:val="16"/>
        <w:rPr>
          <w:color w:val="auto"/>
          <w:highlight w:val="none"/>
        </w:rPr>
      </w:pPr>
      <w:r>
        <w:rPr>
          <w:rFonts w:hint="eastAsia"/>
          <w:color w:val="auto"/>
          <w:highlight w:val="none"/>
        </w:rPr>
        <w:t>保密期限</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乙方应在双方合作期间及合作完成或终止后五年内严格履行本协议约定的保密义务。</w:t>
      </w:r>
    </w:p>
    <w:p>
      <w:pPr>
        <w:pStyle w:val="16"/>
        <w:rPr>
          <w:color w:val="auto"/>
          <w:highlight w:val="none"/>
        </w:rPr>
      </w:pPr>
      <w:r>
        <w:rPr>
          <w:rFonts w:hint="eastAsia"/>
          <w:color w:val="auto"/>
          <w:highlight w:val="none"/>
        </w:rPr>
        <w:t>返还资料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在合作终止之日起30日内，乙方应按甲方要求将记载有保密信息的全部资料文件（包括原件以及任何形式的复印件）移交给甲方,乙方不得以任何形式复制和保留。若因乙方的原因导致甲方提供的资料遗失或损坏的，乙方应赔偿由此给甲方造成的全部损失。</w:t>
      </w:r>
    </w:p>
    <w:p>
      <w:pPr>
        <w:pStyle w:val="16"/>
        <w:rPr>
          <w:color w:val="auto"/>
          <w:highlight w:val="none"/>
        </w:rPr>
      </w:pPr>
      <w:r>
        <w:rPr>
          <w:rFonts w:hint="eastAsia"/>
          <w:color w:val="auto"/>
          <w:highlight w:val="none"/>
        </w:rPr>
        <w:t>违约责任</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乙方违反本协议任一条款约定的，甲方有权要求乙方在</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元/次至</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元/次的范围内支付违约金，若因乙方违约给甲方造成损失的，乙方仍应赔偿甲方的损失，且甲方有权根据乙方的违约情况解除双方之间的合作关系。</w:t>
      </w:r>
    </w:p>
    <w:p>
      <w:pPr>
        <w:pStyle w:val="16"/>
        <w:rPr>
          <w:color w:val="auto"/>
          <w:highlight w:val="none"/>
        </w:rPr>
      </w:pPr>
      <w:r>
        <w:rPr>
          <w:rFonts w:hint="eastAsia"/>
          <w:color w:val="auto"/>
          <w:highlight w:val="none"/>
        </w:rPr>
        <w:t>争议解决</w:t>
      </w:r>
    </w:p>
    <w:p>
      <w:pPr>
        <w:pStyle w:val="20"/>
        <w:rPr>
          <w:color w:val="auto"/>
          <w:highlight w:val="none"/>
        </w:rPr>
      </w:pPr>
      <w:r>
        <w:rPr>
          <w:rFonts w:hint="eastAsia"/>
          <w:color w:val="auto"/>
          <w:highlight w:val="none"/>
        </w:rPr>
        <w:t>本协议条款及解释适用中国大陆的法律。</w:t>
      </w:r>
    </w:p>
    <w:p>
      <w:pPr>
        <w:pStyle w:val="20"/>
        <w:rPr>
          <w:color w:val="auto"/>
          <w:highlight w:val="none"/>
        </w:rPr>
      </w:pPr>
      <w:r>
        <w:rPr>
          <w:rFonts w:hint="eastAsia"/>
          <w:color w:val="auto"/>
          <w:highlight w:val="none"/>
        </w:rPr>
        <w:t>本协议条款或履行时若有争议，应协商解决；协商不成时，任何一方可向甲方所在地的人民法院提起诉讼。</w:t>
      </w:r>
    </w:p>
    <w:p>
      <w:pPr>
        <w:pStyle w:val="16"/>
        <w:rPr>
          <w:color w:val="auto"/>
          <w:highlight w:val="none"/>
        </w:rPr>
      </w:pPr>
      <w:r>
        <w:rPr>
          <w:rFonts w:hint="eastAsia"/>
          <w:color w:val="auto"/>
          <w:highlight w:val="none"/>
        </w:rPr>
        <w:t>协议的生效</w:t>
      </w:r>
    </w:p>
    <w:p>
      <w:pPr>
        <w:pStyle w:val="20"/>
        <w:numPr>
          <w:ilvl w:val="0"/>
          <w:numId w:val="0"/>
        </w:numPr>
        <w:ind w:firstLine="480" w:firstLineChars="200"/>
        <w:rPr>
          <w:color w:val="auto"/>
          <w:highlight w:val="none"/>
        </w:rPr>
      </w:pPr>
      <w:r>
        <w:rPr>
          <w:rFonts w:hint="eastAsia"/>
          <w:color w:val="auto"/>
          <w:highlight w:val="none"/>
        </w:rPr>
        <w:t>本协议作为主合同组成部分，与主合同具有同等法律效力。经双方签署后立即生效。</w:t>
      </w:r>
    </w:p>
    <w:p>
      <w:pPr>
        <w:pStyle w:val="2"/>
        <w:rPr>
          <w:color w:val="auto"/>
          <w:highlight w:val="none"/>
        </w:rPr>
      </w:pPr>
    </w:p>
    <w:p>
      <w:pPr>
        <w:pStyle w:val="3"/>
        <w:rPr>
          <w:color w:val="auto"/>
          <w:highlight w:val="none"/>
        </w:rPr>
      </w:pPr>
    </w:p>
    <w:p>
      <w:pPr>
        <w:rPr>
          <w:color w:val="auto"/>
          <w:highlight w:val="none"/>
        </w:rPr>
      </w:pPr>
    </w:p>
    <w:tbl>
      <w:tblPr>
        <w:tblStyle w:val="35"/>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bookmarkEnd w:id="18"/>
    </w:tbl>
    <w:p>
      <w:pPr>
        <w:widowControl/>
        <w:jc w:val="left"/>
        <w:rPr>
          <w:color w:val="auto"/>
          <w:highlight w:val="none"/>
        </w:rPr>
      </w:pPr>
    </w:p>
    <w:p>
      <w:pPr>
        <w:pStyle w:val="2"/>
        <w:rPr>
          <w:color w:val="auto"/>
          <w:highlight w:val="none"/>
        </w:rPr>
      </w:pPr>
      <w:r>
        <w:rPr>
          <w:color w:val="auto"/>
          <w:highlight w:val="none"/>
        </w:rPr>
        <w:br w:type="page"/>
      </w:r>
    </w:p>
    <w:p>
      <w:pPr>
        <w:widowControl/>
        <w:jc w:val="left"/>
        <w:rPr>
          <w:color w:val="auto"/>
          <w:highlight w:val="none"/>
        </w:rPr>
      </w:pPr>
    </w:p>
    <w:p>
      <w:pPr>
        <w:widowControl/>
        <w:jc w:val="left"/>
        <w:rPr>
          <w:color w:val="auto"/>
          <w:highlight w:val="none"/>
        </w:rPr>
      </w:pPr>
    </w:p>
    <w:p>
      <w:pPr>
        <w:spacing w:before="156" w:beforeLines="50" w:line="560" w:lineRule="exact"/>
        <w:jc w:val="center"/>
        <w:rPr>
          <w:rFonts w:ascii="宋体" w:hAnsi="宋体"/>
          <w:b/>
          <w:color w:val="auto"/>
          <w:sz w:val="44"/>
          <w:szCs w:val="44"/>
          <w:highlight w:val="none"/>
        </w:rPr>
      </w:pPr>
      <w:r>
        <w:rPr>
          <w:rFonts w:hint="eastAsia" w:ascii="宋体" w:hAnsi="宋体"/>
          <w:b/>
          <w:color w:val="auto"/>
          <w:sz w:val="44"/>
          <w:szCs w:val="44"/>
          <w:highlight w:val="none"/>
        </w:rPr>
        <w:t>法定代表人（负责人）证明书</w:t>
      </w:r>
    </w:p>
    <w:p>
      <w:pPr>
        <w:tabs>
          <w:tab w:val="left" w:pos="7020"/>
        </w:tabs>
        <w:spacing w:line="460" w:lineRule="exact"/>
        <w:ind w:firstLine="1890" w:firstLineChars="900"/>
        <w:rPr>
          <w:rFonts w:ascii="宋体" w:hAnsi="宋体"/>
          <w:color w:val="auto"/>
          <w:szCs w:val="21"/>
          <w:highlight w:val="none"/>
        </w:rPr>
      </w:pPr>
      <w:r>
        <w:rPr>
          <w:rFonts w:hint="eastAsia" w:ascii="宋体" w:hAnsi="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280670</wp:posOffset>
                </wp:positionV>
                <wp:extent cx="5551805" cy="3291840"/>
                <wp:effectExtent l="0" t="0" r="11430" b="2286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551714" cy="329184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22.1pt;height:259.2pt;width:437.15pt;z-index:-251657216;mso-width-relative:page;mso-height-relative:page;" fillcolor="#FFFFFF" filled="t" stroked="t" coordsize="21600,21600" o:gfxdata="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Ff4ZLZAAAACgEAAA8AAAAAAAAAAQAgAAAAIgAAAGRycy9k&#10;b3ducmV2LnhtbFBLAQIUABQAAAAIAIdO4kBRrRqoOgIAAHsEAAAOAAAAAAAAAAEAIAAAACgBAABk&#10;cnMvZTJvRG9jLnhtbFBLBQYAAAAABgAGAFkBAADUBQAAAAA=&#10;">
                <v:fill on="t" focussize="0,0"/>
                <v:stroke color="#000000" miterlimit="8" joinstyle="miter"/>
                <v:imagedata o:title=""/>
                <o:lock v:ext="edit" aspectratio="f"/>
                <v:textbox>
                  <w:txbxContent>
                    <w:p/>
                  </w:txbxContent>
                </v:textbox>
              </v:rect>
            </w:pict>
          </mc:Fallback>
        </mc:AlternateContent>
      </w:r>
      <w:r>
        <w:rPr>
          <w:rFonts w:hint="eastAsia" w:ascii="宋体" w:hAnsi="宋体"/>
          <w:color w:val="auto"/>
          <w:sz w:val="30"/>
          <w:szCs w:val="30"/>
          <w:highlight w:val="none"/>
        </w:rPr>
        <mc:AlternateContent>
          <mc:Choice Requires="wps">
            <w:drawing>
              <wp:anchor distT="0" distB="0" distL="114300" distR="114300" simplePos="0" relativeHeight="251663360" behindDoc="0" locked="0" layoutInCell="1" allowOverlap="1">
                <wp:simplePos x="0" y="0"/>
                <wp:positionH relativeFrom="leftMargin">
                  <wp:posOffset>342900</wp:posOffset>
                </wp:positionH>
                <wp:positionV relativeFrom="paragraph">
                  <wp:posOffset>-850900</wp:posOffset>
                </wp:positionV>
                <wp:extent cx="800100" cy="4762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72pt;height:37.5pt;width:63pt;mso-position-horizontal-relative:page;mso-position-vertical-relative:page;z-index:251663360;mso-width-relative:page;mso-height-relative:page;" filled="f" stroked="f" coordsize="21600,21600" o:gfxdata="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O6cmTaAAAACwEAAA8AAAAAAAAAAQAgAAAAIgAAAGRycy9k&#10;b3ducmV2LnhtbFBLAQIUABQAAAAIAIdO4kCk0nyjOQIAAGUEAAAOAAAAAAAAAAEAIAAAACk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4</w:t>
                      </w:r>
                    </w:p>
                  </w:txbxContent>
                </v:textbox>
              </v:shape>
            </w:pict>
          </mc:Fallback>
        </mc:AlternateContent>
      </w:r>
      <w:r>
        <w:rPr>
          <w:rFonts w:hint="eastAsia" w:ascii="宋体" w:hAnsi="宋体"/>
          <w:color w:val="auto"/>
          <w:szCs w:val="21"/>
          <w:highlight w:val="none"/>
        </w:rPr>
        <w:t xml:space="preserve">(法人或其他组织及个体工商户用)        </w:t>
      </w:r>
      <w:r>
        <w:rPr>
          <w:rFonts w:hint="eastAsia" w:ascii="宋体" w:hAnsi="宋体"/>
          <w:color w:val="auto"/>
          <w:sz w:val="28"/>
          <w:szCs w:val="28"/>
          <w:highlight w:val="none"/>
        </w:rPr>
        <w:t>№:</w:t>
      </w:r>
      <w:r>
        <w:rPr>
          <w:rFonts w:hint="eastAsia" w:ascii="宋体" w:hAnsi="宋体"/>
          <w:color w:val="auto"/>
          <w:szCs w:val="21"/>
          <w:highlight w:val="none"/>
        </w:rPr>
        <w:t>（   ） 号</w:t>
      </w:r>
    </w:p>
    <w:p>
      <w:pPr>
        <w:spacing w:before="312" w:beforeLines="100" w:line="560" w:lineRule="exact"/>
        <w:ind w:firstLine="723" w:firstLineChars="300"/>
        <w:rPr>
          <w:rFonts w:ascii="宋体" w:hAnsi="宋体"/>
          <w:b/>
          <w:color w:val="auto"/>
          <w:sz w:val="24"/>
          <w:highlight w:val="none"/>
          <w:u w:val="dotted"/>
        </w:rPr>
      </w:pPr>
      <w:r>
        <w:rPr>
          <w:rFonts w:hint="eastAsia" w:ascii="宋体" w:hAnsi="宋体"/>
          <w:b/>
          <w:color w:val="auto"/>
          <w:sz w:val="24"/>
          <w:highlight w:val="none"/>
          <w:u w:val="dotted"/>
        </w:rPr>
        <w:t xml:space="preserve">     </w:t>
      </w:r>
      <w:r>
        <w:rPr>
          <w:rFonts w:hint="eastAsia" w:ascii="宋体" w:hAnsi="宋体"/>
          <w:b/>
          <w:color w:val="auto"/>
          <w:sz w:val="24"/>
          <w:highlight w:val="none"/>
        </w:rPr>
        <w:t>现任我单位</w:t>
      </w:r>
      <w:r>
        <w:rPr>
          <w:rFonts w:hint="eastAsia" w:ascii="宋体" w:hAnsi="宋体"/>
          <w:b/>
          <w:color w:val="auto"/>
          <w:sz w:val="24"/>
          <w:highlight w:val="none"/>
          <w:u w:val="dotted"/>
        </w:rPr>
        <w:t xml:space="preserve">     </w:t>
      </w:r>
      <w:r>
        <w:rPr>
          <w:rFonts w:hint="eastAsia" w:ascii="宋体" w:hAnsi="宋体"/>
          <w:b/>
          <w:color w:val="auto"/>
          <w:sz w:val="24"/>
          <w:highlight w:val="none"/>
        </w:rPr>
        <w:t>职务，为法定代表人（负责人），特此证明。</w:t>
      </w:r>
    </w:p>
    <w:p>
      <w:pPr>
        <w:spacing w:line="560" w:lineRule="exact"/>
        <w:rPr>
          <w:rFonts w:ascii="宋体" w:hAnsi="宋体"/>
          <w:b/>
          <w:color w:val="auto"/>
          <w:sz w:val="24"/>
          <w:highlight w:val="none"/>
        </w:rPr>
      </w:pPr>
      <w:r>
        <w:rPr>
          <w:rFonts w:hint="eastAsia" w:ascii="宋体" w:hAnsi="宋体"/>
          <w:b/>
          <w:color w:val="auto"/>
          <w:sz w:val="24"/>
          <w:highlight w:val="none"/>
        </w:rPr>
        <w:t>有效期限:</w:t>
      </w:r>
      <w:r>
        <w:rPr>
          <w:rFonts w:hint="eastAsia" w:ascii="宋体" w:hAnsi="宋体"/>
          <w:b/>
          <w:color w:val="auto"/>
          <w:sz w:val="24"/>
          <w:highlight w:val="none"/>
          <w:u w:val="single"/>
        </w:rPr>
        <w:t xml:space="preserve">      年  月  日至    年   月    日  </w:t>
      </w:r>
    </w:p>
    <w:p>
      <w:pPr>
        <w:spacing w:line="560" w:lineRule="exact"/>
        <w:rPr>
          <w:rFonts w:ascii="宋体" w:hAnsi="宋体"/>
          <w:b/>
          <w:color w:val="auto"/>
          <w:sz w:val="24"/>
          <w:highlight w:val="none"/>
        </w:rPr>
      </w:pPr>
      <w:r>
        <w:rPr>
          <w:rFonts w:hint="eastAsia" w:ascii="宋体" w:hAnsi="宋体"/>
          <w:b/>
          <w:color w:val="auto"/>
          <w:sz w:val="24"/>
          <w:highlight w:val="none"/>
        </w:rPr>
        <w:t>附：法定代表人(负责人)性别:</w:t>
      </w:r>
      <w:r>
        <w:rPr>
          <w:rFonts w:hint="eastAsia" w:ascii="宋体" w:hAnsi="宋体"/>
          <w:b/>
          <w:color w:val="auto"/>
          <w:sz w:val="24"/>
          <w:highlight w:val="none"/>
          <w:u w:val="dotted"/>
        </w:rPr>
        <w:t xml:space="preserve">   </w:t>
      </w:r>
      <w:r>
        <w:rPr>
          <w:rFonts w:hint="eastAsia" w:ascii="宋体" w:hAnsi="宋体"/>
          <w:b/>
          <w:color w:val="auto"/>
          <w:sz w:val="24"/>
          <w:highlight w:val="none"/>
        </w:rPr>
        <w:t>年龄:</w:t>
      </w:r>
      <w:r>
        <w:rPr>
          <w:rFonts w:hint="eastAsia" w:ascii="宋体" w:hAnsi="宋体"/>
          <w:b/>
          <w:color w:val="auto"/>
          <w:sz w:val="24"/>
          <w:highlight w:val="none"/>
          <w:u w:val="dotted"/>
        </w:rPr>
        <w:t xml:space="preserve"> </w:t>
      </w:r>
      <w:r>
        <w:rPr>
          <w:rFonts w:hint="eastAsia" w:ascii="宋体" w:hAnsi="宋体" w:cs="仿宋_GB2312"/>
          <w:color w:val="auto"/>
          <w:sz w:val="24"/>
          <w:highlight w:val="none"/>
          <w:u w:val="single"/>
        </w:rPr>
        <w:t xml:space="preserve">  </w:t>
      </w:r>
      <w:r>
        <w:rPr>
          <w:rFonts w:hint="eastAsia" w:ascii="宋体" w:hAnsi="宋体"/>
          <w:b/>
          <w:color w:val="auto"/>
          <w:sz w:val="24"/>
          <w:highlight w:val="none"/>
        </w:rPr>
        <w:t>身份证号码:</w:t>
      </w:r>
      <w:r>
        <w:rPr>
          <w:rFonts w:hint="eastAsia" w:ascii="宋体" w:hAnsi="宋体"/>
          <w:color w:val="auto"/>
          <w:sz w:val="24"/>
          <w:highlight w:val="none"/>
          <w:u w:val="single"/>
        </w:rPr>
        <w:t xml:space="preserve">      </w:t>
      </w:r>
    </w:p>
    <w:p>
      <w:pPr>
        <w:spacing w:line="560" w:lineRule="exact"/>
        <w:ind w:firstLine="482" w:firstLineChars="200"/>
        <w:rPr>
          <w:rFonts w:ascii="宋体" w:hAnsi="宋体"/>
          <w:b/>
          <w:color w:val="auto"/>
          <w:sz w:val="24"/>
          <w:highlight w:val="none"/>
          <w:u w:val="dotted"/>
        </w:rPr>
      </w:pPr>
      <w:r>
        <w:rPr>
          <w:rFonts w:hint="eastAsia" w:ascii="宋体" w:hAnsi="宋体"/>
          <w:b/>
          <w:color w:val="auto"/>
          <w:sz w:val="24"/>
          <w:highlight w:val="none"/>
        </w:rPr>
        <w:t>注册号码:</w:t>
      </w:r>
      <w:r>
        <w:rPr>
          <w:rFonts w:hint="eastAsia" w:ascii="宋体" w:hAnsi="宋体"/>
          <w:color w:val="auto"/>
          <w:sz w:val="24"/>
          <w:highlight w:val="none"/>
          <w:u w:val="single"/>
        </w:rPr>
        <w:t xml:space="preserve">          </w:t>
      </w:r>
      <w:r>
        <w:rPr>
          <w:rFonts w:hint="eastAsia" w:ascii="宋体" w:hAnsi="宋体"/>
          <w:b/>
          <w:color w:val="auto"/>
          <w:sz w:val="24"/>
          <w:highlight w:val="none"/>
        </w:rPr>
        <w:t>企业类型:</w:t>
      </w:r>
      <w:r>
        <w:rPr>
          <w:rFonts w:hint="eastAsia" w:ascii="宋体" w:hAnsi="宋体" w:cs="仿宋_GB2312"/>
          <w:color w:val="auto"/>
          <w:sz w:val="24"/>
          <w:highlight w:val="none"/>
          <w:u w:val="single"/>
        </w:rPr>
        <w:t xml:space="preserve">      </w:t>
      </w:r>
    </w:p>
    <w:p>
      <w:pPr>
        <w:tabs>
          <w:tab w:val="left" w:pos="5271"/>
        </w:tabs>
        <w:spacing w:line="560" w:lineRule="exact"/>
        <w:ind w:firstLine="482" w:firstLineChars="200"/>
        <w:rPr>
          <w:rFonts w:ascii="宋体" w:hAnsi="宋体"/>
          <w:b/>
          <w:color w:val="auto"/>
          <w:sz w:val="24"/>
          <w:highlight w:val="none"/>
          <w:u w:val="dotted"/>
        </w:rPr>
      </w:pPr>
      <w:r>
        <w:rPr>
          <w:rFonts w:hint="eastAsia" w:ascii="宋体" w:hAnsi="宋体"/>
          <w:b/>
          <w:color w:val="auto"/>
          <w:sz w:val="24"/>
          <w:highlight w:val="none"/>
        </w:rPr>
        <w:t>经营范围:</w:t>
      </w:r>
      <w:r>
        <w:rPr>
          <w:rFonts w:hint="eastAsia" w:ascii="宋体" w:hAnsi="宋体"/>
          <w:b/>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ab/>
      </w:r>
    </w:p>
    <w:p>
      <w:pPr>
        <w:spacing w:line="560" w:lineRule="exact"/>
        <w:rPr>
          <w:rFonts w:ascii="宋体" w:hAnsi="宋体"/>
          <w:b/>
          <w:color w:val="auto"/>
          <w:sz w:val="24"/>
          <w:highlight w:val="none"/>
          <w:u w:val="dotted"/>
        </w:rPr>
      </w:pPr>
      <w:r>
        <w:rPr>
          <w:rFonts w:hint="eastAsia" w:ascii="宋体" w:hAnsi="宋体"/>
          <w:b/>
          <w:color w:val="auto"/>
          <w:sz w:val="24"/>
          <w:highlight w:val="none"/>
        </w:rPr>
        <w:t xml:space="preserve">    单位：           （盖章）</w:t>
      </w:r>
    </w:p>
    <w:p>
      <w:pPr>
        <w:spacing w:line="560" w:lineRule="exact"/>
        <w:rPr>
          <w:rFonts w:ascii="宋体" w:hAnsi="宋体"/>
          <w:b/>
          <w:color w:val="auto"/>
          <w:sz w:val="24"/>
          <w:highlight w:val="none"/>
        </w:rPr>
      </w:pPr>
      <w:r>
        <w:rPr>
          <w:rFonts w:hint="eastAsia" w:ascii="宋体" w:hAnsi="宋体"/>
          <w:b/>
          <w:color w:val="auto"/>
          <w:sz w:val="24"/>
          <w:highlight w:val="none"/>
        </w:rPr>
        <w:t xml:space="preserve">                                    年   月   日</w:t>
      </w:r>
    </w:p>
    <w:p>
      <w:pPr>
        <w:spacing w:line="400" w:lineRule="exact"/>
        <w:rPr>
          <w:rFonts w:ascii="宋体" w:hAnsi="宋体"/>
          <w:b/>
          <w:color w:val="auto"/>
          <w:spacing w:val="20"/>
          <w:sz w:val="28"/>
          <w:szCs w:val="28"/>
          <w:highlight w:val="none"/>
        </w:rPr>
      </w:pPr>
    </w:p>
    <w:p>
      <w:pPr>
        <w:spacing w:line="400" w:lineRule="exact"/>
        <w:jc w:val="center"/>
        <w:rPr>
          <w:rFonts w:ascii="宋体" w:hAnsi="宋体"/>
          <w:b/>
          <w:color w:val="auto"/>
          <w:spacing w:val="20"/>
          <w:sz w:val="28"/>
          <w:szCs w:val="28"/>
          <w:highlight w:val="none"/>
        </w:rPr>
      </w:pPr>
    </w:p>
    <w:p>
      <w:pPr>
        <w:spacing w:line="400" w:lineRule="exact"/>
        <w:jc w:val="center"/>
        <w:rPr>
          <w:rFonts w:ascii="宋体" w:hAnsi="宋体"/>
          <w:b/>
          <w:color w:val="auto"/>
          <w:spacing w:val="20"/>
          <w:sz w:val="28"/>
          <w:szCs w:val="28"/>
          <w:highlight w:val="none"/>
        </w:rPr>
      </w:pPr>
    </w:p>
    <w:p>
      <w:pPr>
        <w:spacing w:line="400" w:lineRule="exact"/>
        <w:jc w:val="center"/>
        <w:rPr>
          <w:rFonts w:ascii="宋体" w:hAnsi="宋体"/>
          <w:b/>
          <w:color w:val="auto"/>
          <w:spacing w:val="20"/>
          <w:sz w:val="28"/>
          <w:szCs w:val="28"/>
          <w:highlight w:val="none"/>
        </w:rPr>
      </w:pPr>
      <w:r>
        <w:rPr>
          <w:rFonts w:hint="eastAsia" w:ascii="宋体" w:hAnsi="宋体"/>
          <w:b/>
          <w:color w:val="auto"/>
          <w:spacing w:val="20"/>
          <w:sz w:val="28"/>
          <w:szCs w:val="28"/>
          <w:highlight w:val="none"/>
        </w:rPr>
        <w:t>授权委托证明书</w:t>
      </w:r>
    </w:p>
    <w:p>
      <w:pPr>
        <w:spacing w:line="400" w:lineRule="exact"/>
        <w:jc w:val="center"/>
        <w:rPr>
          <w:rFonts w:ascii="宋体" w:hAnsi="宋体"/>
          <w:b/>
          <w:color w:val="auto"/>
          <w:spacing w:val="20"/>
          <w:sz w:val="28"/>
          <w:szCs w:val="28"/>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90170</wp:posOffset>
                </wp:positionV>
                <wp:extent cx="5551170" cy="3291840"/>
                <wp:effectExtent l="0" t="0" r="11430" b="228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551170" cy="3291840"/>
                        </a:xfrm>
                        <a:prstGeom prst="rect">
                          <a:avLst/>
                        </a:prstGeom>
                        <a:solidFill>
                          <a:srgbClr val="FFFFFF"/>
                        </a:solidFill>
                        <a:ln w="9525">
                          <a:solidFill>
                            <a:srgbClr val="000000"/>
                          </a:solidFill>
                          <a:miter lim="800000"/>
                        </a:ln>
                      </wps:spPr>
                      <wps:txbx>
                        <w:txbxContent>
                          <w:p>
                            <w:pPr>
                              <w:spacing w:line="360" w:lineRule="auto"/>
                              <w:ind w:firstLine="482" w:firstLineChars="200"/>
                              <w:rPr>
                                <w:rFonts w:ascii="宋体" w:hAnsi="宋体"/>
                                <w:b/>
                                <w:sz w:val="24"/>
                                <w:u w:val="single"/>
                              </w:rPr>
                            </w:pPr>
                            <w:r>
                              <w:rPr>
                                <w:rFonts w:hint="eastAsia" w:ascii="宋体" w:hAnsi="宋体"/>
                                <w:b/>
                                <w:sz w:val="24"/>
                              </w:rPr>
                              <w:t>兹授权在下面签字的</w:t>
                            </w:r>
                            <w:r>
                              <w:rPr>
                                <w:rFonts w:hint="eastAsia" w:ascii="宋体" w:hAnsi="宋体"/>
                                <w:b/>
                                <w:sz w:val="24"/>
                                <w:u w:val="single"/>
                              </w:rPr>
                              <w:t xml:space="preserve">     </w:t>
                            </w:r>
                            <w:r>
                              <w:rPr>
                                <w:rFonts w:hint="eastAsia" w:ascii="宋体" w:hAnsi="宋体"/>
                                <w:b/>
                                <w:sz w:val="24"/>
                              </w:rPr>
                              <w:t>现任我单位</w:t>
                            </w:r>
                            <w:r>
                              <w:rPr>
                                <w:rFonts w:hint="eastAsia" w:ascii="宋体" w:hAnsi="宋体"/>
                                <w:b/>
                                <w:sz w:val="24"/>
                                <w:u w:val="single"/>
                              </w:rPr>
                              <w:t xml:space="preserve">      </w:t>
                            </w:r>
                            <w:r>
                              <w:rPr>
                                <w:rFonts w:hint="eastAsia" w:ascii="宋体" w:hAnsi="宋体"/>
                                <w:b/>
                                <w:sz w:val="24"/>
                              </w:rPr>
                              <w:t>职务，为我方委托代理人，其权限是：</w:t>
                            </w:r>
                            <w:r>
                              <w:rPr>
                                <w:rFonts w:hint="eastAsia" w:ascii="宋体" w:hAnsi="宋体"/>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有效期限：</w:t>
                            </w:r>
                            <w:r>
                              <w:rPr>
                                <w:rFonts w:hint="eastAsia" w:ascii="宋体" w:hAnsi="宋体"/>
                                <w:b/>
                                <w:sz w:val="24"/>
                                <w:u w:val="single"/>
                              </w:rPr>
                              <w:t>自    年   月   日至    年    月    日。</w:t>
                            </w:r>
                          </w:p>
                          <w:p>
                            <w:pPr>
                              <w:snapToGrid w:val="0"/>
                              <w:spacing w:line="480" w:lineRule="exact"/>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hint="eastAsia" w:ascii="宋体" w:hAnsi="宋体"/>
                                <w:b/>
                                <w:sz w:val="24"/>
                              </w:rPr>
                              <w:t>年龄：</w:t>
                            </w:r>
                            <w:r>
                              <w:rPr>
                                <w:rFonts w:hint="eastAsia" w:ascii="宋体" w:hAnsi="宋体" w:cs="仿宋_GB2312"/>
                                <w:b/>
                                <w:sz w:val="24"/>
                                <w:u w:val="single"/>
                              </w:rPr>
                              <w:t xml:space="preserve">  </w:t>
                            </w:r>
                            <w:r>
                              <w:rPr>
                                <w:rFonts w:hint="eastAsia" w:ascii="宋体" w:hAnsi="宋体"/>
                                <w:b/>
                                <w:sz w:val="24"/>
                              </w:rPr>
                              <w:t>身份证号码：</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注册号码：</w:t>
                            </w:r>
                            <w:r>
                              <w:rPr>
                                <w:rFonts w:hint="eastAsia" w:ascii="宋体" w:hAnsi="宋体"/>
                                <w:b/>
                                <w:sz w:val="24"/>
                                <w:u w:val="single"/>
                              </w:rPr>
                              <w:t xml:space="preserve">       </w:t>
                            </w:r>
                            <w:r>
                              <w:rPr>
                                <w:rFonts w:hint="eastAsia" w:ascii="宋体" w:hAnsi="宋体"/>
                                <w:b/>
                                <w:sz w:val="24"/>
                              </w:rPr>
                              <w:t>企业类型：</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经营范围：</w:t>
                            </w:r>
                            <w:r>
                              <w:rPr>
                                <w:rFonts w:hint="eastAsia" w:ascii="宋体" w:hAnsi="宋体"/>
                                <w:b/>
                                <w:sz w:val="24"/>
                                <w:u w:val="single"/>
                              </w:rPr>
                              <w:t xml:space="preserve">                      　</w:t>
                            </w:r>
                          </w:p>
                          <w:p>
                            <w:pPr>
                              <w:snapToGrid w:val="0"/>
                              <w:spacing w:line="480" w:lineRule="exact"/>
                              <w:ind w:firstLine="482" w:firstLineChars="200"/>
                              <w:rPr>
                                <w:rFonts w:ascii="宋体" w:hAnsi="宋体"/>
                                <w:b/>
                                <w:sz w:val="24"/>
                              </w:rPr>
                            </w:pPr>
                            <w:r>
                              <w:rPr>
                                <w:rFonts w:hint="eastAsia" w:ascii="宋体" w:hAnsi="宋体"/>
                                <w:b/>
                                <w:sz w:val="24"/>
                              </w:rPr>
                              <w:t>法定代表人（负责人）：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被授权人（委托代理人）：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授权单位：（盖章）</w:t>
                            </w:r>
                            <w:r>
                              <w:rPr>
                                <w:rFonts w:hint="eastAsia" w:ascii="宋体" w:hAnsi="宋体"/>
                                <w:b/>
                                <w:sz w:val="24"/>
                                <w:u w:val="single"/>
                              </w:rPr>
                              <w:t xml:space="preserve">                         </w:t>
                            </w:r>
                            <w:r>
                              <w:rPr>
                                <w:rFonts w:hint="eastAsia" w:ascii="宋体" w:hAnsi="宋体"/>
                                <w:b/>
                                <w:sz w:val="24"/>
                              </w:rPr>
                              <w:t xml:space="preserve"> </w:t>
                            </w:r>
                          </w:p>
                          <w:p>
                            <w:pPr>
                              <w:ind w:firstLine="5783" w:firstLineChars="2400"/>
                              <w:rPr>
                                <w:b/>
                              </w:rPr>
                            </w:pPr>
                            <w:r>
                              <w:rPr>
                                <w:rFonts w:hint="eastAsia" w:ascii="宋体" w:hAnsi="宋体"/>
                                <w:b/>
                                <w:sz w:val="24"/>
                              </w:rPr>
                              <w:t>年  月  日</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1pt;height:259.2pt;width:437.1pt;z-index:251660288;mso-width-relative:page;mso-height-relative:page;" fillcolor="#FFFFFF" filled="t" stroked="t" coordsize="21600,21600" o:gfxdata="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cZN9toAAAAKAQAADwAAAAAAAAABACAA&#10;AAAiAAAAZHJzL2Rvd25yZXYueG1sUEsBAhQAFAAAAAgAh07iQBxlFMhEAgAAiAQAAA4AAAAAAAAA&#10;AQAgAAAAKQEAAGRycy9lMm9Eb2MueG1sUEsFBgAAAAAGAAYAWQEAAN8FAAAAAA==&#10;">
                <v:fill on="t" focussize="0,0"/>
                <v:stroke color="#000000" miterlimit="8" joinstyle="miter"/>
                <v:imagedata o:title=""/>
                <o:lock v:ext="edit" aspectratio="f"/>
                <v:textbox>
                  <w:txbxContent>
                    <w:p>
                      <w:pPr>
                        <w:spacing w:line="360" w:lineRule="auto"/>
                        <w:ind w:firstLine="482" w:firstLineChars="200"/>
                        <w:rPr>
                          <w:rFonts w:ascii="宋体" w:hAnsi="宋体"/>
                          <w:b/>
                          <w:sz w:val="24"/>
                          <w:u w:val="single"/>
                        </w:rPr>
                      </w:pPr>
                      <w:r>
                        <w:rPr>
                          <w:rFonts w:hint="eastAsia" w:ascii="宋体" w:hAnsi="宋体"/>
                          <w:b/>
                          <w:sz w:val="24"/>
                        </w:rPr>
                        <w:t>兹授权在下面签字的</w:t>
                      </w:r>
                      <w:r>
                        <w:rPr>
                          <w:rFonts w:hint="eastAsia" w:ascii="宋体" w:hAnsi="宋体"/>
                          <w:b/>
                          <w:sz w:val="24"/>
                          <w:u w:val="single"/>
                        </w:rPr>
                        <w:t xml:space="preserve">     </w:t>
                      </w:r>
                      <w:r>
                        <w:rPr>
                          <w:rFonts w:hint="eastAsia" w:ascii="宋体" w:hAnsi="宋体"/>
                          <w:b/>
                          <w:sz w:val="24"/>
                        </w:rPr>
                        <w:t>现任我单位</w:t>
                      </w:r>
                      <w:r>
                        <w:rPr>
                          <w:rFonts w:hint="eastAsia" w:ascii="宋体" w:hAnsi="宋体"/>
                          <w:b/>
                          <w:sz w:val="24"/>
                          <w:u w:val="single"/>
                        </w:rPr>
                        <w:t xml:space="preserve">      </w:t>
                      </w:r>
                      <w:r>
                        <w:rPr>
                          <w:rFonts w:hint="eastAsia" w:ascii="宋体" w:hAnsi="宋体"/>
                          <w:b/>
                          <w:sz w:val="24"/>
                        </w:rPr>
                        <w:t>职务，为我方委托代理人，其权限是：</w:t>
                      </w:r>
                      <w:r>
                        <w:rPr>
                          <w:rFonts w:hint="eastAsia" w:ascii="宋体" w:hAnsi="宋体"/>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有效期限：</w:t>
                      </w:r>
                      <w:r>
                        <w:rPr>
                          <w:rFonts w:hint="eastAsia" w:ascii="宋体" w:hAnsi="宋体"/>
                          <w:b/>
                          <w:sz w:val="24"/>
                          <w:u w:val="single"/>
                        </w:rPr>
                        <w:t>自    年   月   日至    年    月    日。</w:t>
                      </w:r>
                    </w:p>
                    <w:p>
                      <w:pPr>
                        <w:snapToGrid w:val="0"/>
                        <w:spacing w:line="480" w:lineRule="exact"/>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hint="eastAsia" w:ascii="宋体" w:hAnsi="宋体"/>
                          <w:b/>
                          <w:sz w:val="24"/>
                        </w:rPr>
                        <w:t>年龄：</w:t>
                      </w:r>
                      <w:r>
                        <w:rPr>
                          <w:rFonts w:hint="eastAsia" w:ascii="宋体" w:hAnsi="宋体" w:cs="仿宋_GB2312"/>
                          <w:b/>
                          <w:sz w:val="24"/>
                          <w:u w:val="single"/>
                        </w:rPr>
                        <w:t xml:space="preserve">  </w:t>
                      </w:r>
                      <w:r>
                        <w:rPr>
                          <w:rFonts w:hint="eastAsia" w:ascii="宋体" w:hAnsi="宋体"/>
                          <w:b/>
                          <w:sz w:val="24"/>
                        </w:rPr>
                        <w:t>身份证号码：</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注册号码：</w:t>
                      </w:r>
                      <w:r>
                        <w:rPr>
                          <w:rFonts w:hint="eastAsia" w:ascii="宋体" w:hAnsi="宋体"/>
                          <w:b/>
                          <w:sz w:val="24"/>
                          <w:u w:val="single"/>
                        </w:rPr>
                        <w:t xml:space="preserve">       </w:t>
                      </w:r>
                      <w:r>
                        <w:rPr>
                          <w:rFonts w:hint="eastAsia" w:ascii="宋体" w:hAnsi="宋体"/>
                          <w:b/>
                          <w:sz w:val="24"/>
                        </w:rPr>
                        <w:t>企业类型：</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经营范围：</w:t>
                      </w:r>
                      <w:r>
                        <w:rPr>
                          <w:rFonts w:hint="eastAsia" w:ascii="宋体" w:hAnsi="宋体"/>
                          <w:b/>
                          <w:sz w:val="24"/>
                          <w:u w:val="single"/>
                        </w:rPr>
                        <w:t xml:space="preserve">                      　</w:t>
                      </w:r>
                    </w:p>
                    <w:p>
                      <w:pPr>
                        <w:snapToGrid w:val="0"/>
                        <w:spacing w:line="480" w:lineRule="exact"/>
                        <w:ind w:firstLine="482" w:firstLineChars="200"/>
                        <w:rPr>
                          <w:rFonts w:ascii="宋体" w:hAnsi="宋体"/>
                          <w:b/>
                          <w:sz w:val="24"/>
                        </w:rPr>
                      </w:pPr>
                      <w:r>
                        <w:rPr>
                          <w:rFonts w:hint="eastAsia" w:ascii="宋体" w:hAnsi="宋体"/>
                          <w:b/>
                          <w:sz w:val="24"/>
                        </w:rPr>
                        <w:t>法定代表人（负责人）：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被授权人（委托代理人）：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授权单位：（盖章）</w:t>
                      </w:r>
                      <w:r>
                        <w:rPr>
                          <w:rFonts w:hint="eastAsia" w:ascii="宋体" w:hAnsi="宋体"/>
                          <w:b/>
                          <w:sz w:val="24"/>
                          <w:u w:val="single"/>
                        </w:rPr>
                        <w:t xml:space="preserve">                         </w:t>
                      </w:r>
                      <w:r>
                        <w:rPr>
                          <w:rFonts w:hint="eastAsia" w:ascii="宋体" w:hAnsi="宋体"/>
                          <w:b/>
                          <w:sz w:val="24"/>
                        </w:rPr>
                        <w:t xml:space="preserve"> </w:t>
                      </w:r>
                    </w:p>
                    <w:p>
                      <w:pPr>
                        <w:ind w:firstLine="5783" w:firstLineChars="2400"/>
                        <w:rPr>
                          <w:b/>
                        </w:rPr>
                      </w:pPr>
                      <w:r>
                        <w:rPr>
                          <w:rFonts w:hint="eastAsia" w:ascii="宋体" w:hAnsi="宋体"/>
                          <w:b/>
                          <w:sz w:val="24"/>
                        </w:rPr>
                        <w:t>年  月  日</w:t>
                      </w:r>
                    </w:p>
                    <w:p/>
                  </w:txbxContent>
                </v:textbox>
              </v:shape>
            </w:pict>
          </mc:Fallback>
        </mc:AlternateContent>
      </w: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560" w:lineRule="exact"/>
        <w:ind w:firstLine="6746" w:firstLineChars="2800"/>
        <w:rPr>
          <w:rFonts w:ascii="宋体" w:hAnsi="宋体"/>
          <w:b/>
          <w:bCs/>
          <w:color w:val="auto"/>
          <w:sz w:val="24"/>
          <w:highlight w:val="none"/>
        </w:rPr>
      </w:pPr>
    </w:p>
    <w:p>
      <w:pPr>
        <w:spacing w:line="560" w:lineRule="exact"/>
        <w:ind w:firstLine="5670" w:firstLineChars="2700"/>
        <w:rPr>
          <w:rFonts w:ascii="宋体" w:hAnsi="宋体"/>
          <w:color w:val="auto"/>
          <w:szCs w:val="21"/>
          <w:highlight w:val="none"/>
        </w:rPr>
      </w:pPr>
      <w:r>
        <w:rPr>
          <w:rFonts w:hint="eastAsia" w:ascii="宋体" w:hAnsi="宋体"/>
          <w:color w:val="auto"/>
          <w:szCs w:val="21"/>
          <w:highlight w:val="none"/>
        </w:rPr>
        <w:t>广州市工商行政管理局监制</w:t>
      </w:r>
    </w:p>
    <w:p>
      <w:pPr>
        <w:ind w:firstLine="420" w:firstLineChars="200"/>
        <w:rPr>
          <w:color w:val="auto"/>
          <w:highlight w:val="none"/>
        </w:rPr>
      </w:pPr>
    </w:p>
    <w:p>
      <w:pPr>
        <w:ind w:firstLine="420" w:firstLineChars="200"/>
        <w:rPr>
          <w:color w:val="auto"/>
          <w:highlight w:val="none"/>
        </w:rPr>
      </w:pPr>
    </w:p>
    <w:p>
      <w:pPr>
        <w:widowControl/>
        <w:jc w:val="left"/>
        <w:rPr>
          <w:color w:val="auto"/>
          <w:highlight w:val="none"/>
        </w:rPr>
      </w:pPr>
    </w:p>
    <w:p>
      <w:pPr>
        <w:jc w:val="center"/>
        <w:rPr>
          <w:rFonts w:ascii="黑体" w:hAnsi="黑体" w:eastAsia="黑体"/>
          <w:color w:val="auto"/>
          <w:sz w:val="30"/>
          <w:szCs w:val="30"/>
          <w:highlight w:val="none"/>
        </w:rPr>
      </w:pPr>
      <w:r>
        <w:rPr>
          <w:rFonts w:hint="eastAsia" w:ascii="黑体" w:hAnsi="黑体" w:eastAsia="黑体"/>
          <w:color w:val="auto"/>
          <w:sz w:val="30"/>
          <w:szCs w:val="30"/>
          <w:highlight w:val="none"/>
          <w:u w:val="single"/>
        </w:rPr>
        <mc:AlternateContent>
          <mc:Choice Requires="wps">
            <w:drawing>
              <wp:anchor distT="0" distB="0" distL="114300" distR="114300" simplePos="0" relativeHeight="251664384" behindDoc="0" locked="0" layoutInCell="1" allowOverlap="1">
                <wp:simplePos x="0" y="0"/>
                <wp:positionH relativeFrom="leftMargin">
                  <wp:align>right</wp:align>
                </wp:positionH>
                <wp:positionV relativeFrom="paragraph">
                  <wp:posOffset>-476250</wp:posOffset>
                </wp:positionV>
                <wp:extent cx="800100" cy="4762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50.1pt;height:37.5pt;width:63pt;mso-position-horizontal-relative:page;mso-position-vertical-relative:page;z-index:251664384;mso-width-relative:page;mso-height-relative:page;" filled="f" stroked="f" coordsize="21600,21600" o:gfxdata="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8qFvHVAAAABQEAAA8AAAAAAAAAAQAgAAAAIgAAAGRycy9kb3ducmV2&#10;LnhtbFBLAQIUABQAAAAIAIdO4kA8YnrgOAIAAGUEAAAOAAAAAAAAAAEAIAAAACQBAABkcnMvZTJv&#10;RG9jLnhtbFBLBQYAAAAABgAGAFkBAADO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5</w:t>
                      </w:r>
                    </w:p>
                  </w:txbxContent>
                </v:textbox>
              </v:shape>
            </w:pict>
          </mc:Fallback>
        </mc:AlternateContent>
      </w:r>
      <w:r>
        <w:rPr>
          <w:rFonts w:hint="eastAsia" w:ascii="黑体" w:hAnsi="黑体" w:eastAsia="黑体"/>
          <w:color w:val="auto"/>
          <w:sz w:val="30"/>
          <w:szCs w:val="30"/>
          <w:highlight w:val="none"/>
          <w:u w:val="single"/>
        </w:rPr>
        <w:t>成交通知书/发包通知书/委托书/中标通知书（如有）</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674024"/>
    </w:sdtPr>
    <w:sdtContent>
      <w:sdt>
        <w:sdtPr>
          <w:id w:val="1728636285"/>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【标准文本】K</w:t>
    </w:r>
    <w:r>
      <w:t>C-202201-1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8FF1D"/>
    <w:multiLevelType w:val="singleLevel"/>
    <w:tmpl w:val="87B8FF1D"/>
    <w:lvl w:ilvl="0" w:tentative="0">
      <w:start w:val="1"/>
      <w:numFmt w:val="decimal"/>
      <w:suff w:val="nothing"/>
      <w:lvlText w:val="（%1）"/>
      <w:lvlJc w:val="left"/>
    </w:lvl>
  </w:abstractNum>
  <w:abstractNum w:abstractNumId="1">
    <w:nsid w:val="9FE0791F"/>
    <w:multiLevelType w:val="singleLevel"/>
    <w:tmpl w:val="9FE0791F"/>
    <w:lvl w:ilvl="0" w:tentative="0">
      <w:start w:val="1"/>
      <w:numFmt w:val="decimal"/>
      <w:suff w:val="nothing"/>
      <w:lvlText w:val="（%1）"/>
      <w:lvlJc w:val="left"/>
    </w:lvl>
  </w:abstractNum>
  <w:abstractNum w:abstractNumId="2">
    <w:nsid w:val="079F1AEF"/>
    <w:multiLevelType w:val="multilevel"/>
    <w:tmpl w:val="079F1AEF"/>
    <w:lvl w:ilvl="0" w:tentative="0">
      <w:start w:val="3"/>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9773E84"/>
    <w:multiLevelType w:val="multilevel"/>
    <w:tmpl w:val="09773E84"/>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ascii="仿宋_GB2312" w:eastAsia="仿宋_GB2312"/>
        <w:b w:val="0"/>
        <w:bCs w:val="0"/>
        <w:i w:val="0"/>
        <w:iCs w:val="0"/>
        <w:caps w:val="0"/>
        <w:smallCaps w:val="0"/>
        <w:strike w:val="0"/>
        <w:dstrike w:val="0"/>
        <w:outline w:val="0"/>
        <w:shadow w:val="0"/>
        <w:emboss w:val="0"/>
        <w:imprint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A8B35B9"/>
    <w:multiLevelType w:val="multilevel"/>
    <w:tmpl w:val="0A8B35B9"/>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0CD45335"/>
    <w:multiLevelType w:val="multilevel"/>
    <w:tmpl w:val="0CD4533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13E03448"/>
    <w:multiLevelType w:val="multilevel"/>
    <w:tmpl w:val="13E03448"/>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42E433E"/>
    <w:multiLevelType w:val="multilevel"/>
    <w:tmpl w:val="242E433E"/>
    <w:lvl w:ilvl="0" w:tentative="0">
      <w:start w:val="1"/>
      <w:numFmt w:val="decimal"/>
      <w:lvlText w:val="（%1）"/>
      <w:lvlJc w:val="left"/>
      <w:pPr>
        <w:ind w:left="735" w:hanging="4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8">
    <w:nsid w:val="2C5201D3"/>
    <w:multiLevelType w:val="multilevel"/>
    <w:tmpl w:val="2C5201D3"/>
    <w:lvl w:ilvl="0" w:tentative="0">
      <w:start w:val="1"/>
      <w:numFmt w:val="decimal"/>
      <w:lvlText w:val="（%1）"/>
      <w:lvlJc w:val="left"/>
      <w:pPr>
        <w:ind w:left="735" w:hanging="4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9">
    <w:nsid w:val="2FC43EEC"/>
    <w:multiLevelType w:val="multilevel"/>
    <w:tmpl w:val="2FC43EE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2CA27E1"/>
    <w:multiLevelType w:val="multilevel"/>
    <w:tmpl w:val="32CA27E1"/>
    <w:lvl w:ilvl="0" w:tentative="0">
      <w:start w:val="1"/>
      <w:numFmt w:val="decimal"/>
      <w:pStyle w:val="17"/>
      <w:lvlText w:val="%1"/>
      <w:lvlJc w:val="left"/>
      <w:pPr>
        <w:ind w:left="0" w:firstLine="0"/>
      </w:pPr>
      <w:rPr>
        <w:rFonts w:hint="eastAsia" w:eastAsia="黑体"/>
        <w:b/>
        <w:i w:val="0"/>
        <w:sz w:val="24"/>
      </w:rPr>
    </w:lvl>
    <w:lvl w:ilvl="1" w:tentative="0">
      <w:start w:val="1"/>
      <w:numFmt w:val="decimal"/>
      <w:lvlRestart w:val="0"/>
      <w:isLgl/>
      <w:lvlText w:val="%1.%2"/>
      <w:lvlJc w:val="left"/>
      <w:pPr>
        <w:tabs>
          <w:tab w:val="left" w:pos="510"/>
        </w:tabs>
        <w:ind w:left="420" w:hanging="210"/>
      </w:pPr>
      <w:rPr>
        <w:rFonts w:hint="eastAsia"/>
      </w:rPr>
    </w:lvl>
    <w:lvl w:ilvl="2" w:tentative="0">
      <w:start w:val="1"/>
      <w:numFmt w:val="decimal"/>
      <w:isLgl/>
      <w:lvlText w:val="%1.%2.%3"/>
      <w:lvlJc w:val="left"/>
      <w:pPr>
        <w:ind w:left="397" w:firstLine="10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381669C2"/>
    <w:multiLevelType w:val="multilevel"/>
    <w:tmpl w:val="381669C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63A5B55"/>
    <w:multiLevelType w:val="multilevel"/>
    <w:tmpl w:val="463A5B5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4E264C24"/>
    <w:multiLevelType w:val="multilevel"/>
    <w:tmpl w:val="4E264C24"/>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4">
    <w:nsid w:val="54A048DD"/>
    <w:multiLevelType w:val="multilevel"/>
    <w:tmpl w:val="54A048DD"/>
    <w:lvl w:ilvl="0" w:tentative="0">
      <w:start w:val="1"/>
      <w:numFmt w:val="decimal"/>
      <w:pStyle w:val="16"/>
      <w:lvlText w:val="%1."/>
      <w:lvlJc w:val="left"/>
      <w:pPr>
        <w:ind w:left="0" w:firstLine="0"/>
      </w:pPr>
      <w:rPr>
        <w:rFonts w:hint="eastAsia"/>
      </w:rPr>
    </w:lvl>
    <w:lvl w:ilvl="1" w:tentative="0">
      <w:start w:val="1"/>
      <w:numFmt w:val="decimal"/>
      <w:pStyle w:val="20"/>
      <w:isLgl/>
      <w:suff w:val="nothing"/>
      <w:lvlText w:val="%1.%2."/>
      <w:lvlJc w:val="left"/>
      <w:pPr>
        <w:ind w:left="567" w:hanging="567"/>
      </w:pPr>
      <w:rPr>
        <w:rFonts w:hint="eastAsia"/>
        <w:b w:val="0"/>
        <w:bCs w:val="0"/>
        <w:i w:val="0"/>
        <w:iCs w:val="0"/>
        <w:caps w:val="0"/>
        <w:smallCaps w:val="0"/>
        <w:strike w:val="0"/>
        <w:dstrike w:val="0"/>
        <w:outline w:val="0"/>
        <w:shadow w:val="0"/>
        <w:emboss w:val="0"/>
        <w:imprint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21"/>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600F654C"/>
    <w:multiLevelType w:val="multilevel"/>
    <w:tmpl w:val="600F654C"/>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60949E92"/>
    <w:multiLevelType w:val="singleLevel"/>
    <w:tmpl w:val="60949E92"/>
    <w:lvl w:ilvl="0" w:tentative="0">
      <w:start w:val="2"/>
      <w:numFmt w:val="decimal"/>
      <w:lvlText w:val="%1."/>
      <w:lvlJc w:val="left"/>
      <w:pPr>
        <w:tabs>
          <w:tab w:val="left" w:pos="312"/>
        </w:tabs>
      </w:pPr>
    </w:lvl>
  </w:abstractNum>
  <w:abstractNum w:abstractNumId="17">
    <w:nsid w:val="6AFD4BBB"/>
    <w:multiLevelType w:val="multilevel"/>
    <w:tmpl w:val="6AFD4BB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6EB84834"/>
    <w:multiLevelType w:val="multilevel"/>
    <w:tmpl w:val="6EB84834"/>
    <w:lvl w:ilvl="0" w:tentative="0">
      <w:start w:val="1"/>
      <w:numFmt w:val="decimal"/>
      <w:lvlText w:val="（%1）"/>
      <w:lvlJc w:val="left"/>
      <w:pPr>
        <w:ind w:left="735" w:hanging="4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9">
    <w:nsid w:val="75D001AD"/>
    <w:multiLevelType w:val="multilevel"/>
    <w:tmpl w:val="75D001A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0">
    <w:nsid w:val="7ACC1F2F"/>
    <w:multiLevelType w:val="singleLevel"/>
    <w:tmpl w:val="7ACC1F2F"/>
    <w:lvl w:ilvl="0" w:tentative="0">
      <w:start w:val="1"/>
      <w:numFmt w:val="decimal"/>
      <w:suff w:val="nothing"/>
      <w:lvlText w:val="（%1）"/>
      <w:lvlJc w:val="left"/>
    </w:lvl>
  </w:abstractNum>
  <w:num w:numId="1">
    <w:abstractNumId w:val="14"/>
  </w:num>
  <w:num w:numId="2">
    <w:abstractNumId w:val="10"/>
  </w:num>
  <w:num w:numId="3">
    <w:abstractNumId w:val="8"/>
  </w:num>
  <w:num w:numId="4">
    <w:abstractNumId w:val="16"/>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num>
  <w:num w:numId="9">
    <w:abstractNumId w:val="1"/>
  </w:num>
  <w:num w:numId="10">
    <w:abstractNumId w:val="9"/>
  </w:num>
  <w:num w:numId="11">
    <w:abstractNumId w:val="11"/>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
  </w:num>
  <w:num w:numId="20">
    <w:abstractNumId w:val="19"/>
  </w:num>
  <w:num w:numId="21">
    <w:abstractNumId w:val="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廖皓明">
    <w15:presenceInfo w15:providerId="None" w15:userId="廖皓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zOGJjNDllY2M1MGFiYWUwYzliMTQ1ZmI5MTFhMGIifQ=="/>
  </w:docVars>
  <w:rsids>
    <w:rsidRoot w:val="00256B35"/>
    <w:rsid w:val="00000723"/>
    <w:rsid w:val="00014A1C"/>
    <w:rsid w:val="000260A0"/>
    <w:rsid w:val="00026A8C"/>
    <w:rsid w:val="00041E30"/>
    <w:rsid w:val="00073516"/>
    <w:rsid w:val="000740EF"/>
    <w:rsid w:val="00096C7D"/>
    <w:rsid w:val="000A2C5D"/>
    <w:rsid w:val="000A58C9"/>
    <w:rsid w:val="000B4862"/>
    <w:rsid w:val="000B687D"/>
    <w:rsid w:val="000C1BAA"/>
    <w:rsid w:val="000E1AF8"/>
    <w:rsid w:val="000F14D2"/>
    <w:rsid w:val="000F1D3E"/>
    <w:rsid w:val="00100970"/>
    <w:rsid w:val="001203D5"/>
    <w:rsid w:val="001373EE"/>
    <w:rsid w:val="00144BDC"/>
    <w:rsid w:val="001516C4"/>
    <w:rsid w:val="00156401"/>
    <w:rsid w:val="00160E78"/>
    <w:rsid w:val="00161F00"/>
    <w:rsid w:val="00190255"/>
    <w:rsid w:val="00192FBC"/>
    <w:rsid w:val="001932C8"/>
    <w:rsid w:val="001A01CD"/>
    <w:rsid w:val="001A04CB"/>
    <w:rsid w:val="001A1E25"/>
    <w:rsid w:val="001A20AD"/>
    <w:rsid w:val="001A7A0B"/>
    <w:rsid w:val="001C582F"/>
    <w:rsid w:val="001E78FB"/>
    <w:rsid w:val="001F1216"/>
    <w:rsid w:val="00220630"/>
    <w:rsid w:val="002264D0"/>
    <w:rsid w:val="0023026D"/>
    <w:rsid w:val="00256B35"/>
    <w:rsid w:val="00265E52"/>
    <w:rsid w:val="00275BD8"/>
    <w:rsid w:val="00281201"/>
    <w:rsid w:val="002A37DD"/>
    <w:rsid w:val="002B7030"/>
    <w:rsid w:val="002D3C6A"/>
    <w:rsid w:val="002E7E51"/>
    <w:rsid w:val="002F1D17"/>
    <w:rsid w:val="002F2872"/>
    <w:rsid w:val="002F4D7D"/>
    <w:rsid w:val="00332EC5"/>
    <w:rsid w:val="00337257"/>
    <w:rsid w:val="00356D5D"/>
    <w:rsid w:val="00357606"/>
    <w:rsid w:val="00361958"/>
    <w:rsid w:val="00380377"/>
    <w:rsid w:val="003860BB"/>
    <w:rsid w:val="003957A1"/>
    <w:rsid w:val="003A043C"/>
    <w:rsid w:val="003A2054"/>
    <w:rsid w:val="003B47C8"/>
    <w:rsid w:val="003D1E7E"/>
    <w:rsid w:val="003F6BA3"/>
    <w:rsid w:val="00403780"/>
    <w:rsid w:val="00410D26"/>
    <w:rsid w:val="00423E13"/>
    <w:rsid w:val="00431895"/>
    <w:rsid w:val="00454180"/>
    <w:rsid w:val="00466B0C"/>
    <w:rsid w:val="00467AB1"/>
    <w:rsid w:val="00484D26"/>
    <w:rsid w:val="00491DBF"/>
    <w:rsid w:val="004A3C59"/>
    <w:rsid w:val="004B6286"/>
    <w:rsid w:val="004D7D89"/>
    <w:rsid w:val="004F3CE4"/>
    <w:rsid w:val="0050201A"/>
    <w:rsid w:val="00505FA1"/>
    <w:rsid w:val="005127F2"/>
    <w:rsid w:val="00525DC1"/>
    <w:rsid w:val="00551533"/>
    <w:rsid w:val="005747B2"/>
    <w:rsid w:val="005909A9"/>
    <w:rsid w:val="005A15E4"/>
    <w:rsid w:val="005A52BC"/>
    <w:rsid w:val="005B18D9"/>
    <w:rsid w:val="005D52BB"/>
    <w:rsid w:val="005F7135"/>
    <w:rsid w:val="0061017D"/>
    <w:rsid w:val="00613E3F"/>
    <w:rsid w:val="00625C8A"/>
    <w:rsid w:val="00661EA7"/>
    <w:rsid w:val="006712EB"/>
    <w:rsid w:val="006A6E33"/>
    <w:rsid w:val="006C5E63"/>
    <w:rsid w:val="006E3540"/>
    <w:rsid w:val="006F11C0"/>
    <w:rsid w:val="007035C4"/>
    <w:rsid w:val="00706A82"/>
    <w:rsid w:val="00711912"/>
    <w:rsid w:val="0071289E"/>
    <w:rsid w:val="0073533B"/>
    <w:rsid w:val="00742C01"/>
    <w:rsid w:val="00745268"/>
    <w:rsid w:val="00746EA0"/>
    <w:rsid w:val="00756F78"/>
    <w:rsid w:val="007610F6"/>
    <w:rsid w:val="00781325"/>
    <w:rsid w:val="00782BA3"/>
    <w:rsid w:val="007877D9"/>
    <w:rsid w:val="00792CE2"/>
    <w:rsid w:val="00796C67"/>
    <w:rsid w:val="007A5E7C"/>
    <w:rsid w:val="007E7937"/>
    <w:rsid w:val="00812DD9"/>
    <w:rsid w:val="00817489"/>
    <w:rsid w:val="00826897"/>
    <w:rsid w:val="00830D6B"/>
    <w:rsid w:val="00831286"/>
    <w:rsid w:val="008356E1"/>
    <w:rsid w:val="00853E48"/>
    <w:rsid w:val="0086139A"/>
    <w:rsid w:val="00864525"/>
    <w:rsid w:val="00871289"/>
    <w:rsid w:val="008813E3"/>
    <w:rsid w:val="00893939"/>
    <w:rsid w:val="008C25DC"/>
    <w:rsid w:val="008C2E4F"/>
    <w:rsid w:val="008E6CDC"/>
    <w:rsid w:val="008F1633"/>
    <w:rsid w:val="00924ADE"/>
    <w:rsid w:val="00951862"/>
    <w:rsid w:val="00991A13"/>
    <w:rsid w:val="009952DC"/>
    <w:rsid w:val="009C57A3"/>
    <w:rsid w:val="009D5633"/>
    <w:rsid w:val="009F23EE"/>
    <w:rsid w:val="009F3B13"/>
    <w:rsid w:val="00A0787B"/>
    <w:rsid w:val="00A230AB"/>
    <w:rsid w:val="00A25498"/>
    <w:rsid w:val="00A436A7"/>
    <w:rsid w:val="00A45019"/>
    <w:rsid w:val="00A45229"/>
    <w:rsid w:val="00A569F7"/>
    <w:rsid w:val="00A578E6"/>
    <w:rsid w:val="00A74585"/>
    <w:rsid w:val="00A9294A"/>
    <w:rsid w:val="00A954B2"/>
    <w:rsid w:val="00AB1581"/>
    <w:rsid w:val="00AE2D87"/>
    <w:rsid w:val="00B01E8B"/>
    <w:rsid w:val="00B04547"/>
    <w:rsid w:val="00B0474E"/>
    <w:rsid w:val="00B11420"/>
    <w:rsid w:val="00B31E0B"/>
    <w:rsid w:val="00B53607"/>
    <w:rsid w:val="00B71185"/>
    <w:rsid w:val="00B93B16"/>
    <w:rsid w:val="00BA6039"/>
    <w:rsid w:val="00BD0100"/>
    <w:rsid w:val="00BF77AC"/>
    <w:rsid w:val="00C07391"/>
    <w:rsid w:val="00C1450D"/>
    <w:rsid w:val="00C41330"/>
    <w:rsid w:val="00C53094"/>
    <w:rsid w:val="00C60D3A"/>
    <w:rsid w:val="00C63894"/>
    <w:rsid w:val="00C67815"/>
    <w:rsid w:val="00C80245"/>
    <w:rsid w:val="00C95099"/>
    <w:rsid w:val="00CC7D35"/>
    <w:rsid w:val="00CE13BA"/>
    <w:rsid w:val="00D064EC"/>
    <w:rsid w:val="00D074C3"/>
    <w:rsid w:val="00D079E8"/>
    <w:rsid w:val="00D11B89"/>
    <w:rsid w:val="00D12610"/>
    <w:rsid w:val="00D2775A"/>
    <w:rsid w:val="00D3021A"/>
    <w:rsid w:val="00D34077"/>
    <w:rsid w:val="00D51A5E"/>
    <w:rsid w:val="00D85F1D"/>
    <w:rsid w:val="00D93553"/>
    <w:rsid w:val="00DA0352"/>
    <w:rsid w:val="00DA1298"/>
    <w:rsid w:val="00DA68BD"/>
    <w:rsid w:val="00DB32A7"/>
    <w:rsid w:val="00DC64C5"/>
    <w:rsid w:val="00E01EE3"/>
    <w:rsid w:val="00E07890"/>
    <w:rsid w:val="00E14263"/>
    <w:rsid w:val="00E309BB"/>
    <w:rsid w:val="00E41DBC"/>
    <w:rsid w:val="00E6373F"/>
    <w:rsid w:val="00E679DA"/>
    <w:rsid w:val="00E71F72"/>
    <w:rsid w:val="00E731E8"/>
    <w:rsid w:val="00E7385F"/>
    <w:rsid w:val="00E804A1"/>
    <w:rsid w:val="00E82186"/>
    <w:rsid w:val="00E90177"/>
    <w:rsid w:val="00E95E07"/>
    <w:rsid w:val="00EA7B1F"/>
    <w:rsid w:val="00EB1237"/>
    <w:rsid w:val="00EB1708"/>
    <w:rsid w:val="00EB7E66"/>
    <w:rsid w:val="00EC5200"/>
    <w:rsid w:val="00EE624F"/>
    <w:rsid w:val="00F22BD9"/>
    <w:rsid w:val="00F469A3"/>
    <w:rsid w:val="00F505B2"/>
    <w:rsid w:val="00F603FE"/>
    <w:rsid w:val="00F6464D"/>
    <w:rsid w:val="00F67819"/>
    <w:rsid w:val="00F83814"/>
    <w:rsid w:val="00FA643C"/>
    <w:rsid w:val="00FA65D2"/>
    <w:rsid w:val="00FD164C"/>
    <w:rsid w:val="00FD48C8"/>
    <w:rsid w:val="00FD6C60"/>
    <w:rsid w:val="00FD7AC5"/>
    <w:rsid w:val="00FE7583"/>
    <w:rsid w:val="00FF34D9"/>
    <w:rsid w:val="01396CE6"/>
    <w:rsid w:val="047C3A5F"/>
    <w:rsid w:val="11DC072A"/>
    <w:rsid w:val="13E10BCE"/>
    <w:rsid w:val="14F24794"/>
    <w:rsid w:val="17554800"/>
    <w:rsid w:val="185F7CB3"/>
    <w:rsid w:val="187C7419"/>
    <w:rsid w:val="2093349F"/>
    <w:rsid w:val="265C788D"/>
    <w:rsid w:val="2D83111B"/>
    <w:rsid w:val="2E7D66B7"/>
    <w:rsid w:val="30E41A99"/>
    <w:rsid w:val="310B2BB2"/>
    <w:rsid w:val="322E02A5"/>
    <w:rsid w:val="358E44EA"/>
    <w:rsid w:val="387F0FF6"/>
    <w:rsid w:val="3ED51AEC"/>
    <w:rsid w:val="4451787F"/>
    <w:rsid w:val="44821F76"/>
    <w:rsid w:val="448518B1"/>
    <w:rsid w:val="4536787C"/>
    <w:rsid w:val="464216DD"/>
    <w:rsid w:val="4A263A88"/>
    <w:rsid w:val="4C8B734F"/>
    <w:rsid w:val="4CF1787A"/>
    <w:rsid w:val="4F781E74"/>
    <w:rsid w:val="50877537"/>
    <w:rsid w:val="5AE756B0"/>
    <w:rsid w:val="5DAA57D8"/>
    <w:rsid w:val="61602344"/>
    <w:rsid w:val="66546E60"/>
    <w:rsid w:val="672D3E47"/>
    <w:rsid w:val="682637A6"/>
    <w:rsid w:val="69645A61"/>
    <w:rsid w:val="6B851761"/>
    <w:rsid w:val="7BF5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w:basedOn w:val="1"/>
    <w:next w:val="1"/>
    <w:qFormat/>
    <w:uiPriority w:val="0"/>
    <w:pPr>
      <w:snapToGrid w:val="0"/>
    </w:pPr>
  </w:style>
  <w:style w:type="paragraph" w:styleId="5">
    <w:name w:val="annotation text"/>
    <w:basedOn w:val="1"/>
    <w:link w:val="24"/>
    <w:semiHidden/>
    <w:unhideWhenUsed/>
    <w:qFormat/>
    <w:uiPriority w:val="99"/>
    <w:pPr>
      <w:jc w:val="left"/>
    </w:pPr>
  </w:style>
  <w:style w:type="paragraph" w:styleId="6">
    <w:name w:val="Plain Text"/>
    <w:basedOn w:val="1"/>
    <w:unhideWhenUsed/>
    <w:qFormat/>
    <w:uiPriority w:val="0"/>
    <w:rPr>
      <w:rFonts w:ascii="宋体" w:hAnsi="Courier New"/>
      <w:kern w:val="0"/>
      <w:sz w:val="20"/>
      <w:szCs w:val="20"/>
    </w:rPr>
  </w:style>
  <w:style w:type="paragraph" w:styleId="7">
    <w:name w:val="Balloon Text"/>
    <w:basedOn w:val="1"/>
    <w:link w:val="25"/>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37"/>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customStyle="1" w:styleId="16">
    <w:name w:val="合同 1.标题"/>
    <w:basedOn w:val="17"/>
    <w:link w:val="18"/>
    <w:qFormat/>
    <w:uiPriority w:val="0"/>
    <w:pPr>
      <w:numPr>
        <w:numId w:val="1"/>
      </w:numPr>
      <w:spacing w:line="360" w:lineRule="auto"/>
    </w:pPr>
  </w:style>
  <w:style w:type="paragraph" w:customStyle="1" w:styleId="17">
    <w:name w:val="1.第一级"/>
    <w:basedOn w:val="1"/>
    <w:link w:val="19"/>
    <w:qFormat/>
    <w:uiPriority w:val="0"/>
    <w:pPr>
      <w:numPr>
        <w:ilvl w:val="0"/>
        <w:numId w:val="2"/>
      </w:numPr>
      <w:spacing w:line="480" w:lineRule="auto"/>
      <w:jc w:val="left"/>
    </w:pPr>
    <w:rPr>
      <w:rFonts w:ascii="仿宋_GB2312" w:eastAsia="黑体"/>
      <w:b/>
      <w:sz w:val="24"/>
    </w:rPr>
  </w:style>
  <w:style w:type="character" w:customStyle="1" w:styleId="18">
    <w:name w:val="合同 1.标题 字符"/>
    <w:basedOn w:val="13"/>
    <w:link w:val="16"/>
    <w:qFormat/>
    <w:uiPriority w:val="0"/>
    <w:rPr>
      <w:rFonts w:ascii="仿宋_GB2312" w:hAnsi="Times New Roman" w:eastAsia="黑体" w:cs="Times New Roman"/>
      <w:b/>
      <w:sz w:val="24"/>
      <w:szCs w:val="24"/>
    </w:rPr>
  </w:style>
  <w:style w:type="character" w:customStyle="1" w:styleId="19">
    <w:name w:val="1.第一级 字符"/>
    <w:basedOn w:val="13"/>
    <w:link w:val="17"/>
    <w:qFormat/>
    <w:uiPriority w:val="0"/>
    <w:rPr>
      <w:rFonts w:ascii="仿宋_GB2312" w:eastAsia="黑体"/>
      <w:b/>
      <w:kern w:val="2"/>
      <w:sz w:val="24"/>
      <w:szCs w:val="24"/>
    </w:rPr>
  </w:style>
  <w:style w:type="paragraph" w:customStyle="1" w:styleId="20">
    <w:name w:val="合同1.2标题"/>
    <w:basedOn w:val="16"/>
    <w:link w:val="22"/>
    <w:qFormat/>
    <w:uiPriority w:val="0"/>
    <w:pPr>
      <w:numPr>
        <w:ilvl w:val="1"/>
      </w:numPr>
      <w:ind w:left="454" w:hanging="454"/>
    </w:pPr>
    <w:rPr>
      <w:rFonts w:eastAsia="仿宋_GB2312"/>
      <w:b w:val="0"/>
    </w:rPr>
  </w:style>
  <w:style w:type="paragraph" w:customStyle="1" w:styleId="21">
    <w:name w:val="合同1.3标题"/>
    <w:basedOn w:val="20"/>
    <w:link w:val="23"/>
    <w:qFormat/>
    <w:uiPriority w:val="0"/>
    <w:pPr>
      <w:numPr>
        <w:ilvl w:val="2"/>
      </w:numPr>
      <w:ind w:left="851" w:hanging="851"/>
    </w:pPr>
  </w:style>
  <w:style w:type="character" w:customStyle="1" w:styleId="22">
    <w:name w:val="合同1.2标题 字符"/>
    <w:basedOn w:val="13"/>
    <w:link w:val="20"/>
    <w:qFormat/>
    <w:uiPriority w:val="0"/>
    <w:rPr>
      <w:rFonts w:ascii="仿宋_GB2312" w:eastAsia="仿宋_GB2312"/>
      <w:kern w:val="2"/>
      <w:sz w:val="24"/>
      <w:szCs w:val="24"/>
    </w:rPr>
  </w:style>
  <w:style w:type="character" w:customStyle="1" w:styleId="23">
    <w:name w:val="合同1.3标题 字符"/>
    <w:basedOn w:val="22"/>
    <w:link w:val="21"/>
    <w:qFormat/>
    <w:uiPriority w:val="0"/>
    <w:rPr>
      <w:rFonts w:ascii="仿宋_GB2312" w:eastAsia="仿宋_GB2312"/>
      <w:kern w:val="2"/>
      <w:sz w:val="24"/>
      <w:szCs w:val="24"/>
    </w:rPr>
  </w:style>
  <w:style w:type="character" w:customStyle="1" w:styleId="24">
    <w:name w:val="批注文字 字符"/>
    <w:basedOn w:val="13"/>
    <w:link w:val="5"/>
    <w:semiHidden/>
    <w:qFormat/>
    <w:uiPriority w:val="99"/>
    <w:rPr>
      <w:rFonts w:ascii="Times New Roman" w:hAnsi="Times New Roman" w:eastAsia="宋体" w:cs="Times New Roman"/>
      <w:szCs w:val="24"/>
    </w:rPr>
  </w:style>
  <w:style w:type="character" w:customStyle="1" w:styleId="25">
    <w:name w:val="批注框文本 字符"/>
    <w:basedOn w:val="13"/>
    <w:link w:val="7"/>
    <w:semiHidden/>
    <w:qFormat/>
    <w:uiPriority w:val="99"/>
    <w:rPr>
      <w:rFonts w:ascii="Times New Roman" w:hAnsi="Times New Roman" w:eastAsia="宋体" w:cs="Times New Roman"/>
      <w:sz w:val="18"/>
      <w:szCs w:val="18"/>
    </w:rPr>
  </w:style>
  <w:style w:type="character" w:customStyle="1" w:styleId="26">
    <w:name w:val="页眉 字符"/>
    <w:basedOn w:val="13"/>
    <w:link w:val="9"/>
    <w:qFormat/>
    <w:uiPriority w:val="99"/>
    <w:rPr>
      <w:rFonts w:ascii="Times New Roman" w:hAnsi="Times New Roman" w:eastAsia="宋体" w:cs="Times New Roman"/>
      <w:sz w:val="18"/>
      <w:szCs w:val="18"/>
    </w:rPr>
  </w:style>
  <w:style w:type="character" w:customStyle="1" w:styleId="27">
    <w:name w:val="页脚 字符"/>
    <w:basedOn w:val="13"/>
    <w:link w:val="8"/>
    <w:qFormat/>
    <w:uiPriority w:val="99"/>
    <w:rPr>
      <w:rFonts w:ascii="Times New Roman" w:hAnsi="Times New Roman" w:eastAsia="宋体" w:cs="Times New Roman"/>
      <w:sz w:val="18"/>
      <w:szCs w:val="18"/>
    </w:rPr>
  </w:style>
  <w:style w:type="paragraph" w:customStyle="1" w:styleId="28">
    <w:name w:val="黑体"/>
    <w:basedOn w:val="1"/>
    <w:link w:val="30"/>
    <w:qFormat/>
    <w:uiPriority w:val="0"/>
    <w:pPr>
      <w:ind w:firstLine="200" w:firstLineChars="200"/>
    </w:pPr>
    <w:rPr>
      <w:rFonts w:ascii="黑体" w:hAnsi="黑体" w:eastAsia="黑体"/>
      <w:sz w:val="30"/>
      <w:szCs w:val="30"/>
    </w:rPr>
  </w:style>
  <w:style w:type="paragraph" w:styleId="29">
    <w:name w:val="List Paragraph"/>
    <w:basedOn w:val="1"/>
    <w:qFormat/>
    <w:uiPriority w:val="34"/>
    <w:pPr>
      <w:ind w:firstLine="420" w:firstLineChars="200"/>
    </w:pPr>
  </w:style>
  <w:style w:type="character" w:customStyle="1" w:styleId="30">
    <w:name w:val="黑体 字符"/>
    <w:basedOn w:val="13"/>
    <w:link w:val="28"/>
    <w:qFormat/>
    <w:uiPriority w:val="0"/>
    <w:rPr>
      <w:rFonts w:ascii="黑体" w:hAnsi="黑体" w:eastAsia="黑体" w:cs="Times New Roman"/>
      <w:sz w:val="30"/>
      <w:szCs w:val="30"/>
    </w:rPr>
  </w:style>
  <w:style w:type="paragraph" w:customStyle="1" w:styleId="31">
    <w:name w:val="仿宋GB正文小四"/>
    <w:basedOn w:val="1"/>
    <w:link w:val="32"/>
    <w:qFormat/>
    <w:uiPriority w:val="0"/>
    <w:pPr>
      <w:spacing w:line="360" w:lineRule="auto"/>
      <w:ind w:firstLine="200" w:firstLineChars="200"/>
    </w:pPr>
    <w:rPr>
      <w:rFonts w:eastAsia="仿宋_GB2312"/>
      <w:sz w:val="24"/>
    </w:rPr>
  </w:style>
  <w:style w:type="character" w:customStyle="1" w:styleId="32">
    <w:name w:val="仿宋GB正文小四 字符"/>
    <w:basedOn w:val="13"/>
    <w:link w:val="31"/>
    <w:qFormat/>
    <w:uiPriority w:val="0"/>
    <w:rPr>
      <w:rFonts w:ascii="Times New Roman" w:hAnsi="Times New Roman" w:eastAsia="仿宋_GB2312" w:cs="Times New Roman"/>
      <w:sz w:val="24"/>
      <w:szCs w:val="24"/>
    </w:rPr>
  </w:style>
  <w:style w:type="paragraph" w:customStyle="1" w:styleId="33">
    <w:name w:val="选项样式"/>
    <w:basedOn w:val="31"/>
    <w:link w:val="34"/>
    <w:qFormat/>
    <w:uiPriority w:val="0"/>
    <w:pPr>
      <w:ind w:left="555" w:leftChars="150" w:hanging="240" w:hangingChars="100"/>
    </w:pPr>
  </w:style>
  <w:style w:type="character" w:customStyle="1" w:styleId="34">
    <w:name w:val="选项样式 字符"/>
    <w:basedOn w:val="32"/>
    <w:link w:val="33"/>
    <w:qFormat/>
    <w:uiPriority w:val="0"/>
    <w:rPr>
      <w:rFonts w:ascii="Times New Roman" w:hAnsi="Times New Roman" w:eastAsia="仿宋_GB2312" w:cs="Times New Roman"/>
      <w:sz w:val="24"/>
      <w:szCs w:val="24"/>
    </w:rPr>
  </w:style>
  <w:style w:type="table" w:customStyle="1" w:styleId="35">
    <w:name w:val="网格型1"/>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主题 字符"/>
    <w:basedOn w:val="24"/>
    <w:link w:val="10"/>
    <w:semiHidden/>
    <w:qFormat/>
    <w:uiPriority w:val="99"/>
    <w:rPr>
      <w:rFonts w:ascii="Times New Roman" w:hAnsi="Times New Roman" w:eastAsia="宋体" w:cs="Times New Roman"/>
      <w:b/>
      <w:bCs/>
      <w:kern w:val="2"/>
      <w:sz w:val="21"/>
      <w:szCs w:val="24"/>
    </w:rPr>
  </w:style>
  <w:style w:type="character" w:customStyle="1" w:styleId="38">
    <w:name w:val="未处理的提及1"/>
    <w:basedOn w:val="13"/>
    <w:semiHidden/>
    <w:unhideWhenUsed/>
    <w:qFormat/>
    <w:uiPriority w:val="99"/>
    <w:rPr>
      <w:color w:val="605E5C"/>
      <w:shd w:val="clear" w:color="auto" w:fill="E1DFDD"/>
    </w:rPr>
  </w:style>
  <w:style w:type="paragraph" w:customStyle="1" w:styleId="39">
    <w:name w:val="第二级"/>
    <w:basedOn w:val="1"/>
    <w:qFormat/>
    <w:uiPriority w:val="0"/>
    <w:pPr>
      <w:tabs>
        <w:tab w:val="left" w:pos="510"/>
      </w:tabs>
      <w:spacing w:after="120" w:line="360" w:lineRule="auto"/>
      <w:ind w:left="420" w:hanging="210"/>
      <w:jc w:val="left"/>
    </w:pPr>
    <w:rPr>
      <w:rFonts w:ascii="仿宋_GB2312" w:eastAsia="仿宋_GB2312"/>
      <w:sz w:val="24"/>
    </w:rPr>
  </w:style>
  <w:style w:type="character" w:customStyle="1" w:styleId="40">
    <w:name w:val="标题 2 字符"/>
    <w:basedOn w:val="13"/>
    <w:link w:val="4"/>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microsoft.com/office/2011/relationships/people" Target="peop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6EBD124AFD647B7852BEB5BF5535F4B"/>
        <w:style w:val=""/>
        <w:category>
          <w:name w:val="常规"/>
          <w:gallery w:val="placeholder"/>
        </w:category>
        <w:types>
          <w:type w:val="bbPlcHdr"/>
        </w:types>
        <w:behaviors>
          <w:behavior w:val="content"/>
        </w:behaviors>
        <w:description w:val=""/>
        <w:guid w:val="{0E8A2F66-22A4-45E3-9B56-201A7F56953C}"/>
      </w:docPartPr>
      <w:docPartBody>
        <w:p>
          <w:pPr>
            <w:pStyle w:val="5"/>
          </w:pPr>
          <w:r>
            <w:rPr>
              <w:rStyle w:val="4"/>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A8"/>
    <w:rsid w:val="00027EB6"/>
    <w:rsid w:val="00217718"/>
    <w:rsid w:val="00217CEA"/>
    <w:rsid w:val="00267586"/>
    <w:rsid w:val="002D2A00"/>
    <w:rsid w:val="00355BCE"/>
    <w:rsid w:val="00565478"/>
    <w:rsid w:val="005744A5"/>
    <w:rsid w:val="00581E91"/>
    <w:rsid w:val="005B25BC"/>
    <w:rsid w:val="00663D71"/>
    <w:rsid w:val="006D5D58"/>
    <w:rsid w:val="0075638C"/>
    <w:rsid w:val="00824BF5"/>
    <w:rsid w:val="00855A4D"/>
    <w:rsid w:val="00922F0A"/>
    <w:rsid w:val="00931B86"/>
    <w:rsid w:val="00A74006"/>
    <w:rsid w:val="00A760A8"/>
    <w:rsid w:val="00A76EB8"/>
    <w:rsid w:val="00B60A75"/>
    <w:rsid w:val="00B7154F"/>
    <w:rsid w:val="00CF2C7F"/>
    <w:rsid w:val="00E113DC"/>
    <w:rsid w:val="00E2223A"/>
    <w:rsid w:val="00E37333"/>
    <w:rsid w:val="00EC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F6EBD124AFD647B7852BEB5BF5535F4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E0D2F-03A7-4A30-9922-ED53802ED57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20466</Words>
  <Characters>20989</Characters>
  <DocSecurity>0</DocSecurity>
  <Lines>151</Lines>
  <Paragraphs>42</Paragraphs>
  <ScaleCrop>false</ScaleCrop>
  <LinksUpToDate>false</LinksUpToDate>
  <CharactersWithSpaces>22334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2022-07-18T02:04:00Z</cp:lastPrinted>
  <dcterms:created xsi:type="dcterms:W3CDTF">2022-10-24T11:28:00Z</dcterms:created>
  <dcterms:modified xsi:type="dcterms:W3CDTF">2023-05-24T06:33:30Z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EB75EBAB19E0499B8412AAB68A77BE01</vt:lpwstr>
  </property>
</Properties>
</file>