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 w:line="276" w:lineRule="auto"/>
        <w:jc w:val="both"/>
        <w:rPr>
          <w:rFonts w:ascii="宋体" w:hAnsi="宋体" w:eastAsia="宋体"/>
          <w:b/>
          <w:color w:val="auto"/>
          <w:kern w:val="2"/>
          <w:sz w:val="40"/>
          <w:szCs w:val="60"/>
          <w:highlight w:val="none"/>
          <w:lang w:eastAsia="zh-CN"/>
        </w:rPr>
      </w:pPr>
    </w:p>
    <w:p>
      <w:pPr>
        <w:spacing w:before="2" w:line="276" w:lineRule="auto"/>
        <w:jc w:val="center"/>
        <w:rPr>
          <w:rFonts w:ascii="宋体" w:hAnsi="宋体" w:eastAsia="宋体"/>
          <w:b/>
          <w:color w:val="auto"/>
          <w:kern w:val="2"/>
          <w:sz w:val="40"/>
          <w:szCs w:val="60"/>
          <w:highlight w:val="none"/>
          <w:lang w:eastAsia="zh-CN"/>
        </w:rPr>
      </w:pPr>
      <w:r>
        <w:rPr>
          <w:rFonts w:hint="eastAsia" w:ascii="宋体" w:hAnsi="宋体" w:eastAsia="宋体"/>
          <w:b/>
          <w:color w:val="auto"/>
          <w:kern w:val="2"/>
          <w:sz w:val="40"/>
          <w:szCs w:val="60"/>
          <w:highlight w:val="none"/>
          <w:lang w:eastAsia="zh-CN"/>
        </w:rPr>
        <w:t>东部应急救援集训备勤基地项目勘察设计</w:t>
      </w:r>
    </w:p>
    <w:p>
      <w:pPr>
        <w:rPr>
          <w:rFonts w:ascii="宋体" w:hAnsi="宋体" w:eastAsia="宋体" w:cs="宋体"/>
          <w:b/>
          <w:bCs/>
          <w:color w:val="auto"/>
          <w:sz w:val="20"/>
          <w:szCs w:val="20"/>
          <w:highlight w:val="none"/>
          <w:lang w:eastAsia="zh-CN"/>
        </w:rPr>
      </w:pPr>
    </w:p>
    <w:p>
      <w:pPr>
        <w:rPr>
          <w:rFonts w:ascii="宋体" w:hAnsi="宋体" w:eastAsia="宋体" w:cs="宋体"/>
          <w:b/>
          <w:bCs/>
          <w:color w:val="auto"/>
          <w:sz w:val="20"/>
          <w:szCs w:val="20"/>
          <w:highlight w:val="none"/>
          <w:lang w:eastAsia="zh-CN"/>
        </w:rPr>
      </w:pPr>
    </w:p>
    <w:p>
      <w:pPr>
        <w:rPr>
          <w:rFonts w:ascii="宋体" w:hAnsi="宋体" w:eastAsia="宋体" w:cs="宋体"/>
          <w:b/>
          <w:bCs/>
          <w:color w:val="auto"/>
          <w:sz w:val="20"/>
          <w:szCs w:val="20"/>
          <w:highlight w:val="none"/>
          <w:lang w:eastAsia="zh-CN"/>
        </w:rPr>
      </w:pPr>
    </w:p>
    <w:p>
      <w:pPr>
        <w:rPr>
          <w:rFonts w:ascii="宋体" w:hAnsi="宋体" w:eastAsia="宋体" w:cs="宋体"/>
          <w:b/>
          <w:bCs/>
          <w:color w:val="auto"/>
          <w:sz w:val="20"/>
          <w:szCs w:val="20"/>
          <w:highlight w:val="none"/>
          <w:lang w:eastAsia="zh-CN"/>
        </w:rPr>
      </w:pPr>
    </w:p>
    <w:p>
      <w:pPr>
        <w:pStyle w:val="2"/>
        <w:rPr>
          <w:lang w:eastAsia="zh-CN"/>
        </w:rPr>
      </w:pPr>
    </w:p>
    <w:p>
      <w:pPr>
        <w:pStyle w:val="3"/>
        <w:rPr>
          <w:lang w:eastAsia="zh-CN"/>
        </w:rPr>
      </w:pPr>
    </w:p>
    <w:p>
      <w:pPr>
        <w:rPr>
          <w:rFonts w:ascii="宋体" w:hAnsi="宋体" w:eastAsia="宋体" w:cs="宋体"/>
          <w:b/>
          <w:bCs/>
          <w:color w:val="auto"/>
          <w:sz w:val="20"/>
          <w:szCs w:val="20"/>
          <w:highlight w:val="none"/>
          <w:lang w:eastAsia="zh-CN"/>
        </w:rPr>
      </w:pPr>
    </w:p>
    <w:p>
      <w:pPr>
        <w:jc w:val="center"/>
        <w:rPr>
          <w:rFonts w:ascii="宋体" w:hAnsi="宋体" w:eastAsia="宋体"/>
          <w:b/>
          <w:color w:val="auto"/>
          <w:kern w:val="2"/>
          <w:sz w:val="96"/>
          <w:szCs w:val="84"/>
          <w:highlight w:val="none"/>
          <w:lang w:eastAsia="zh-CN"/>
        </w:rPr>
      </w:pPr>
    </w:p>
    <w:p>
      <w:pPr>
        <w:jc w:val="center"/>
        <w:rPr>
          <w:rFonts w:ascii="宋体" w:hAnsi="宋体" w:eastAsia="宋体"/>
          <w:b/>
          <w:color w:val="auto"/>
          <w:kern w:val="2"/>
          <w:sz w:val="96"/>
          <w:szCs w:val="84"/>
          <w:highlight w:val="none"/>
          <w:lang w:eastAsia="zh-CN"/>
        </w:rPr>
      </w:pPr>
      <w:r>
        <w:rPr>
          <w:rFonts w:ascii="宋体" w:hAnsi="宋体" w:eastAsia="宋体"/>
          <w:b/>
          <w:color w:val="auto"/>
          <w:kern w:val="2"/>
          <w:sz w:val="96"/>
          <w:szCs w:val="84"/>
          <w:highlight w:val="none"/>
          <w:lang w:eastAsia="zh-CN"/>
        </w:rPr>
        <w:t>招标文件</w:t>
      </w:r>
    </w:p>
    <w:p>
      <w:pPr>
        <w:rPr>
          <w:rFonts w:ascii="宋体" w:hAnsi="宋体" w:eastAsia="宋体" w:cs="宋体"/>
          <w:color w:val="auto"/>
          <w:sz w:val="44"/>
          <w:szCs w:val="44"/>
          <w:highlight w:val="none"/>
          <w:lang w:eastAsia="zh-CN"/>
        </w:rPr>
      </w:pPr>
    </w:p>
    <w:p>
      <w:pPr>
        <w:rPr>
          <w:rFonts w:ascii="宋体" w:hAnsi="宋体" w:eastAsia="宋体" w:cs="宋体"/>
          <w:color w:val="auto"/>
          <w:sz w:val="44"/>
          <w:szCs w:val="44"/>
          <w:highlight w:val="none"/>
          <w:lang w:eastAsia="zh-CN"/>
        </w:rPr>
      </w:pPr>
    </w:p>
    <w:p>
      <w:pPr>
        <w:rPr>
          <w:rFonts w:ascii="宋体" w:hAnsi="宋体" w:eastAsia="宋体" w:cs="宋体"/>
          <w:color w:val="auto"/>
          <w:sz w:val="44"/>
          <w:szCs w:val="44"/>
          <w:highlight w:val="none"/>
          <w:lang w:eastAsia="zh-CN"/>
        </w:rPr>
      </w:pPr>
    </w:p>
    <w:p>
      <w:pPr>
        <w:rPr>
          <w:rFonts w:ascii="宋体" w:hAnsi="宋体" w:eastAsia="宋体" w:cs="宋体"/>
          <w:color w:val="auto"/>
          <w:sz w:val="44"/>
          <w:szCs w:val="44"/>
          <w:highlight w:val="none"/>
          <w:lang w:eastAsia="zh-CN"/>
        </w:rPr>
      </w:pPr>
    </w:p>
    <w:p>
      <w:pPr>
        <w:rPr>
          <w:rFonts w:ascii="宋体" w:hAnsi="宋体" w:eastAsia="宋体" w:cs="宋体"/>
          <w:color w:val="auto"/>
          <w:sz w:val="44"/>
          <w:szCs w:val="44"/>
          <w:highlight w:val="none"/>
          <w:lang w:eastAsia="zh-CN"/>
        </w:rPr>
      </w:pPr>
    </w:p>
    <w:p>
      <w:pPr>
        <w:spacing w:before="8"/>
        <w:rPr>
          <w:rFonts w:ascii="宋体" w:hAnsi="宋体" w:eastAsia="宋体" w:cs="宋体"/>
          <w:color w:val="auto"/>
          <w:sz w:val="33"/>
          <w:szCs w:val="33"/>
          <w:highlight w:val="none"/>
          <w:lang w:eastAsia="zh-CN"/>
        </w:rPr>
      </w:pPr>
    </w:p>
    <w:p>
      <w:pPr>
        <w:spacing w:before="8"/>
        <w:rPr>
          <w:rFonts w:ascii="宋体" w:hAnsi="宋体" w:eastAsia="宋体" w:cs="宋体"/>
          <w:color w:val="auto"/>
          <w:sz w:val="33"/>
          <w:szCs w:val="33"/>
          <w:highlight w:val="none"/>
          <w:lang w:eastAsia="zh-CN"/>
        </w:rPr>
      </w:pPr>
    </w:p>
    <w:p>
      <w:pPr>
        <w:spacing w:line="360" w:lineRule="auto"/>
        <w:ind w:firstLine="964" w:firstLineChars="300"/>
        <w:rPr>
          <w:rFonts w:ascii="宋体" w:hAnsi="宋体" w:eastAsia="宋体"/>
          <w:b/>
          <w:color w:val="auto"/>
          <w:sz w:val="32"/>
          <w:szCs w:val="32"/>
          <w:highlight w:val="none"/>
          <w:lang w:eastAsia="zh-CN"/>
        </w:rPr>
      </w:pPr>
      <w:r>
        <w:rPr>
          <w:rFonts w:hint="eastAsia" w:ascii="宋体" w:hAnsi="宋体" w:eastAsia="宋体"/>
          <w:b/>
          <w:color w:val="auto"/>
          <w:sz w:val="32"/>
          <w:szCs w:val="32"/>
          <w:highlight w:val="none"/>
          <w:lang w:eastAsia="zh-CN"/>
        </w:rPr>
        <w:t>招   标   人:广州市城市排水有限公司</w:t>
      </w:r>
    </w:p>
    <w:p>
      <w:pPr>
        <w:spacing w:line="360" w:lineRule="auto"/>
        <w:ind w:firstLine="964" w:firstLineChars="300"/>
        <w:rPr>
          <w:rFonts w:ascii="宋体" w:hAnsi="宋体" w:eastAsia="宋体"/>
          <w:b/>
          <w:color w:val="auto"/>
          <w:sz w:val="32"/>
          <w:szCs w:val="32"/>
          <w:highlight w:val="none"/>
          <w:lang w:eastAsia="zh-CN"/>
        </w:rPr>
      </w:pPr>
      <w:r>
        <w:rPr>
          <w:rFonts w:hint="eastAsia" w:ascii="宋体" w:hAnsi="宋体" w:eastAsia="宋体"/>
          <w:b/>
          <w:color w:val="auto"/>
          <w:sz w:val="32"/>
          <w:szCs w:val="32"/>
          <w:highlight w:val="none"/>
          <w:lang w:eastAsia="zh-CN"/>
        </w:rPr>
        <w:t>招标代理机构：广东逸源工程顾问管理有限公司</w:t>
      </w:r>
    </w:p>
    <w:p>
      <w:pPr>
        <w:tabs>
          <w:tab w:val="left" w:pos="561"/>
        </w:tabs>
        <w:spacing w:line="360" w:lineRule="auto"/>
        <w:ind w:firstLine="964" w:firstLineChars="300"/>
        <w:rPr>
          <w:rFonts w:ascii="宋体" w:hAnsi="宋体" w:eastAsia="宋体"/>
          <w:b/>
          <w:color w:val="auto"/>
          <w:sz w:val="32"/>
          <w:szCs w:val="32"/>
          <w:highlight w:val="none"/>
          <w:lang w:eastAsia="zh-CN"/>
        </w:rPr>
      </w:pPr>
      <w:r>
        <w:rPr>
          <w:rFonts w:hint="eastAsia" w:ascii="宋体" w:hAnsi="宋体" w:eastAsia="宋体"/>
          <w:b/>
          <w:color w:val="auto"/>
          <w:sz w:val="32"/>
          <w:szCs w:val="32"/>
          <w:highlight w:val="none"/>
          <w:lang w:eastAsia="zh-CN"/>
        </w:rPr>
        <w:t>日        期：202</w:t>
      </w:r>
      <w:r>
        <w:rPr>
          <w:rFonts w:hint="eastAsia" w:ascii="宋体" w:hAnsi="宋体" w:eastAsia="宋体"/>
          <w:b/>
          <w:color w:val="auto"/>
          <w:sz w:val="32"/>
          <w:szCs w:val="32"/>
          <w:highlight w:val="none"/>
          <w:lang w:val="en-US" w:eastAsia="zh-CN"/>
        </w:rPr>
        <w:t>3</w:t>
      </w:r>
      <w:r>
        <w:rPr>
          <w:rFonts w:hint="eastAsia" w:ascii="宋体" w:hAnsi="宋体" w:eastAsia="宋体"/>
          <w:b/>
          <w:color w:val="auto"/>
          <w:sz w:val="32"/>
          <w:szCs w:val="32"/>
          <w:highlight w:val="none"/>
          <w:lang w:eastAsia="zh-CN"/>
        </w:rPr>
        <w:t>年</w:t>
      </w:r>
      <w:r>
        <w:rPr>
          <w:rFonts w:hint="eastAsia" w:ascii="宋体" w:hAnsi="宋体" w:eastAsia="宋体"/>
          <w:b/>
          <w:color w:val="auto"/>
          <w:sz w:val="32"/>
          <w:szCs w:val="32"/>
          <w:highlight w:val="none"/>
          <w:lang w:val="en-US" w:eastAsia="zh-CN"/>
        </w:rPr>
        <w:t>5</w:t>
      </w:r>
      <w:r>
        <w:rPr>
          <w:rFonts w:hint="eastAsia" w:ascii="宋体" w:hAnsi="宋体" w:eastAsia="宋体"/>
          <w:b/>
          <w:color w:val="auto"/>
          <w:sz w:val="32"/>
          <w:szCs w:val="32"/>
          <w:highlight w:val="none"/>
          <w:lang w:eastAsia="zh-CN"/>
        </w:rPr>
        <w:t>月</w:t>
      </w:r>
    </w:p>
    <w:p>
      <w:pPr>
        <w:tabs>
          <w:tab w:val="left" w:pos="561"/>
          <w:tab w:val="center" w:pos="4513"/>
          <w:tab w:val="left" w:pos="5723"/>
        </w:tabs>
        <w:spacing w:line="360" w:lineRule="auto"/>
        <w:jc w:val="center"/>
        <w:rPr>
          <w:rFonts w:ascii="宋体" w:hAnsi="宋体" w:eastAsia="宋体" w:cs="宋体"/>
          <w:b/>
          <w:bCs/>
          <w:color w:val="auto"/>
          <w:sz w:val="28"/>
          <w:szCs w:val="28"/>
          <w:highlight w:val="none"/>
          <w:lang w:eastAsia="zh-CN"/>
        </w:rPr>
        <w:sectPr>
          <w:footerReference r:id="rId3" w:type="default"/>
          <w:pgSz w:w="11907" w:h="16839"/>
          <w:pgMar w:top="1440" w:right="1440" w:bottom="1440" w:left="1440" w:header="0" w:footer="919" w:gutter="0"/>
          <w:cols w:space="720" w:num="1"/>
        </w:sectPr>
      </w:pPr>
    </w:p>
    <w:p>
      <w:pPr>
        <w:tabs>
          <w:tab w:val="left" w:pos="561"/>
          <w:tab w:val="center" w:pos="4513"/>
          <w:tab w:val="left" w:pos="5723"/>
        </w:tabs>
        <w:spacing w:line="360" w:lineRule="auto"/>
        <w:jc w:val="center"/>
        <w:rPr>
          <w:rFonts w:ascii="宋体" w:hAnsi="宋体" w:eastAsia="宋体" w:cs="宋体"/>
          <w:color w:val="auto"/>
          <w:sz w:val="24"/>
          <w:szCs w:val="24"/>
          <w:highlight w:val="none"/>
          <w:lang w:eastAsia="zh-CN"/>
        </w:rPr>
      </w:pPr>
      <w:r>
        <w:rPr>
          <w:rFonts w:ascii="宋体" w:hAnsi="宋体" w:eastAsia="宋体" w:cs="宋体"/>
          <w:b/>
          <w:bCs/>
          <w:color w:val="auto"/>
          <w:sz w:val="28"/>
          <w:szCs w:val="28"/>
          <w:highlight w:val="none"/>
          <w:lang w:eastAsia="zh-CN"/>
        </w:rPr>
        <w:t>目</w:t>
      </w:r>
      <w:r>
        <w:rPr>
          <w:rFonts w:ascii="宋体" w:hAnsi="宋体" w:eastAsia="宋体" w:cs="宋体"/>
          <w:b/>
          <w:bCs/>
          <w:color w:val="auto"/>
          <w:sz w:val="28"/>
          <w:szCs w:val="28"/>
          <w:highlight w:val="none"/>
          <w:lang w:eastAsia="zh-CN"/>
        </w:rPr>
        <w:tab/>
      </w:r>
      <w:r>
        <w:rPr>
          <w:rFonts w:ascii="宋体" w:hAnsi="宋体" w:eastAsia="宋体" w:cs="宋体"/>
          <w:b/>
          <w:bCs/>
          <w:color w:val="auto"/>
          <w:sz w:val="28"/>
          <w:szCs w:val="28"/>
          <w:highlight w:val="none"/>
          <w:lang w:eastAsia="zh-CN"/>
        </w:rPr>
        <w:t>录</w:t>
      </w:r>
    </w:p>
    <w:p>
      <w:pPr>
        <w:pStyle w:val="21"/>
        <w:tabs>
          <w:tab w:val="right" w:leader="dot" w:pos="9017"/>
        </w:tabs>
        <w:spacing w:line="360" w:lineRule="auto"/>
        <w:rPr>
          <w:rFonts w:ascii="等线" w:hAnsi="等线" w:eastAsia="等线"/>
          <w:color w:val="auto"/>
          <w:kern w:val="2"/>
          <w:sz w:val="24"/>
          <w:szCs w:val="24"/>
          <w:highlight w:val="none"/>
          <w:lang w:eastAsia="zh-CN"/>
        </w:rPr>
      </w:pPr>
      <w:r>
        <w:rPr>
          <w:rFonts w:cs="宋体"/>
          <w:color w:val="auto"/>
          <w:sz w:val="24"/>
          <w:szCs w:val="24"/>
          <w:highlight w:val="none"/>
          <w:lang w:eastAsia="zh-CN"/>
        </w:rPr>
        <w:fldChar w:fldCharType="begin"/>
      </w:r>
      <w:r>
        <w:rPr>
          <w:rFonts w:cs="宋体"/>
          <w:color w:val="auto"/>
          <w:sz w:val="24"/>
          <w:szCs w:val="24"/>
          <w:highlight w:val="none"/>
          <w:lang w:eastAsia="zh-CN"/>
        </w:rPr>
        <w:instrText xml:space="preserve"> TOC \o "1-3" \h \z \u </w:instrText>
      </w:r>
      <w:r>
        <w:rPr>
          <w:rFonts w:cs="宋体"/>
          <w:color w:val="auto"/>
          <w:sz w:val="24"/>
          <w:szCs w:val="24"/>
          <w:highlight w:val="none"/>
          <w:lang w:eastAsia="zh-CN"/>
        </w:rPr>
        <w:fldChar w:fldCharType="separate"/>
      </w:r>
      <w:r>
        <w:rPr>
          <w:color w:val="auto"/>
          <w:highlight w:val="none"/>
        </w:rPr>
        <w:fldChar w:fldCharType="begin"/>
      </w:r>
      <w:r>
        <w:rPr>
          <w:color w:val="auto"/>
          <w:highlight w:val="none"/>
        </w:rPr>
        <w:instrText xml:space="preserve"> HYPERLINK \l "_Toc109809418" </w:instrText>
      </w:r>
      <w:r>
        <w:rPr>
          <w:color w:val="auto"/>
          <w:highlight w:val="none"/>
        </w:rPr>
        <w:fldChar w:fldCharType="separate"/>
      </w:r>
      <w:r>
        <w:rPr>
          <w:rStyle w:val="32"/>
          <w:color w:val="auto"/>
          <w:sz w:val="24"/>
          <w:szCs w:val="24"/>
          <w:highlight w:val="none"/>
          <w:lang w:eastAsia="zh-CN"/>
        </w:rPr>
        <w:t>第一卷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_Toc109809418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color w:val="auto"/>
          <w:sz w:val="24"/>
          <w:szCs w:val="24"/>
          <w:highlight w:val="none"/>
        </w:rPr>
        <w:fldChar w:fldCharType="end"/>
      </w:r>
    </w:p>
    <w:p>
      <w:pPr>
        <w:pStyle w:val="21"/>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"_Toc109809419" </w:instrText>
      </w:r>
      <w:r>
        <w:rPr>
          <w:color w:val="auto"/>
          <w:highlight w:val="none"/>
        </w:rPr>
        <w:fldChar w:fldCharType="separate"/>
      </w:r>
      <w:r>
        <w:rPr>
          <w:rStyle w:val="32"/>
          <w:color w:val="auto"/>
          <w:sz w:val="24"/>
          <w:szCs w:val="24"/>
          <w:highlight w:val="none"/>
          <w:lang w:eastAsia="zh-CN"/>
        </w:rPr>
        <w:t>第一章  招标公告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_Toc109809419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color w:val="auto"/>
          <w:sz w:val="24"/>
          <w:szCs w:val="24"/>
          <w:highlight w:val="none"/>
        </w:rPr>
        <w:fldChar w:fldCharType="end"/>
      </w:r>
    </w:p>
    <w:p>
      <w:pPr>
        <w:pStyle w:val="21"/>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"_Toc109809420" </w:instrText>
      </w:r>
      <w:r>
        <w:rPr>
          <w:color w:val="auto"/>
          <w:highlight w:val="none"/>
        </w:rPr>
        <w:fldChar w:fldCharType="separate"/>
      </w:r>
      <w:r>
        <w:rPr>
          <w:rStyle w:val="32"/>
          <w:color w:val="auto"/>
          <w:sz w:val="24"/>
          <w:szCs w:val="24"/>
          <w:highlight w:val="none"/>
          <w:lang w:eastAsia="zh-CN"/>
        </w:rPr>
        <w:t>第二章  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_Toc109809420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color w:val="auto"/>
          <w:sz w:val="24"/>
          <w:szCs w:val="24"/>
          <w:highlight w:val="none"/>
        </w:rPr>
        <w:fldChar w:fldCharType="end"/>
      </w:r>
    </w:p>
    <w:p>
      <w:pPr>
        <w:pStyle w:val="14"/>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"_Toc109809421" </w:instrText>
      </w:r>
      <w:r>
        <w:rPr>
          <w:color w:val="auto"/>
          <w:highlight w:val="none"/>
        </w:rPr>
        <w:fldChar w:fldCharType="separate"/>
      </w:r>
      <w:r>
        <w:rPr>
          <w:rStyle w:val="32"/>
          <w:color w:val="auto"/>
          <w:sz w:val="24"/>
          <w:szCs w:val="24"/>
          <w:highlight w:val="none"/>
          <w:lang w:eastAsia="zh-CN"/>
        </w:rPr>
        <w:t>投标人须知前附表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_Toc109809421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color w:val="auto"/>
          <w:sz w:val="24"/>
          <w:szCs w:val="24"/>
          <w:highlight w:val="none"/>
        </w:rPr>
        <w:fldChar w:fldCharType="end"/>
      </w:r>
    </w:p>
    <w:p>
      <w:pPr>
        <w:pStyle w:val="14"/>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"_Toc109809422" </w:instrText>
      </w:r>
      <w:r>
        <w:rPr>
          <w:color w:val="auto"/>
          <w:highlight w:val="none"/>
        </w:rPr>
        <w:fldChar w:fldCharType="separate"/>
      </w:r>
      <w:r>
        <w:rPr>
          <w:rStyle w:val="32"/>
          <w:color w:val="auto"/>
          <w:sz w:val="24"/>
          <w:szCs w:val="24"/>
          <w:highlight w:val="none"/>
          <w:lang w:eastAsia="zh-CN"/>
        </w:rPr>
        <w:t>1. 总则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_Toc109809422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color w:val="auto"/>
          <w:sz w:val="24"/>
          <w:szCs w:val="24"/>
          <w:highlight w:val="none"/>
        </w:rPr>
        <w:fldChar w:fldCharType="end"/>
      </w:r>
    </w:p>
    <w:p>
      <w:pPr>
        <w:pStyle w:val="14"/>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"_Toc109809423" </w:instrText>
      </w:r>
      <w:r>
        <w:rPr>
          <w:color w:val="auto"/>
          <w:highlight w:val="none"/>
        </w:rPr>
        <w:fldChar w:fldCharType="separate"/>
      </w:r>
      <w:r>
        <w:rPr>
          <w:rStyle w:val="32"/>
          <w:color w:val="auto"/>
          <w:sz w:val="24"/>
          <w:szCs w:val="24"/>
          <w:highlight w:val="none"/>
          <w:lang w:eastAsia="zh-CN"/>
        </w:rPr>
        <w:t>2. 招标文件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_Toc109809423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color w:val="auto"/>
          <w:sz w:val="24"/>
          <w:szCs w:val="24"/>
          <w:highlight w:val="none"/>
        </w:rPr>
        <w:fldChar w:fldCharType="end"/>
      </w:r>
    </w:p>
    <w:p>
      <w:pPr>
        <w:pStyle w:val="14"/>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"_Toc109809424" </w:instrText>
      </w:r>
      <w:r>
        <w:rPr>
          <w:color w:val="auto"/>
          <w:highlight w:val="none"/>
        </w:rPr>
        <w:fldChar w:fldCharType="separate"/>
      </w:r>
      <w:r>
        <w:rPr>
          <w:rStyle w:val="32"/>
          <w:color w:val="auto"/>
          <w:sz w:val="24"/>
          <w:szCs w:val="24"/>
          <w:highlight w:val="none"/>
          <w:lang w:eastAsia="zh-CN"/>
        </w:rPr>
        <w:t>3. 投标文件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_Toc109809424 \h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color w:val="auto"/>
          <w:sz w:val="24"/>
          <w:szCs w:val="24"/>
          <w:highlight w:val="none"/>
        </w:rPr>
        <w:fldChar w:fldCharType="end"/>
      </w:r>
    </w:p>
    <w:p>
      <w:pPr>
        <w:pStyle w:val="14"/>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"_Toc109809425" </w:instrText>
      </w:r>
      <w:r>
        <w:rPr>
          <w:color w:val="auto"/>
          <w:highlight w:val="none"/>
        </w:rPr>
        <w:fldChar w:fldCharType="separate"/>
      </w:r>
      <w:r>
        <w:rPr>
          <w:rStyle w:val="32"/>
          <w:color w:val="auto"/>
          <w:sz w:val="24"/>
          <w:szCs w:val="24"/>
          <w:highlight w:val="none"/>
          <w:lang w:eastAsia="zh-CN"/>
        </w:rPr>
        <w:t>4. 投标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_Toc109809425 \h </w:instrText>
      </w:r>
      <w:r>
        <w:rPr>
          <w:color w:val="auto"/>
          <w:sz w:val="24"/>
          <w:szCs w:val="24"/>
          <w:highlight w:val="none"/>
        </w:rPr>
        <w:fldChar w:fldCharType="separate"/>
      </w:r>
      <w:r>
        <w:rPr>
          <w:color w:val="auto"/>
          <w:sz w:val="24"/>
          <w:szCs w:val="24"/>
          <w:highlight w:val="none"/>
        </w:rPr>
        <w:t>26</w:t>
      </w:r>
      <w:r>
        <w:rPr>
          <w:color w:val="auto"/>
          <w:sz w:val="24"/>
          <w:szCs w:val="24"/>
          <w:highlight w:val="none"/>
        </w:rPr>
        <w:fldChar w:fldCharType="end"/>
      </w:r>
      <w:r>
        <w:rPr>
          <w:color w:val="auto"/>
          <w:sz w:val="24"/>
          <w:szCs w:val="24"/>
          <w:highlight w:val="none"/>
        </w:rPr>
        <w:fldChar w:fldCharType="end"/>
      </w:r>
    </w:p>
    <w:p>
      <w:pPr>
        <w:pStyle w:val="14"/>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"_Toc109809426" </w:instrText>
      </w:r>
      <w:r>
        <w:rPr>
          <w:color w:val="auto"/>
          <w:highlight w:val="none"/>
        </w:rPr>
        <w:fldChar w:fldCharType="separate"/>
      </w:r>
      <w:r>
        <w:rPr>
          <w:rStyle w:val="32"/>
          <w:color w:val="auto"/>
          <w:sz w:val="24"/>
          <w:szCs w:val="24"/>
          <w:highlight w:val="none"/>
          <w:lang w:eastAsia="zh-CN"/>
        </w:rPr>
        <w:t>5. 开标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_Toc109809426 \h </w:instrText>
      </w:r>
      <w:r>
        <w:rPr>
          <w:color w:val="auto"/>
          <w:sz w:val="24"/>
          <w:szCs w:val="24"/>
          <w:highlight w:val="none"/>
        </w:rPr>
        <w:fldChar w:fldCharType="separate"/>
      </w:r>
      <w:r>
        <w:rPr>
          <w:color w:val="auto"/>
          <w:sz w:val="24"/>
          <w:szCs w:val="24"/>
          <w:highlight w:val="none"/>
        </w:rPr>
        <w:t>27</w:t>
      </w:r>
      <w:r>
        <w:rPr>
          <w:color w:val="auto"/>
          <w:sz w:val="24"/>
          <w:szCs w:val="24"/>
          <w:highlight w:val="none"/>
        </w:rPr>
        <w:fldChar w:fldCharType="end"/>
      </w:r>
      <w:r>
        <w:rPr>
          <w:color w:val="auto"/>
          <w:sz w:val="24"/>
          <w:szCs w:val="24"/>
          <w:highlight w:val="none"/>
        </w:rPr>
        <w:fldChar w:fldCharType="end"/>
      </w:r>
    </w:p>
    <w:p>
      <w:pPr>
        <w:pStyle w:val="14"/>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"_Toc109809427" </w:instrText>
      </w:r>
      <w:r>
        <w:rPr>
          <w:color w:val="auto"/>
          <w:highlight w:val="none"/>
        </w:rPr>
        <w:fldChar w:fldCharType="separate"/>
      </w:r>
      <w:r>
        <w:rPr>
          <w:rStyle w:val="32"/>
          <w:color w:val="auto"/>
          <w:sz w:val="24"/>
          <w:szCs w:val="24"/>
          <w:highlight w:val="none"/>
          <w:lang w:eastAsia="zh-CN"/>
        </w:rPr>
        <w:t>6. 评标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_Toc109809427 \h </w:instrText>
      </w:r>
      <w:r>
        <w:rPr>
          <w:color w:val="auto"/>
          <w:sz w:val="24"/>
          <w:szCs w:val="24"/>
          <w:highlight w:val="none"/>
        </w:rPr>
        <w:fldChar w:fldCharType="separate"/>
      </w:r>
      <w:r>
        <w:rPr>
          <w:color w:val="auto"/>
          <w:sz w:val="24"/>
          <w:szCs w:val="24"/>
          <w:highlight w:val="none"/>
        </w:rPr>
        <w:t>29</w:t>
      </w:r>
      <w:r>
        <w:rPr>
          <w:color w:val="auto"/>
          <w:sz w:val="24"/>
          <w:szCs w:val="24"/>
          <w:highlight w:val="none"/>
        </w:rPr>
        <w:fldChar w:fldCharType="end"/>
      </w:r>
      <w:r>
        <w:rPr>
          <w:color w:val="auto"/>
          <w:sz w:val="24"/>
          <w:szCs w:val="24"/>
          <w:highlight w:val="none"/>
        </w:rPr>
        <w:fldChar w:fldCharType="end"/>
      </w:r>
    </w:p>
    <w:p>
      <w:pPr>
        <w:pStyle w:val="14"/>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"_Toc109809428" </w:instrText>
      </w:r>
      <w:r>
        <w:rPr>
          <w:color w:val="auto"/>
          <w:highlight w:val="none"/>
        </w:rPr>
        <w:fldChar w:fldCharType="separate"/>
      </w:r>
      <w:r>
        <w:rPr>
          <w:rStyle w:val="32"/>
          <w:color w:val="auto"/>
          <w:sz w:val="24"/>
          <w:szCs w:val="24"/>
          <w:highlight w:val="none"/>
          <w:lang w:eastAsia="zh-CN"/>
        </w:rPr>
        <w:t>7. 合同授予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_Toc109809428 \h </w:instrText>
      </w:r>
      <w:r>
        <w:rPr>
          <w:color w:val="auto"/>
          <w:sz w:val="24"/>
          <w:szCs w:val="24"/>
          <w:highlight w:val="none"/>
        </w:rPr>
        <w:fldChar w:fldCharType="separate"/>
      </w:r>
      <w:r>
        <w:rPr>
          <w:color w:val="auto"/>
          <w:sz w:val="24"/>
          <w:szCs w:val="24"/>
          <w:highlight w:val="none"/>
        </w:rPr>
        <w:t>30</w:t>
      </w:r>
      <w:r>
        <w:rPr>
          <w:color w:val="auto"/>
          <w:sz w:val="24"/>
          <w:szCs w:val="24"/>
          <w:highlight w:val="none"/>
        </w:rPr>
        <w:fldChar w:fldCharType="end"/>
      </w:r>
      <w:r>
        <w:rPr>
          <w:color w:val="auto"/>
          <w:sz w:val="24"/>
          <w:szCs w:val="24"/>
          <w:highlight w:val="none"/>
        </w:rPr>
        <w:fldChar w:fldCharType="end"/>
      </w:r>
    </w:p>
    <w:p>
      <w:pPr>
        <w:pStyle w:val="14"/>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"_Toc109809429" </w:instrText>
      </w:r>
      <w:r>
        <w:rPr>
          <w:color w:val="auto"/>
          <w:highlight w:val="none"/>
        </w:rPr>
        <w:fldChar w:fldCharType="separate"/>
      </w:r>
      <w:r>
        <w:rPr>
          <w:rStyle w:val="32"/>
          <w:color w:val="auto"/>
          <w:sz w:val="24"/>
          <w:szCs w:val="24"/>
          <w:highlight w:val="none"/>
          <w:lang w:eastAsia="zh-CN"/>
        </w:rPr>
        <w:t>8. 纪律和监督</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_Toc109809429 \h </w:instrText>
      </w:r>
      <w:r>
        <w:rPr>
          <w:color w:val="auto"/>
          <w:sz w:val="24"/>
          <w:szCs w:val="24"/>
          <w:highlight w:val="none"/>
        </w:rPr>
        <w:fldChar w:fldCharType="separate"/>
      </w:r>
      <w:r>
        <w:rPr>
          <w:color w:val="auto"/>
          <w:sz w:val="24"/>
          <w:szCs w:val="24"/>
          <w:highlight w:val="none"/>
        </w:rPr>
        <w:t>31</w:t>
      </w:r>
      <w:r>
        <w:rPr>
          <w:color w:val="auto"/>
          <w:sz w:val="24"/>
          <w:szCs w:val="24"/>
          <w:highlight w:val="none"/>
        </w:rPr>
        <w:fldChar w:fldCharType="end"/>
      </w:r>
      <w:r>
        <w:rPr>
          <w:color w:val="auto"/>
          <w:sz w:val="24"/>
          <w:szCs w:val="24"/>
          <w:highlight w:val="none"/>
        </w:rPr>
        <w:fldChar w:fldCharType="end"/>
      </w:r>
    </w:p>
    <w:p>
      <w:pPr>
        <w:pStyle w:val="14"/>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"_Toc109809430" </w:instrText>
      </w:r>
      <w:r>
        <w:rPr>
          <w:color w:val="auto"/>
          <w:highlight w:val="none"/>
        </w:rPr>
        <w:fldChar w:fldCharType="separate"/>
      </w:r>
      <w:r>
        <w:rPr>
          <w:rStyle w:val="32"/>
          <w:color w:val="auto"/>
          <w:sz w:val="24"/>
          <w:szCs w:val="24"/>
          <w:highlight w:val="none"/>
          <w:lang w:eastAsia="zh-CN"/>
        </w:rPr>
        <w:t>9. 是否采用电子招标投标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_Toc109809430 \h </w:instrText>
      </w:r>
      <w:r>
        <w:rPr>
          <w:color w:val="auto"/>
          <w:sz w:val="24"/>
          <w:szCs w:val="24"/>
          <w:highlight w:val="none"/>
        </w:rPr>
        <w:fldChar w:fldCharType="separate"/>
      </w:r>
      <w:r>
        <w:rPr>
          <w:color w:val="auto"/>
          <w:sz w:val="24"/>
          <w:szCs w:val="24"/>
          <w:highlight w:val="none"/>
        </w:rPr>
        <w:t>32</w:t>
      </w:r>
      <w:r>
        <w:rPr>
          <w:color w:val="auto"/>
          <w:sz w:val="24"/>
          <w:szCs w:val="24"/>
          <w:highlight w:val="none"/>
        </w:rPr>
        <w:fldChar w:fldCharType="end"/>
      </w:r>
      <w:r>
        <w:rPr>
          <w:color w:val="auto"/>
          <w:sz w:val="24"/>
          <w:szCs w:val="24"/>
          <w:highlight w:val="none"/>
        </w:rPr>
        <w:fldChar w:fldCharType="end"/>
      </w:r>
    </w:p>
    <w:p>
      <w:pPr>
        <w:pStyle w:val="14"/>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"_Toc109809431" </w:instrText>
      </w:r>
      <w:r>
        <w:rPr>
          <w:color w:val="auto"/>
          <w:highlight w:val="none"/>
        </w:rPr>
        <w:fldChar w:fldCharType="separate"/>
      </w:r>
      <w:r>
        <w:rPr>
          <w:rStyle w:val="32"/>
          <w:color w:val="auto"/>
          <w:sz w:val="24"/>
          <w:szCs w:val="24"/>
          <w:highlight w:val="none"/>
          <w:lang w:eastAsia="zh-CN"/>
        </w:rPr>
        <w:t>10. 需要补充的其他内容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_Toc109809431 \h </w:instrText>
      </w:r>
      <w:r>
        <w:rPr>
          <w:color w:val="auto"/>
          <w:sz w:val="24"/>
          <w:szCs w:val="24"/>
          <w:highlight w:val="none"/>
        </w:rPr>
        <w:fldChar w:fldCharType="separate"/>
      </w:r>
      <w:r>
        <w:rPr>
          <w:color w:val="auto"/>
          <w:sz w:val="24"/>
          <w:szCs w:val="24"/>
          <w:highlight w:val="none"/>
        </w:rPr>
        <w:t>32</w:t>
      </w:r>
      <w:r>
        <w:rPr>
          <w:color w:val="auto"/>
          <w:sz w:val="24"/>
          <w:szCs w:val="24"/>
          <w:highlight w:val="none"/>
        </w:rPr>
        <w:fldChar w:fldCharType="end"/>
      </w:r>
      <w:r>
        <w:rPr>
          <w:color w:val="auto"/>
          <w:sz w:val="24"/>
          <w:szCs w:val="24"/>
          <w:highlight w:val="none"/>
        </w:rPr>
        <w:fldChar w:fldCharType="end"/>
      </w:r>
    </w:p>
    <w:p>
      <w:pPr>
        <w:pStyle w:val="21"/>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"_Toc109809432" </w:instrText>
      </w:r>
      <w:r>
        <w:rPr>
          <w:color w:val="auto"/>
          <w:highlight w:val="none"/>
        </w:rPr>
        <w:fldChar w:fldCharType="separate"/>
      </w:r>
      <w:r>
        <w:rPr>
          <w:rStyle w:val="32"/>
          <w:color w:val="auto"/>
          <w:sz w:val="24"/>
          <w:szCs w:val="24"/>
          <w:highlight w:val="none"/>
          <w:lang w:eastAsia="zh-CN"/>
        </w:rPr>
        <w:t>第三章  评标办法（综合评估法）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_Toc109809432 \h </w:instrText>
      </w:r>
      <w:r>
        <w:rPr>
          <w:color w:val="auto"/>
          <w:sz w:val="24"/>
          <w:szCs w:val="24"/>
          <w:highlight w:val="none"/>
        </w:rPr>
        <w:fldChar w:fldCharType="separate"/>
      </w:r>
      <w:r>
        <w:rPr>
          <w:color w:val="auto"/>
          <w:sz w:val="24"/>
          <w:szCs w:val="24"/>
          <w:highlight w:val="none"/>
        </w:rPr>
        <w:t>37</w:t>
      </w:r>
      <w:r>
        <w:rPr>
          <w:color w:val="auto"/>
          <w:sz w:val="24"/>
          <w:szCs w:val="24"/>
          <w:highlight w:val="none"/>
        </w:rPr>
        <w:fldChar w:fldCharType="end"/>
      </w:r>
      <w:r>
        <w:rPr>
          <w:color w:val="auto"/>
          <w:sz w:val="24"/>
          <w:szCs w:val="24"/>
          <w:highlight w:val="none"/>
        </w:rPr>
        <w:fldChar w:fldCharType="end"/>
      </w:r>
    </w:p>
    <w:p>
      <w:pPr>
        <w:pStyle w:val="14"/>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"_Toc109809433" </w:instrText>
      </w:r>
      <w:r>
        <w:rPr>
          <w:color w:val="auto"/>
          <w:highlight w:val="none"/>
        </w:rPr>
        <w:fldChar w:fldCharType="separate"/>
      </w:r>
      <w:r>
        <w:rPr>
          <w:rStyle w:val="32"/>
          <w:color w:val="auto"/>
          <w:sz w:val="24"/>
          <w:szCs w:val="24"/>
          <w:highlight w:val="none"/>
        </w:rPr>
        <w:t>评标办法前附表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_Toc109809433 \h </w:instrText>
      </w:r>
      <w:r>
        <w:rPr>
          <w:color w:val="auto"/>
          <w:sz w:val="24"/>
          <w:szCs w:val="24"/>
          <w:highlight w:val="none"/>
        </w:rPr>
        <w:fldChar w:fldCharType="separate"/>
      </w:r>
      <w:r>
        <w:rPr>
          <w:color w:val="auto"/>
          <w:sz w:val="24"/>
          <w:szCs w:val="24"/>
          <w:highlight w:val="none"/>
        </w:rPr>
        <w:t>37</w:t>
      </w:r>
      <w:r>
        <w:rPr>
          <w:color w:val="auto"/>
          <w:sz w:val="24"/>
          <w:szCs w:val="24"/>
          <w:highlight w:val="none"/>
        </w:rPr>
        <w:fldChar w:fldCharType="end"/>
      </w:r>
      <w:r>
        <w:rPr>
          <w:color w:val="auto"/>
          <w:sz w:val="24"/>
          <w:szCs w:val="24"/>
          <w:highlight w:val="none"/>
        </w:rPr>
        <w:fldChar w:fldCharType="end"/>
      </w:r>
    </w:p>
    <w:p>
      <w:pPr>
        <w:pStyle w:val="14"/>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"_Toc109809434" </w:instrText>
      </w:r>
      <w:r>
        <w:rPr>
          <w:color w:val="auto"/>
          <w:highlight w:val="none"/>
        </w:rPr>
        <w:fldChar w:fldCharType="separate"/>
      </w:r>
      <w:r>
        <w:rPr>
          <w:rStyle w:val="32"/>
          <w:color w:val="auto"/>
          <w:sz w:val="24"/>
          <w:szCs w:val="24"/>
          <w:highlight w:val="none"/>
          <w:lang w:eastAsia="zh-CN"/>
        </w:rPr>
        <w:t>1. 评标方法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_Toc109809434 \h </w:instrText>
      </w:r>
      <w:r>
        <w:rPr>
          <w:color w:val="auto"/>
          <w:sz w:val="24"/>
          <w:szCs w:val="24"/>
          <w:highlight w:val="none"/>
        </w:rPr>
        <w:fldChar w:fldCharType="separate"/>
      </w:r>
      <w:r>
        <w:rPr>
          <w:color w:val="auto"/>
          <w:sz w:val="24"/>
          <w:szCs w:val="24"/>
          <w:highlight w:val="none"/>
        </w:rPr>
        <w:t>41</w:t>
      </w:r>
      <w:r>
        <w:rPr>
          <w:color w:val="auto"/>
          <w:sz w:val="24"/>
          <w:szCs w:val="24"/>
          <w:highlight w:val="none"/>
        </w:rPr>
        <w:fldChar w:fldCharType="end"/>
      </w:r>
      <w:r>
        <w:rPr>
          <w:color w:val="auto"/>
          <w:sz w:val="24"/>
          <w:szCs w:val="24"/>
          <w:highlight w:val="none"/>
        </w:rPr>
        <w:fldChar w:fldCharType="end"/>
      </w:r>
    </w:p>
    <w:p>
      <w:pPr>
        <w:pStyle w:val="14"/>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"_Toc109809435" </w:instrText>
      </w:r>
      <w:r>
        <w:rPr>
          <w:color w:val="auto"/>
          <w:highlight w:val="none"/>
        </w:rPr>
        <w:fldChar w:fldCharType="separate"/>
      </w:r>
      <w:r>
        <w:rPr>
          <w:rStyle w:val="32"/>
          <w:color w:val="auto"/>
          <w:sz w:val="24"/>
          <w:szCs w:val="24"/>
          <w:highlight w:val="none"/>
          <w:lang w:eastAsia="zh-CN"/>
        </w:rPr>
        <w:t>2. 评审标准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_Toc109809435 \h </w:instrText>
      </w:r>
      <w:r>
        <w:rPr>
          <w:color w:val="auto"/>
          <w:sz w:val="24"/>
          <w:szCs w:val="24"/>
          <w:highlight w:val="none"/>
        </w:rPr>
        <w:fldChar w:fldCharType="separate"/>
      </w:r>
      <w:r>
        <w:rPr>
          <w:color w:val="auto"/>
          <w:sz w:val="24"/>
          <w:szCs w:val="24"/>
          <w:highlight w:val="none"/>
        </w:rPr>
        <w:t>41</w:t>
      </w:r>
      <w:r>
        <w:rPr>
          <w:color w:val="auto"/>
          <w:sz w:val="24"/>
          <w:szCs w:val="24"/>
          <w:highlight w:val="none"/>
        </w:rPr>
        <w:fldChar w:fldCharType="end"/>
      </w:r>
      <w:r>
        <w:rPr>
          <w:color w:val="auto"/>
          <w:sz w:val="24"/>
          <w:szCs w:val="24"/>
          <w:highlight w:val="none"/>
        </w:rPr>
        <w:fldChar w:fldCharType="end"/>
      </w:r>
    </w:p>
    <w:p>
      <w:pPr>
        <w:pStyle w:val="14"/>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"_Toc109809436" </w:instrText>
      </w:r>
      <w:r>
        <w:rPr>
          <w:color w:val="auto"/>
          <w:highlight w:val="none"/>
        </w:rPr>
        <w:fldChar w:fldCharType="separate"/>
      </w:r>
      <w:r>
        <w:rPr>
          <w:rStyle w:val="32"/>
          <w:color w:val="auto"/>
          <w:sz w:val="24"/>
          <w:szCs w:val="24"/>
          <w:highlight w:val="none"/>
          <w:lang w:eastAsia="zh-CN"/>
        </w:rPr>
        <w:t>3. 评标程序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_Toc109809436 \h </w:instrText>
      </w:r>
      <w:r>
        <w:rPr>
          <w:color w:val="auto"/>
          <w:sz w:val="24"/>
          <w:szCs w:val="24"/>
          <w:highlight w:val="none"/>
        </w:rPr>
        <w:fldChar w:fldCharType="separate"/>
      </w:r>
      <w:r>
        <w:rPr>
          <w:color w:val="auto"/>
          <w:sz w:val="24"/>
          <w:szCs w:val="24"/>
          <w:highlight w:val="none"/>
        </w:rPr>
        <w:t>42</w:t>
      </w:r>
      <w:r>
        <w:rPr>
          <w:color w:val="auto"/>
          <w:sz w:val="24"/>
          <w:szCs w:val="24"/>
          <w:highlight w:val="none"/>
        </w:rPr>
        <w:fldChar w:fldCharType="end"/>
      </w:r>
      <w:r>
        <w:rPr>
          <w:color w:val="auto"/>
          <w:sz w:val="24"/>
          <w:szCs w:val="24"/>
          <w:highlight w:val="none"/>
        </w:rPr>
        <w:fldChar w:fldCharType="end"/>
      </w:r>
    </w:p>
    <w:p>
      <w:pPr>
        <w:pStyle w:val="21"/>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"_Toc109809437" </w:instrText>
      </w:r>
      <w:r>
        <w:rPr>
          <w:color w:val="auto"/>
          <w:highlight w:val="none"/>
        </w:rPr>
        <w:fldChar w:fldCharType="separate"/>
      </w:r>
      <w:r>
        <w:rPr>
          <w:rStyle w:val="32"/>
          <w:color w:val="auto"/>
          <w:sz w:val="24"/>
          <w:szCs w:val="24"/>
          <w:highlight w:val="none"/>
          <w:lang w:eastAsia="zh-CN"/>
        </w:rPr>
        <w:t>第四章  合同条款及格式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_Toc109809437 \h </w:instrText>
      </w:r>
      <w:r>
        <w:rPr>
          <w:color w:val="auto"/>
          <w:sz w:val="24"/>
          <w:szCs w:val="24"/>
          <w:highlight w:val="none"/>
        </w:rPr>
        <w:fldChar w:fldCharType="separate"/>
      </w:r>
      <w:r>
        <w:rPr>
          <w:color w:val="auto"/>
          <w:sz w:val="24"/>
          <w:szCs w:val="24"/>
          <w:highlight w:val="none"/>
        </w:rPr>
        <w:t>44</w:t>
      </w:r>
      <w:r>
        <w:rPr>
          <w:color w:val="auto"/>
          <w:sz w:val="24"/>
          <w:szCs w:val="24"/>
          <w:highlight w:val="none"/>
        </w:rPr>
        <w:fldChar w:fldCharType="end"/>
      </w:r>
      <w:r>
        <w:rPr>
          <w:color w:val="auto"/>
          <w:sz w:val="24"/>
          <w:szCs w:val="24"/>
          <w:highlight w:val="none"/>
        </w:rPr>
        <w:fldChar w:fldCharType="end"/>
      </w:r>
    </w:p>
    <w:p>
      <w:pPr>
        <w:pStyle w:val="21"/>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"_Toc109809438" </w:instrText>
      </w:r>
      <w:r>
        <w:rPr>
          <w:color w:val="auto"/>
          <w:highlight w:val="none"/>
        </w:rPr>
        <w:fldChar w:fldCharType="separate"/>
      </w:r>
      <w:r>
        <w:rPr>
          <w:rStyle w:val="32"/>
          <w:color w:val="auto"/>
          <w:sz w:val="24"/>
          <w:szCs w:val="24"/>
          <w:highlight w:val="none"/>
          <w:lang w:eastAsia="zh-CN"/>
        </w:rPr>
        <w:t>第二卷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_Toc109809438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color w:val="auto"/>
          <w:sz w:val="24"/>
          <w:szCs w:val="24"/>
          <w:highlight w:val="none"/>
        </w:rPr>
        <w:fldChar w:fldCharType="end"/>
      </w:r>
    </w:p>
    <w:p>
      <w:pPr>
        <w:pStyle w:val="21"/>
        <w:tabs>
          <w:tab w:val="right" w:leader="dot" w:pos="9017"/>
        </w:tabs>
        <w:spacing w:line="360" w:lineRule="auto"/>
        <w:rPr>
          <w:rFonts w:hint="eastAsia" w:ascii="等线" w:hAnsi="等线" w:eastAsia="宋体"/>
          <w:color w:val="auto"/>
          <w:kern w:val="2"/>
          <w:sz w:val="24"/>
          <w:szCs w:val="24"/>
          <w:highlight w:val="none"/>
          <w:lang w:val="en-US" w:eastAsia="zh-CN"/>
        </w:rPr>
      </w:pPr>
      <w:r>
        <w:rPr>
          <w:color w:val="auto"/>
          <w:highlight w:val="none"/>
        </w:rPr>
        <w:fldChar w:fldCharType="begin"/>
      </w:r>
      <w:r>
        <w:rPr>
          <w:color w:val="auto"/>
          <w:highlight w:val="none"/>
        </w:rPr>
        <w:instrText xml:space="preserve"> HYPERLINK \l "_Toc109809439" </w:instrText>
      </w:r>
      <w:r>
        <w:rPr>
          <w:color w:val="auto"/>
          <w:highlight w:val="none"/>
        </w:rPr>
        <w:fldChar w:fldCharType="separate"/>
      </w:r>
      <w:r>
        <w:rPr>
          <w:rStyle w:val="32"/>
          <w:color w:val="auto"/>
          <w:sz w:val="24"/>
          <w:szCs w:val="24"/>
          <w:highlight w:val="none"/>
          <w:lang w:eastAsia="zh-CN"/>
        </w:rPr>
        <w:t xml:space="preserve">第五章 </w:t>
      </w:r>
      <w:r>
        <w:rPr>
          <w:rStyle w:val="32"/>
          <w:rFonts w:hint="eastAsia"/>
          <w:color w:val="auto"/>
          <w:sz w:val="24"/>
          <w:szCs w:val="24"/>
          <w:highlight w:val="none"/>
          <w:lang w:eastAsia="zh-CN"/>
        </w:rPr>
        <w:t>勘察、设计任务书</w:t>
      </w:r>
      <w:r>
        <w:rPr>
          <w:color w:val="auto"/>
          <w:sz w:val="24"/>
          <w:szCs w:val="24"/>
          <w:highlight w:val="none"/>
        </w:rPr>
        <w:tab/>
      </w:r>
      <w:r>
        <w:rPr>
          <w:rFonts w:hint="eastAsia"/>
          <w:color w:val="auto"/>
          <w:sz w:val="24"/>
          <w:szCs w:val="24"/>
          <w:highlight w:val="none"/>
          <w:lang w:val="en-US" w:eastAsia="zh-CN"/>
        </w:rPr>
        <w:t>4</w:t>
      </w:r>
      <w:r>
        <w:rPr>
          <w:color w:val="auto"/>
          <w:sz w:val="24"/>
          <w:szCs w:val="24"/>
          <w:highlight w:val="none"/>
        </w:rPr>
        <w:fldChar w:fldCharType="end"/>
      </w:r>
      <w:r>
        <w:rPr>
          <w:rFonts w:hint="eastAsia"/>
          <w:color w:val="auto"/>
          <w:sz w:val="24"/>
          <w:szCs w:val="24"/>
          <w:highlight w:val="none"/>
          <w:lang w:val="en-US" w:eastAsia="zh-CN"/>
        </w:rPr>
        <w:t>8</w:t>
      </w:r>
    </w:p>
    <w:p>
      <w:pPr>
        <w:pStyle w:val="21"/>
        <w:tabs>
          <w:tab w:val="right" w:leader="dot" w:pos="9017"/>
        </w:tabs>
        <w:spacing w:line="360" w:lineRule="auto"/>
        <w:rPr>
          <w:rFonts w:hint="default" w:ascii="等线" w:hAnsi="等线" w:eastAsia="宋体"/>
          <w:color w:val="auto"/>
          <w:kern w:val="2"/>
          <w:sz w:val="24"/>
          <w:szCs w:val="24"/>
          <w:highlight w:val="none"/>
          <w:lang w:val="en-US" w:eastAsia="zh-CN"/>
        </w:rPr>
      </w:pPr>
      <w:r>
        <w:rPr>
          <w:color w:val="auto"/>
          <w:highlight w:val="none"/>
        </w:rPr>
        <w:fldChar w:fldCharType="begin"/>
      </w:r>
      <w:r>
        <w:rPr>
          <w:color w:val="auto"/>
          <w:highlight w:val="none"/>
        </w:rPr>
        <w:instrText xml:space="preserve"> HYPERLINK \l "_Toc109809440" </w:instrText>
      </w:r>
      <w:r>
        <w:rPr>
          <w:color w:val="auto"/>
          <w:highlight w:val="none"/>
        </w:rPr>
        <w:fldChar w:fldCharType="separate"/>
      </w:r>
      <w:r>
        <w:rPr>
          <w:rStyle w:val="32"/>
          <w:color w:val="auto"/>
          <w:sz w:val="24"/>
          <w:szCs w:val="24"/>
          <w:highlight w:val="none"/>
          <w:lang w:eastAsia="zh-CN"/>
        </w:rPr>
        <w:t>第三卷</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49</w:t>
      </w:r>
    </w:p>
    <w:p>
      <w:pPr>
        <w:pStyle w:val="21"/>
        <w:tabs>
          <w:tab w:val="right" w:leader="dot" w:pos="9017"/>
        </w:tabs>
        <w:spacing w:line="360" w:lineRule="auto"/>
        <w:rPr>
          <w:rFonts w:hint="default" w:ascii="等线" w:hAnsi="等线" w:eastAsia="宋体"/>
          <w:color w:val="auto"/>
          <w:kern w:val="2"/>
          <w:sz w:val="24"/>
          <w:szCs w:val="24"/>
          <w:highlight w:val="none"/>
          <w:lang w:val="en-US" w:eastAsia="zh-CN"/>
        </w:rPr>
      </w:pPr>
      <w:r>
        <w:rPr>
          <w:color w:val="auto"/>
          <w:highlight w:val="none"/>
        </w:rPr>
        <w:fldChar w:fldCharType="begin"/>
      </w:r>
      <w:r>
        <w:rPr>
          <w:color w:val="auto"/>
          <w:highlight w:val="none"/>
        </w:rPr>
        <w:instrText xml:space="preserve"> HYPERLINK \l "_Toc109809441" </w:instrText>
      </w:r>
      <w:r>
        <w:rPr>
          <w:color w:val="auto"/>
          <w:highlight w:val="none"/>
        </w:rPr>
        <w:fldChar w:fldCharType="separate"/>
      </w:r>
      <w:r>
        <w:rPr>
          <w:rStyle w:val="32"/>
          <w:color w:val="auto"/>
          <w:sz w:val="24"/>
          <w:szCs w:val="24"/>
          <w:highlight w:val="none"/>
          <w:lang w:eastAsia="zh-CN"/>
        </w:rPr>
        <w:t>第六章  投标文件格式</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50</w:t>
      </w:r>
    </w:p>
    <w:p>
      <w:pPr>
        <w:tabs>
          <w:tab w:val="left" w:pos="561"/>
        </w:tabs>
        <w:spacing w:line="360" w:lineRule="auto"/>
        <w:jc w:val="center"/>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fldChar w:fldCharType="end"/>
      </w:r>
    </w:p>
    <w:p>
      <w:pPr>
        <w:rPr>
          <w:rFonts w:ascii="宋体" w:hAnsi="宋体" w:eastAsia="宋体" w:cs="宋体"/>
          <w:color w:val="auto"/>
          <w:sz w:val="20"/>
          <w:szCs w:val="20"/>
          <w:highlight w:val="none"/>
          <w:lang w:eastAsia="zh-CN"/>
        </w:rPr>
      </w:pPr>
      <w:r>
        <w:rPr>
          <w:rFonts w:ascii="宋体" w:hAnsi="宋体" w:eastAsia="宋体" w:cs="宋体"/>
          <w:color w:val="auto"/>
          <w:sz w:val="24"/>
          <w:szCs w:val="24"/>
          <w:highlight w:val="none"/>
          <w:lang w:eastAsia="zh-CN"/>
        </w:rPr>
        <w:br w:type="page"/>
      </w:r>
      <w:bookmarkStart w:id="0" w:name="_Toc25137978"/>
    </w:p>
    <w:p>
      <w:pPr>
        <w:rPr>
          <w:rFonts w:ascii="宋体" w:hAnsi="宋体" w:eastAsia="宋体" w:cs="宋体"/>
          <w:color w:val="auto"/>
          <w:sz w:val="20"/>
          <w:szCs w:val="20"/>
          <w:highlight w:val="none"/>
          <w:lang w:eastAsia="zh-CN"/>
        </w:rPr>
      </w:pPr>
    </w:p>
    <w:p>
      <w:pPr>
        <w:rPr>
          <w:rFonts w:ascii="宋体" w:hAnsi="宋体" w:eastAsia="宋体" w:cs="宋体"/>
          <w:color w:val="auto"/>
          <w:sz w:val="20"/>
          <w:szCs w:val="20"/>
          <w:highlight w:val="none"/>
          <w:lang w:eastAsia="zh-CN"/>
        </w:rPr>
      </w:pPr>
    </w:p>
    <w:p>
      <w:pPr>
        <w:rPr>
          <w:rFonts w:ascii="宋体" w:hAnsi="宋体" w:eastAsia="宋体" w:cs="宋体"/>
          <w:color w:val="auto"/>
          <w:sz w:val="20"/>
          <w:szCs w:val="20"/>
          <w:highlight w:val="none"/>
          <w:lang w:eastAsia="zh-CN"/>
        </w:rPr>
      </w:pPr>
    </w:p>
    <w:p>
      <w:pPr>
        <w:rPr>
          <w:rFonts w:ascii="宋体" w:hAnsi="宋体" w:eastAsia="宋体" w:cs="宋体"/>
          <w:color w:val="auto"/>
          <w:sz w:val="20"/>
          <w:szCs w:val="20"/>
          <w:highlight w:val="none"/>
          <w:lang w:eastAsia="zh-CN"/>
        </w:rPr>
      </w:pPr>
    </w:p>
    <w:p>
      <w:pPr>
        <w:pStyle w:val="4"/>
        <w:spacing w:line="738" w:lineRule="exact"/>
        <w:ind w:right="3"/>
        <w:jc w:val="center"/>
        <w:rPr>
          <w:rFonts w:ascii="宋体" w:hAnsi="宋体" w:eastAsia="宋体"/>
          <w:color w:val="auto"/>
          <w:highlight w:val="none"/>
          <w:lang w:eastAsia="zh-CN"/>
        </w:rPr>
      </w:pPr>
      <w:bookmarkStart w:id="1" w:name="_Toc109809379"/>
      <w:bookmarkStart w:id="2" w:name="_Toc109809418"/>
      <w:r>
        <w:rPr>
          <w:rFonts w:ascii="宋体" w:hAnsi="宋体" w:eastAsia="宋体"/>
          <w:color w:val="auto"/>
          <w:highlight w:val="none"/>
          <w:lang w:eastAsia="zh-CN"/>
        </w:rPr>
        <w:t>第一卷</w:t>
      </w:r>
      <w:bookmarkEnd w:id="0"/>
      <w:bookmarkEnd w:id="1"/>
      <w:bookmarkEnd w:id="2"/>
    </w:p>
    <w:p>
      <w:pPr>
        <w:rPr>
          <w:color w:val="auto"/>
          <w:highlight w:val="none"/>
          <w:lang w:eastAsia="zh-CN"/>
        </w:rPr>
      </w:pPr>
      <w:r>
        <w:rPr>
          <w:rFonts w:ascii="宋体" w:hAnsi="宋体" w:eastAsia="宋体"/>
          <w:color w:val="auto"/>
          <w:highlight w:val="none"/>
          <w:lang w:eastAsia="zh-CN"/>
        </w:rPr>
        <w:br w:type="page"/>
      </w:r>
    </w:p>
    <w:p>
      <w:pPr>
        <w:pStyle w:val="4"/>
        <w:jc w:val="center"/>
        <w:rPr>
          <w:rFonts w:ascii="宋体" w:hAnsi="宋体" w:eastAsia="宋体"/>
          <w:color w:val="auto"/>
          <w:highlight w:val="none"/>
          <w:lang w:eastAsia="zh-CN"/>
        </w:rPr>
      </w:pPr>
      <w:bookmarkStart w:id="3" w:name="_Toc25137979"/>
      <w:bookmarkStart w:id="4" w:name="_Toc109809380"/>
      <w:bookmarkStart w:id="5" w:name="_Toc109809419"/>
      <w:r>
        <w:rPr>
          <w:rFonts w:ascii="宋体" w:hAnsi="宋体" w:eastAsia="宋体"/>
          <w:color w:val="auto"/>
          <w:highlight w:val="none"/>
          <w:lang w:eastAsia="zh-CN"/>
        </w:rPr>
        <w:t>第一章</w:t>
      </w:r>
      <w:r>
        <w:rPr>
          <w:rFonts w:hint="eastAsia" w:ascii="宋体" w:hAnsi="宋体" w:eastAsia="宋体"/>
          <w:color w:val="auto"/>
          <w:highlight w:val="none"/>
          <w:lang w:eastAsia="zh-CN"/>
        </w:rPr>
        <w:t xml:space="preserve">  </w:t>
      </w:r>
      <w:r>
        <w:rPr>
          <w:rFonts w:ascii="宋体" w:hAnsi="宋体" w:eastAsia="宋体"/>
          <w:color w:val="auto"/>
          <w:highlight w:val="none"/>
          <w:lang w:eastAsia="zh-CN"/>
        </w:rPr>
        <w:t>招标公告</w:t>
      </w:r>
      <w:bookmarkEnd w:id="3"/>
      <w:bookmarkEnd w:id="4"/>
      <w:bookmarkEnd w:id="5"/>
    </w:p>
    <w:p>
      <w:pPr>
        <w:tabs>
          <w:tab w:val="left" w:pos="561"/>
        </w:tabs>
        <w:spacing w:line="360" w:lineRule="auto"/>
        <w:jc w:val="center"/>
        <w:rPr>
          <w:rFonts w:ascii="宋体" w:hAnsi="宋体" w:eastAsia="宋体"/>
          <w:color w:val="auto"/>
          <w:highlight w:val="none"/>
          <w:lang w:eastAsia="zh-CN"/>
        </w:rPr>
      </w:pPr>
    </w:p>
    <w:p>
      <w:pPr>
        <w:tabs>
          <w:tab w:val="left" w:pos="561"/>
        </w:tabs>
        <w:jc w:val="center"/>
        <w:rPr>
          <w:rFonts w:ascii="宋体" w:hAnsi="宋体" w:eastAsia="宋体"/>
          <w:b/>
          <w:color w:val="auto"/>
          <w:sz w:val="28"/>
          <w:szCs w:val="28"/>
          <w:highlight w:val="none"/>
          <w:lang w:eastAsia="zh-CN"/>
        </w:rPr>
      </w:pPr>
      <w:r>
        <w:rPr>
          <w:rFonts w:hint="eastAsia" w:ascii="宋体" w:hAnsi="宋体" w:eastAsia="宋体"/>
          <w:b/>
          <w:color w:val="auto"/>
          <w:sz w:val="28"/>
          <w:szCs w:val="28"/>
          <w:highlight w:val="none"/>
          <w:lang w:eastAsia="zh-CN"/>
        </w:rPr>
        <w:t>(另册)</w:t>
      </w:r>
    </w:p>
    <w:p>
      <w:pPr>
        <w:pStyle w:val="4"/>
        <w:jc w:val="center"/>
        <w:rPr>
          <w:rFonts w:ascii="宋体" w:hAnsi="宋体" w:eastAsia="宋体"/>
          <w:color w:val="auto"/>
          <w:highlight w:val="none"/>
          <w:lang w:eastAsia="zh-CN"/>
        </w:rPr>
      </w:pPr>
      <w:r>
        <w:rPr>
          <w:rFonts w:ascii="宋体" w:hAnsi="宋体" w:eastAsia="宋体"/>
          <w:b w:val="0"/>
          <w:bCs w:val="0"/>
          <w:color w:val="auto"/>
          <w:sz w:val="24"/>
          <w:szCs w:val="24"/>
          <w:highlight w:val="none"/>
          <w:lang w:eastAsia="zh-CN"/>
        </w:rPr>
        <w:br w:type="page"/>
      </w:r>
      <w:bookmarkStart w:id="6" w:name="_Toc109809381"/>
      <w:bookmarkStart w:id="7" w:name="_Toc109809420"/>
      <w:r>
        <w:rPr>
          <w:rFonts w:ascii="宋体" w:hAnsi="宋体" w:eastAsia="宋体"/>
          <w:color w:val="auto"/>
          <w:highlight w:val="none"/>
          <w:lang w:eastAsia="zh-CN"/>
        </w:rPr>
        <w:t>第二章</w:t>
      </w:r>
      <w:r>
        <w:rPr>
          <w:rFonts w:hint="eastAsia" w:ascii="宋体" w:hAnsi="宋体" w:eastAsia="宋体"/>
          <w:color w:val="auto"/>
          <w:highlight w:val="none"/>
          <w:lang w:eastAsia="zh-CN"/>
        </w:rPr>
        <w:t xml:space="preserve">  </w:t>
      </w:r>
      <w:r>
        <w:rPr>
          <w:rFonts w:ascii="宋体" w:hAnsi="宋体" w:eastAsia="宋体"/>
          <w:color w:val="auto"/>
          <w:highlight w:val="none"/>
          <w:lang w:eastAsia="zh-CN"/>
        </w:rPr>
        <w:t>投标人须知</w:t>
      </w:r>
      <w:bookmarkEnd w:id="6"/>
      <w:bookmarkEnd w:id="7"/>
    </w:p>
    <w:p>
      <w:pPr>
        <w:pStyle w:val="6"/>
        <w:spacing w:beforeLines="50" w:afterLines="50"/>
        <w:ind w:left="0"/>
        <w:jc w:val="center"/>
        <w:rPr>
          <w:rFonts w:ascii="宋体" w:hAnsi="宋体" w:eastAsia="宋体" w:cs="Microsoft JhengHei"/>
          <w:b w:val="0"/>
          <w:bCs w:val="0"/>
          <w:color w:val="auto"/>
          <w:sz w:val="20"/>
          <w:szCs w:val="20"/>
          <w:highlight w:val="none"/>
          <w:lang w:eastAsia="zh-CN"/>
        </w:rPr>
      </w:pPr>
      <w:bookmarkStart w:id="8" w:name="_Toc25137981"/>
      <w:bookmarkStart w:id="9" w:name="_Toc109809421"/>
      <w:bookmarkStart w:id="10" w:name="_Toc109809382"/>
      <w:r>
        <w:rPr>
          <w:rFonts w:ascii="宋体" w:hAnsi="宋体" w:eastAsia="宋体"/>
          <w:color w:val="auto"/>
          <w:highlight w:val="none"/>
          <w:lang w:eastAsia="zh-CN"/>
        </w:rPr>
        <w:t>投标人须知前附表</w:t>
      </w:r>
      <w:bookmarkEnd w:id="8"/>
      <w:bookmarkEnd w:id="9"/>
      <w:bookmarkEnd w:id="10"/>
    </w:p>
    <w:p>
      <w:pPr>
        <w:spacing w:before="12"/>
        <w:rPr>
          <w:rFonts w:ascii="宋体" w:hAnsi="宋体" w:eastAsia="宋体" w:cs="Microsoft JhengHei"/>
          <w:b/>
          <w:bCs/>
          <w:color w:val="auto"/>
          <w:sz w:val="12"/>
          <w:szCs w:val="12"/>
          <w:highlight w:val="none"/>
          <w:lang w:eastAsia="zh-CN"/>
        </w:rPr>
      </w:pPr>
    </w:p>
    <w:tbl>
      <w:tblPr>
        <w:tblStyle w:val="29"/>
        <w:tblW w:w="5118" w:type="pct"/>
        <w:jc w:val="center"/>
        <w:tblLayout w:type="autofit"/>
        <w:tblCellMar>
          <w:top w:w="0" w:type="dxa"/>
          <w:left w:w="0" w:type="dxa"/>
          <w:bottom w:w="0" w:type="dxa"/>
          <w:right w:w="0" w:type="dxa"/>
        </w:tblCellMar>
      </w:tblPr>
      <w:tblGrid>
        <w:gridCol w:w="956"/>
        <w:gridCol w:w="1699"/>
        <w:gridCol w:w="6595"/>
      </w:tblGrid>
      <w:tr>
        <w:tblPrEx>
          <w:tblCellMar>
            <w:top w:w="0" w:type="dxa"/>
            <w:left w:w="0" w:type="dxa"/>
            <w:bottom w:w="0" w:type="dxa"/>
            <w:right w:w="0" w:type="dxa"/>
          </w:tblCellMar>
        </w:tblPrEx>
        <w:trPr>
          <w:tblHeade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s="Microsoft JhengHei"/>
                <w:color w:val="auto"/>
                <w:sz w:val="21"/>
                <w:szCs w:val="21"/>
                <w:highlight w:val="none"/>
              </w:rPr>
            </w:pPr>
            <w:r>
              <w:rPr>
                <w:rFonts w:ascii="宋体" w:hAnsi="宋体" w:eastAsia="宋体" w:cs="Microsoft JhengHei"/>
                <w:b/>
                <w:bCs/>
                <w:color w:val="auto"/>
                <w:sz w:val="21"/>
                <w:szCs w:val="21"/>
                <w:highlight w:val="none"/>
              </w:rPr>
              <w:t>条款号</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Microsoft JhengHei"/>
                <w:color w:val="auto"/>
                <w:sz w:val="21"/>
                <w:szCs w:val="21"/>
                <w:highlight w:val="none"/>
              </w:rPr>
            </w:pPr>
            <w:r>
              <w:rPr>
                <w:rFonts w:ascii="宋体" w:hAnsi="宋体" w:eastAsia="宋体" w:cs="Microsoft JhengHei"/>
                <w:b/>
                <w:bCs/>
                <w:color w:val="auto"/>
                <w:sz w:val="21"/>
                <w:szCs w:val="21"/>
                <w:highlight w:val="none"/>
              </w:rPr>
              <w:t>条款名称</w:t>
            </w:r>
          </w:p>
        </w:tc>
        <w:tc>
          <w:tcPr>
            <w:tcW w:w="3564"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Microsoft JhengHei"/>
                <w:color w:val="auto"/>
                <w:sz w:val="21"/>
                <w:szCs w:val="21"/>
                <w:highlight w:val="none"/>
              </w:rPr>
            </w:pPr>
            <w:r>
              <w:rPr>
                <w:rFonts w:ascii="宋体" w:hAnsi="宋体" w:eastAsia="宋体" w:cs="Microsoft JhengHei"/>
                <w:b/>
                <w:bCs/>
                <w:color w:val="auto"/>
                <w:sz w:val="21"/>
                <w:szCs w:val="21"/>
                <w:highlight w:val="none"/>
              </w:rPr>
              <w:t>编列内容</w:t>
            </w:r>
          </w:p>
        </w:tc>
      </w:tr>
      <w:tr>
        <w:tblPrEx>
          <w:tblCellMar>
            <w:top w:w="0" w:type="dxa"/>
            <w:left w:w="0" w:type="dxa"/>
            <w:bottom w:w="0" w:type="dxa"/>
            <w:right w:w="0" w:type="dxa"/>
          </w:tblCellMar>
        </w:tblPrEx>
        <w:trPr>
          <w:trHeight w:val="1406" w:hRule="atLeast"/>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1.1.2</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招标人</w:t>
            </w:r>
          </w:p>
        </w:tc>
        <w:tc>
          <w:tcPr>
            <w:tcW w:w="3564"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Lines="50" w:line="360" w:lineRule="auto"/>
              <w:ind w:left="110" w:leftChars="50" w:right="110" w:rightChars="5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名称：广州市城市排水有限公司</w:t>
            </w:r>
          </w:p>
          <w:p>
            <w:pPr>
              <w:autoSpaceDE w:val="0"/>
              <w:autoSpaceDN w:val="0"/>
              <w:adjustRightInd w:val="0"/>
              <w:spacing w:beforeLines="50" w:line="360" w:lineRule="auto"/>
              <w:ind w:left="110" w:leftChars="50" w:right="110" w:rightChars="5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地址：广州市海珠区琶洲大道东1号保利国际广场南塔8楼</w:t>
            </w:r>
          </w:p>
          <w:p>
            <w:pPr>
              <w:autoSpaceDE w:val="0"/>
              <w:autoSpaceDN w:val="0"/>
              <w:adjustRightInd w:val="0"/>
              <w:spacing w:beforeLines="50" w:line="360" w:lineRule="auto"/>
              <w:ind w:left="110" w:leftChars="50" w:right="110" w:rightChars="5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联系人：廖工</w:t>
            </w:r>
          </w:p>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电话：</w:t>
            </w:r>
            <w:r>
              <w:rPr>
                <w:rFonts w:hint="eastAsia" w:ascii="宋体" w:hAnsi="宋体" w:eastAsia="宋体" w:cs="宋体"/>
                <w:color w:val="auto"/>
                <w:sz w:val="21"/>
                <w:szCs w:val="21"/>
                <w:highlight w:val="none"/>
                <w:u w:val="none"/>
                <w:lang w:val="en-US" w:eastAsia="zh-CN"/>
              </w:rPr>
              <w:t>020-34397651</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1.1.3</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招标代理机构</w:t>
            </w:r>
          </w:p>
        </w:tc>
        <w:tc>
          <w:tcPr>
            <w:tcW w:w="3564"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名称：</w:t>
            </w:r>
            <w:r>
              <w:rPr>
                <w:rFonts w:hint="eastAsia" w:ascii="宋体" w:hAnsi="宋体" w:eastAsia="宋体" w:cs="宋体"/>
                <w:color w:val="auto"/>
                <w:sz w:val="21"/>
                <w:szCs w:val="21"/>
                <w:highlight w:val="none"/>
                <w:lang w:eastAsia="zh-CN"/>
              </w:rPr>
              <w:t>广东逸源工程顾问管理有限公司</w:t>
            </w:r>
          </w:p>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地址：</w:t>
            </w:r>
            <w:r>
              <w:rPr>
                <w:rFonts w:hint="eastAsia" w:ascii="宋体" w:hAnsi="宋体" w:eastAsia="宋体" w:cs="宋体"/>
                <w:color w:val="auto"/>
                <w:sz w:val="21"/>
                <w:szCs w:val="21"/>
                <w:highlight w:val="none"/>
                <w:u w:val="none"/>
                <w:lang w:eastAsia="zh-CN"/>
              </w:rPr>
              <w:t>广州市天河区天河北路689号609、610室</w:t>
            </w:r>
          </w:p>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联系人：</w:t>
            </w:r>
            <w:r>
              <w:rPr>
                <w:rFonts w:hint="eastAsia" w:ascii="宋体" w:hAnsi="宋体" w:eastAsia="宋体" w:cs="宋体"/>
                <w:color w:val="auto"/>
                <w:sz w:val="21"/>
                <w:szCs w:val="21"/>
                <w:highlight w:val="none"/>
                <w:lang w:val="en-US" w:eastAsia="zh-CN"/>
              </w:rPr>
              <w:t>郑工</w:t>
            </w:r>
          </w:p>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电话：</w:t>
            </w:r>
            <w:r>
              <w:rPr>
                <w:rFonts w:hint="eastAsia" w:ascii="宋体" w:hAnsi="宋体" w:eastAsia="宋体" w:cs="宋体"/>
                <w:color w:val="auto"/>
                <w:sz w:val="21"/>
                <w:szCs w:val="21"/>
                <w:highlight w:val="none"/>
                <w:lang w:eastAsia="zh-CN"/>
              </w:rPr>
              <w:t>020-88522643</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1.1.4</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招标项目名称</w:t>
            </w:r>
          </w:p>
        </w:tc>
        <w:tc>
          <w:tcPr>
            <w:tcW w:w="3564"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东部应急救援集训备勤基地项目勘察设计</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1.1.5</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项目建设地点</w:t>
            </w:r>
          </w:p>
        </w:tc>
        <w:tc>
          <w:tcPr>
            <w:tcW w:w="3564"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详见招标公告</w:t>
            </w:r>
            <w:r>
              <w:rPr>
                <w:rFonts w:hint="eastAsia" w:ascii="Calibri" w:hAnsi="Calibri" w:eastAsia="宋体"/>
                <w:color w:val="auto"/>
                <w:kern w:val="2"/>
                <w:sz w:val="21"/>
                <w:szCs w:val="24"/>
                <w:highlight w:val="none"/>
                <w:lang w:eastAsia="zh-CN"/>
              </w:rPr>
              <w:t>及勘察、设计任务书</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1.1.6</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项目建设规模</w:t>
            </w:r>
          </w:p>
        </w:tc>
        <w:tc>
          <w:tcPr>
            <w:tcW w:w="3564"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详见招标公告</w:t>
            </w:r>
            <w:r>
              <w:rPr>
                <w:rFonts w:hint="eastAsia" w:ascii="Calibri" w:hAnsi="Calibri" w:eastAsia="宋体"/>
                <w:color w:val="auto"/>
                <w:kern w:val="2"/>
                <w:sz w:val="21"/>
                <w:szCs w:val="24"/>
                <w:highlight w:val="none"/>
                <w:lang w:eastAsia="zh-CN"/>
              </w:rPr>
              <w:t>及勘察、设计任务书</w:t>
            </w:r>
          </w:p>
        </w:tc>
      </w:tr>
      <w:tr>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1.1.7</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项目投资估算</w:t>
            </w:r>
          </w:p>
        </w:tc>
        <w:tc>
          <w:tcPr>
            <w:tcW w:w="3564"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详见招标公告</w:t>
            </w:r>
            <w:r>
              <w:rPr>
                <w:rFonts w:hint="eastAsia" w:ascii="Calibri" w:hAnsi="Calibri" w:eastAsia="宋体"/>
                <w:color w:val="auto"/>
                <w:kern w:val="2"/>
                <w:sz w:val="21"/>
                <w:szCs w:val="24"/>
                <w:highlight w:val="none"/>
                <w:lang w:eastAsia="zh-CN"/>
              </w:rPr>
              <w:t>及勘察、设计任务书</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1.2.1</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资金来源及比例</w:t>
            </w:r>
          </w:p>
        </w:tc>
        <w:tc>
          <w:tcPr>
            <w:tcW w:w="3564"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color w:val="auto"/>
                <w:szCs w:val="21"/>
                <w:highlight w:val="none"/>
                <w:u w:val="single"/>
                <w:lang w:val="en-US" w:eastAsia="zh-CN"/>
              </w:rPr>
              <w:t>企业自有资金</w:t>
            </w:r>
            <w:r>
              <w:rPr>
                <w:rFonts w:hint="eastAsia" w:ascii="宋体" w:hAnsi="宋体" w:eastAsia="宋体"/>
                <w:color w:val="auto"/>
                <w:sz w:val="21"/>
                <w:szCs w:val="21"/>
                <w:highlight w:val="none"/>
                <w:lang w:eastAsia="zh-CN"/>
              </w:rPr>
              <w:t>，100%</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1.2.2</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资金落实情况</w:t>
            </w:r>
          </w:p>
        </w:tc>
        <w:tc>
          <w:tcPr>
            <w:tcW w:w="3564"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已落实</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1.3.1</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招标范围</w:t>
            </w:r>
          </w:p>
        </w:tc>
        <w:tc>
          <w:tcPr>
            <w:tcW w:w="3564"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详见招标公告</w:t>
            </w:r>
            <w:r>
              <w:rPr>
                <w:rFonts w:hint="eastAsia" w:ascii="Calibri" w:hAnsi="Calibri" w:eastAsia="宋体"/>
                <w:color w:val="auto"/>
                <w:kern w:val="2"/>
                <w:sz w:val="21"/>
                <w:szCs w:val="24"/>
                <w:highlight w:val="none"/>
                <w:lang w:eastAsia="zh-CN"/>
              </w:rPr>
              <w:t>及勘察、设计任务书</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1.3.2</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设计服务期限</w:t>
            </w:r>
          </w:p>
        </w:tc>
        <w:tc>
          <w:tcPr>
            <w:tcW w:w="3564"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详见招标公告</w:t>
            </w:r>
            <w:r>
              <w:rPr>
                <w:rFonts w:hint="eastAsia" w:ascii="Calibri" w:hAnsi="Calibri" w:eastAsia="宋体"/>
                <w:color w:val="auto"/>
                <w:kern w:val="2"/>
                <w:sz w:val="21"/>
                <w:szCs w:val="24"/>
                <w:highlight w:val="none"/>
                <w:lang w:eastAsia="zh-CN"/>
              </w:rPr>
              <w:t>及勘察、设计任务书</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1.3.3</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质量标准</w:t>
            </w:r>
          </w:p>
        </w:tc>
        <w:tc>
          <w:tcPr>
            <w:tcW w:w="3564"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符合《建设工程质量管理条例》、《建设工程勘察设计管理条例》、《建筑工程设计文件编制深度规定（</w:t>
            </w:r>
            <w:r>
              <w:rPr>
                <w:rFonts w:ascii="宋体" w:hAnsi="宋体" w:eastAsia="宋体"/>
                <w:color w:val="auto"/>
                <w:sz w:val="21"/>
                <w:szCs w:val="21"/>
                <w:highlight w:val="none"/>
                <w:lang w:eastAsia="zh-CN"/>
              </w:rPr>
              <w:t>2016</w:t>
            </w:r>
            <w:r>
              <w:rPr>
                <w:rFonts w:hint="eastAsia" w:ascii="宋体" w:hAnsi="宋体" w:eastAsia="宋体"/>
                <w:color w:val="auto"/>
                <w:sz w:val="21"/>
                <w:szCs w:val="21"/>
                <w:highlight w:val="none"/>
                <w:lang w:eastAsia="zh-CN"/>
              </w:rPr>
              <w:t>年版）》、</w:t>
            </w:r>
            <w:bookmarkStart w:id="11" w:name="_Hlk109603073"/>
            <w:r>
              <w:rPr>
                <w:rFonts w:hint="eastAsia" w:ascii="宋体" w:hAnsi="宋体" w:eastAsia="宋体"/>
                <w:color w:val="auto"/>
                <w:sz w:val="21"/>
                <w:szCs w:val="21"/>
                <w:highlight w:val="none"/>
                <w:lang w:eastAsia="zh-CN"/>
              </w:rPr>
              <w:t>《市政公用工程设计文件编制深度的规定</w:t>
            </w:r>
            <w:r>
              <w:rPr>
                <w:rFonts w:ascii="宋体" w:hAnsi="宋体" w:eastAsia="宋体"/>
                <w:color w:val="auto"/>
                <w:sz w:val="21"/>
                <w:szCs w:val="21"/>
                <w:highlight w:val="none"/>
                <w:lang w:eastAsia="zh-CN"/>
              </w:rPr>
              <w:t>(2013</w:t>
            </w:r>
            <w:r>
              <w:rPr>
                <w:rFonts w:hint="eastAsia" w:ascii="宋体" w:hAnsi="宋体" w:eastAsia="宋体"/>
                <w:color w:val="auto"/>
                <w:sz w:val="21"/>
                <w:szCs w:val="21"/>
                <w:highlight w:val="none"/>
                <w:lang w:eastAsia="zh-CN"/>
              </w:rPr>
              <w:t>年版</w:t>
            </w:r>
            <w:r>
              <w:rPr>
                <w:rFonts w:ascii="宋体" w:hAnsi="宋体" w:eastAsia="宋体"/>
                <w:color w:val="auto"/>
                <w:sz w:val="21"/>
                <w:szCs w:val="21"/>
                <w:highlight w:val="none"/>
                <w:lang w:eastAsia="zh-CN"/>
              </w:rPr>
              <w:t>)</w:t>
            </w:r>
            <w:bookmarkEnd w:id="11"/>
            <w:r>
              <w:rPr>
                <w:rFonts w:hint="eastAsia" w:ascii="宋体" w:hAnsi="宋体" w:eastAsia="宋体"/>
                <w:color w:val="auto"/>
                <w:sz w:val="21"/>
                <w:szCs w:val="21"/>
                <w:highlight w:val="none"/>
                <w:lang w:eastAsia="zh-CN"/>
              </w:rPr>
              <w:t>等国家及地方有关工程设计管理法规和规章，达到行业相关规范技术标准等要求。</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1.4.1</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投标人资质条件、能力、信誉</w:t>
            </w:r>
          </w:p>
        </w:tc>
        <w:tc>
          <w:tcPr>
            <w:tcW w:w="3564"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both"/>
              <w:rPr>
                <w:rFonts w:ascii="宋体" w:hAnsi="宋体" w:eastAsia="宋体" w:cs="宋体"/>
                <w:b/>
                <w:color w:val="auto"/>
                <w:sz w:val="21"/>
                <w:szCs w:val="21"/>
                <w:highlight w:val="none"/>
                <w:lang w:eastAsia="zh-CN"/>
              </w:rPr>
            </w:pPr>
            <w:r>
              <w:rPr>
                <w:rFonts w:hint="eastAsia" w:ascii="宋体" w:hAnsi="宋体" w:eastAsia="宋体"/>
                <w:color w:val="auto"/>
                <w:sz w:val="21"/>
                <w:szCs w:val="21"/>
                <w:highlight w:val="none"/>
                <w:lang w:eastAsia="zh-CN"/>
              </w:rPr>
              <w:t>详见招标公告第</w:t>
            </w:r>
            <w:r>
              <w:rPr>
                <w:rFonts w:ascii="宋体" w:hAnsi="宋体" w:eastAsia="宋体"/>
                <w:color w:val="auto"/>
                <w:sz w:val="21"/>
                <w:szCs w:val="21"/>
                <w:highlight w:val="none"/>
                <w:lang w:eastAsia="zh-CN"/>
              </w:rPr>
              <w:t>5</w:t>
            </w:r>
            <w:r>
              <w:rPr>
                <w:rFonts w:hint="eastAsia" w:ascii="宋体" w:hAnsi="宋体" w:eastAsia="宋体"/>
                <w:color w:val="auto"/>
                <w:sz w:val="21"/>
                <w:szCs w:val="21"/>
                <w:highlight w:val="none"/>
                <w:lang w:eastAsia="zh-CN"/>
              </w:rPr>
              <w:t xml:space="preserve">条 </w:t>
            </w:r>
            <w:r>
              <w:rPr>
                <w:rFonts w:hint="eastAsia" w:ascii="宋体" w:hAnsi="宋体" w:eastAsia="宋体" w:cs="宋体"/>
                <w:color w:val="auto"/>
                <w:sz w:val="21"/>
                <w:szCs w:val="21"/>
                <w:highlight w:val="none"/>
                <w:lang w:eastAsia="zh-CN"/>
              </w:rPr>
              <w:t>投标人资格要求</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1.4.2</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是否接受联合体投标</w:t>
            </w:r>
          </w:p>
        </w:tc>
        <w:tc>
          <w:tcPr>
            <w:tcW w:w="3564"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不接受</w:t>
            </w:r>
          </w:p>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接受，应满足下列要求：</w:t>
            </w:r>
            <w:r>
              <w:rPr>
                <w:rFonts w:hint="eastAsia" w:ascii="宋体" w:hAnsi="宋体" w:eastAsia="宋体" w:cs="宋体"/>
                <w:color w:val="auto"/>
                <w:sz w:val="21"/>
                <w:szCs w:val="21"/>
                <w:highlight w:val="none"/>
                <w:lang w:eastAsia="zh-CN"/>
              </w:rPr>
              <w:t>投标人可以组成联合体投标，但只接受最多由2家单位（即1家设计单位、1家勘察单位）组成的联合体，组成联合体投标的须由负责设计工作的单位作为联合体投标主办方。联合体各方（包括主办方及联合体成员）不得再单独或与其他单位组成联合体参与本项目投标。出现上述情况者，其投标和与此有关的联合体的投标将被拒绝。若联合体投标的应签订联合体投标协议书（详见招标公告附件</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），明确约定联合体各方拟承担的工作和责任，除联合体投标协议书须联合体各方均签字盖章外，其余文件均可由联合体主办方签字盖章。</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1.4.3</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投标人不得存在的其他情形</w:t>
            </w:r>
          </w:p>
        </w:tc>
        <w:tc>
          <w:tcPr>
            <w:tcW w:w="3564"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ind w:firstLine="0" w:firstLineChars="0"/>
              <w:rPr>
                <w:rFonts w:hint="eastAsia"/>
                <w:color w:val="auto"/>
                <w:szCs w:val="21"/>
                <w:highlight w:val="none"/>
              </w:rPr>
            </w:pPr>
            <w:r>
              <w:rPr>
                <w:rFonts w:hint="eastAsia"/>
                <w:color w:val="auto"/>
                <w:szCs w:val="21"/>
                <w:highlight w:val="none"/>
              </w:rPr>
              <w:t>（1）为招标人不具有独立法人资格的附属机构（单位）；</w:t>
            </w:r>
          </w:p>
          <w:p>
            <w:pPr>
              <w:snapToGrid w:val="0"/>
              <w:spacing w:line="360" w:lineRule="auto"/>
              <w:ind w:firstLine="0" w:firstLineChars="0"/>
              <w:rPr>
                <w:rFonts w:hint="eastAsia"/>
                <w:color w:val="auto"/>
                <w:szCs w:val="21"/>
                <w:highlight w:val="none"/>
              </w:rPr>
            </w:pPr>
            <w:r>
              <w:rPr>
                <w:rFonts w:hint="eastAsia"/>
                <w:color w:val="auto"/>
                <w:szCs w:val="21"/>
                <w:highlight w:val="none"/>
              </w:rPr>
              <w:t>（2）与招标人存在利害关系且可能影响招标公正性；</w:t>
            </w:r>
          </w:p>
          <w:p>
            <w:pPr>
              <w:snapToGrid w:val="0"/>
              <w:spacing w:line="360" w:lineRule="auto"/>
              <w:ind w:firstLine="0" w:firstLineChars="0"/>
              <w:rPr>
                <w:rFonts w:hint="eastAsia"/>
                <w:color w:val="auto"/>
                <w:szCs w:val="21"/>
                <w:highlight w:val="none"/>
              </w:rPr>
            </w:pPr>
            <w:r>
              <w:rPr>
                <w:rFonts w:hint="eastAsia"/>
                <w:color w:val="auto"/>
                <w:szCs w:val="21"/>
                <w:highlight w:val="none"/>
              </w:rPr>
              <w:t>（3）与本招标项目的其他投标人为同一个单位负责人；</w:t>
            </w:r>
          </w:p>
          <w:p>
            <w:pPr>
              <w:snapToGrid w:val="0"/>
              <w:spacing w:line="360" w:lineRule="auto"/>
              <w:ind w:firstLine="0" w:firstLineChars="0"/>
              <w:rPr>
                <w:rFonts w:hint="eastAsia"/>
                <w:color w:val="auto"/>
                <w:szCs w:val="21"/>
                <w:highlight w:val="none"/>
              </w:rPr>
            </w:pPr>
            <w:r>
              <w:rPr>
                <w:rFonts w:hint="eastAsia"/>
                <w:color w:val="auto"/>
                <w:szCs w:val="21"/>
                <w:highlight w:val="none"/>
              </w:rPr>
              <w:t>（4）与本招标项目的其他投标人存在控股、管理关系；</w:t>
            </w:r>
          </w:p>
          <w:p>
            <w:pPr>
              <w:snapToGrid w:val="0"/>
              <w:spacing w:line="360" w:lineRule="auto"/>
              <w:ind w:firstLine="0" w:firstLineChars="0"/>
              <w:rPr>
                <w:rFonts w:hint="eastAsia"/>
                <w:color w:val="auto"/>
                <w:szCs w:val="21"/>
                <w:highlight w:val="none"/>
              </w:rPr>
            </w:pPr>
            <w:r>
              <w:rPr>
                <w:rFonts w:hint="eastAsia"/>
                <w:color w:val="auto"/>
                <w:szCs w:val="21"/>
                <w:highlight w:val="none"/>
              </w:rPr>
              <w:t>（5）为本招标项目的代建人；</w:t>
            </w:r>
          </w:p>
          <w:p>
            <w:pPr>
              <w:snapToGrid w:val="0"/>
              <w:spacing w:line="360" w:lineRule="auto"/>
              <w:ind w:firstLine="0" w:firstLineChars="0"/>
              <w:rPr>
                <w:rFonts w:hint="eastAsia"/>
                <w:color w:val="auto"/>
                <w:szCs w:val="21"/>
                <w:highlight w:val="none"/>
              </w:rPr>
            </w:pPr>
            <w:r>
              <w:rPr>
                <w:rFonts w:hint="eastAsia"/>
                <w:color w:val="auto"/>
                <w:szCs w:val="21"/>
                <w:highlight w:val="none"/>
              </w:rPr>
              <w:t>（6）为本招标项目的招标代理机构；</w:t>
            </w:r>
          </w:p>
          <w:p>
            <w:pPr>
              <w:snapToGrid w:val="0"/>
              <w:spacing w:line="360" w:lineRule="auto"/>
              <w:ind w:firstLine="0" w:firstLineChars="0"/>
              <w:rPr>
                <w:rFonts w:hint="eastAsia"/>
                <w:color w:val="auto"/>
                <w:szCs w:val="21"/>
                <w:highlight w:val="none"/>
              </w:rPr>
            </w:pPr>
            <w:r>
              <w:rPr>
                <w:rFonts w:hint="eastAsia"/>
                <w:color w:val="auto"/>
                <w:szCs w:val="21"/>
                <w:highlight w:val="none"/>
              </w:rPr>
              <w:t>（7）与本招标项目的代建人或招标代理机构同为一个法定代表人；</w:t>
            </w:r>
          </w:p>
          <w:p>
            <w:pPr>
              <w:snapToGrid w:val="0"/>
              <w:spacing w:line="360" w:lineRule="auto"/>
              <w:ind w:firstLine="0" w:firstLineChars="0"/>
              <w:rPr>
                <w:rFonts w:hint="eastAsia"/>
                <w:color w:val="auto"/>
                <w:szCs w:val="21"/>
                <w:highlight w:val="none"/>
              </w:rPr>
            </w:pPr>
            <w:r>
              <w:rPr>
                <w:rFonts w:hint="eastAsia"/>
                <w:color w:val="auto"/>
                <w:szCs w:val="21"/>
                <w:highlight w:val="none"/>
              </w:rPr>
              <w:t>（8）与本招标项目的代建人或招标代理机构存在控股或参股关系；</w:t>
            </w:r>
          </w:p>
          <w:p>
            <w:pPr>
              <w:snapToGrid w:val="0"/>
              <w:spacing w:line="360" w:lineRule="auto"/>
              <w:ind w:firstLine="0" w:firstLineChars="0"/>
              <w:rPr>
                <w:rFonts w:hint="eastAsia"/>
                <w:color w:val="auto"/>
                <w:szCs w:val="21"/>
                <w:highlight w:val="none"/>
              </w:rPr>
            </w:pPr>
            <w:r>
              <w:rPr>
                <w:rFonts w:hint="eastAsia"/>
                <w:color w:val="auto"/>
                <w:szCs w:val="21"/>
                <w:highlight w:val="none"/>
              </w:rPr>
              <w:t>（9）被依法暂停或者取消投标资格；</w:t>
            </w:r>
          </w:p>
          <w:p>
            <w:pPr>
              <w:snapToGrid w:val="0"/>
              <w:spacing w:line="360" w:lineRule="auto"/>
              <w:ind w:firstLine="0" w:firstLineChars="0"/>
              <w:rPr>
                <w:rFonts w:hint="eastAsia"/>
                <w:color w:val="auto"/>
                <w:szCs w:val="21"/>
                <w:highlight w:val="none"/>
              </w:rPr>
            </w:pPr>
            <w:r>
              <w:rPr>
                <w:rFonts w:hint="eastAsia"/>
                <w:color w:val="auto"/>
                <w:szCs w:val="21"/>
                <w:highlight w:val="none"/>
              </w:rPr>
              <w:t>（10）被责令停产停业、暂扣或者吊销许可证、暂扣或者吊销执照；</w:t>
            </w:r>
          </w:p>
          <w:p>
            <w:pPr>
              <w:snapToGrid w:val="0"/>
              <w:spacing w:line="360" w:lineRule="auto"/>
              <w:ind w:firstLine="0" w:firstLineChars="0"/>
              <w:rPr>
                <w:rFonts w:hint="eastAsia"/>
                <w:color w:val="auto"/>
                <w:szCs w:val="21"/>
                <w:highlight w:val="none"/>
              </w:rPr>
            </w:pPr>
            <w:r>
              <w:rPr>
                <w:rFonts w:hint="eastAsia"/>
                <w:color w:val="auto"/>
                <w:szCs w:val="21"/>
                <w:highlight w:val="none"/>
              </w:rPr>
              <w:t>（11）进入清算程序，或被宣告破产，或其他丧失履约能力的情形；</w:t>
            </w:r>
          </w:p>
          <w:p>
            <w:pPr>
              <w:snapToGrid w:val="0"/>
              <w:spacing w:line="360" w:lineRule="auto"/>
              <w:ind w:firstLine="0" w:firstLineChars="0"/>
              <w:rPr>
                <w:rFonts w:hint="eastAsia"/>
                <w:color w:val="auto"/>
                <w:szCs w:val="21"/>
                <w:highlight w:val="none"/>
              </w:rPr>
            </w:pPr>
            <w:r>
              <w:rPr>
                <w:rFonts w:hint="eastAsia"/>
                <w:color w:val="auto"/>
                <w:szCs w:val="21"/>
                <w:highlight w:val="none"/>
              </w:rPr>
              <w:t>（12）在最近三年内发生重大设计质量问题（以相关行业主管部门的行政处罚决定或司法机关出具的有关法律文书为准）；</w:t>
            </w:r>
          </w:p>
          <w:p>
            <w:pPr>
              <w:snapToGrid w:val="0"/>
              <w:spacing w:line="360" w:lineRule="auto"/>
              <w:ind w:firstLine="0" w:firstLineChars="0"/>
              <w:rPr>
                <w:rFonts w:hint="eastAsia"/>
                <w:color w:val="auto"/>
                <w:szCs w:val="21"/>
                <w:highlight w:val="none"/>
              </w:rPr>
            </w:pPr>
            <w:r>
              <w:rPr>
                <w:rFonts w:hint="eastAsia"/>
                <w:color w:val="auto"/>
                <w:szCs w:val="21"/>
                <w:highlight w:val="none"/>
              </w:rPr>
              <w:t>（13）被工商行政（市场监管）管理机关在全国企业信用信息公示系统中列入严重违法失信企业名单；</w:t>
            </w:r>
          </w:p>
          <w:p>
            <w:pPr>
              <w:snapToGrid w:val="0"/>
              <w:spacing w:line="360" w:lineRule="auto"/>
              <w:ind w:firstLine="0" w:firstLineChars="0"/>
              <w:rPr>
                <w:rFonts w:hint="eastAsia"/>
                <w:color w:val="auto"/>
                <w:szCs w:val="21"/>
                <w:highlight w:val="none"/>
              </w:rPr>
            </w:pPr>
            <w:r>
              <w:rPr>
                <w:rFonts w:hint="eastAsia"/>
                <w:color w:val="auto"/>
                <w:szCs w:val="21"/>
                <w:highlight w:val="none"/>
              </w:rPr>
              <w:t>（14）被最高人民法院在“信用中国”网站（www.creditchina.gov.cn）或各级信用信息共享平台中列入失信被执行人名单；</w:t>
            </w:r>
          </w:p>
          <w:p>
            <w:pPr>
              <w:snapToGrid w:val="0"/>
              <w:spacing w:line="360" w:lineRule="auto"/>
              <w:ind w:firstLine="0" w:firstLineChars="0"/>
              <w:rPr>
                <w:rFonts w:hint="eastAsia"/>
                <w:color w:val="auto"/>
                <w:szCs w:val="21"/>
                <w:highlight w:val="none"/>
              </w:rPr>
            </w:pPr>
            <w:r>
              <w:rPr>
                <w:rFonts w:hint="eastAsia"/>
                <w:color w:val="auto"/>
                <w:szCs w:val="21"/>
                <w:highlight w:val="none"/>
              </w:rPr>
              <w:t>（15）在近三年内投标人或其法定代表人、拟委任的项目负责人有行贿犯罪行为的。</w:t>
            </w:r>
          </w:p>
          <w:p>
            <w:pPr>
              <w:snapToGrid w:val="0"/>
              <w:spacing w:line="360" w:lineRule="auto"/>
              <w:ind w:firstLine="0" w:firstLineChars="0"/>
              <w:rPr>
                <w:rFonts w:hint="eastAsia"/>
                <w:color w:val="auto"/>
                <w:szCs w:val="21"/>
                <w:highlight w:val="none"/>
              </w:rPr>
            </w:pPr>
            <w:r>
              <w:rPr>
                <w:rFonts w:hint="eastAsia"/>
                <w:color w:val="auto"/>
                <w:szCs w:val="21"/>
                <w:highlight w:val="none"/>
              </w:rPr>
              <w:t>（16）被住房城乡建设行政主管部门在全国建筑市场监管一体化工作平台列入建筑市场主体“黑名单”；</w:t>
            </w:r>
          </w:p>
          <w:p>
            <w:pPr>
              <w:snapToGrid w:val="0"/>
              <w:spacing w:line="360" w:lineRule="auto"/>
              <w:ind w:firstLine="0" w:firstLineChars="0"/>
              <w:rPr>
                <w:rFonts w:hint="eastAsia"/>
                <w:color w:val="auto"/>
                <w:szCs w:val="21"/>
                <w:highlight w:val="none"/>
              </w:rPr>
            </w:pPr>
            <w:r>
              <w:rPr>
                <w:rFonts w:hint="eastAsia"/>
                <w:color w:val="auto"/>
                <w:szCs w:val="21"/>
                <w:highlight w:val="none"/>
              </w:rPr>
              <w:t>（17）被发改委、人力资源社会保障、质检总局等有关部门、单位在“信用中国”网站中列入联合惩戒</w:t>
            </w:r>
            <w:r>
              <w:rPr>
                <w:rFonts w:hint="eastAsia" w:eastAsia="宋体"/>
                <w:color w:val="auto"/>
                <w:szCs w:val="21"/>
                <w:highlight w:val="none"/>
                <w:lang w:eastAsia="zh-CN"/>
              </w:rPr>
              <w:t>严重失信主体名单信息</w:t>
            </w:r>
            <w:r>
              <w:rPr>
                <w:rFonts w:hint="eastAsia"/>
                <w:color w:val="auto"/>
                <w:szCs w:val="21"/>
                <w:highlight w:val="none"/>
              </w:rPr>
              <w:t>。</w:t>
            </w:r>
          </w:p>
          <w:p>
            <w:pPr>
              <w:adjustRightInd/>
              <w:snapToGrid w:val="0"/>
              <w:spacing w:beforeLines="-2147483648" w:line="360" w:lineRule="auto"/>
              <w:ind w:left="0" w:leftChars="0" w:right="0" w:rightChars="0" w:firstLine="0" w:firstLineChars="0"/>
              <w:jc w:val="left"/>
              <w:rPr>
                <w:rFonts w:ascii="宋体" w:hAnsi="宋体" w:eastAsia="宋体"/>
                <w:color w:val="auto"/>
                <w:sz w:val="21"/>
                <w:szCs w:val="21"/>
                <w:highlight w:val="none"/>
                <w:lang w:eastAsia="zh-CN"/>
              </w:rPr>
            </w:pPr>
            <w:r>
              <w:rPr>
                <w:rFonts w:hint="eastAsia"/>
                <w:color w:val="auto"/>
                <w:szCs w:val="21"/>
                <w:highlight w:val="none"/>
              </w:rPr>
              <w:t>（1</w:t>
            </w:r>
            <w:r>
              <w:rPr>
                <w:rFonts w:hint="eastAsia"/>
                <w:color w:val="auto"/>
                <w:szCs w:val="21"/>
                <w:highlight w:val="none"/>
                <w:lang w:val="en-US" w:eastAsia="zh-CN"/>
              </w:rPr>
              <w:t>8</w:t>
            </w:r>
            <w:r>
              <w:rPr>
                <w:rFonts w:hint="eastAsia"/>
                <w:color w:val="auto"/>
                <w:szCs w:val="21"/>
                <w:highlight w:val="none"/>
              </w:rPr>
              <w:t>）法律法规或投标人须知规定的其他情形。</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1.9.1</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踏勘现场</w:t>
            </w:r>
          </w:p>
        </w:tc>
        <w:tc>
          <w:tcPr>
            <w:tcW w:w="3564"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不组织</w:t>
            </w:r>
          </w:p>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补充说明如下：</w:t>
            </w:r>
          </w:p>
          <w:p>
            <w:pPr>
              <w:pStyle w:val="63"/>
              <w:adjustRightInd w:val="0"/>
              <w:spacing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ascii="宋体" w:hAnsi="宋体" w:eastAsia="宋体"/>
                <w:color w:val="auto"/>
                <w:sz w:val="21"/>
                <w:szCs w:val="21"/>
                <w:highlight w:val="none"/>
                <w:lang w:eastAsia="zh-CN"/>
              </w:rPr>
              <w:t>1</w:t>
            </w:r>
            <w:r>
              <w:rPr>
                <w:rFonts w:hint="eastAsia" w:ascii="宋体" w:hAnsi="宋体" w:eastAsia="宋体" w:cs="宋体"/>
                <w:color w:val="auto"/>
                <w:sz w:val="21"/>
                <w:szCs w:val="21"/>
                <w:highlight w:val="none"/>
                <w:lang w:eastAsia="zh-CN"/>
              </w:rPr>
              <w:t>）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场考察活动。</w:t>
            </w:r>
          </w:p>
          <w:p>
            <w:pPr>
              <w:pStyle w:val="63"/>
              <w:adjustRightInd w:val="0"/>
              <w:spacing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ascii="宋体" w:hAnsi="宋体" w:eastAsia="宋体"/>
                <w:color w:val="auto"/>
                <w:sz w:val="21"/>
                <w:szCs w:val="21"/>
                <w:highlight w:val="none"/>
                <w:lang w:eastAsia="zh-CN"/>
              </w:rPr>
              <w:t>2</w:t>
            </w:r>
            <w:r>
              <w:rPr>
                <w:rFonts w:hint="eastAsia" w:ascii="宋体" w:hAnsi="宋体" w:eastAsia="宋体" w:cs="宋体"/>
                <w:color w:val="auto"/>
                <w:sz w:val="21"/>
                <w:szCs w:val="21"/>
                <w:highlight w:val="none"/>
                <w:lang w:eastAsia="zh-CN"/>
              </w:rPr>
              <w:t>）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ascii="宋体" w:hAnsi="宋体" w:eastAsia="宋体"/>
                <w:color w:val="auto"/>
                <w:sz w:val="21"/>
                <w:szCs w:val="21"/>
                <w:highlight w:val="none"/>
                <w:lang w:eastAsia="zh-CN"/>
              </w:rPr>
              <w:t>3</w:t>
            </w:r>
            <w:r>
              <w:rPr>
                <w:rFonts w:hint="eastAsia" w:ascii="宋体" w:hAnsi="宋体" w:eastAsia="宋体" w:cs="宋体"/>
                <w:color w:val="auto"/>
                <w:sz w:val="21"/>
                <w:szCs w:val="21"/>
                <w:highlight w:val="none"/>
                <w:lang w:eastAsia="zh-CN"/>
              </w:rPr>
              <w:t>）由招标人提供的资料和数据，只是为了使投标人能够利用招标人现有的资料。招标人对投标人由此而作出的推论、解释和结论概不负责。</w:t>
            </w:r>
          </w:p>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（4）不论投标结果如何，投标人应承担其投标文件编制与递交所涉及的一切费用，发包人对上述费用不负任何责任。</w:t>
            </w:r>
          </w:p>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组织，踏勘时间：</w:t>
            </w:r>
          </w:p>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踏勘集中地点：</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1.10.1</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投标预备会</w:t>
            </w:r>
          </w:p>
        </w:tc>
        <w:tc>
          <w:tcPr>
            <w:tcW w:w="3564"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不召开</w:t>
            </w:r>
          </w:p>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召开，召开时间：</w:t>
            </w:r>
          </w:p>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rPr>
            </w:pPr>
            <w:r>
              <w:rPr>
                <w:rFonts w:ascii="宋体" w:hAnsi="宋体" w:eastAsia="宋体" w:cs="宋体"/>
                <w:color w:val="auto"/>
                <w:sz w:val="21"/>
                <w:szCs w:val="21"/>
                <w:highlight w:val="none"/>
              </w:rPr>
              <w:t>召开地点：</w:t>
            </w:r>
          </w:p>
        </w:tc>
      </w:tr>
      <w:tr>
        <w:tblPrEx>
          <w:tblCellMar>
            <w:top w:w="0" w:type="dxa"/>
            <w:left w:w="0" w:type="dxa"/>
            <w:bottom w:w="0" w:type="dxa"/>
            <w:right w:w="0" w:type="dxa"/>
          </w:tblCellMar>
        </w:tblPrEx>
        <w:trPr>
          <w:jc w:val="center"/>
        </w:trPr>
        <w:tc>
          <w:tcPr>
            <w:tcW w:w="517" w:type="pct"/>
            <w:vMerge w:val="restart"/>
            <w:tcBorders>
              <w:top w:val="single" w:color="000000" w:sz="4" w:space="0"/>
              <w:left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1.10.2</w:t>
            </w:r>
          </w:p>
        </w:tc>
        <w:tc>
          <w:tcPr>
            <w:tcW w:w="918" w:type="pct"/>
            <w:vMerge w:val="restart"/>
            <w:tcBorders>
              <w:top w:val="single" w:color="000000" w:sz="4" w:space="0"/>
              <w:left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投标人在投标预备会前提出问题</w:t>
            </w:r>
          </w:p>
        </w:tc>
        <w:tc>
          <w:tcPr>
            <w:tcW w:w="3564"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eastAsia="zh-CN"/>
              </w:rPr>
              <w:t>/。</w:t>
            </w:r>
          </w:p>
        </w:tc>
      </w:tr>
      <w:tr>
        <w:tblPrEx>
          <w:tblCellMar>
            <w:top w:w="0" w:type="dxa"/>
            <w:left w:w="0" w:type="dxa"/>
            <w:bottom w:w="0" w:type="dxa"/>
            <w:right w:w="0" w:type="dxa"/>
          </w:tblCellMar>
        </w:tblPrEx>
        <w:trPr>
          <w:jc w:val="center"/>
        </w:trPr>
        <w:tc>
          <w:tcPr>
            <w:tcW w:w="517" w:type="pct"/>
            <w:vMerge w:val="continue"/>
            <w:tcBorders>
              <w:left w:val="single" w:color="000000" w:sz="4" w:space="0"/>
              <w:bottom w:val="single" w:color="000000" w:sz="4" w:space="0"/>
              <w:right w:val="single" w:color="000000" w:sz="4" w:space="0"/>
            </w:tcBorders>
            <w:vAlign w:val="center"/>
          </w:tcPr>
          <w:p>
            <w:pPr>
              <w:adjustRightInd w:val="0"/>
              <w:spacing w:beforeLines="50" w:line="360" w:lineRule="auto"/>
              <w:jc w:val="center"/>
              <w:rPr>
                <w:rFonts w:ascii="宋体" w:hAnsi="宋体" w:eastAsia="宋体"/>
                <w:color w:val="auto"/>
                <w:sz w:val="21"/>
                <w:szCs w:val="21"/>
                <w:highlight w:val="none"/>
              </w:rPr>
            </w:pPr>
          </w:p>
        </w:tc>
        <w:tc>
          <w:tcPr>
            <w:tcW w:w="918" w:type="pct"/>
            <w:vMerge w:val="continue"/>
            <w:tcBorders>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jc w:val="center"/>
              <w:rPr>
                <w:rFonts w:ascii="宋体" w:hAnsi="宋体" w:eastAsia="宋体"/>
                <w:color w:val="auto"/>
                <w:sz w:val="21"/>
                <w:szCs w:val="21"/>
                <w:highlight w:val="none"/>
              </w:rPr>
            </w:pPr>
          </w:p>
        </w:tc>
        <w:tc>
          <w:tcPr>
            <w:tcW w:w="3564"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rPr>
              <w:t>形式：</w:t>
            </w:r>
            <w:r>
              <w:rPr>
                <w:rFonts w:hint="eastAsia" w:ascii="宋体" w:hAnsi="宋体" w:eastAsia="宋体" w:cs="宋体"/>
                <w:color w:val="auto"/>
                <w:sz w:val="21"/>
                <w:szCs w:val="21"/>
                <w:highlight w:val="none"/>
                <w:lang w:eastAsia="zh-CN"/>
              </w:rPr>
              <w:t>/。</w:t>
            </w:r>
          </w:p>
        </w:tc>
      </w:tr>
      <w:tr>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1.10.3</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招标文件澄清发出的形式</w:t>
            </w:r>
          </w:p>
        </w:tc>
        <w:tc>
          <w:tcPr>
            <w:tcW w:w="3564"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1.11.1</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分包</w:t>
            </w:r>
          </w:p>
        </w:tc>
        <w:tc>
          <w:tcPr>
            <w:tcW w:w="3564"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ascii="宋体" w:hAnsi="宋体" w:eastAsia="宋体"/>
                <w:color w:val="auto"/>
                <w:sz w:val="21"/>
                <w:szCs w:val="21"/>
                <w:highlight w:val="none"/>
                <w:lang w:eastAsia="zh-CN"/>
              </w:rPr>
              <w:t>□</w:t>
            </w:r>
            <w:r>
              <w:rPr>
                <w:rFonts w:hint="eastAsia" w:ascii="宋体" w:hAnsi="宋体" w:eastAsia="宋体"/>
                <w:color w:val="auto"/>
                <w:sz w:val="21"/>
                <w:szCs w:val="21"/>
                <w:highlight w:val="none"/>
                <w:lang w:eastAsia="zh-CN"/>
              </w:rPr>
              <w:t>不允许</w:t>
            </w:r>
          </w:p>
          <w:p>
            <w:pPr>
              <w:autoSpaceDE w:val="0"/>
              <w:autoSpaceDN w:val="0"/>
              <w:adjustRightInd w:val="0"/>
              <w:spacing w:beforeLines="50" w:line="360" w:lineRule="auto"/>
              <w:ind w:left="110" w:leftChars="50" w:right="110" w:rightChars="50"/>
              <w:rPr>
                <w:rFonts w:hint="default" w:ascii="宋体" w:hAnsi="宋体" w:eastAsia="宋体"/>
                <w:color w:val="auto"/>
                <w:spacing w:val="-2"/>
                <w:sz w:val="21"/>
                <w:szCs w:val="21"/>
                <w:highlight w:val="none"/>
                <w:u w:val="single"/>
                <w:lang w:val="en-US" w:eastAsia="zh-CN"/>
              </w:rPr>
            </w:pPr>
            <w:r>
              <w:rPr>
                <w:rFonts w:hint="eastAsia" w:ascii="宋体" w:hAnsi="宋体" w:eastAsia="宋体" w:cs="Arial"/>
                <w:color w:val="auto"/>
                <w:sz w:val="21"/>
                <w:szCs w:val="21"/>
                <w:highlight w:val="none"/>
                <w:lang w:eastAsia="zh-CN"/>
              </w:rPr>
              <w:t>■</w:t>
            </w:r>
            <w:r>
              <w:rPr>
                <w:rFonts w:hint="eastAsia" w:ascii="宋体" w:hAnsi="宋体" w:eastAsia="宋体"/>
                <w:color w:val="auto"/>
                <w:sz w:val="21"/>
                <w:szCs w:val="21"/>
                <w:highlight w:val="none"/>
                <w:lang w:eastAsia="zh-CN"/>
              </w:rPr>
              <w:t>允许，</w:t>
            </w:r>
            <w:r>
              <w:rPr>
                <w:rFonts w:hint="eastAsia" w:ascii="宋体" w:hAnsi="宋体" w:eastAsia="宋体"/>
                <w:color w:val="auto"/>
                <w:spacing w:val="-2"/>
                <w:sz w:val="21"/>
                <w:szCs w:val="21"/>
                <w:highlight w:val="none"/>
                <w:lang w:eastAsia="zh-CN"/>
              </w:rPr>
              <w:t>分</w:t>
            </w:r>
            <w:r>
              <w:rPr>
                <w:rFonts w:hint="eastAsia" w:ascii="宋体" w:hAnsi="宋体" w:eastAsia="宋体"/>
                <w:color w:val="auto"/>
                <w:sz w:val="21"/>
                <w:szCs w:val="21"/>
                <w:highlight w:val="none"/>
                <w:lang w:eastAsia="zh-CN"/>
              </w:rPr>
              <w:t>包</w:t>
            </w:r>
            <w:r>
              <w:rPr>
                <w:rFonts w:hint="eastAsia" w:ascii="宋体" w:hAnsi="宋体" w:eastAsia="宋体"/>
                <w:color w:val="auto"/>
                <w:spacing w:val="-2"/>
                <w:sz w:val="21"/>
                <w:szCs w:val="21"/>
                <w:highlight w:val="none"/>
                <w:lang w:eastAsia="zh-CN"/>
              </w:rPr>
              <w:t>内</w:t>
            </w:r>
            <w:r>
              <w:rPr>
                <w:rFonts w:hint="eastAsia" w:ascii="宋体" w:hAnsi="宋体" w:eastAsia="宋体"/>
                <w:color w:val="auto"/>
                <w:sz w:val="21"/>
                <w:szCs w:val="21"/>
                <w:highlight w:val="none"/>
                <w:lang w:eastAsia="zh-CN"/>
              </w:rPr>
              <w:t>容</w:t>
            </w:r>
            <w:r>
              <w:rPr>
                <w:rFonts w:hint="eastAsia" w:ascii="宋体" w:hAnsi="宋体" w:eastAsia="宋体"/>
                <w:color w:val="auto"/>
                <w:spacing w:val="-2"/>
                <w:sz w:val="21"/>
                <w:szCs w:val="21"/>
                <w:highlight w:val="none"/>
                <w:lang w:eastAsia="zh-CN"/>
              </w:rPr>
              <w:t>要</w:t>
            </w:r>
            <w:r>
              <w:rPr>
                <w:rFonts w:hint="eastAsia" w:ascii="宋体" w:hAnsi="宋体" w:eastAsia="宋体"/>
                <w:color w:val="auto"/>
                <w:sz w:val="21"/>
                <w:szCs w:val="21"/>
                <w:highlight w:val="none"/>
                <w:lang w:eastAsia="zh-CN"/>
              </w:rPr>
              <w:t>求：</w:t>
            </w:r>
            <w:r>
              <w:rPr>
                <w:rFonts w:hint="eastAsia" w:ascii="宋体" w:hAnsi="宋体" w:eastAsia="宋体"/>
                <w:color w:val="auto"/>
                <w:spacing w:val="-2"/>
                <w:sz w:val="21"/>
                <w:szCs w:val="21"/>
                <w:highlight w:val="none"/>
                <w:u w:val="single"/>
                <w:lang w:val="en-US" w:eastAsia="zh-CN"/>
              </w:rPr>
              <w:t>详见第五章 勘察、设计任务书</w:t>
            </w:r>
          </w:p>
          <w:p>
            <w:pPr>
              <w:autoSpaceDE w:val="0"/>
              <w:autoSpaceDN w:val="0"/>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分包</w:t>
            </w:r>
            <w:r>
              <w:rPr>
                <w:rFonts w:hint="eastAsia" w:ascii="宋体" w:hAnsi="宋体" w:eastAsia="宋体"/>
                <w:color w:val="auto"/>
                <w:spacing w:val="-2"/>
                <w:sz w:val="21"/>
                <w:szCs w:val="21"/>
                <w:highlight w:val="none"/>
                <w:lang w:eastAsia="zh-CN"/>
              </w:rPr>
              <w:t>金</w:t>
            </w:r>
            <w:r>
              <w:rPr>
                <w:rFonts w:hint="eastAsia" w:ascii="宋体" w:hAnsi="宋体" w:eastAsia="宋体"/>
                <w:color w:val="auto"/>
                <w:sz w:val="21"/>
                <w:szCs w:val="21"/>
                <w:highlight w:val="none"/>
                <w:lang w:eastAsia="zh-CN"/>
              </w:rPr>
              <w:t>额</w:t>
            </w:r>
            <w:r>
              <w:rPr>
                <w:rFonts w:hint="eastAsia" w:ascii="宋体" w:hAnsi="宋体" w:eastAsia="宋体"/>
                <w:color w:val="auto"/>
                <w:spacing w:val="-2"/>
                <w:sz w:val="21"/>
                <w:szCs w:val="21"/>
                <w:highlight w:val="none"/>
                <w:lang w:eastAsia="zh-CN"/>
              </w:rPr>
              <w:t>要</w:t>
            </w:r>
            <w:r>
              <w:rPr>
                <w:rFonts w:hint="eastAsia" w:ascii="宋体" w:hAnsi="宋体" w:eastAsia="宋体"/>
                <w:color w:val="auto"/>
                <w:sz w:val="21"/>
                <w:szCs w:val="21"/>
                <w:highlight w:val="none"/>
                <w:lang w:eastAsia="zh-CN"/>
              </w:rPr>
              <w:t>求：/</w:t>
            </w:r>
          </w:p>
          <w:p>
            <w:pPr>
              <w:pStyle w:val="63"/>
              <w:adjustRightInd w:val="0"/>
              <w:spacing w:beforeLines="50" w:line="360" w:lineRule="auto"/>
              <w:ind w:left="110" w:leftChars="50" w:right="110" w:rightChars="50"/>
              <w:jc w:val="both"/>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对分</w:t>
            </w:r>
            <w:r>
              <w:rPr>
                <w:rFonts w:hint="eastAsia" w:ascii="宋体" w:hAnsi="宋体" w:eastAsia="宋体"/>
                <w:color w:val="auto"/>
                <w:spacing w:val="-2"/>
                <w:sz w:val="21"/>
                <w:szCs w:val="21"/>
                <w:highlight w:val="none"/>
                <w:lang w:eastAsia="zh-CN"/>
              </w:rPr>
              <w:t>包</w:t>
            </w:r>
            <w:r>
              <w:rPr>
                <w:rFonts w:hint="eastAsia" w:ascii="宋体" w:hAnsi="宋体" w:eastAsia="宋体"/>
                <w:color w:val="auto"/>
                <w:sz w:val="21"/>
                <w:szCs w:val="21"/>
                <w:highlight w:val="none"/>
                <w:lang w:eastAsia="zh-CN"/>
              </w:rPr>
              <w:t>人</w:t>
            </w:r>
            <w:r>
              <w:rPr>
                <w:rFonts w:hint="eastAsia" w:ascii="宋体" w:hAnsi="宋体" w:eastAsia="宋体"/>
                <w:color w:val="auto"/>
                <w:spacing w:val="-2"/>
                <w:sz w:val="21"/>
                <w:szCs w:val="21"/>
                <w:highlight w:val="none"/>
                <w:lang w:eastAsia="zh-CN"/>
              </w:rPr>
              <w:t>的</w:t>
            </w:r>
            <w:r>
              <w:rPr>
                <w:rFonts w:hint="eastAsia" w:ascii="宋体" w:hAnsi="宋体" w:eastAsia="宋体"/>
                <w:color w:val="auto"/>
                <w:sz w:val="21"/>
                <w:szCs w:val="21"/>
                <w:highlight w:val="none"/>
                <w:lang w:eastAsia="zh-CN"/>
              </w:rPr>
              <w:t>资</w:t>
            </w:r>
            <w:r>
              <w:rPr>
                <w:rFonts w:hint="eastAsia" w:ascii="宋体" w:hAnsi="宋体" w:eastAsia="宋体"/>
                <w:color w:val="auto"/>
                <w:spacing w:val="-2"/>
                <w:sz w:val="21"/>
                <w:szCs w:val="21"/>
                <w:highlight w:val="none"/>
                <w:lang w:eastAsia="zh-CN"/>
              </w:rPr>
              <w:t>质</w:t>
            </w:r>
            <w:r>
              <w:rPr>
                <w:rFonts w:hint="eastAsia" w:ascii="宋体" w:hAnsi="宋体" w:eastAsia="宋体"/>
                <w:color w:val="auto"/>
                <w:sz w:val="21"/>
                <w:szCs w:val="21"/>
                <w:highlight w:val="none"/>
                <w:lang w:eastAsia="zh-CN"/>
              </w:rPr>
              <w:t>要</w:t>
            </w:r>
            <w:r>
              <w:rPr>
                <w:rFonts w:hint="eastAsia" w:ascii="宋体" w:hAnsi="宋体" w:eastAsia="宋体"/>
                <w:color w:val="auto"/>
                <w:spacing w:val="-2"/>
                <w:sz w:val="21"/>
                <w:szCs w:val="21"/>
                <w:highlight w:val="none"/>
                <w:lang w:eastAsia="zh-CN"/>
              </w:rPr>
              <w:t>求</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u w:val="single"/>
                <w:lang w:eastAsia="zh-CN"/>
              </w:rPr>
              <w:t>/</w:t>
            </w:r>
            <w:r>
              <w:rPr>
                <w:rFonts w:hint="eastAsia" w:ascii="宋体" w:hAnsi="宋体" w:eastAsia="宋体"/>
                <w:color w:val="auto"/>
                <w:sz w:val="21"/>
                <w:szCs w:val="21"/>
                <w:highlight w:val="none"/>
                <w:lang w:eastAsia="zh-CN"/>
              </w:rPr>
              <w:t>。</w:t>
            </w:r>
          </w:p>
          <w:p>
            <w:pPr>
              <w:pStyle w:val="63"/>
              <w:adjustRightInd w:val="0"/>
              <w:spacing w:beforeLines="50" w:line="360" w:lineRule="auto"/>
              <w:ind w:left="110" w:leftChars="50" w:right="110" w:rightChars="50"/>
              <w:jc w:val="both"/>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具体操作按《广州市水务投资集团有限公司基本建设项目发包与承包方分包管理工作办法(试行)》执行。</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1.12.1</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实质性要求和条件</w:t>
            </w:r>
          </w:p>
        </w:tc>
        <w:tc>
          <w:tcPr>
            <w:tcW w:w="3564"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jc w:val="both"/>
              <w:rPr>
                <w:rFonts w:ascii="宋体" w:hAnsi="宋体" w:eastAsia="宋体"/>
                <w:color w:val="auto"/>
                <w:sz w:val="21"/>
                <w:szCs w:val="21"/>
                <w:highlight w:val="none"/>
              </w:rPr>
            </w:pPr>
            <w:r>
              <w:rPr>
                <w:rFonts w:hint="eastAsia" w:ascii="宋体" w:hAnsi="宋体" w:eastAsia="宋体"/>
                <w:color w:val="auto"/>
                <w:sz w:val="21"/>
                <w:szCs w:val="21"/>
                <w:highlight w:val="none"/>
                <w:lang w:eastAsia="zh-CN"/>
              </w:rPr>
              <w:t>/。</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1.12.3</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偏差</w:t>
            </w:r>
          </w:p>
        </w:tc>
        <w:tc>
          <w:tcPr>
            <w:tcW w:w="3564"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s="Arial"/>
                <w:color w:val="auto"/>
                <w:sz w:val="21"/>
                <w:szCs w:val="21"/>
                <w:highlight w:val="none"/>
                <w:lang w:eastAsia="zh-CN"/>
              </w:rPr>
              <w:t>■</w:t>
            </w:r>
            <w:r>
              <w:rPr>
                <w:rFonts w:hint="eastAsia" w:ascii="宋体" w:hAnsi="宋体" w:eastAsia="宋体"/>
                <w:color w:val="auto"/>
                <w:sz w:val="21"/>
                <w:szCs w:val="21"/>
                <w:highlight w:val="none"/>
                <w:lang w:eastAsia="zh-CN"/>
              </w:rPr>
              <w:t>不允许</w:t>
            </w:r>
          </w:p>
          <w:p>
            <w:pPr>
              <w:autoSpaceDE w:val="0"/>
              <w:autoSpaceDN w:val="0"/>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ascii="宋体" w:hAnsi="宋体" w:eastAsia="宋体"/>
                <w:color w:val="auto"/>
                <w:sz w:val="21"/>
                <w:szCs w:val="21"/>
                <w:highlight w:val="none"/>
                <w:lang w:eastAsia="zh-CN"/>
              </w:rPr>
              <w:t>□</w:t>
            </w:r>
            <w:r>
              <w:rPr>
                <w:rFonts w:hint="eastAsia" w:ascii="宋体" w:hAnsi="宋体" w:eastAsia="宋体"/>
                <w:color w:val="auto"/>
                <w:sz w:val="21"/>
                <w:szCs w:val="21"/>
                <w:highlight w:val="none"/>
                <w:lang w:eastAsia="zh-CN"/>
              </w:rPr>
              <w:t>允许，偏差范围：</w:t>
            </w:r>
          </w:p>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olor w:val="auto"/>
                <w:sz w:val="21"/>
                <w:szCs w:val="21"/>
                <w:highlight w:val="none"/>
              </w:rPr>
              <w:t>偏差幅度：</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2.1</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构成招标文件的其他资料</w:t>
            </w:r>
          </w:p>
        </w:tc>
        <w:tc>
          <w:tcPr>
            <w:tcW w:w="3564"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p>
        </w:tc>
      </w:tr>
      <w:tr>
        <w:tblPrEx>
          <w:tblCellMar>
            <w:top w:w="0" w:type="dxa"/>
            <w:left w:w="0" w:type="dxa"/>
            <w:bottom w:w="0" w:type="dxa"/>
            <w:right w:w="0" w:type="dxa"/>
          </w:tblCellMar>
        </w:tblPrEx>
        <w:trPr>
          <w:trHeight w:val="1644" w:hRule="atLeast"/>
          <w:jc w:val="center"/>
        </w:trPr>
        <w:tc>
          <w:tcPr>
            <w:tcW w:w="517" w:type="pct"/>
            <w:tcBorders>
              <w:top w:val="single" w:color="000000" w:sz="4" w:space="0"/>
              <w:left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2.2.1</w:t>
            </w:r>
          </w:p>
        </w:tc>
        <w:tc>
          <w:tcPr>
            <w:tcW w:w="918" w:type="pct"/>
            <w:tcBorders>
              <w:top w:val="single" w:color="000000" w:sz="4" w:space="0"/>
              <w:left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投标人要求澄清招标文件</w:t>
            </w:r>
          </w:p>
        </w:tc>
        <w:tc>
          <w:tcPr>
            <w:tcW w:w="3564" w:type="pct"/>
            <w:tcBorders>
              <w:top w:val="single" w:color="000000" w:sz="4" w:space="0"/>
              <w:left w:val="single" w:color="000000" w:sz="4" w:space="0"/>
              <w:right w:val="single" w:color="000000" w:sz="4" w:space="0"/>
            </w:tcBorders>
            <w:vAlign w:val="center"/>
          </w:tcPr>
          <w:p>
            <w:pPr>
              <w:adjustRightInd w:val="0"/>
              <w:spacing w:beforeLines="50" w:line="360" w:lineRule="auto"/>
              <w:ind w:left="110" w:leftChars="50" w:right="110" w:rightChars="50"/>
              <w:rPr>
                <w:rFonts w:ascii="宋体" w:hAnsi="宋体" w:eastAsia="宋体"/>
                <w:color w:val="auto"/>
                <w:sz w:val="21"/>
                <w:szCs w:val="21"/>
                <w:highlight w:val="none"/>
                <w:u w:val="single"/>
                <w:lang w:eastAsia="zh-CN"/>
              </w:rPr>
            </w:pPr>
            <w:r>
              <w:rPr>
                <w:rFonts w:hint="eastAsia" w:ascii="宋体" w:hAnsi="宋体" w:eastAsia="宋体"/>
                <w:color w:val="auto"/>
                <w:sz w:val="21"/>
                <w:szCs w:val="21"/>
                <w:highlight w:val="none"/>
                <w:u w:val="single"/>
                <w:lang w:eastAsia="zh-CN"/>
              </w:rPr>
              <w:t>时间：在提交投标文件截止时间</w:t>
            </w:r>
            <w:r>
              <w:rPr>
                <w:rFonts w:ascii="宋体" w:hAnsi="宋体" w:eastAsia="宋体"/>
                <w:color w:val="auto"/>
                <w:sz w:val="21"/>
                <w:szCs w:val="21"/>
                <w:highlight w:val="none"/>
                <w:u w:val="single"/>
                <w:lang w:eastAsia="zh-CN"/>
              </w:rPr>
              <w:t>18</w:t>
            </w:r>
            <w:r>
              <w:rPr>
                <w:rFonts w:hint="eastAsia" w:ascii="宋体" w:hAnsi="宋体" w:eastAsia="宋体"/>
                <w:color w:val="auto"/>
                <w:sz w:val="21"/>
                <w:szCs w:val="21"/>
                <w:highlight w:val="none"/>
                <w:u w:val="single"/>
                <w:lang w:eastAsia="zh-CN"/>
              </w:rPr>
              <w:t>天前提出。</w:t>
            </w:r>
          </w:p>
          <w:p>
            <w:pPr>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u w:val="single"/>
                <w:lang w:eastAsia="zh-CN"/>
              </w:rPr>
              <w:t>形式：投标人的疑问通过广州公共资源交易中心数字交易平台提交。按照广州公共资源交易中心数字交易平台关于相关指南进行操作，详见：《【通用版】新电子招投标系统通用版操作指引（适用于建设工程不使用范本的各类电子标项目操作指引）》（http://www.gzggzy.cn/fwznxtbzczsc/868038.jhtml）。提问一律不得署名。</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2.2.2</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招标文件澄清发出的形式</w:t>
            </w:r>
          </w:p>
        </w:tc>
        <w:tc>
          <w:tcPr>
            <w:tcW w:w="3564"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jc w:val="both"/>
              <w:rPr>
                <w:rFonts w:ascii="宋体" w:hAnsi="宋体" w:eastAsia="宋体"/>
                <w:color w:val="auto"/>
                <w:sz w:val="21"/>
                <w:szCs w:val="21"/>
                <w:highlight w:val="none"/>
                <w:u w:val="single"/>
                <w:lang w:eastAsia="zh-CN"/>
              </w:rPr>
            </w:pPr>
            <w:r>
              <w:rPr>
                <w:rFonts w:hint="eastAsia" w:ascii="宋体" w:hAnsi="宋体" w:eastAsia="宋体"/>
                <w:color w:val="auto"/>
                <w:sz w:val="21"/>
                <w:szCs w:val="21"/>
                <w:highlight w:val="none"/>
                <w:lang w:eastAsia="zh-CN"/>
              </w:rPr>
              <w:t>招标人应在递交投标文件截止时间</w:t>
            </w:r>
            <w:r>
              <w:rPr>
                <w:rFonts w:ascii="宋体" w:hAnsi="宋体" w:eastAsia="宋体"/>
                <w:color w:val="auto"/>
                <w:sz w:val="21"/>
                <w:szCs w:val="21"/>
                <w:highlight w:val="none"/>
                <w:lang w:eastAsia="zh-CN"/>
              </w:rPr>
              <w:t>15</w:t>
            </w:r>
            <w:r>
              <w:rPr>
                <w:rFonts w:hint="eastAsia" w:ascii="宋体" w:hAnsi="宋体" w:eastAsia="宋体"/>
                <w:color w:val="auto"/>
                <w:sz w:val="21"/>
                <w:szCs w:val="21"/>
                <w:highlight w:val="none"/>
                <w:lang w:eastAsia="zh-CN"/>
              </w:rPr>
              <w:t>日前将招标文件澄清文件在广州公共资源交易中心网站“招标答疑”专区发布。不足</w:t>
            </w:r>
            <w:r>
              <w:rPr>
                <w:rFonts w:ascii="宋体" w:hAnsi="宋体" w:eastAsia="宋体"/>
                <w:color w:val="auto"/>
                <w:sz w:val="21"/>
                <w:szCs w:val="21"/>
                <w:highlight w:val="none"/>
                <w:lang w:eastAsia="zh-CN"/>
              </w:rPr>
              <w:t>15</w:t>
            </w:r>
            <w:r>
              <w:rPr>
                <w:rFonts w:hint="eastAsia" w:ascii="宋体" w:hAnsi="宋体" w:eastAsia="宋体"/>
                <w:color w:val="auto"/>
                <w:sz w:val="21"/>
                <w:szCs w:val="21"/>
                <w:highlight w:val="none"/>
                <w:lang w:eastAsia="zh-CN"/>
              </w:rPr>
              <w:t>日的，招标人应当顺延投标文件的截止时间。</w:t>
            </w:r>
          </w:p>
        </w:tc>
      </w:tr>
      <w:tr>
        <w:tblPrEx>
          <w:tblCellMar>
            <w:top w:w="0" w:type="dxa"/>
            <w:left w:w="0" w:type="dxa"/>
            <w:bottom w:w="0" w:type="dxa"/>
            <w:right w:w="0" w:type="dxa"/>
          </w:tblCellMar>
        </w:tblPrEx>
        <w:trPr>
          <w:trHeight w:val="1996" w:hRule="atLeast"/>
          <w:jc w:val="center"/>
        </w:trPr>
        <w:tc>
          <w:tcPr>
            <w:tcW w:w="517" w:type="pct"/>
            <w:tcBorders>
              <w:top w:val="single" w:color="000000" w:sz="4" w:space="0"/>
              <w:left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2.2.3</w:t>
            </w:r>
          </w:p>
        </w:tc>
        <w:tc>
          <w:tcPr>
            <w:tcW w:w="918" w:type="pct"/>
            <w:tcBorders>
              <w:top w:val="single" w:color="000000" w:sz="4" w:space="0"/>
              <w:left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投标人确认收到招标文件澄清</w:t>
            </w:r>
          </w:p>
        </w:tc>
        <w:tc>
          <w:tcPr>
            <w:tcW w:w="3564" w:type="pct"/>
            <w:tcBorders>
              <w:top w:val="single" w:color="000000" w:sz="4" w:space="0"/>
              <w:left w:val="single" w:color="000000" w:sz="4" w:space="0"/>
              <w:right w:val="single" w:color="000000" w:sz="4" w:space="0"/>
            </w:tcBorders>
            <w:vAlign w:val="center"/>
          </w:tcPr>
          <w:p>
            <w:pPr>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u w:val="single"/>
                <w:lang w:eastAsia="zh-CN"/>
              </w:rPr>
              <w:t>招标文件的澄清或修改在广州公共资源交易中心网站答疑专区网上公开发布，发出即视作收到，以广州公共资源交易中心数字交易平台网站发布时间作为送达时间。无需投标人确认。投标人应自行关注，招标人不再一一通知。招标文件的澄清或修改内容作为招标文件的组成部分，具有约束作用。</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auto"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2.3.1</w:t>
            </w:r>
          </w:p>
        </w:tc>
        <w:tc>
          <w:tcPr>
            <w:tcW w:w="918" w:type="pct"/>
            <w:tcBorders>
              <w:top w:val="single" w:color="000000" w:sz="4" w:space="0"/>
              <w:left w:val="single" w:color="000000" w:sz="4" w:space="0"/>
              <w:bottom w:val="single" w:color="auto"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招标文件修改发出的形式</w:t>
            </w:r>
          </w:p>
        </w:tc>
        <w:tc>
          <w:tcPr>
            <w:tcW w:w="3564"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以补充公告或项目答疑澄清的方式在广州公共资源交易中心网站发布。</w:t>
            </w:r>
          </w:p>
        </w:tc>
      </w:tr>
      <w:tr>
        <w:tblPrEx>
          <w:tblCellMar>
            <w:top w:w="0" w:type="dxa"/>
            <w:left w:w="0" w:type="dxa"/>
            <w:bottom w:w="0" w:type="dxa"/>
            <w:right w:w="0" w:type="dxa"/>
          </w:tblCellMar>
        </w:tblPrEx>
        <w:trPr>
          <w:trHeight w:val="1669" w:hRule="atLeast"/>
          <w:jc w:val="center"/>
        </w:trPr>
        <w:tc>
          <w:tcPr>
            <w:tcW w:w="517" w:type="pct"/>
            <w:tcBorders>
              <w:top w:val="single" w:color="auto" w:sz="4" w:space="0"/>
              <w:left w:val="single" w:color="auto" w:sz="4" w:space="0"/>
              <w:bottom w:val="single" w:color="auto" w:sz="4" w:space="0"/>
              <w:right w:val="single" w:color="auto"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2.3.2</w:t>
            </w:r>
          </w:p>
        </w:tc>
        <w:tc>
          <w:tcPr>
            <w:tcW w:w="918" w:type="pct"/>
            <w:tcBorders>
              <w:top w:val="single" w:color="auto" w:sz="4" w:space="0"/>
              <w:left w:val="single" w:color="auto" w:sz="4" w:space="0"/>
              <w:bottom w:val="single" w:color="auto" w:sz="4" w:space="0"/>
              <w:right w:val="single" w:color="auto"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投标人确认收到招标文件修改</w:t>
            </w:r>
          </w:p>
        </w:tc>
        <w:tc>
          <w:tcPr>
            <w:tcW w:w="3564" w:type="pct"/>
            <w:tcBorders>
              <w:top w:val="single" w:color="000000" w:sz="4" w:space="0"/>
              <w:left w:val="single" w:color="auto" w:sz="4" w:space="0"/>
              <w:right w:val="single" w:color="000000" w:sz="4" w:space="0"/>
            </w:tcBorders>
            <w:vAlign w:val="center"/>
          </w:tcPr>
          <w:p>
            <w:pPr>
              <w:adjustRightInd w:val="0"/>
              <w:spacing w:beforeLines="50" w:line="360" w:lineRule="auto"/>
              <w:ind w:left="110" w:leftChars="50" w:right="110" w:rightChars="5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文件的澄清或修改在广州公共资源交易中心网站答疑专区网上公开发布，发出即视作收到，以广州公共资源交易中心数字交易平台网站发布时间作为送达时间。无需投标人确认。投标人应自行关注，招标人不再一一通知。招标文件的澄清或修改内容作为招标文件的组成部分，具有约束作用。</w:t>
            </w:r>
          </w:p>
        </w:tc>
      </w:tr>
      <w:tr>
        <w:tblPrEx>
          <w:tblCellMar>
            <w:top w:w="0" w:type="dxa"/>
            <w:left w:w="0" w:type="dxa"/>
            <w:bottom w:w="0" w:type="dxa"/>
            <w:right w:w="0" w:type="dxa"/>
          </w:tblCellMar>
        </w:tblPrEx>
        <w:trPr>
          <w:jc w:val="center"/>
        </w:trPr>
        <w:tc>
          <w:tcPr>
            <w:tcW w:w="517" w:type="pct"/>
            <w:tcBorders>
              <w:top w:val="single" w:color="auto" w:sz="4" w:space="0"/>
              <w:left w:val="single" w:color="auto" w:sz="4" w:space="0"/>
              <w:bottom w:val="single" w:color="auto" w:sz="4" w:space="0"/>
              <w:right w:val="single" w:color="auto"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3.1.1</w:t>
            </w:r>
          </w:p>
        </w:tc>
        <w:tc>
          <w:tcPr>
            <w:tcW w:w="918" w:type="pct"/>
            <w:tcBorders>
              <w:top w:val="single" w:color="auto" w:sz="4" w:space="0"/>
              <w:left w:val="single" w:color="auto" w:sz="4" w:space="0"/>
              <w:bottom w:val="single" w:color="auto" w:sz="4" w:space="0"/>
              <w:right w:val="single" w:color="auto" w:sz="4" w:space="0"/>
            </w:tcBorders>
            <w:vAlign w:val="center"/>
          </w:tcPr>
          <w:p>
            <w:pPr>
              <w:adjustRightInd w:val="0"/>
              <w:spacing w:beforeLines="50" w:line="360" w:lineRule="auto"/>
              <w:ind w:left="110" w:leftChars="50" w:right="110" w:rightChars="50"/>
              <w:jc w:val="center"/>
              <w:rPr>
                <w:rFonts w:ascii="宋体" w:hAnsi="宋体" w:eastAsia="宋体"/>
                <w:color w:val="auto"/>
                <w:sz w:val="21"/>
                <w:szCs w:val="21"/>
                <w:highlight w:val="none"/>
                <w:lang w:eastAsia="zh-CN"/>
              </w:rPr>
            </w:pPr>
            <w:r>
              <w:rPr>
                <w:rFonts w:ascii="宋体" w:hAnsi="宋体" w:eastAsia="宋体" w:cs="宋体"/>
                <w:color w:val="auto"/>
                <w:sz w:val="21"/>
                <w:szCs w:val="21"/>
                <w:highlight w:val="none"/>
                <w:lang w:eastAsia="zh-CN"/>
              </w:rPr>
              <w:t>构成投标文件的其他资料</w:t>
            </w:r>
          </w:p>
        </w:tc>
        <w:tc>
          <w:tcPr>
            <w:tcW w:w="3564" w:type="pct"/>
            <w:tcBorders>
              <w:top w:val="single" w:color="000000" w:sz="4" w:space="0"/>
              <w:left w:val="single" w:color="auto" w:sz="4" w:space="0"/>
              <w:bottom w:val="single" w:color="000000" w:sz="4" w:space="0"/>
              <w:right w:val="single" w:color="000000" w:sz="4" w:space="0"/>
            </w:tcBorders>
            <w:vAlign w:val="center"/>
          </w:tcPr>
          <w:p>
            <w:pPr>
              <w:adjustRightInd w:val="0"/>
              <w:spacing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1</w:t>
            </w:r>
            <w:r>
              <w:rPr>
                <w:rFonts w:hint="eastAsia" w:ascii="宋体" w:hAnsi="宋体" w:eastAsia="宋体"/>
                <w:color w:val="auto"/>
                <w:sz w:val="21"/>
                <w:szCs w:val="21"/>
                <w:highlight w:val="none"/>
                <w:lang w:eastAsia="zh-CN"/>
              </w:rPr>
              <w:t>）按本招标文件规定需提交的其它所有资料；</w:t>
            </w:r>
          </w:p>
          <w:p>
            <w:pPr>
              <w:adjustRightInd w:val="0"/>
              <w:spacing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2</w:t>
            </w:r>
            <w:r>
              <w:rPr>
                <w:rFonts w:hint="eastAsia" w:ascii="宋体" w:hAnsi="宋体" w:eastAsia="宋体"/>
                <w:color w:val="auto"/>
                <w:sz w:val="21"/>
                <w:szCs w:val="21"/>
                <w:highlight w:val="none"/>
                <w:lang w:eastAsia="zh-CN"/>
              </w:rPr>
              <w:t>）投标人认为需要提交的其他资料。</w:t>
            </w:r>
          </w:p>
          <w:p>
            <w:pPr>
              <w:adjustRightInd w:val="0"/>
              <w:spacing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注：①投标人提交的投标文件必须按照招标文件所提供的投标文件格式的要求如实填写（表格可以按同样格式扩展、缩小，内容项目不能变化）。</w:t>
            </w:r>
          </w:p>
          <w:p>
            <w:pPr>
              <w:adjustRightInd w:val="0"/>
              <w:spacing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②投标文件应做到清晰、完整，文本、图纸文件大小应满足交易平台的要求。除非另有规定，否则投标文件的计量单位宜采用国际标准计量单位，尺寸齐全、准确，所有文字说明和文字标注以中文为准，报价均为人民币，时间均为北京时间。</w:t>
            </w:r>
          </w:p>
          <w:p>
            <w:pPr>
              <w:adjustRightInd w:val="0"/>
              <w:spacing w:beforeLines="50" w:line="360" w:lineRule="auto"/>
              <w:ind w:left="110" w:leftChars="50" w:right="110" w:rightChars="50"/>
              <w:rPr>
                <w:rFonts w:ascii="宋体" w:hAnsi="宋体" w:eastAsia="宋体" w:cs="宋体"/>
                <w:b/>
                <w:color w:val="auto"/>
                <w:sz w:val="21"/>
                <w:szCs w:val="21"/>
                <w:highlight w:val="none"/>
                <w:lang w:eastAsia="zh-CN"/>
              </w:rPr>
            </w:pPr>
            <w:r>
              <w:rPr>
                <w:rFonts w:hint="eastAsia" w:ascii="宋体" w:hAnsi="宋体" w:eastAsia="宋体"/>
                <w:color w:val="auto"/>
                <w:sz w:val="21"/>
                <w:szCs w:val="21"/>
                <w:highlight w:val="none"/>
                <w:lang w:eastAsia="zh-CN"/>
              </w:rPr>
              <w:t>③每个投标人报送一个投标方案，投标文件应达到招标文件规定的深度，满足评审需要。不响应招标文件要求的投标文件可能被拒绝，责任由投标人自负。</w:t>
            </w:r>
          </w:p>
        </w:tc>
      </w:tr>
      <w:tr>
        <w:tblPrEx>
          <w:tblCellMar>
            <w:top w:w="0" w:type="dxa"/>
            <w:left w:w="0" w:type="dxa"/>
            <w:bottom w:w="0" w:type="dxa"/>
            <w:right w:w="0" w:type="dxa"/>
          </w:tblCellMar>
        </w:tblPrEx>
        <w:trPr>
          <w:jc w:val="center"/>
        </w:trPr>
        <w:tc>
          <w:tcPr>
            <w:tcW w:w="517" w:type="pct"/>
            <w:tcBorders>
              <w:top w:val="single" w:color="auto" w:sz="4" w:space="0"/>
              <w:left w:val="single" w:color="000000" w:sz="4" w:space="0"/>
              <w:bottom w:val="single" w:color="000000" w:sz="4" w:space="0"/>
              <w:right w:val="single" w:color="000000"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3.1.5</w:t>
            </w:r>
          </w:p>
          <w:p>
            <w:pPr>
              <w:adjustRightInd w:val="0"/>
              <w:spacing w:beforeLines="50" w:line="360" w:lineRule="auto"/>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（新增）</w:t>
            </w:r>
          </w:p>
        </w:tc>
        <w:tc>
          <w:tcPr>
            <w:tcW w:w="918" w:type="pct"/>
            <w:tcBorders>
              <w:top w:val="single" w:color="auto" w:sz="4" w:space="0"/>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保密要求</w:t>
            </w:r>
          </w:p>
        </w:tc>
        <w:tc>
          <w:tcPr>
            <w:tcW w:w="3564"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rPr>
                <w:rFonts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投标人不得在</w:t>
            </w:r>
            <w:r>
              <w:rPr>
                <w:rFonts w:hint="eastAsia" w:ascii="宋体" w:hAnsi="宋体" w:eastAsia="宋体" w:cs="宋体"/>
                <w:b/>
                <w:color w:val="auto"/>
                <w:sz w:val="21"/>
                <w:szCs w:val="21"/>
                <w:highlight w:val="none"/>
                <w:lang w:eastAsia="zh-CN"/>
              </w:rPr>
              <w:t>技术文件</w:t>
            </w:r>
            <w:r>
              <w:rPr>
                <w:rFonts w:hint="eastAsia" w:ascii="宋体" w:hAnsi="宋体" w:eastAsia="宋体" w:cs="宋体"/>
                <w:b/>
                <w:color w:val="auto"/>
                <w:spacing w:val="-2"/>
                <w:sz w:val="21"/>
                <w:szCs w:val="21"/>
                <w:highlight w:val="none"/>
                <w:lang w:eastAsia="zh-CN"/>
              </w:rPr>
              <w:t>（含</w:t>
            </w:r>
            <w:r>
              <w:rPr>
                <w:rFonts w:ascii="宋体" w:hAnsi="宋体" w:eastAsia="宋体" w:cs="宋体"/>
                <w:b/>
                <w:color w:val="auto"/>
                <w:spacing w:val="-2"/>
                <w:sz w:val="21"/>
                <w:szCs w:val="21"/>
                <w:highlight w:val="none"/>
                <w:lang w:eastAsia="zh-CN"/>
              </w:rPr>
              <w:t>设计方案部分</w:t>
            </w:r>
            <w:r>
              <w:rPr>
                <w:rFonts w:hint="eastAsia" w:ascii="宋体" w:hAnsi="宋体" w:eastAsia="宋体" w:cs="宋体"/>
                <w:b/>
                <w:color w:val="auto"/>
                <w:spacing w:val="-2"/>
                <w:sz w:val="21"/>
                <w:szCs w:val="21"/>
                <w:highlight w:val="none"/>
                <w:lang w:eastAsia="zh-CN"/>
              </w:rPr>
              <w:t>）</w:t>
            </w:r>
            <w:r>
              <w:rPr>
                <w:rFonts w:hint="eastAsia" w:ascii="宋体" w:hAnsi="宋体" w:eastAsia="宋体"/>
                <w:b/>
                <w:color w:val="auto"/>
                <w:sz w:val="21"/>
                <w:szCs w:val="21"/>
                <w:highlight w:val="none"/>
                <w:lang w:eastAsia="zh-CN"/>
              </w:rPr>
              <w:t>上标注或做任何可以辨认投标人及专业技术人员身份的名称、印章、商标、图形等记认符号。</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3.2.1</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增值税税金的计算方法</w:t>
            </w:r>
          </w:p>
        </w:tc>
        <w:tc>
          <w:tcPr>
            <w:tcW w:w="3564"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3.2.3</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报价方式</w:t>
            </w:r>
          </w:p>
        </w:tc>
        <w:tc>
          <w:tcPr>
            <w:tcW w:w="3564"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按招标文件第六章投标文件格式进行报价</w:t>
            </w:r>
            <w:r>
              <w:rPr>
                <w:rFonts w:hint="eastAsia" w:ascii="宋体" w:hAnsi="宋体" w:eastAsia="宋体"/>
                <w:color w:val="auto"/>
                <w:sz w:val="21"/>
                <w:szCs w:val="21"/>
                <w:highlight w:val="none"/>
                <w:u w:val="single"/>
                <w:lang w:eastAsia="zh-CN"/>
              </w:rPr>
              <w:t>，并按招标文件有关要求进行盖章上传。</w:t>
            </w:r>
            <w:r>
              <w:rPr>
                <w:rFonts w:hint="eastAsia" w:ascii="宋体" w:hAnsi="宋体" w:eastAsia="宋体"/>
                <w:color w:val="auto"/>
                <w:sz w:val="21"/>
                <w:szCs w:val="21"/>
                <w:highlight w:val="none"/>
                <w:lang w:eastAsia="zh-CN"/>
              </w:rPr>
              <w:t>投标人根据自身企业实力自行报价。设计费报价为投标人完成本工程所有工作及履行合同的成本、利润、税金及风险等。</w:t>
            </w:r>
          </w:p>
        </w:tc>
      </w:tr>
      <w:tr>
        <w:tblPrEx>
          <w:tblCellMar>
            <w:top w:w="0" w:type="dxa"/>
            <w:left w:w="0" w:type="dxa"/>
            <w:bottom w:w="0" w:type="dxa"/>
            <w:right w:w="0" w:type="dxa"/>
          </w:tblCellMar>
        </w:tblPrEx>
        <w:trPr>
          <w:trHeight w:val="90" w:hRule="atLeast"/>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3.2.4</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最高投标限价</w:t>
            </w:r>
          </w:p>
        </w:tc>
        <w:tc>
          <w:tcPr>
            <w:tcW w:w="3564"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无</w:t>
            </w:r>
          </w:p>
          <w:p>
            <w:pPr>
              <w:snapToGrid w:val="0"/>
              <w:spacing w:line="360" w:lineRule="auto"/>
              <w:ind w:firstLine="420" w:firstLineChars="200"/>
              <w:rPr>
                <w:rFonts w:hint="eastAsia" w:ascii="宋体" w:hAnsi="宋体" w:eastAsia="宋体" w:cs="宋体"/>
                <w:color w:val="auto"/>
                <w:sz w:val="21"/>
                <w:szCs w:val="21"/>
                <w:highlight w:val="none"/>
                <w:u w:val="none"/>
                <w:lang w:eastAsia="zh-CN"/>
              </w:rPr>
            </w:pPr>
            <w:r>
              <w:rPr>
                <w:rFonts w:hint="eastAsia"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有</w:t>
            </w:r>
            <w:r>
              <w:rPr>
                <w:rFonts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eastAsia="zh-CN"/>
              </w:rPr>
              <w:t>最高</w:t>
            </w:r>
            <w:r>
              <w:rPr>
                <w:rFonts w:hint="eastAsia" w:ascii="宋体" w:hAnsi="宋体" w:eastAsia="宋体" w:cs="宋体"/>
                <w:color w:val="auto"/>
                <w:sz w:val="21"/>
                <w:szCs w:val="21"/>
                <w:highlight w:val="none"/>
                <w:u w:val="none"/>
                <w:lang w:val="en-US" w:eastAsia="zh-CN"/>
              </w:rPr>
              <w:t>投标限价</w:t>
            </w:r>
            <w:r>
              <w:rPr>
                <w:rFonts w:hint="eastAsia" w:ascii="宋体" w:hAnsi="宋体" w:eastAsia="宋体" w:cs="宋体"/>
                <w:color w:val="auto"/>
                <w:sz w:val="21"/>
                <w:szCs w:val="21"/>
                <w:highlight w:val="none"/>
                <w:u w:val="none"/>
                <w:lang w:eastAsia="zh-CN"/>
              </w:rPr>
              <w:t>（招标控制价）：568.8万元，其中：</w:t>
            </w:r>
          </w:p>
          <w:p>
            <w:pPr>
              <w:snapToGrid w:val="0"/>
              <w:spacing w:line="360" w:lineRule="auto"/>
              <w:ind w:firstLine="420" w:firstLineChars="20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勘察费招标控制价为：85.67万元；</w:t>
            </w:r>
          </w:p>
          <w:p>
            <w:pPr>
              <w:snapToGrid w:val="0"/>
              <w:spacing w:line="360" w:lineRule="auto"/>
              <w:ind w:firstLine="420" w:firstLineChars="200"/>
              <w:rPr>
                <w:rFonts w:ascii="宋体" w:hAnsi="宋体" w:cs="宋体"/>
                <w:color w:val="auto"/>
                <w:szCs w:val="21"/>
                <w:highlight w:val="none"/>
              </w:rPr>
            </w:pPr>
            <w:r>
              <w:rPr>
                <w:rFonts w:hint="eastAsia" w:ascii="宋体" w:hAnsi="宋体" w:eastAsia="宋体" w:cs="宋体"/>
                <w:color w:val="auto"/>
                <w:sz w:val="21"/>
                <w:szCs w:val="21"/>
                <w:highlight w:val="none"/>
                <w:u w:val="none"/>
                <w:lang w:eastAsia="zh-CN"/>
              </w:rPr>
              <w:t>设计费招标控制价为：483.13万元（基本设计费为：388.80万元，BIM设计费为55.45万元，预算编制费为38.88万元）</w:t>
            </w:r>
            <w:r>
              <w:rPr>
                <w:rFonts w:hint="eastAsia" w:ascii="宋体" w:hAnsi="宋体"/>
                <w:color w:val="auto"/>
                <w:szCs w:val="21"/>
                <w:highlight w:val="none"/>
                <w:lang w:val="en-US" w:eastAsia="zh-CN"/>
              </w:rPr>
              <w:t>。</w:t>
            </w:r>
          </w:p>
          <w:p>
            <w:pPr>
              <w:pStyle w:val="63"/>
              <w:adjustRightInd w:val="0"/>
              <w:spacing w:beforeLines="50" w:line="360" w:lineRule="auto"/>
              <w:ind w:left="110" w:leftChars="50" w:right="110" w:rightChars="50" w:firstLine="420" w:firstLineChars="200"/>
              <w:jc w:val="both"/>
              <w:rPr>
                <w:rFonts w:ascii="宋体" w:hAnsi="宋体" w:eastAsia="宋体"/>
                <w:color w:val="auto"/>
                <w:sz w:val="21"/>
                <w:szCs w:val="21"/>
                <w:highlight w:val="none"/>
                <w:u w:val="single"/>
                <w:lang w:eastAsia="zh-CN"/>
              </w:rPr>
            </w:pPr>
            <w:r>
              <w:rPr>
                <w:rFonts w:hint="eastAsia" w:ascii="宋体" w:hAnsi="宋体" w:eastAsia="宋体" w:cs="宋体"/>
                <w:color w:val="auto"/>
                <w:sz w:val="21"/>
                <w:szCs w:val="21"/>
                <w:highlight w:val="none"/>
                <w:u w:val="none"/>
                <w:lang w:eastAsia="zh-CN"/>
              </w:rPr>
              <w:t>投标报价总报价不能超最高</w:t>
            </w:r>
            <w:r>
              <w:rPr>
                <w:rFonts w:hint="eastAsia" w:ascii="宋体" w:hAnsi="宋体" w:eastAsia="宋体" w:cs="宋体"/>
                <w:color w:val="auto"/>
                <w:sz w:val="21"/>
                <w:szCs w:val="21"/>
                <w:highlight w:val="none"/>
                <w:u w:val="none"/>
                <w:lang w:val="en-US" w:eastAsia="zh-CN"/>
              </w:rPr>
              <w:t>投标限价</w:t>
            </w:r>
            <w:r>
              <w:rPr>
                <w:rFonts w:hint="eastAsia" w:ascii="宋体" w:hAnsi="宋体" w:eastAsia="宋体" w:cs="宋体"/>
                <w:color w:val="auto"/>
                <w:sz w:val="21"/>
                <w:szCs w:val="21"/>
                <w:highlight w:val="none"/>
                <w:u w:val="none"/>
                <w:lang w:eastAsia="zh-CN"/>
              </w:rPr>
              <w:t>，超最高</w:t>
            </w:r>
            <w:r>
              <w:rPr>
                <w:rFonts w:hint="eastAsia" w:ascii="宋体" w:hAnsi="宋体" w:eastAsia="宋体" w:cs="宋体"/>
                <w:color w:val="auto"/>
                <w:sz w:val="21"/>
                <w:szCs w:val="21"/>
                <w:highlight w:val="none"/>
                <w:u w:val="none"/>
                <w:lang w:val="en-US" w:eastAsia="zh-CN"/>
              </w:rPr>
              <w:t>投标限价</w:t>
            </w:r>
            <w:r>
              <w:rPr>
                <w:rFonts w:hint="eastAsia" w:ascii="宋体" w:hAnsi="宋体" w:eastAsia="宋体" w:cs="宋体"/>
                <w:color w:val="auto"/>
                <w:sz w:val="21"/>
                <w:szCs w:val="21"/>
                <w:highlight w:val="none"/>
                <w:u w:val="none"/>
                <w:lang w:eastAsia="zh-CN"/>
              </w:rPr>
              <w:t>或勘察费招标控制价或设计费招标控制价的报价视为无效报价,由评标委员作废标处理。</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3.2.5</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投标报价的其他要求</w:t>
            </w:r>
          </w:p>
        </w:tc>
        <w:tc>
          <w:tcPr>
            <w:tcW w:w="3564"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u w:val="single"/>
                <w:lang w:eastAsia="zh-CN"/>
              </w:rPr>
              <w:t>投标人必须详细审阅全部招标文件,充分考虑职责和义务,全面地理解招标文件对投标报价的要求,并按招标人提出的条件及内容进行报价。</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3.3.1</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投标有效期</w:t>
            </w:r>
          </w:p>
        </w:tc>
        <w:tc>
          <w:tcPr>
            <w:tcW w:w="3564"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120日历天（从投标截止之日算起）</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3.4.1</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投标保证金</w:t>
            </w:r>
          </w:p>
        </w:tc>
        <w:tc>
          <w:tcPr>
            <w:tcW w:w="3564"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是否</w:t>
            </w:r>
            <w:r>
              <w:rPr>
                <w:rFonts w:hint="eastAsia" w:ascii="宋体" w:hAnsi="宋体" w:eastAsia="宋体"/>
                <w:color w:val="auto"/>
                <w:spacing w:val="-2"/>
                <w:sz w:val="21"/>
                <w:szCs w:val="21"/>
                <w:highlight w:val="none"/>
                <w:lang w:eastAsia="zh-CN"/>
              </w:rPr>
              <w:t>要</w:t>
            </w:r>
            <w:r>
              <w:rPr>
                <w:rFonts w:hint="eastAsia" w:ascii="宋体" w:hAnsi="宋体" w:eastAsia="宋体"/>
                <w:color w:val="auto"/>
                <w:sz w:val="21"/>
                <w:szCs w:val="21"/>
                <w:highlight w:val="none"/>
                <w:lang w:eastAsia="zh-CN"/>
              </w:rPr>
              <w:t>求</w:t>
            </w:r>
            <w:r>
              <w:rPr>
                <w:rFonts w:hint="eastAsia" w:ascii="宋体" w:hAnsi="宋体" w:eastAsia="宋体"/>
                <w:color w:val="auto"/>
                <w:spacing w:val="-2"/>
                <w:sz w:val="21"/>
                <w:szCs w:val="21"/>
                <w:highlight w:val="none"/>
                <w:lang w:eastAsia="zh-CN"/>
              </w:rPr>
              <w:t>投</w:t>
            </w:r>
            <w:r>
              <w:rPr>
                <w:rFonts w:hint="eastAsia" w:ascii="宋体" w:hAnsi="宋体" w:eastAsia="宋体"/>
                <w:color w:val="auto"/>
                <w:sz w:val="21"/>
                <w:szCs w:val="21"/>
                <w:highlight w:val="none"/>
                <w:lang w:eastAsia="zh-CN"/>
              </w:rPr>
              <w:t>标</w:t>
            </w:r>
            <w:r>
              <w:rPr>
                <w:rFonts w:hint="eastAsia" w:ascii="宋体" w:hAnsi="宋体" w:eastAsia="宋体"/>
                <w:color w:val="auto"/>
                <w:spacing w:val="-2"/>
                <w:sz w:val="21"/>
                <w:szCs w:val="21"/>
                <w:highlight w:val="none"/>
                <w:lang w:eastAsia="zh-CN"/>
              </w:rPr>
              <w:t>人</w:t>
            </w:r>
            <w:r>
              <w:rPr>
                <w:rFonts w:hint="eastAsia" w:ascii="宋体" w:hAnsi="宋体" w:eastAsia="宋体"/>
                <w:color w:val="auto"/>
                <w:sz w:val="21"/>
                <w:szCs w:val="21"/>
                <w:highlight w:val="none"/>
                <w:lang w:eastAsia="zh-CN"/>
              </w:rPr>
              <w:t>递</w:t>
            </w:r>
            <w:r>
              <w:rPr>
                <w:rFonts w:hint="eastAsia" w:ascii="宋体" w:hAnsi="宋体" w:eastAsia="宋体"/>
                <w:color w:val="auto"/>
                <w:spacing w:val="-2"/>
                <w:sz w:val="21"/>
                <w:szCs w:val="21"/>
                <w:highlight w:val="none"/>
                <w:lang w:eastAsia="zh-CN"/>
              </w:rPr>
              <w:t>交</w:t>
            </w:r>
            <w:r>
              <w:rPr>
                <w:rFonts w:hint="eastAsia" w:ascii="宋体" w:hAnsi="宋体" w:eastAsia="宋体"/>
                <w:color w:val="auto"/>
                <w:sz w:val="21"/>
                <w:szCs w:val="21"/>
                <w:highlight w:val="none"/>
                <w:lang w:eastAsia="zh-CN"/>
              </w:rPr>
              <w:t>投</w:t>
            </w:r>
            <w:r>
              <w:rPr>
                <w:rFonts w:hint="eastAsia" w:ascii="宋体" w:hAnsi="宋体" w:eastAsia="宋体"/>
                <w:color w:val="auto"/>
                <w:spacing w:val="-2"/>
                <w:sz w:val="21"/>
                <w:szCs w:val="21"/>
                <w:highlight w:val="none"/>
                <w:lang w:eastAsia="zh-CN"/>
              </w:rPr>
              <w:t>标</w:t>
            </w:r>
            <w:r>
              <w:rPr>
                <w:rFonts w:hint="eastAsia" w:ascii="宋体" w:hAnsi="宋体" w:eastAsia="宋体"/>
                <w:color w:val="auto"/>
                <w:sz w:val="21"/>
                <w:szCs w:val="21"/>
                <w:highlight w:val="none"/>
                <w:lang w:eastAsia="zh-CN"/>
              </w:rPr>
              <w:t>保证</w:t>
            </w:r>
            <w:r>
              <w:rPr>
                <w:rFonts w:hint="eastAsia" w:ascii="宋体" w:hAnsi="宋体" w:eastAsia="宋体"/>
                <w:color w:val="auto"/>
                <w:spacing w:val="-2"/>
                <w:sz w:val="21"/>
                <w:szCs w:val="21"/>
                <w:highlight w:val="none"/>
                <w:lang w:eastAsia="zh-CN"/>
              </w:rPr>
              <w:t>金</w:t>
            </w:r>
            <w:r>
              <w:rPr>
                <w:rFonts w:hint="eastAsia" w:ascii="宋体" w:hAnsi="宋体" w:eastAsia="宋体"/>
                <w:color w:val="auto"/>
                <w:sz w:val="21"/>
                <w:szCs w:val="21"/>
                <w:highlight w:val="none"/>
                <w:lang w:eastAsia="zh-CN"/>
              </w:rPr>
              <w:t>：</w:t>
            </w:r>
          </w:p>
          <w:p>
            <w:pPr>
              <w:pStyle w:val="9"/>
              <w:adjustRightInd w:val="0"/>
              <w:spacing w:beforeLines="50" w:line="360" w:lineRule="auto"/>
              <w:ind w:left="110" w:leftChars="50" w:right="110" w:rightChars="50" w:firstLine="0"/>
              <w:rPr>
                <w:rFonts w:ascii="宋体" w:hAnsi="宋体"/>
                <w:color w:val="auto"/>
                <w:sz w:val="21"/>
                <w:szCs w:val="21"/>
                <w:highlight w:val="none"/>
              </w:rPr>
            </w:pPr>
            <w:r>
              <w:rPr>
                <w:rFonts w:hint="eastAsia" w:ascii="宋体" w:hAnsi="宋体"/>
                <w:color w:val="auto"/>
                <w:sz w:val="21"/>
                <w:szCs w:val="21"/>
                <w:highlight w:val="none"/>
              </w:rPr>
              <w:t>■不要求</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3.4.4</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其他可以不予退还投标保证金的情形</w:t>
            </w:r>
          </w:p>
        </w:tc>
        <w:tc>
          <w:tcPr>
            <w:tcW w:w="3564"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ascii="宋体" w:hAnsi="宋体" w:eastAsia="宋体"/>
                <w:color w:val="auto"/>
                <w:sz w:val="21"/>
                <w:szCs w:val="21"/>
                <w:highlight w:val="none"/>
              </w:rPr>
              <w:t>/</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3.5</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资格审查资料的特殊要求</w:t>
            </w:r>
          </w:p>
        </w:tc>
        <w:tc>
          <w:tcPr>
            <w:tcW w:w="3564" w:type="pct"/>
            <w:tcBorders>
              <w:top w:val="single" w:color="000000" w:sz="4" w:space="0"/>
              <w:left w:val="single" w:color="000000" w:sz="4" w:space="0"/>
              <w:bottom w:val="single" w:color="000000" w:sz="4" w:space="0"/>
              <w:right w:val="single" w:color="000000" w:sz="4" w:space="0"/>
            </w:tcBorders>
            <w:vAlign w:val="center"/>
          </w:tcPr>
          <w:p>
            <w:pPr>
              <w:topLinePunct/>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ascii="宋体" w:hAnsi="宋体" w:eastAsia="宋体"/>
                <w:color w:val="auto"/>
                <w:sz w:val="21"/>
                <w:szCs w:val="21"/>
                <w:highlight w:val="none"/>
                <w:lang w:eastAsia="zh-CN"/>
              </w:rPr>
              <w:t>□</w:t>
            </w:r>
            <w:r>
              <w:rPr>
                <w:rFonts w:hint="eastAsia" w:ascii="宋体" w:hAnsi="宋体" w:eastAsia="宋体"/>
                <w:color w:val="auto"/>
                <w:sz w:val="21"/>
                <w:szCs w:val="21"/>
                <w:highlight w:val="none"/>
                <w:lang w:eastAsia="zh-CN"/>
              </w:rPr>
              <w:t>无</w:t>
            </w:r>
          </w:p>
          <w:p>
            <w:pPr>
              <w:topLinePunct/>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■有，具体要求：</w:t>
            </w:r>
          </w:p>
          <w:p>
            <w:pPr>
              <w:topLinePunct/>
              <w:adjustRightInd w:val="0"/>
              <w:spacing w:beforeLines="50" w:line="360" w:lineRule="auto"/>
              <w:ind w:left="110" w:leftChars="50" w:right="110" w:rightChars="50"/>
              <w:rPr>
                <w:rFonts w:ascii="宋体" w:hAnsi="宋体" w:eastAsia="宋体"/>
                <w:color w:val="auto"/>
                <w:sz w:val="21"/>
                <w:szCs w:val="21"/>
                <w:highlight w:val="none"/>
                <w:u w:val="single"/>
                <w:lang w:eastAsia="zh-CN"/>
              </w:rPr>
            </w:pPr>
            <w:r>
              <w:rPr>
                <w:rFonts w:ascii="宋体" w:hAnsi="宋体" w:eastAsia="宋体"/>
                <w:color w:val="auto"/>
                <w:sz w:val="21"/>
                <w:szCs w:val="21"/>
                <w:highlight w:val="none"/>
                <w:u w:val="single"/>
                <w:lang w:eastAsia="zh-CN"/>
              </w:rPr>
              <w:t>1</w:t>
            </w:r>
            <w:r>
              <w:rPr>
                <w:rFonts w:hint="eastAsia" w:ascii="宋体" w:hAnsi="宋体" w:eastAsia="宋体"/>
                <w:color w:val="auto"/>
                <w:sz w:val="21"/>
                <w:szCs w:val="21"/>
                <w:highlight w:val="none"/>
                <w:u w:val="single"/>
                <w:lang w:eastAsia="zh-CN"/>
              </w:rPr>
              <w:t>、本招标项目不要求提供“投标人基本情况表”、“近年财务状况表”、“近年发生的诉讼及仲裁情况”、“近年完成的类似设计项目情况表”、“正在设计和新承接的项目情况表”、“拟委任的主要人员汇总表”，以上内容不作为资格审查内容；如本招标项目要求提供以上资料，则不作为资格审查内容，仅作为评标资料（如有）。</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3.5.2</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近年财务状况的年份要求</w:t>
            </w:r>
          </w:p>
        </w:tc>
        <w:tc>
          <w:tcPr>
            <w:tcW w:w="3564"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rPr>
                <w:rFonts w:ascii="宋体" w:hAnsi="宋体" w:eastAsia="宋体"/>
                <w:color w:val="auto"/>
                <w:sz w:val="21"/>
                <w:szCs w:val="21"/>
                <w:highlight w:val="none"/>
              </w:rPr>
            </w:pPr>
            <w:r>
              <w:rPr>
                <w:rFonts w:ascii="宋体" w:hAnsi="宋体" w:eastAsia="宋体"/>
                <w:color w:val="auto"/>
                <w:sz w:val="21"/>
                <w:szCs w:val="21"/>
                <w:highlight w:val="none"/>
              </w:rPr>
              <w:t>/。</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3.5.3</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近年完成的类似项目情况的时间要求</w:t>
            </w:r>
          </w:p>
        </w:tc>
        <w:tc>
          <w:tcPr>
            <w:tcW w:w="3564"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rPr>
                <w:rFonts w:ascii="宋体" w:hAnsi="宋体" w:eastAsia="宋体"/>
                <w:color w:val="auto"/>
                <w:sz w:val="21"/>
                <w:szCs w:val="21"/>
                <w:highlight w:val="none"/>
              </w:rPr>
            </w:pPr>
            <w:r>
              <w:rPr>
                <w:rFonts w:ascii="宋体" w:hAnsi="宋体" w:eastAsia="宋体"/>
                <w:color w:val="auto"/>
                <w:sz w:val="21"/>
                <w:szCs w:val="21"/>
                <w:highlight w:val="none"/>
              </w:rPr>
              <w:t>/。</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3.5.5</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近年发生的诉讼及仲裁情况的时间要求</w:t>
            </w:r>
          </w:p>
        </w:tc>
        <w:tc>
          <w:tcPr>
            <w:tcW w:w="3564"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rPr>
                <w:rFonts w:ascii="宋体" w:hAnsi="宋体" w:eastAsia="宋体"/>
                <w:color w:val="auto"/>
                <w:sz w:val="21"/>
                <w:szCs w:val="21"/>
                <w:highlight w:val="none"/>
              </w:rPr>
            </w:pPr>
            <w:r>
              <w:rPr>
                <w:rFonts w:ascii="宋体" w:hAnsi="宋体" w:eastAsia="宋体"/>
                <w:color w:val="auto"/>
                <w:sz w:val="21"/>
                <w:szCs w:val="21"/>
                <w:highlight w:val="none"/>
              </w:rPr>
              <w:t>/。</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3.6.1</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是否允许递交备选投标方案</w:t>
            </w:r>
          </w:p>
        </w:tc>
        <w:tc>
          <w:tcPr>
            <w:tcW w:w="3564"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rPr>
            </w:pPr>
            <w:r>
              <w:rPr>
                <w:rFonts w:hint="eastAsia" w:ascii="宋体" w:hAnsi="宋体" w:eastAsia="宋体"/>
                <w:color w:val="auto"/>
                <w:sz w:val="21"/>
                <w:szCs w:val="21"/>
                <w:highlight w:val="none"/>
              </w:rPr>
              <w:t>■</w:t>
            </w:r>
            <w:r>
              <w:rPr>
                <w:rFonts w:ascii="宋体" w:hAnsi="宋体" w:eastAsia="宋体" w:cs="宋体"/>
                <w:color w:val="auto"/>
                <w:sz w:val="21"/>
                <w:szCs w:val="21"/>
                <w:highlight w:val="none"/>
              </w:rPr>
              <w:t>不允许</w:t>
            </w:r>
          </w:p>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rPr>
            </w:pPr>
            <w:r>
              <w:rPr>
                <w:rFonts w:ascii="宋体" w:hAnsi="宋体" w:eastAsia="宋体"/>
                <w:color w:val="auto"/>
                <w:sz w:val="21"/>
                <w:szCs w:val="21"/>
                <w:highlight w:val="none"/>
              </w:rPr>
              <w:t>□</w:t>
            </w:r>
            <w:r>
              <w:rPr>
                <w:rFonts w:ascii="宋体" w:hAnsi="宋体" w:eastAsia="宋体" w:cs="宋体"/>
                <w:color w:val="auto"/>
                <w:sz w:val="21"/>
                <w:szCs w:val="21"/>
                <w:highlight w:val="none"/>
              </w:rPr>
              <w:t>允许</w:t>
            </w:r>
          </w:p>
        </w:tc>
      </w:tr>
      <w:tr>
        <w:tblPrEx>
          <w:tblCellMar>
            <w:top w:w="0" w:type="dxa"/>
            <w:left w:w="0" w:type="dxa"/>
            <w:bottom w:w="0" w:type="dxa"/>
            <w:right w:w="0" w:type="dxa"/>
          </w:tblCellMar>
        </w:tblPrEx>
        <w:trPr>
          <w:trHeight w:val="585" w:hRule="atLeast"/>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3.7.3</w:t>
            </w:r>
            <w:r>
              <w:rPr>
                <w:rFonts w:hint="eastAsia" w:ascii="宋体" w:hAnsi="宋体" w:eastAsia="宋体"/>
                <w:color w:val="auto"/>
                <w:sz w:val="21"/>
                <w:szCs w:val="21"/>
                <w:highlight w:val="none"/>
              </w:rPr>
              <w:t>（</w:t>
            </w:r>
            <w:r>
              <w:rPr>
                <w:rFonts w:ascii="宋体" w:hAnsi="宋体" w:eastAsia="宋体"/>
                <w:color w:val="auto"/>
                <w:sz w:val="21"/>
                <w:szCs w:val="21"/>
                <w:highlight w:val="none"/>
              </w:rPr>
              <w:t>A</w:t>
            </w:r>
            <w:r>
              <w:rPr>
                <w:rFonts w:hint="eastAsia" w:ascii="宋体" w:hAnsi="宋体" w:eastAsia="宋体"/>
                <w:color w:val="auto"/>
                <w:sz w:val="21"/>
                <w:szCs w:val="21"/>
                <w:highlight w:val="none"/>
              </w:rPr>
              <w:t>）</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w:t>
            </w:r>
          </w:p>
        </w:tc>
        <w:tc>
          <w:tcPr>
            <w:tcW w:w="3564"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both"/>
              <w:rPr>
                <w:rFonts w:ascii="宋体" w:hAnsi="宋体" w:eastAsia="宋体"/>
                <w:color w:val="auto"/>
                <w:sz w:val="21"/>
                <w:szCs w:val="21"/>
                <w:highlight w:val="none"/>
              </w:rPr>
            </w:pPr>
            <w:r>
              <w:rPr>
                <w:rFonts w:hint="eastAsia" w:ascii="宋体" w:hAnsi="宋体" w:eastAsia="宋体"/>
                <w:color w:val="auto"/>
                <w:sz w:val="21"/>
                <w:szCs w:val="21"/>
                <w:highlight w:val="none"/>
                <w:lang w:eastAsia="zh-CN"/>
              </w:rPr>
              <w:t>删除。</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3.7.3（B）</w:t>
            </w:r>
          </w:p>
        </w:tc>
        <w:tc>
          <w:tcPr>
            <w:tcW w:w="918"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jc w:val="center"/>
              <w:rPr>
                <w:rFonts w:ascii="宋体" w:hAnsi="宋体" w:eastAsia="宋体"/>
                <w:color w:val="auto"/>
                <w:sz w:val="21"/>
                <w:szCs w:val="21"/>
                <w:highlight w:val="none"/>
                <w:lang w:eastAsia="zh-CN"/>
              </w:rPr>
            </w:pPr>
            <w:r>
              <w:rPr>
                <w:rFonts w:ascii="宋体" w:hAnsi="宋体" w:eastAsia="宋体"/>
                <w:color w:val="auto"/>
                <w:sz w:val="21"/>
                <w:szCs w:val="21"/>
                <w:highlight w:val="none"/>
                <w:lang w:eastAsia="zh-CN"/>
              </w:rPr>
              <w:t>投标文件所附证书证件要求</w:t>
            </w:r>
          </w:p>
        </w:tc>
        <w:tc>
          <w:tcPr>
            <w:tcW w:w="3564" w:type="pct"/>
            <w:tcBorders>
              <w:top w:val="single" w:color="000000" w:sz="4" w:space="0"/>
              <w:left w:val="single" w:color="000000" w:sz="4" w:space="0"/>
              <w:bottom w:val="single" w:color="000000" w:sz="4" w:space="0"/>
              <w:right w:val="single" w:color="000000" w:sz="4" w:space="0"/>
            </w:tcBorders>
            <w:vAlign w:val="center"/>
          </w:tcPr>
          <w:p>
            <w:pPr>
              <w:pStyle w:val="11"/>
              <w:topLinePunct/>
              <w:adjustRightInd w:val="0"/>
              <w:spacing w:beforeLines="50" w:line="360" w:lineRule="auto"/>
              <w:ind w:left="110" w:leftChars="50" w:right="110" w:rightChars="50"/>
              <w:rPr>
                <w:rFonts w:hAnsi="宋体"/>
                <w:color w:val="auto"/>
                <w:sz w:val="21"/>
                <w:szCs w:val="21"/>
                <w:highlight w:val="none"/>
                <w:lang w:eastAsia="zh-CN"/>
              </w:rPr>
            </w:pPr>
            <w:r>
              <w:rPr>
                <w:rFonts w:hint="eastAsia" w:hAnsi="宋体"/>
                <w:color w:val="auto"/>
                <w:sz w:val="21"/>
                <w:szCs w:val="21"/>
                <w:highlight w:val="none"/>
                <w:lang w:eastAsia="zh-CN"/>
              </w:rPr>
              <w:t>证书证件需为清晰彩色扫描件，并采用单位数字证书，按照招标文件要求在相应位置加盖电子印章。</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3.7.3（B）</w:t>
            </w:r>
          </w:p>
        </w:tc>
        <w:tc>
          <w:tcPr>
            <w:tcW w:w="918"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jc w:val="center"/>
              <w:rPr>
                <w:rFonts w:ascii="宋体" w:hAnsi="宋体" w:eastAsia="宋体"/>
                <w:color w:val="auto"/>
                <w:sz w:val="21"/>
                <w:szCs w:val="21"/>
                <w:highlight w:val="none"/>
                <w:lang w:eastAsia="zh-CN"/>
              </w:rPr>
            </w:pPr>
            <w:r>
              <w:rPr>
                <w:rFonts w:ascii="宋体" w:hAnsi="宋体" w:eastAsia="宋体"/>
                <w:color w:val="auto"/>
                <w:sz w:val="21"/>
                <w:szCs w:val="21"/>
                <w:highlight w:val="none"/>
                <w:lang w:eastAsia="zh-CN"/>
              </w:rPr>
              <w:t>投标文件签字或盖章要求</w:t>
            </w:r>
          </w:p>
        </w:tc>
        <w:tc>
          <w:tcPr>
            <w:tcW w:w="3564" w:type="pct"/>
            <w:tcBorders>
              <w:top w:val="single" w:color="000000" w:sz="4" w:space="0"/>
              <w:left w:val="single" w:color="000000" w:sz="4" w:space="0"/>
              <w:bottom w:val="single" w:color="000000" w:sz="4" w:space="0"/>
              <w:right w:val="single" w:color="000000" w:sz="4" w:space="0"/>
            </w:tcBorders>
            <w:vAlign w:val="center"/>
          </w:tcPr>
          <w:p>
            <w:pPr>
              <w:pStyle w:val="11"/>
              <w:topLinePunct/>
              <w:adjustRightInd w:val="0"/>
              <w:spacing w:beforeLines="50" w:line="360" w:lineRule="auto"/>
              <w:ind w:left="110" w:leftChars="50" w:right="110" w:rightChars="50"/>
              <w:rPr>
                <w:rFonts w:hAnsi="宋体"/>
                <w:color w:val="auto"/>
                <w:sz w:val="21"/>
                <w:szCs w:val="21"/>
                <w:highlight w:val="none"/>
                <w:u w:val="single"/>
                <w:lang w:eastAsia="zh-CN"/>
              </w:rPr>
            </w:pPr>
            <w:r>
              <w:rPr>
                <w:rFonts w:hint="eastAsia" w:hAnsi="宋体"/>
                <w:color w:val="auto"/>
                <w:sz w:val="21"/>
                <w:szCs w:val="21"/>
                <w:highlight w:val="none"/>
                <w:u w:val="single"/>
                <w:lang w:eastAsia="zh-CN"/>
              </w:rPr>
              <w:t>投标文件中需法定代表人、代理人签字或盖章的，应加盖个人电子印章或在线下完成后扫描上传。投标人应采用单位数字证书，投标文件按招标文件要求在相应位置加盖电子印章。相关操作详见《【通用版】新电子招投标系统通用版操作指引（适用于建设工程不使用范本的各类电子标项目操作指引）》（http://www.gzggzy.cn/fwznxtbzczsc/868038.jhtml）。。</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3.7.4</w:t>
            </w:r>
          </w:p>
          <w:p>
            <w:pPr>
              <w:adjustRightInd w:val="0"/>
              <w:spacing w:beforeLines="50" w:line="360" w:lineRule="auto"/>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（增加）</w:t>
            </w:r>
          </w:p>
        </w:tc>
        <w:tc>
          <w:tcPr>
            <w:tcW w:w="918"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jc w:val="center"/>
              <w:rPr>
                <w:rFonts w:ascii="宋体" w:hAnsi="宋体" w:eastAsia="宋体"/>
                <w:color w:val="auto"/>
                <w:sz w:val="21"/>
                <w:szCs w:val="21"/>
                <w:highlight w:val="none"/>
                <w:lang w:eastAsia="zh-CN"/>
              </w:rPr>
            </w:pPr>
            <w:r>
              <w:rPr>
                <w:rFonts w:ascii="宋体" w:hAnsi="宋体" w:eastAsia="宋体"/>
                <w:color w:val="auto"/>
                <w:sz w:val="21"/>
                <w:szCs w:val="21"/>
                <w:highlight w:val="none"/>
                <w:lang w:eastAsia="zh-CN"/>
              </w:rPr>
              <w:t>暗标的具体要求</w:t>
            </w:r>
          </w:p>
        </w:tc>
        <w:tc>
          <w:tcPr>
            <w:tcW w:w="3564" w:type="pct"/>
            <w:tcBorders>
              <w:top w:val="single" w:color="000000" w:sz="4" w:space="0"/>
              <w:left w:val="single" w:color="000000" w:sz="4" w:space="0"/>
              <w:bottom w:val="single" w:color="000000" w:sz="4" w:space="0"/>
              <w:right w:val="single" w:color="000000" w:sz="4" w:space="0"/>
            </w:tcBorders>
            <w:vAlign w:val="center"/>
          </w:tcPr>
          <w:p>
            <w:pPr>
              <w:pStyle w:val="11"/>
              <w:topLinePunct/>
              <w:adjustRightInd w:val="0"/>
              <w:spacing w:beforeLines="50" w:line="360" w:lineRule="auto"/>
              <w:ind w:left="110" w:leftChars="50" w:right="110" w:rightChars="50"/>
              <w:rPr>
                <w:rFonts w:hAnsi="宋体"/>
                <w:color w:val="auto"/>
                <w:sz w:val="21"/>
                <w:szCs w:val="21"/>
                <w:highlight w:val="none"/>
                <w:u w:val="single"/>
                <w:lang w:eastAsia="zh-CN"/>
              </w:rPr>
            </w:pPr>
            <w:r>
              <w:rPr>
                <w:rFonts w:hint="eastAsia" w:hAnsi="宋体" w:cs="宋体"/>
                <w:color w:val="auto"/>
                <w:sz w:val="21"/>
                <w:szCs w:val="21"/>
                <w:highlight w:val="none"/>
                <w:lang w:eastAsia="zh-CN"/>
              </w:rPr>
              <w:t>技术标中不能辨认出投标人或其专业技术人员的身份。不在设计方案上标注或做任何可以辨认投标人及专业技术人员身份的名称、印章、商标、图形等记认符号。</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4.1.1</w:t>
            </w:r>
            <w:r>
              <w:rPr>
                <w:rFonts w:hint="eastAsia" w:ascii="宋体" w:hAnsi="宋体" w:eastAsia="宋体"/>
                <w:color w:val="auto"/>
                <w:sz w:val="21"/>
                <w:szCs w:val="21"/>
                <w:highlight w:val="none"/>
              </w:rPr>
              <w:t>（</w:t>
            </w:r>
            <w:r>
              <w:rPr>
                <w:rFonts w:ascii="宋体" w:hAnsi="宋体" w:eastAsia="宋体"/>
                <w:color w:val="auto"/>
                <w:sz w:val="21"/>
                <w:szCs w:val="21"/>
                <w:highlight w:val="none"/>
              </w:rPr>
              <w:t>A</w:t>
            </w:r>
            <w:r>
              <w:rPr>
                <w:rFonts w:hint="eastAsia" w:ascii="宋体" w:hAnsi="宋体" w:eastAsia="宋体"/>
                <w:color w:val="auto"/>
                <w:sz w:val="21"/>
                <w:szCs w:val="21"/>
                <w:highlight w:val="none"/>
              </w:rPr>
              <w:t>）</w:t>
            </w:r>
          </w:p>
        </w:tc>
        <w:tc>
          <w:tcPr>
            <w:tcW w:w="918"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jc w:val="center"/>
              <w:rPr>
                <w:rFonts w:ascii="宋体" w:hAnsi="宋体" w:eastAsia="宋体"/>
                <w:color w:val="auto"/>
                <w:sz w:val="21"/>
                <w:szCs w:val="21"/>
                <w:highlight w:val="none"/>
                <w:lang w:eastAsia="zh-CN"/>
              </w:rPr>
            </w:pPr>
            <w:r>
              <w:rPr>
                <w:rFonts w:ascii="宋体" w:hAnsi="宋体" w:eastAsia="宋体"/>
                <w:color w:val="auto"/>
                <w:sz w:val="21"/>
                <w:szCs w:val="21"/>
                <w:highlight w:val="none"/>
                <w:lang w:eastAsia="zh-CN"/>
              </w:rPr>
              <w:t>/</w:t>
            </w:r>
          </w:p>
        </w:tc>
        <w:tc>
          <w:tcPr>
            <w:tcW w:w="3564" w:type="pct"/>
            <w:tcBorders>
              <w:top w:val="single" w:color="000000" w:sz="4" w:space="0"/>
              <w:left w:val="single" w:color="000000" w:sz="4" w:space="0"/>
              <w:bottom w:val="single" w:color="000000" w:sz="4" w:space="0"/>
              <w:right w:val="single" w:color="000000" w:sz="4" w:space="0"/>
            </w:tcBorders>
            <w:vAlign w:val="center"/>
          </w:tcPr>
          <w:p>
            <w:pPr>
              <w:pStyle w:val="11"/>
              <w:topLinePunct/>
              <w:adjustRightInd w:val="0"/>
              <w:spacing w:beforeLines="50" w:line="360" w:lineRule="auto"/>
              <w:ind w:left="110" w:leftChars="50" w:right="110" w:rightChars="50"/>
              <w:rPr>
                <w:rFonts w:hAnsi="宋体"/>
                <w:color w:val="auto"/>
                <w:sz w:val="21"/>
                <w:szCs w:val="21"/>
                <w:highlight w:val="none"/>
                <w:u w:val="single"/>
                <w:lang w:eastAsia="zh-CN"/>
              </w:rPr>
            </w:pPr>
            <w:r>
              <w:rPr>
                <w:rFonts w:hint="eastAsia" w:hAnsi="宋体"/>
                <w:color w:val="auto"/>
                <w:sz w:val="21"/>
                <w:szCs w:val="21"/>
                <w:highlight w:val="none"/>
                <w:u w:val="single"/>
                <w:lang w:eastAsia="zh-CN"/>
              </w:rPr>
              <w:t>删除。</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4.1.1（B）</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olor w:val="auto"/>
                <w:sz w:val="21"/>
                <w:szCs w:val="21"/>
                <w:highlight w:val="none"/>
              </w:rPr>
            </w:pPr>
            <w:r>
              <w:rPr>
                <w:rFonts w:ascii="宋体" w:hAnsi="宋体" w:eastAsia="宋体"/>
                <w:color w:val="auto"/>
                <w:sz w:val="21"/>
                <w:szCs w:val="21"/>
                <w:highlight w:val="none"/>
              </w:rPr>
              <w:t>投标文件加密要求</w:t>
            </w:r>
          </w:p>
        </w:tc>
        <w:tc>
          <w:tcPr>
            <w:tcW w:w="3564"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网上递交的电子投标文件须进行加密。未按要求加密的投标文件，交易平台将予以拒收。具体操作详见《【通用版】新电子招投标系统通用版操作指引（适用于建设工程不使用范本的各类电子标项目操作指引）》（http://www.gzggzy.cn/fwznxtbzczsc/868038.jhtml）。</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b/>
                <w:color w:val="auto"/>
                <w:sz w:val="21"/>
                <w:szCs w:val="21"/>
                <w:highlight w:val="none"/>
              </w:rPr>
            </w:pPr>
            <w:r>
              <w:rPr>
                <w:rFonts w:ascii="宋体" w:hAnsi="宋体" w:eastAsia="宋体"/>
                <w:b/>
                <w:color w:val="auto"/>
                <w:sz w:val="21"/>
                <w:szCs w:val="21"/>
                <w:highlight w:val="none"/>
              </w:rPr>
              <w:t>4.1.2</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b/>
                <w:color w:val="auto"/>
                <w:sz w:val="21"/>
                <w:szCs w:val="21"/>
                <w:highlight w:val="none"/>
              </w:rPr>
            </w:pPr>
            <w:r>
              <w:rPr>
                <w:rFonts w:ascii="宋体" w:hAnsi="宋体" w:eastAsia="宋体" w:cs="宋体"/>
                <w:b/>
                <w:color w:val="auto"/>
                <w:sz w:val="21"/>
                <w:szCs w:val="21"/>
                <w:highlight w:val="none"/>
              </w:rPr>
              <w:t>封套上应载明的信息</w:t>
            </w:r>
          </w:p>
        </w:tc>
        <w:tc>
          <w:tcPr>
            <w:tcW w:w="3564"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both"/>
              <w:rPr>
                <w:rFonts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对递交的备用投标文件电子光盘及保密信封要求封装。</w:t>
            </w:r>
          </w:p>
          <w:p>
            <w:pPr>
              <w:pStyle w:val="63"/>
              <w:adjustRightInd w:val="0"/>
              <w:spacing w:beforeLines="50" w:line="360" w:lineRule="auto"/>
              <w:ind w:left="110" w:leftChars="50" w:right="110" w:rightChars="50"/>
              <w:jc w:val="both"/>
              <w:rPr>
                <w:rFonts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（1）商务文件封套上应载明：</w:t>
            </w:r>
          </w:p>
          <w:p>
            <w:pPr>
              <w:pStyle w:val="63"/>
              <w:adjustRightInd w:val="0"/>
              <w:spacing w:beforeLines="50" w:line="360" w:lineRule="auto"/>
              <w:ind w:left="110" w:leftChars="50" w:right="110" w:rightChars="50"/>
              <w:jc w:val="both"/>
              <w:rPr>
                <w:rFonts w:ascii="宋体" w:hAnsi="宋体" w:eastAsia="宋体"/>
                <w:b/>
                <w:color w:val="auto"/>
                <w:sz w:val="21"/>
                <w:szCs w:val="21"/>
                <w:highlight w:val="none"/>
                <w:lang w:eastAsia="zh-CN"/>
              </w:rPr>
            </w:pPr>
            <w:r>
              <w:rPr>
                <w:rFonts w:hint="eastAsia" w:ascii="宋体" w:hAnsi="宋体" w:eastAsia="宋体" w:cs="宋体"/>
                <w:b/>
                <w:color w:val="auto"/>
                <w:sz w:val="21"/>
                <w:szCs w:val="21"/>
                <w:highlight w:val="none"/>
                <w:lang w:eastAsia="zh-CN"/>
              </w:rPr>
              <w:t>招标人名称：</w:t>
            </w:r>
            <w:r>
              <w:rPr>
                <w:rFonts w:hint="eastAsia" w:ascii="宋体" w:hAnsi="宋体" w:eastAsia="宋体" w:cs="宋体"/>
                <w:b/>
                <w:color w:val="auto"/>
                <w:sz w:val="21"/>
                <w:szCs w:val="21"/>
                <w:highlight w:val="none"/>
                <w:u w:val="single"/>
                <w:lang w:eastAsia="zh-CN"/>
              </w:rPr>
              <w:t xml:space="preserve">                   </w:t>
            </w:r>
          </w:p>
          <w:p>
            <w:pPr>
              <w:pStyle w:val="63"/>
              <w:tabs>
                <w:tab w:val="left" w:pos="1157"/>
              </w:tabs>
              <w:adjustRightInd w:val="0"/>
              <w:spacing w:beforeLines="50" w:line="360" w:lineRule="auto"/>
              <w:ind w:left="110" w:leftChars="50" w:right="110" w:rightChars="50"/>
              <w:jc w:val="both"/>
              <w:rPr>
                <w:rFonts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u w:val="single"/>
                <w:lang w:eastAsia="zh-CN"/>
              </w:rPr>
              <w:t xml:space="preserve">     （项目名称）        </w:t>
            </w:r>
            <w:r>
              <w:rPr>
                <w:rFonts w:hint="eastAsia" w:ascii="宋体" w:hAnsi="宋体" w:eastAsia="宋体" w:cs="宋体"/>
                <w:b/>
                <w:color w:val="auto"/>
                <w:sz w:val="21"/>
                <w:szCs w:val="21"/>
                <w:highlight w:val="none"/>
                <w:lang w:eastAsia="zh-CN"/>
              </w:rPr>
              <w:t>商务</w:t>
            </w:r>
            <w:r>
              <w:rPr>
                <w:rFonts w:ascii="宋体" w:hAnsi="宋体" w:eastAsia="宋体" w:cs="宋体"/>
                <w:b/>
                <w:color w:val="auto"/>
                <w:sz w:val="21"/>
                <w:szCs w:val="21"/>
                <w:highlight w:val="none"/>
                <w:lang w:eastAsia="zh-CN"/>
              </w:rPr>
              <w:t>文件</w:t>
            </w:r>
          </w:p>
          <w:p>
            <w:pPr>
              <w:pStyle w:val="63"/>
              <w:tabs>
                <w:tab w:val="left" w:pos="1157"/>
              </w:tabs>
              <w:adjustRightInd w:val="0"/>
              <w:spacing w:beforeLines="50" w:line="360" w:lineRule="auto"/>
              <w:ind w:left="110" w:leftChars="50" w:right="110" w:rightChars="50"/>
              <w:jc w:val="both"/>
              <w:rPr>
                <w:rFonts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投标人名称：</w:t>
            </w:r>
          </w:p>
          <w:p>
            <w:pPr>
              <w:pStyle w:val="63"/>
              <w:adjustRightInd w:val="0"/>
              <w:spacing w:beforeLines="50" w:line="360" w:lineRule="auto"/>
              <w:ind w:left="110" w:leftChars="50" w:right="110" w:rightChars="50"/>
              <w:jc w:val="both"/>
              <w:rPr>
                <w:rFonts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（2）技术文件封套上应载明：</w:t>
            </w:r>
          </w:p>
          <w:p>
            <w:pPr>
              <w:pStyle w:val="63"/>
              <w:adjustRightInd w:val="0"/>
              <w:spacing w:beforeLines="50" w:line="360" w:lineRule="auto"/>
              <w:ind w:left="110" w:leftChars="50" w:right="110" w:rightChars="50"/>
              <w:jc w:val="both"/>
              <w:rPr>
                <w:rFonts w:ascii="宋体" w:hAnsi="宋体" w:eastAsia="宋体"/>
                <w:b/>
                <w:color w:val="auto"/>
                <w:sz w:val="21"/>
                <w:szCs w:val="21"/>
                <w:highlight w:val="none"/>
                <w:lang w:eastAsia="zh-CN"/>
              </w:rPr>
            </w:pPr>
            <w:r>
              <w:rPr>
                <w:rFonts w:hint="eastAsia" w:ascii="宋体" w:hAnsi="宋体" w:eastAsia="宋体" w:cs="宋体"/>
                <w:b/>
                <w:color w:val="auto"/>
                <w:sz w:val="21"/>
                <w:szCs w:val="21"/>
                <w:highlight w:val="none"/>
                <w:lang w:eastAsia="zh-CN"/>
              </w:rPr>
              <w:t>招标人名称：</w:t>
            </w:r>
            <w:r>
              <w:rPr>
                <w:rFonts w:hint="eastAsia" w:ascii="宋体" w:hAnsi="宋体" w:eastAsia="宋体" w:cs="宋体"/>
                <w:b/>
                <w:color w:val="auto"/>
                <w:sz w:val="21"/>
                <w:szCs w:val="21"/>
                <w:highlight w:val="none"/>
                <w:u w:val="single"/>
                <w:lang w:eastAsia="zh-CN"/>
              </w:rPr>
              <w:t xml:space="preserve">                   </w:t>
            </w:r>
          </w:p>
          <w:p>
            <w:pPr>
              <w:pStyle w:val="63"/>
              <w:tabs>
                <w:tab w:val="left" w:pos="734"/>
                <w:tab w:val="left" w:pos="1365"/>
                <w:tab w:val="left" w:pos="1994"/>
                <w:tab w:val="left" w:pos="2623"/>
              </w:tabs>
              <w:adjustRightInd w:val="0"/>
              <w:spacing w:beforeLines="50" w:line="360" w:lineRule="auto"/>
              <w:ind w:left="110" w:leftChars="50" w:right="110" w:rightChars="50"/>
              <w:jc w:val="both"/>
              <w:rPr>
                <w:rFonts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u w:val="single"/>
                <w:lang w:eastAsia="zh-CN"/>
              </w:rPr>
              <w:t xml:space="preserve">     （项目名称）        </w:t>
            </w:r>
            <w:r>
              <w:rPr>
                <w:rFonts w:hint="eastAsia" w:ascii="宋体" w:hAnsi="宋体" w:eastAsia="宋体" w:cs="宋体"/>
                <w:b/>
                <w:color w:val="auto"/>
                <w:sz w:val="21"/>
                <w:szCs w:val="21"/>
                <w:highlight w:val="none"/>
                <w:lang w:eastAsia="zh-CN"/>
              </w:rPr>
              <w:t>技术</w:t>
            </w:r>
            <w:r>
              <w:rPr>
                <w:rFonts w:ascii="宋体" w:hAnsi="宋体" w:eastAsia="宋体" w:cs="宋体"/>
                <w:b/>
                <w:color w:val="auto"/>
                <w:sz w:val="21"/>
                <w:szCs w:val="21"/>
                <w:highlight w:val="none"/>
                <w:lang w:eastAsia="zh-CN"/>
              </w:rPr>
              <w:t>文件</w:t>
            </w:r>
          </w:p>
          <w:p>
            <w:pPr>
              <w:pStyle w:val="63"/>
              <w:adjustRightInd w:val="0"/>
              <w:spacing w:beforeLines="50" w:line="360" w:lineRule="auto"/>
              <w:ind w:left="110" w:leftChars="50" w:right="110" w:rightChars="50"/>
              <w:jc w:val="both"/>
              <w:rPr>
                <w:rFonts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（3）保密信封封套上应载明：</w:t>
            </w:r>
          </w:p>
          <w:p>
            <w:pPr>
              <w:pStyle w:val="63"/>
              <w:adjustRightInd w:val="0"/>
              <w:spacing w:beforeLines="50" w:line="360" w:lineRule="auto"/>
              <w:ind w:left="110" w:leftChars="50" w:right="110" w:rightChars="50"/>
              <w:jc w:val="both"/>
              <w:rPr>
                <w:rFonts w:ascii="宋体" w:hAnsi="宋体" w:eastAsia="宋体"/>
                <w:b/>
                <w:color w:val="auto"/>
                <w:sz w:val="21"/>
                <w:szCs w:val="21"/>
                <w:highlight w:val="none"/>
                <w:lang w:eastAsia="zh-CN"/>
              </w:rPr>
            </w:pPr>
            <w:r>
              <w:rPr>
                <w:rFonts w:hint="eastAsia" w:ascii="宋体" w:hAnsi="宋体" w:eastAsia="宋体" w:cs="宋体"/>
                <w:b/>
                <w:color w:val="auto"/>
                <w:sz w:val="21"/>
                <w:szCs w:val="21"/>
                <w:highlight w:val="none"/>
                <w:lang w:eastAsia="zh-CN"/>
              </w:rPr>
              <w:t>招标人名称：</w:t>
            </w:r>
            <w:r>
              <w:rPr>
                <w:rFonts w:hint="eastAsia" w:ascii="宋体" w:hAnsi="宋体" w:eastAsia="宋体" w:cs="宋体"/>
                <w:b/>
                <w:color w:val="auto"/>
                <w:sz w:val="21"/>
                <w:szCs w:val="21"/>
                <w:highlight w:val="none"/>
                <w:u w:val="single"/>
                <w:lang w:eastAsia="zh-CN"/>
              </w:rPr>
              <w:t xml:space="preserve">                   </w:t>
            </w:r>
          </w:p>
          <w:p>
            <w:pPr>
              <w:pStyle w:val="63"/>
              <w:tabs>
                <w:tab w:val="left" w:pos="734"/>
                <w:tab w:val="left" w:pos="1365"/>
                <w:tab w:val="left" w:pos="1994"/>
                <w:tab w:val="left" w:pos="2623"/>
              </w:tabs>
              <w:adjustRightInd w:val="0"/>
              <w:spacing w:beforeLines="50" w:line="360" w:lineRule="auto"/>
              <w:ind w:left="110" w:leftChars="50" w:right="110" w:rightChars="50"/>
              <w:jc w:val="both"/>
              <w:rPr>
                <w:rFonts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u w:val="single"/>
                <w:lang w:eastAsia="zh-CN"/>
              </w:rPr>
              <w:t xml:space="preserve">     （项目名称）        </w:t>
            </w:r>
            <w:r>
              <w:rPr>
                <w:rFonts w:hint="eastAsia" w:ascii="宋体" w:hAnsi="宋体" w:eastAsia="宋体" w:cs="宋体"/>
                <w:b/>
                <w:color w:val="auto"/>
                <w:sz w:val="21"/>
                <w:szCs w:val="21"/>
                <w:highlight w:val="none"/>
                <w:lang w:eastAsia="zh-CN"/>
              </w:rPr>
              <w:t>保密信封</w:t>
            </w:r>
          </w:p>
          <w:p>
            <w:pPr>
              <w:pStyle w:val="63"/>
              <w:tabs>
                <w:tab w:val="left" w:pos="734"/>
                <w:tab w:val="left" w:pos="1365"/>
                <w:tab w:val="left" w:pos="1994"/>
                <w:tab w:val="left" w:pos="2623"/>
              </w:tabs>
              <w:adjustRightInd w:val="0"/>
              <w:spacing w:beforeLines="50" w:line="360" w:lineRule="auto"/>
              <w:ind w:left="110" w:leftChars="50" w:right="110" w:rightChars="50"/>
              <w:jc w:val="both"/>
              <w:rPr>
                <w:rFonts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注：如提交技术方案文件备用光盘及保密信封的，封面及封口不需要盖章。</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4.2.1</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olor w:val="auto"/>
                <w:sz w:val="21"/>
                <w:szCs w:val="21"/>
                <w:highlight w:val="none"/>
              </w:rPr>
            </w:pPr>
            <w:r>
              <w:rPr>
                <w:rFonts w:ascii="宋体" w:hAnsi="宋体" w:eastAsia="宋体"/>
                <w:color w:val="auto"/>
                <w:sz w:val="21"/>
                <w:szCs w:val="21"/>
                <w:highlight w:val="none"/>
              </w:rPr>
              <w:t>投标截止时间</w:t>
            </w:r>
          </w:p>
        </w:tc>
        <w:tc>
          <w:tcPr>
            <w:tcW w:w="3564"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rPr>
                <w:rFonts w:ascii="宋体" w:hAnsi="宋体" w:eastAsia="宋体"/>
                <w:color w:val="auto"/>
                <w:sz w:val="21"/>
                <w:szCs w:val="21"/>
                <w:highlight w:val="none"/>
                <w:u w:val="single"/>
                <w:lang w:eastAsia="zh-CN"/>
              </w:rPr>
            </w:pPr>
            <w:r>
              <w:rPr>
                <w:rFonts w:ascii="宋体" w:hAnsi="宋体" w:eastAsia="宋体"/>
                <w:color w:val="auto"/>
                <w:sz w:val="21"/>
                <w:szCs w:val="21"/>
                <w:highlight w:val="none"/>
                <w:u w:val="single"/>
                <w:lang w:eastAsia="zh-CN"/>
              </w:rPr>
              <w:t>20</w:t>
            </w:r>
            <w:r>
              <w:rPr>
                <w:rFonts w:hint="eastAsia" w:ascii="宋体" w:hAnsi="宋体" w:eastAsia="宋体"/>
                <w:color w:val="auto"/>
                <w:sz w:val="21"/>
                <w:szCs w:val="21"/>
                <w:highlight w:val="none"/>
                <w:u w:val="single"/>
                <w:lang w:eastAsia="zh-CN"/>
              </w:rPr>
              <w:t>2</w:t>
            </w:r>
            <w:r>
              <w:rPr>
                <w:rFonts w:hint="eastAsia" w:ascii="宋体" w:hAnsi="宋体" w:eastAsia="宋体"/>
                <w:color w:val="auto"/>
                <w:sz w:val="21"/>
                <w:szCs w:val="21"/>
                <w:highlight w:val="none"/>
                <w:u w:val="single"/>
                <w:lang w:val="en-US" w:eastAsia="zh-CN"/>
              </w:rPr>
              <w:t>3</w:t>
            </w:r>
            <w:r>
              <w:rPr>
                <w:rFonts w:hint="eastAsia" w:ascii="宋体" w:hAnsi="宋体" w:eastAsia="宋体"/>
                <w:color w:val="auto"/>
                <w:sz w:val="21"/>
                <w:szCs w:val="21"/>
                <w:highlight w:val="none"/>
                <w:u w:val="single"/>
                <w:lang w:eastAsia="zh-CN"/>
              </w:rPr>
              <w:t>年</w:t>
            </w:r>
            <w:r>
              <w:rPr>
                <w:rFonts w:ascii="宋体" w:hAnsi="宋体" w:eastAsia="宋体"/>
                <w:color w:val="auto"/>
                <w:sz w:val="21"/>
                <w:szCs w:val="21"/>
                <w:highlight w:val="none"/>
                <w:u w:val="single"/>
                <w:lang w:eastAsia="zh-CN"/>
              </w:rPr>
              <w:t xml:space="preserve"> </w:t>
            </w:r>
            <w:r>
              <w:rPr>
                <w:rFonts w:hint="eastAsia" w:ascii="宋体" w:hAnsi="宋体" w:eastAsia="宋体"/>
                <w:color w:val="auto"/>
                <w:sz w:val="21"/>
                <w:szCs w:val="21"/>
                <w:highlight w:val="none"/>
                <w:u w:val="single"/>
                <w:lang w:eastAsia="zh-CN"/>
              </w:rPr>
              <w:t xml:space="preserve"> </w:t>
            </w:r>
            <w:r>
              <w:rPr>
                <w:rFonts w:ascii="宋体" w:hAnsi="宋体" w:eastAsia="宋体"/>
                <w:color w:val="auto"/>
                <w:sz w:val="21"/>
                <w:szCs w:val="21"/>
                <w:highlight w:val="none"/>
                <w:u w:val="single"/>
                <w:lang w:eastAsia="zh-CN"/>
              </w:rPr>
              <w:t xml:space="preserve"> </w:t>
            </w:r>
            <w:r>
              <w:rPr>
                <w:rFonts w:hint="eastAsia" w:ascii="宋体" w:hAnsi="宋体" w:eastAsia="宋体"/>
                <w:color w:val="auto"/>
                <w:sz w:val="21"/>
                <w:szCs w:val="21"/>
                <w:highlight w:val="none"/>
                <w:u w:val="single"/>
                <w:lang w:eastAsia="zh-CN"/>
              </w:rPr>
              <w:t>月</w:t>
            </w:r>
            <w:r>
              <w:rPr>
                <w:rFonts w:ascii="宋体" w:hAnsi="宋体" w:eastAsia="宋体"/>
                <w:color w:val="auto"/>
                <w:sz w:val="21"/>
                <w:szCs w:val="21"/>
                <w:highlight w:val="none"/>
                <w:u w:val="single"/>
                <w:lang w:eastAsia="zh-CN"/>
              </w:rPr>
              <w:t xml:space="preserve"> </w:t>
            </w:r>
            <w:r>
              <w:rPr>
                <w:rFonts w:hint="eastAsia" w:ascii="宋体" w:hAnsi="宋体" w:eastAsia="宋体"/>
                <w:color w:val="auto"/>
                <w:sz w:val="21"/>
                <w:szCs w:val="21"/>
                <w:highlight w:val="none"/>
                <w:u w:val="single"/>
                <w:lang w:eastAsia="zh-CN"/>
              </w:rPr>
              <w:t xml:space="preserve"> </w:t>
            </w:r>
            <w:r>
              <w:rPr>
                <w:rFonts w:ascii="宋体" w:hAnsi="宋体" w:eastAsia="宋体"/>
                <w:color w:val="auto"/>
                <w:sz w:val="21"/>
                <w:szCs w:val="21"/>
                <w:highlight w:val="none"/>
                <w:u w:val="single"/>
                <w:lang w:eastAsia="zh-CN"/>
              </w:rPr>
              <w:t xml:space="preserve">  </w:t>
            </w:r>
            <w:r>
              <w:rPr>
                <w:rFonts w:hint="eastAsia" w:ascii="宋体" w:hAnsi="宋体" w:eastAsia="宋体"/>
                <w:color w:val="auto"/>
                <w:sz w:val="21"/>
                <w:szCs w:val="21"/>
                <w:highlight w:val="none"/>
                <w:u w:val="single"/>
                <w:lang w:eastAsia="zh-CN"/>
              </w:rPr>
              <w:t>日</w:t>
            </w:r>
            <w:r>
              <w:rPr>
                <w:rFonts w:ascii="宋体" w:hAnsi="宋体" w:eastAsia="宋体"/>
                <w:color w:val="auto"/>
                <w:sz w:val="21"/>
                <w:szCs w:val="21"/>
                <w:highlight w:val="none"/>
                <w:u w:val="single"/>
                <w:lang w:eastAsia="zh-CN"/>
              </w:rPr>
              <w:t xml:space="preserve"> </w:t>
            </w:r>
            <w:r>
              <w:rPr>
                <w:rFonts w:hint="eastAsia" w:ascii="宋体" w:hAnsi="宋体" w:eastAsia="宋体"/>
                <w:color w:val="auto"/>
                <w:sz w:val="21"/>
                <w:szCs w:val="21"/>
                <w:highlight w:val="none"/>
                <w:u w:val="single"/>
                <w:lang w:eastAsia="zh-CN"/>
              </w:rPr>
              <w:t xml:space="preserve"> 时  分</w:t>
            </w:r>
          </w:p>
          <w:p>
            <w:pPr>
              <w:pStyle w:val="63"/>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（详见广州</w:t>
            </w:r>
            <w:r>
              <w:rPr>
                <w:rFonts w:ascii="宋体" w:hAnsi="宋体" w:eastAsia="宋体"/>
                <w:color w:val="auto"/>
                <w:sz w:val="21"/>
                <w:szCs w:val="21"/>
                <w:highlight w:val="none"/>
                <w:lang w:eastAsia="zh-CN"/>
              </w:rPr>
              <w:t>公共资源交易中心</w:t>
            </w:r>
            <w:r>
              <w:rPr>
                <w:rFonts w:hint="eastAsia" w:ascii="宋体" w:hAnsi="宋体" w:eastAsia="宋体"/>
                <w:color w:val="auto"/>
                <w:sz w:val="21"/>
                <w:szCs w:val="21"/>
                <w:highlight w:val="none"/>
                <w:lang w:eastAsia="zh-CN"/>
              </w:rPr>
              <w:t>网站信息。具体时间可以到广州公共资源交易中心交易平台“建设工程→项目查询（日程安排、答疑纪要）”输入本项目编号或项目名称进行查询。）</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4.2.2（A）</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olor w:val="auto"/>
                <w:sz w:val="21"/>
                <w:szCs w:val="21"/>
                <w:highlight w:val="none"/>
              </w:rPr>
            </w:pPr>
            <w:r>
              <w:rPr>
                <w:rFonts w:ascii="宋体" w:hAnsi="宋体" w:eastAsia="宋体"/>
                <w:color w:val="auto"/>
                <w:sz w:val="21"/>
                <w:szCs w:val="21"/>
                <w:highlight w:val="none"/>
              </w:rPr>
              <w:t>递交投标文件地点</w:t>
            </w:r>
          </w:p>
        </w:tc>
        <w:tc>
          <w:tcPr>
            <w:tcW w:w="3564"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删除</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4.2.2（</w:t>
            </w:r>
            <w:r>
              <w:rPr>
                <w:rFonts w:hint="eastAsia" w:ascii="宋体" w:hAnsi="宋体" w:eastAsia="宋体"/>
                <w:color w:val="auto"/>
                <w:sz w:val="21"/>
                <w:szCs w:val="21"/>
                <w:highlight w:val="none"/>
                <w:lang w:eastAsia="zh-CN"/>
              </w:rPr>
              <w:t>B</w:t>
            </w:r>
            <w:r>
              <w:rPr>
                <w:rFonts w:ascii="宋体" w:hAnsi="宋体" w:eastAsia="宋体"/>
                <w:color w:val="auto"/>
                <w:sz w:val="21"/>
                <w:szCs w:val="21"/>
                <w:highlight w:val="none"/>
              </w:rPr>
              <w:t>）</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olor w:val="auto"/>
                <w:sz w:val="21"/>
                <w:szCs w:val="21"/>
                <w:highlight w:val="none"/>
                <w:lang w:eastAsia="zh-CN"/>
              </w:rPr>
            </w:pPr>
            <w:r>
              <w:rPr>
                <w:rFonts w:ascii="宋体" w:hAnsi="宋体" w:eastAsia="宋体"/>
                <w:color w:val="auto"/>
                <w:sz w:val="21"/>
                <w:szCs w:val="21"/>
                <w:highlight w:val="none"/>
              </w:rPr>
              <w:t>递交投标文件</w:t>
            </w:r>
          </w:p>
        </w:tc>
        <w:tc>
          <w:tcPr>
            <w:tcW w:w="3564"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1、投标人登录广州公共资源交易中心交易平台递交电子投标文件。</w:t>
            </w:r>
          </w:p>
          <w:p>
            <w:pPr>
              <w:pStyle w:val="63"/>
              <w:adjustRightInd w:val="0"/>
              <w:spacing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2、投标人完成电子投标文件上传后，交易平台即时向投标人发出递交回执通知。递交时间以递交回执通知载明的传输完成时间为准。</w:t>
            </w:r>
          </w:p>
          <w:p>
            <w:pPr>
              <w:pStyle w:val="63"/>
              <w:adjustRightInd w:val="0"/>
              <w:spacing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3、如按招标公告要求需要提交投标文件光盘（备用），备用光盘不得加密。如使用投标文件光盘（备用）时无法读取或导入的，则视为未提交投标文件。</w:t>
            </w:r>
          </w:p>
          <w:p>
            <w:pPr>
              <w:pStyle w:val="63"/>
              <w:adjustRightInd w:val="0"/>
              <w:spacing w:beforeLines="50" w:line="360" w:lineRule="auto"/>
              <w:ind w:left="110" w:leftChars="50" w:right="110" w:rightChars="50"/>
              <w:jc w:val="both"/>
              <w:rPr>
                <w:rFonts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4、如按招标公告要求需要提交保密信封（备用），但投标人未递交保密信封（备用）的，则视为未提交投标文件。</w:t>
            </w:r>
          </w:p>
          <w:p>
            <w:pPr>
              <w:pStyle w:val="63"/>
              <w:adjustRightInd w:val="0"/>
              <w:spacing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5、逾期送达的投标文件，交易平台将予以拒收。</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4.2.3</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投标文件是否退还</w:t>
            </w:r>
          </w:p>
        </w:tc>
        <w:tc>
          <w:tcPr>
            <w:tcW w:w="3564"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否</w:t>
            </w:r>
          </w:p>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是，退还时间：</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4.2.6</w:t>
            </w:r>
          </w:p>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w:t>
            </w:r>
            <w:r>
              <w:rPr>
                <w:rFonts w:hint="eastAsia" w:ascii="宋体" w:hAnsi="宋体" w:eastAsia="宋体"/>
                <w:color w:val="auto"/>
                <w:sz w:val="21"/>
                <w:szCs w:val="21"/>
                <w:highlight w:val="none"/>
                <w:lang w:eastAsia="zh-CN"/>
              </w:rPr>
              <w:t>增加</w:t>
            </w:r>
            <w:r>
              <w:rPr>
                <w:rFonts w:ascii="宋体" w:hAnsi="宋体" w:eastAsia="宋体"/>
                <w:color w:val="auto"/>
                <w:sz w:val="21"/>
                <w:szCs w:val="21"/>
                <w:highlight w:val="none"/>
              </w:rPr>
              <w:t>）</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投标时间</w:t>
            </w:r>
          </w:p>
        </w:tc>
        <w:tc>
          <w:tcPr>
            <w:tcW w:w="3564"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1、投标截止时间自本工程招标公告发布之日起计。</w:t>
            </w:r>
          </w:p>
          <w:p>
            <w:pPr>
              <w:pStyle w:val="63"/>
              <w:adjustRightInd w:val="0"/>
              <w:spacing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2、具体投标截止时间以招标人（招标代理机构）的最新通知为准，请各投标人留意交易平台网站发布的本工程相关信息。</w:t>
            </w:r>
          </w:p>
          <w:p>
            <w:pPr>
              <w:pStyle w:val="63"/>
              <w:adjustRightInd w:val="0"/>
              <w:spacing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3、到投标截止时间止，招标人收到的投标文件少于</w:t>
            </w:r>
            <w:r>
              <w:rPr>
                <w:rFonts w:ascii="宋体" w:hAnsi="宋体" w:eastAsia="宋体"/>
                <w:color w:val="auto"/>
                <w:sz w:val="21"/>
                <w:szCs w:val="21"/>
                <w:highlight w:val="none"/>
                <w:lang w:eastAsia="zh-CN"/>
              </w:rPr>
              <w:t>3</w:t>
            </w:r>
            <w:r>
              <w:rPr>
                <w:rFonts w:hint="eastAsia" w:ascii="宋体" w:hAnsi="宋体" w:eastAsia="宋体"/>
                <w:color w:val="auto"/>
                <w:sz w:val="21"/>
                <w:szCs w:val="21"/>
                <w:highlight w:val="none"/>
                <w:lang w:eastAsia="zh-CN"/>
              </w:rPr>
              <w:t>家的，招标人将重新组织招标。</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lang w:eastAsia="zh-CN"/>
              </w:rPr>
            </w:pPr>
            <w:r>
              <w:rPr>
                <w:rFonts w:ascii="宋体" w:hAnsi="宋体" w:eastAsia="宋体"/>
                <w:color w:val="auto"/>
                <w:sz w:val="21"/>
                <w:szCs w:val="21"/>
                <w:highlight w:val="none"/>
              </w:rPr>
              <w:t>4.3</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投标文件的修改与撤回</w:t>
            </w:r>
          </w:p>
        </w:tc>
        <w:tc>
          <w:tcPr>
            <w:tcW w:w="3564"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w:t>
            </w:r>
            <w:r>
              <w:rPr>
                <w:rFonts w:ascii="宋体" w:hAnsi="宋体" w:eastAsia="宋体"/>
                <w:color w:val="auto"/>
                <w:sz w:val="21"/>
                <w:szCs w:val="21"/>
                <w:highlight w:val="none"/>
                <w:lang w:eastAsia="zh-CN"/>
              </w:rPr>
              <w:t>在规定的投标截止时间前，投标人可以修改或撤回已递交的投标文件。</w:t>
            </w:r>
          </w:p>
          <w:p>
            <w:pPr>
              <w:pStyle w:val="63"/>
              <w:adjustRightInd w:val="0"/>
              <w:spacing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2、投标人修改或撤回已递交的投标文件，需在交易平台发出撤回通知，并按要求加盖电子印章。电子招标投标交易平台收到通知后，即时向投标人发布确认回执通知。</w:t>
            </w:r>
          </w:p>
          <w:p>
            <w:pPr>
              <w:pStyle w:val="63"/>
              <w:adjustRightInd w:val="0"/>
              <w:spacing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3、修改后再次递交的，按</w:t>
            </w:r>
            <w:r>
              <w:rPr>
                <w:rFonts w:ascii="宋体" w:hAnsi="宋体" w:eastAsia="宋体"/>
                <w:color w:val="auto"/>
                <w:sz w:val="21"/>
                <w:szCs w:val="21"/>
                <w:highlight w:val="none"/>
                <w:lang w:eastAsia="zh-CN"/>
              </w:rPr>
              <w:t>4.2.2（</w:t>
            </w:r>
            <w:r>
              <w:rPr>
                <w:rFonts w:hint="eastAsia" w:ascii="宋体" w:hAnsi="宋体" w:eastAsia="宋体"/>
                <w:color w:val="auto"/>
                <w:sz w:val="21"/>
                <w:szCs w:val="21"/>
                <w:highlight w:val="none"/>
                <w:lang w:eastAsia="zh-CN"/>
              </w:rPr>
              <w:t>B</w:t>
            </w:r>
            <w:r>
              <w:rPr>
                <w:rFonts w:ascii="宋体" w:hAnsi="宋体" w:eastAsia="宋体"/>
                <w:color w:val="auto"/>
                <w:sz w:val="21"/>
                <w:szCs w:val="21"/>
                <w:highlight w:val="none"/>
                <w:lang w:eastAsia="zh-CN"/>
              </w:rPr>
              <w:t>）</w:t>
            </w:r>
            <w:r>
              <w:rPr>
                <w:rFonts w:hint="eastAsia" w:ascii="宋体" w:hAnsi="宋体" w:eastAsia="宋体"/>
                <w:color w:val="auto"/>
                <w:sz w:val="21"/>
                <w:szCs w:val="21"/>
                <w:highlight w:val="none"/>
                <w:lang w:eastAsia="zh-CN"/>
              </w:rPr>
              <w:t>的规定执行。</w:t>
            </w:r>
          </w:p>
          <w:p>
            <w:pPr>
              <w:pStyle w:val="63"/>
              <w:adjustRightInd w:val="0"/>
              <w:spacing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4、在投标截止时间后，投标人不得补充、修改或更换投标文件。</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s="宋体"/>
                <w:color w:val="auto"/>
                <w:sz w:val="21"/>
                <w:szCs w:val="21"/>
                <w:highlight w:val="none"/>
              </w:rPr>
            </w:pPr>
            <w:r>
              <w:rPr>
                <w:rFonts w:ascii="宋体" w:hAnsi="宋体" w:eastAsia="宋体"/>
                <w:color w:val="auto"/>
                <w:sz w:val="21"/>
                <w:szCs w:val="21"/>
                <w:highlight w:val="none"/>
              </w:rPr>
              <w:t>5.1</w:t>
            </w:r>
            <w:r>
              <w:rPr>
                <w:rFonts w:ascii="宋体" w:hAnsi="宋体" w:eastAsia="宋体" w:cs="宋体"/>
                <w:color w:val="auto"/>
                <w:sz w:val="21"/>
                <w:szCs w:val="21"/>
                <w:highlight w:val="none"/>
              </w:rPr>
              <w:t>（</w:t>
            </w:r>
            <w:r>
              <w:rPr>
                <w:rFonts w:ascii="宋体" w:hAnsi="宋体" w:eastAsia="宋体"/>
                <w:color w:val="auto"/>
                <w:sz w:val="21"/>
                <w:szCs w:val="21"/>
                <w:highlight w:val="none"/>
              </w:rPr>
              <w:t>A</w:t>
            </w:r>
            <w:r>
              <w:rPr>
                <w:rFonts w:ascii="宋体" w:hAnsi="宋体" w:eastAsia="宋体" w:cs="宋体"/>
                <w:color w:val="auto"/>
                <w:sz w:val="21"/>
                <w:szCs w:val="21"/>
                <w:highlight w:val="none"/>
              </w:rPr>
              <w:t>）</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开标时间和地点</w:t>
            </w:r>
          </w:p>
        </w:tc>
        <w:tc>
          <w:tcPr>
            <w:tcW w:w="3564"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删除。</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5.1</w:t>
            </w:r>
            <w:r>
              <w:rPr>
                <w:rFonts w:hint="eastAsia" w:ascii="宋体" w:hAnsi="宋体" w:eastAsia="宋体"/>
                <w:color w:val="auto"/>
                <w:sz w:val="21"/>
                <w:szCs w:val="21"/>
                <w:highlight w:val="none"/>
              </w:rPr>
              <w:t>（B）</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开标时间和地点</w:t>
            </w:r>
          </w:p>
        </w:tc>
        <w:tc>
          <w:tcPr>
            <w:tcW w:w="3564"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开标时间：同投标截止时间</w:t>
            </w:r>
          </w:p>
          <w:p>
            <w:pPr>
              <w:pStyle w:val="63"/>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开标地点：具体时间和地点可以到广州公共资源交易中心交易平台“建设工程→项目查询（日程安排、答疑纪要）”输入本项目编号或项目名称进行查询。</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5.2（</w:t>
            </w:r>
            <w:r>
              <w:rPr>
                <w:rFonts w:hint="eastAsia" w:ascii="宋体" w:hAnsi="宋体" w:eastAsia="宋体"/>
                <w:color w:val="auto"/>
                <w:sz w:val="21"/>
                <w:szCs w:val="21"/>
                <w:highlight w:val="none"/>
                <w:lang w:eastAsia="zh-CN"/>
              </w:rPr>
              <w:t>B</w:t>
            </w:r>
            <w:r>
              <w:rPr>
                <w:rFonts w:ascii="宋体" w:hAnsi="宋体" w:eastAsia="宋体"/>
                <w:color w:val="auto"/>
                <w:sz w:val="21"/>
                <w:szCs w:val="21"/>
                <w:highlight w:val="none"/>
              </w:rPr>
              <w:t>）</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olor w:val="auto"/>
                <w:sz w:val="21"/>
                <w:szCs w:val="21"/>
                <w:highlight w:val="none"/>
              </w:rPr>
            </w:pPr>
            <w:r>
              <w:rPr>
                <w:rFonts w:ascii="宋体" w:hAnsi="宋体" w:eastAsia="宋体"/>
                <w:color w:val="auto"/>
                <w:sz w:val="21"/>
                <w:szCs w:val="21"/>
                <w:highlight w:val="none"/>
              </w:rPr>
              <w:t>开标程序</w:t>
            </w:r>
          </w:p>
        </w:tc>
        <w:tc>
          <w:tcPr>
            <w:tcW w:w="3564"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在投标截止时间后半小时内，投标人通过递交投标文件的交易平台对已递交的电子投标文件进行解密。投标人完成解密后，再由招标人进行解密。解密完成后，公布招标项目名称、投标人名称等相关信息。未在规定时间内解密的投标文件不参与开标、评标。</w:t>
            </w:r>
          </w:p>
          <w:p>
            <w:pPr>
              <w:pStyle w:val="63"/>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2、截标后，开标开始时间因故推迟的，相关评标信息仍以原定的开标开始时间的信息为准。</w:t>
            </w:r>
          </w:p>
          <w:p>
            <w:pPr>
              <w:pStyle w:val="63"/>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lang w:eastAsia="zh-CN"/>
              </w:rPr>
              <w:t>、投标截止时间前未完成投标文件传输的或因投标人之外的原因造成投标文件未解密且未递交备用光盘的，视为投标人撤回投标文件。因投标人原因造成投标文件未解密或未在规定的时间内解密的，视为撤销其投标文件。</w:t>
            </w:r>
          </w:p>
          <w:p>
            <w:pPr>
              <w:pStyle w:val="63"/>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lang w:eastAsia="zh-CN"/>
              </w:rPr>
              <w:t>、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pStyle w:val="63"/>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lang w:eastAsia="zh-CN"/>
              </w:rPr>
              <w:t>、参加现场开标的投标人对开标结果有异议的，应当在开标现场提出，招标人应当当场作出答复，并制作记录。</w:t>
            </w:r>
          </w:p>
          <w:p>
            <w:pPr>
              <w:pStyle w:val="63"/>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lang w:eastAsia="zh-CN"/>
              </w:rPr>
              <w:t>、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pStyle w:val="63"/>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lang w:eastAsia="zh-CN"/>
              </w:rPr>
              <w:t>、投标人未参加开标或在规定的时间内未提出异议的，视为对开标无异议。</w:t>
            </w:r>
          </w:p>
          <w:p>
            <w:pPr>
              <w:pStyle w:val="63"/>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8</w:t>
            </w:r>
            <w:r>
              <w:rPr>
                <w:rFonts w:hint="eastAsia" w:ascii="宋体" w:hAnsi="宋体" w:eastAsia="宋体"/>
                <w:color w:val="auto"/>
                <w:sz w:val="21"/>
                <w:szCs w:val="21"/>
                <w:highlight w:val="none"/>
                <w:lang w:eastAsia="zh-CN"/>
              </w:rPr>
              <w:t>、开标时，两个（含两个）以上的投标人加密打包投标文件电脑机器特征码一致的，不参与下一程序，并由评标委员会否决其投标。</w:t>
            </w:r>
          </w:p>
          <w:p>
            <w:pPr>
              <w:pStyle w:val="63"/>
              <w:adjustRightInd w:val="0"/>
              <w:spacing w:beforeLines="50" w:line="360" w:lineRule="auto"/>
              <w:ind w:left="110" w:leftChars="50" w:right="110" w:rightChars="50"/>
              <w:rPr>
                <w:rFonts w:ascii="宋体" w:hAnsi="宋体" w:eastAsia="宋体"/>
                <w:b/>
                <w:bCs/>
                <w:color w:val="auto"/>
                <w:sz w:val="21"/>
                <w:szCs w:val="21"/>
                <w:highlight w:val="none"/>
                <w:u w:val="single"/>
                <w:lang w:eastAsia="zh-CN"/>
              </w:rPr>
            </w:pPr>
            <w:r>
              <w:rPr>
                <w:rFonts w:hint="eastAsia" w:ascii="宋体" w:hAnsi="宋体" w:eastAsia="宋体"/>
                <w:b/>
                <w:bCs/>
                <w:color w:val="auto"/>
                <w:sz w:val="21"/>
                <w:szCs w:val="21"/>
                <w:highlight w:val="none"/>
                <w:u w:val="single"/>
                <w:lang w:val="en-US" w:eastAsia="zh-CN"/>
              </w:rPr>
              <w:t>9</w:t>
            </w:r>
            <w:r>
              <w:rPr>
                <w:rFonts w:hint="eastAsia" w:ascii="宋体" w:hAnsi="宋体" w:eastAsia="宋体"/>
                <w:b/>
                <w:bCs/>
                <w:color w:val="auto"/>
                <w:sz w:val="21"/>
                <w:szCs w:val="21"/>
                <w:highlight w:val="none"/>
                <w:u w:val="single"/>
                <w:lang w:eastAsia="zh-CN"/>
              </w:rPr>
              <w:t>、技术文件开标时不得开启，在评标时由交易平台随机编号后开启，交由评标委员会进行评审。编号所对应的投标人在投票结束前不得告知评标委员会、交易平台工作人员、招标人或招标代理机构。</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6.1.1</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评标委员会的组建</w:t>
            </w:r>
          </w:p>
        </w:tc>
        <w:tc>
          <w:tcPr>
            <w:tcW w:w="3564" w:type="pct"/>
            <w:tcBorders>
              <w:top w:val="single" w:color="000000" w:sz="4" w:space="0"/>
              <w:left w:val="single" w:color="000000" w:sz="4" w:space="0"/>
              <w:bottom w:val="single" w:color="000000" w:sz="4" w:space="0"/>
              <w:right w:val="single" w:color="000000" w:sz="4" w:space="0"/>
            </w:tcBorders>
            <w:vAlign w:val="center"/>
          </w:tcPr>
          <w:p>
            <w:pPr>
              <w:pStyle w:val="63"/>
              <w:tabs>
                <w:tab w:val="left" w:pos="2309"/>
                <w:tab w:val="left" w:pos="2729"/>
                <w:tab w:val="left" w:pos="3826"/>
              </w:tabs>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s="宋体"/>
                <w:color w:val="auto"/>
                <w:spacing w:val="-2"/>
                <w:sz w:val="21"/>
                <w:szCs w:val="21"/>
                <w:highlight w:val="none"/>
                <w:lang w:eastAsia="zh-CN"/>
              </w:rPr>
              <w:t>评标委员会构成：</w:t>
            </w:r>
            <w:r>
              <w:rPr>
                <w:rFonts w:hint="eastAsia" w:ascii="宋体" w:hAnsi="宋体" w:eastAsia="宋体" w:cs="宋体"/>
                <w:color w:val="auto"/>
                <w:spacing w:val="-2"/>
                <w:sz w:val="21"/>
                <w:szCs w:val="21"/>
                <w:highlight w:val="none"/>
                <w:u w:val="single"/>
                <w:lang w:eastAsia="zh-CN"/>
              </w:rPr>
              <w:t>评标委员会由广东省综合评标评审专家库随机抽取的专家4名和业主代表1名组成，共5名</w:t>
            </w:r>
            <w:r>
              <w:rPr>
                <w:rFonts w:hint="eastAsia" w:ascii="宋体" w:hAnsi="宋体" w:eastAsia="宋体" w:cs="宋体"/>
                <w:color w:val="auto"/>
                <w:spacing w:val="-2"/>
                <w:sz w:val="21"/>
                <w:szCs w:val="21"/>
                <w:highlight w:val="none"/>
                <w:lang w:eastAsia="zh-CN"/>
              </w:rPr>
              <w:t>。</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6.3.2</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评标委员会推荐中标候选人的人数</w:t>
            </w:r>
          </w:p>
        </w:tc>
        <w:tc>
          <w:tcPr>
            <w:tcW w:w="3564"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推荐3名中标候选人。</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7.1</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中标候选人公示媒介及期限</w:t>
            </w:r>
          </w:p>
        </w:tc>
        <w:tc>
          <w:tcPr>
            <w:tcW w:w="3564" w:type="pct"/>
            <w:tcBorders>
              <w:top w:val="single" w:color="000000" w:sz="4" w:space="0"/>
              <w:left w:val="single" w:color="000000" w:sz="4" w:space="0"/>
              <w:bottom w:val="single" w:color="000000" w:sz="4" w:space="0"/>
              <w:right w:val="single" w:color="000000" w:sz="4" w:space="0"/>
            </w:tcBorders>
            <w:vAlign w:val="center"/>
          </w:tcPr>
          <w:p>
            <w:pPr>
              <w:pStyle w:val="63"/>
              <w:tabs>
                <w:tab w:val="left" w:pos="2100"/>
              </w:tabs>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公示媒介：</w:t>
            </w:r>
            <w:r>
              <w:rPr>
                <w:rFonts w:hint="eastAsia" w:ascii="宋体" w:hAnsi="宋体" w:eastAsia="宋体" w:cs="宋体"/>
                <w:color w:val="auto"/>
                <w:sz w:val="21"/>
                <w:szCs w:val="21"/>
                <w:highlight w:val="none"/>
                <w:lang w:eastAsia="zh-CN"/>
              </w:rPr>
              <w:t>中国招标投标公共服务平台、广东省招标投标监管网、广州公共资源交易中心网</w:t>
            </w:r>
          </w:p>
          <w:p>
            <w:pPr>
              <w:pStyle w:val="63"/>
              <w:tabs>
                <w:tab w:val="left" w:pos="2100"/>
              </w:tabs>
              <w:adjustRightInd w:val="0"/>
              <w:spacing w:beforeLines="50" w:line="360" w:lineRule="auto"/>
              <w:ind w:left="110" w:leftChars="50" w:right="110" w:rightChars="50"/>
              <w:jc w:val="both"/>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公示期限：</w:t>
            </w:r>
            <w:r>
              <w:rPr>
                <w:rFonts w:hint="eastAsia" w:ascii="宋体" w:hAnsi="宋体" w:eastAsia="宋体"/>
                <w:color w:val="auto"/>
                <w:spacing w:val="-2"/>
                <w:sz w:val="21"/>
                <w:szCs w:val="21"/>
                <w:highlight w:val="none"/>
                <w:u w:val="single" w:color="000000"/>
                <w:lang w:eastAsia="zh-CN"/>
              </w:rPr>
              <w:t>3</w:t>
            </w:r>
            <w:r>
              <w:rPr>
                <w:rFonts w:ascii="宋体" w:hAnsi="宋体" w:eastAsia="宋体" w:cs="宋体"/>
                <w:color w:val="auto"/>
                <w:sz w:val="21"/>
                <w:szCs w:val="21"/>
                <w:highlight w:val="none"/>
              </w:rPr>
              <w:t>日</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7.4</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是否授权评标委员会确定中标人</w:t>
            </w:r>
          </w:p>
        </w:tc>
        <w:tc>
          <w:tcPr>
            <w:tcW w:w="3564"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是</w:t>
            </w:r>
          </w:p>
          <w:p>
            <w:pPr>
              <w:pStyle w:val="63"/>
              <w:adjustRightInd w:val="0"/>
              <w:spacing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否</w:t>
            </w:r>
            <w:r>
              <w:rPr>
                <w:rFonts w:hint="eastAsia" w:ascii="宋体" w:hAnsi="宋体" w:eastAsia="宋体" w:cs="宋体"/>
                <w:color w:val="auto"/>
                <w:sz w:val="21"/>
                <w:szCs w:val="21"/>
                <w:highlight w:val="none"/>
                <w:lang w:eastAsia="zh-CN"/>
              </w:rPr>
              <w:t>：（</w:t>
            </w:r>
            <w:r>
              <w:rPr>
                <w:rFonts w:ascii="宋体" w:hAnsi="宋体" w:eastAsia="宋体"/>
                <w:color w:val="auto"/>
                <w:sz w:val="21"/>
                <w:szCs w:val="21"/>
                <w:highlight w:val="none"/>
                <w:lang w:eastAsia="zh-CN"/>
              </w:rPr>
              <w:t>1</w:t>
            </w:r>
            <w:r>
              <w:rPr>
                <w:rFonts w:hint="eastAsia" w:ascii="宋体" w:hAnsi="宋体" w:eastAsia="宋体" w:cs="宋体"/>
                <w:color w:val="auto"/>
                <w:sz w:val="21"/>
                <w:szCs w:val="21"/>
                <w:highlight w:val="none"/>
                <w:lang w:eastAsia="zh-CN"/>
              </w:rPr>
              <w:t>）招标人的招标领导小组根据评标报告，最终审定中标人。</w:t>
            </w:r>
          </w:p>
          <w:p>
            <w:pPr>
              <w:pStyle w:val="63"/>
              <w:adjustRightInd w:val="0"/>
              <w:spacing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ascii="宋体" w:hAnsi="宋体" w:eastAsia="宋体"/>
                <w:color w:val="auto"/>
                <w:sz w:val="21"/>
                <w:szCs w:val="21"/>
                <w:highlight w:val="none"/>
                <w:lang w:eastAsia="zh-CN"/>
              </w:rPr>
              <w:t>2</w:t>
            </w:r>
            <w:r>
              <w:rPr>
                <w:rFonts w:hint="eastAsia" w:ascii="宋体" w:hAnsi="宋体" w:eastAsia="宋体" w:cs="宋体"/>
                <w:color w:val="auto"/>
                <w:sz w:val="21"/>
                <w:szCs w:val="21"/>
                <w:highlight w:val="none"/>
                <w:lang w:eastAsia="zh-CN"/>
              </w:rPr>
              <w:t>）依法必须进行公开招标的项目，招标人应当确定排名第一的中标候选人为中标人。</w:t>
            </w:r>
          </w:p>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ascii="宋体" w:hAnsi="宋体" w:eastAsia="宋体"/>
                <w:color w:val="auto"/>
                <w:sz w:val="21"/>
                <w:szCs w:val="21"/>
                <w:highlight w:val="none"/>
                <w:lang w:eastAsia="zh-CN"/>
              </w:rPr>
              <w:t>3</w:t>
            </w:r>
            <w:r>
              <w:rPr>
                <w:rFonts w:hint="eastAsia" w:ascii="宋体" w:hAnsi="宋体" w:eastAsia="宋体" w:cs="宋体"/>
                <w:color w:val="auto"/>
                <w:sz w:val="21"/>
                <w:szCs w:val="21"/>
                <w:highlight w:val="none"/>
                <w:lang w:eastAsia="zh-CN"/>
              </w:rPr>
              <w:t>）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7.6</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技术成果经济补偿</w:t>
            </w:r>
          </w:p>
        </w:tc>
        <w:tc>
          <w:tcPr>
            <w:tcW w:w="3564"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本次招标对未中标人投标文件中的技术成果不给予经济补偿。</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7.7.1</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履约保证金</w:t>
            </w:r>
          </w:p>
        </w:tc>
        <w:tc>
          <w:tcPr>
            <w:tcW w:w="3564" w:type="pct"/>
            <w:tcBorders>
              <w:top w:val="single" w:color="000000" w:sz="4" w:space="0"/>
              <w:left w:val="single" w:color="000000" w:sz="4" w:space="0"/>
              <w:bottom w:val="single" w:color="000000" w:sz="4" w:space="0"/>
              <w:right w:val="single" w:color="000000" w:sz="4" w:space="0"/>
            </w:tcBorders>
            <w:vAlign w:val="center"/>
          </w:tcPr>
          <w:p>
            <w:pPr>
              <w:pStyle w:val="63"/>
              <w:kinsoku w:val="0"/>
              <w:overflowPunct w:val="0"/>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是否要求中标人提交履约保证金：</w:t>
            </w:r>
          </w:p>
          <w:p>
            <w:pPr>
              <w:pStyle w:val="24"/>
              <w:topLinePunct/>
              <w:adjustRightInd w:val="0"/>
              <w:spacing w:beforeLines="50" w:line="360" w:lineRule="auto"/>
              <w:ind w:left="110" w:leftChars="50" w:right="110" w:rightChars="50"/>
              <w:rPr>
                <w:rFonts w:hint="eastAsia" w:ascii="宋体" w:hAnsi="宋体" w:eastAsia="宋体"/>
                <w:color w:val="auto"/>
                <w:sz w:val="21"/>
                <w:szCs w:val="21"/>
                <w:highlight w:val="none"/>
              </w:rPr>
            </w:pPr>
            <w:r>
              <w:rPr>
                <w:rFonts w:hint="eastAsia" w:hAnsi="宋体"/>
                <w:color w:val="auto"/>
                <w:spacing w:val="-1"/>
                <w:sz w:val="21"/>
                <w:szCs w:val="21"/>
                <w:highlight w:val="none"/>
                <w:lang w:eastAsia="zh-CN"/>
              </w:rPr>
              <w:t>■</w:t>
            </w:r>
            <w:r>
              <w:rPr>
                <w:rFonts w:hint="eastAsia" w:hAnsi="宋体"/>
                <w:color w:val="auto"/>
                <w:sz w:val="21"/>
                <w:szCs w:val="21"/>
                <w:highlight w:val="none"/>
                <w:lang w:eastAsia="zh-CN"/>
              </w:rPr>
              <w:t>要求，履约保证金的形式：</w:t>
            </w:r>
            <w:r>
              <w:rPr>
                <w:rFonts w:hint="eastAsia" w:ascii="宋体" w:hAnsi="宋体" w:eastAsia="宋体"/>
                <w:color w:val="auto"/>
                <w:sz w:val="21"/>
                <w:szCs w:val="21"/>
                <w:highlight w:val="none"/>
                <w:u w:val="single"/>
              </w:rPr>
              <w:t>履约担保函或其他招标人同意的方式。</w:t>
            </w:r>
          </w:p>
          <w:p>
            <w:pPr>
              <w:pStyle w:val="24"/>
              <w:topLinePunct/>
              <w:adjustRightInd w:val="0"/>
              <w:spacing w:beforeLines="50" w:line="360" w:lineRule="auto"/>
              <w:ind w:left="110" w:leftChars="50" w:right="110" w:rightChars="5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履约保证金的金额：中标单位在申请第一笔款项前向招标人提交履约保证金，担保金额为签约合同价的10%。履约担保函应由在中国注册的银行开具。履约保函到期但本项目未工程结算的，无论何种原因，投标人承诺无条件续保，如履约保函到期不提供续保则承担一般违约责任。</w:t>
            </w:r>
          </w:p>
          <w:p>
            <w:pPr>
              <w:pStyle w:val="63"/>
              <w:kinsoku w:val="0"/>
              <w:overflowPunct w:val="0"/>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olor w:val="auto"/>
                <w:kern w:val="2"/>
                <w:sz w:val="21"/>
                <w:szCs w:val="21"/>
                <w:highlight w:val="none"/>
              </w:rPr>
              <w:t>□</w:t>
            </w:r>
            <w:r>
              <w:rPr>
                <w:rFonts w:hint="eastAsia" w:ascii="宋体" w:hAnsi="宋体" w:eastAsia="宋体" w:cs="宋体"/>
                <w:color w:val="auto"/>
                <w:kern w:val="2"/>
                <w:sz w:val="21"/>
                <w:szCs w:val="21"/>
                <w:highlight w:val="none"/>
              </w:rPr>
              <w:t>不要求</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9</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是否采用电子招标投标</w:t>
            </w:r>
          </w:p>
        </w:tc>
        <w:tc>
          <w:tcPr>
            <w:tcW w:w="3564"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否</w:t>
            </w:r>
          </w:p>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是，具体要求：</w:t>
            </w:r>
          </w:p>
          <w:p>
            <w:pPr>
              <w:adjustRightInd w:val="0"/>
              <w:spacing w:beforeLines="50" w:line="360" w:lineRule="auto"/>
              <w:ind w:left="110" w:leftChars="50" w:right="110" w:rightChars="50"/>
              <w:rPr>
                <w:rFonts w:ascii="宋体" w:hAnsi="宋体" w:eastAsia="宋体"/>
                <w:color w:val="auto"/>
                <w:sz w:val="21"/>
                <w:szCs w:val="21"/>
                <w:highlight w:val="none"/>
                <w:u w:val="single"/>
                <w:lang w:eastAsia="zh-CN"/>
              </w:rPr>
            </w:pPr>
            <w:r>
              <w:rPr>
                <w:rFonts w:hint="eastAsia" w:ascii="宋体" w:hAnsi="宋体" w:eastAsia="宋体" w:cs="Courier New"/>
                <w:color w:val="auto"/>
                <w:sz w:val="21"/>
                <w:szCs w:val="21"/>
                <w:highlight w:val="none"/>
                <w:u w:val="single"/>
                <w:lang w:eastAsia="zh-CN"/>
              </w:rPr>
              <w:t>1、</w:t>
            </w:r>
            <w:r>
              <w:rPr>
                <w:rFonts w:hint="eastAsia" w:ascii="宋体" w:hAnsi="宋体" w:eastAsia="宋体"/>
                <w:color w:val="auto"/>
                <w:sz w:val="21"/>
                <w:szCs w:val="21"/>
                <w:highlight w:val="none"/>
                <w:u w:val="single"/>
                <w:lang w:eastAsia="zh-CN"/>
              </w:rPr>
              <w:t>具体操作详见附件《【通用版】新电子招投标系统通用版操作指引（适用于建设工程不使用范本的各类电子标项目操作指引）》（http://www.gzggzy.cn/fwznxtbzczsc/868038.jhtml）。</w:t>
            </w:r>
          </w:p>
          <w:p>
            <w:pPr>
              <w:adjustRightInd w:val="0"/>
              <w:spacing w:beforeLines="50" w:line="360" w:lineRule="auto"/>
              <w:ind w:left="110" w:leftChars="50" w:right="110" w:rightChars="50"/>
              <w:rPr>
                <w:rFonts w:ascii="宋体" w:hAnsi="宋体" w:eastAsia="宋体" w:cs="Courier New"/>
                <w:color w:val="auto"/>
                <w:sz w:val="21"/>
                <w:szCs w:val="21"/>
                <w:highlight w:val="none"/>
                <w:u w:val="single"/>
                <w:lang w:eastAsia="zh-CN"/>
              </w:rPr>
            </w:pPr>
            <w:r>
              <w:rPr>
                <w:rFonts w:hint="eastAsia" w:ascii="宋体" w:hAnsi="宋体" w:eastAsia="宋体" w:cs="Courier New"/>
                <w:color w:val="auto"/>
                <w:sz w:val="21"/>
                <w:szCs w:val="21"/>
                <w:highlight w:val="none"/>
                <w:u w:val="single"/>
                <w:lang w:eastAsia="zh-CN"/>
              </w:rPr>
              <w:t>2、提交投标文件光盘备用</w:t>
            </w:r>
          </w:p>
          <w:p>
            <w:pPr>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u w:val="single"/>
                <w:lang w:eastAsia="zh-CN"/>
              </w:rPr>
              <w:t>投标人可制作非加密的</w:t>
            </w:r>
            <w:r>
              <w:rPr>
                <w:rFonts w:hint="eastAsia" w:ascii="宋体" w:hAnsi="宋体" w:eastAsia="宋体"/>
                <w:color w:val="auto"/>
                <w:spacing w:val="-2"/>
                <w:sz w:val="21"/>
                <w:szCs w:val="21"/>
                <w:highlight w:val="none"/>
                <w:u w:val="single"/>
                <w:lang w:eastAsia="zh-CN"/>
              </w:rPr>
              <w:t>商务文件光盘、技术文件光盘各1个</w:t>
            </w:r>
            <w:r>
              <w:rPr>
                <w:rFonts w:hint="eastAsia" w:ascii="宋体" w:hAnsi="宋体" w:eastAsia="宋体"/>
                <w:color w:val="auto"/>
                <w:sz w:val="21"/>
                <w:szCs w:val="21"/>
                <w:highlight w:val="none"/>
                <w:u w:val="single"/>
                <w:lang w:eastAsia="zh-CN"/>
              </w:rPr>
              <w:t>及制作保密信封（1个），在招标公告规定的时间、地点提交备用。</w:t>
            </w:r>
            <w:r>
              <w:rPr>
                <w:rFonts w:hint="eastAsia" w:ascii="宋体" w:hAnsi="宋体" w:eastAsia="宋体"/>
                <w:b/>
                <w:color w:val="auto"/>
                <w:sz w:val="21"/>
                <w:szCs w:val="21"/>
                <w:highlight w:val="none"/>
                <w:u w:val="single"/>
                <w:lang w:eastAsia="zh-CN"/>
              </w:rPr>
              <w:t>刻录好的投标文件光盘及保密信封密封在密封袋中。密封袋上应写明项目名称和招标人名称。</w:t>
            </w:r>
            <w:r>
              <w:rPr>
                <w:rFonts w:hint="eastAsia" w:ascii="宋体" w:hAnsi="宋体" w:eastAsia="宋体"/>
                <w:color w:val="auto"/>
                <w:sz w:val="21"/>
                <w:szCs w:val="21"/>
                <w:highlight w:val="none"/>
                <w:u w:val="single"/>
                <w:lang w:eastAsia="zh-CN"/>
              </w:rPr>
              <w:t>递交的投标文件光盘（备用）不得加密。备用光盘无法读取或导入的，则视为未提交投标文件光盘（备用）。如果投标人没有按规定通过交易平台网上递交电子投标文件的，不再读取提交的光盘及开启保密信封。投标人也可不提交投标文件光盘（备用）及保密信封（备用）。</w:t>
            </w:r>
          </w:p>
          <w:p>
            <w:pPr>
              <w:adjustRightInd w:val="0"/>
              <w:spacing w:beforeLines="50" w:line="360" w:lineRule="auto"/>
              <w:ind w:left="110" w:leftChars="50" w:right="110" w:rightChars="50"/>
              <w:rPr>
                <w:rFonts w:ascii="宋体" w:hAnsi="宋体" w:eastAsia="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3、补</w:t>
            </w:r>
            <w:r>
              <w:rPr>
                <w:rFonts w:hint="eastAsia" w:ascii="宋体" w:hAnsi="宋体" w:eastAsia="宋体"/>
                <w:color w:val="auto"/>
                <w:sz w:val="21"/>
                <w:szCs w:val="21"/>
                <w:highlight w:val="none"/>
                <w:u w:val="single"/>
                <w:lang w:eastAsia="zh-CN"/>
              </w:rPr>
              <w:t>救方案</w:t>
            </w:r>
          </w:p>
          <w:p>
            <w:pPr>
              <w:adjustRightInd w:val="0"/>
              <w:spacing w:beforeLines="50" w:line="360" w:lineRule="auto"/>
              <w:ind w:left="110" w:leftChars="50" w:right="110" w:rightChars="50"/>
              <w:rPr>
                <w:rFonts w:ascii="宋体" w:hAnsi="宋体" w:eastAsia="宋体"/>
                <w:color w:val="auto"/>
                <w:sz w:val="21"/>
                <w:szCs w:val="21"/>
                <w:highlight w:val="none"/>
                <w:u w:val="single"/>
                <w:lang w:eastAsia="zh-CN"/>
              </w:rPr>
            </w:pPr>
            <w:r>
              <w:rPr>
                <w:rFonts w:hint="eastAsia" w:ascii="宋体" w:hAnsi="宋体" w:eastAsia="宋体"/>
                <w:color w:val="auto"/>
                <w:sz w:val="21"/>
                <w:szCs w:val="21"/>
                <w:highlight w:val="none"/>
                <w:u w:val="single"/>
                <w:lang w:eastAsia="zh-CN"/>
              </w:rPr>
              <w:t>（1）投标文件解密失败的补救方案：</w:t>
            </w:r>
          </w:p>
          <w:p>
            <w:pPr>
              <w:adjustRightInd w:val="0"/>
              <w:spacing w:beforeLines="50" w:line="360" w:lineRule="auto"/>
              <w:ind w:left="110" w:leftChars="50" w:right="110" w:rightChars="50"/>
              <w:rPr>
                <w:rFonts w:ascii="宋体" w:hAnsi="宋体" w:eastAsia="宋体"/>
                <w:color w:val="auto"/>
                <w:sz w:val="21"/>
                <w:szCs w:val="21"/>
                <w:highlight w:val="none"/>
                <w:u w:val="single"/>
                <w:lang w:eastAsia="zh-CN"/>
              </w:rPr>
            </w:pPr>
            <w:r>
              <w:rPr>
                <w:rFonts w:hint="eastAsia" w:ascii="宋体" w:hAnsi="宋体" w:eastAsia="宋体"/>
                <w:color w:val="auto"/>
                <w:sz w:val="21"/>
                <w:szCs w:val="21"/>
                <w:highlight w:val="none"/>
                <w:u w:val="single"/>
                <w:lang w:eastAsia="zh-CN"/>
              </w:rPr>
              <w:t>在规定时间内，因投标人之外原因（指</w:t>
            </w:r>
            <w:r>
              <w:rPr>
                <w:rFonts w:ascii="宋体" w:hAnsi="宋体" w:eastAsia="宋体"/>
                <w:color w:val="auto"/>
                <w:sz w:val="21"/>
                <w:szCs w:val="21"/>
                <w:highlight w:val="none"/>
                <w:u w:val="single"/>
                <w:lang w:eastAsia="zh-CN"/>
              </w:rPr>
              <w:t>网络瘫痪</w:t>
            </w:r>
            <w:r>
              <w:rPr>
                <w:rFonts w:hint="eastAsia" w:ascii="宋体" w:hAnsi="宋体" w:eastAsia="宋体"/>
                <w:color w:val="auto"/>
                <w:sz w:val="21"/>
                <w:szCs w:val="21"/>
                <w:highlight w:val="none"/>
                <w:u w:val="single"/>
                <w:lang w:eastAsia="zh-CN"/>
              </w:rPr>
              <w:t>、服务器损坏、交易系统故障短期无法恢复等因素）导致的电子投标文件解密失败，在开标现场读取光盘内容，继续开标程序。评标委员会对其投标文件的评审以光盘内容为准。因</w:t>
            </w:r>
            <w:r>
              <w:rPr>
                <w:rFonts w:ascii="宋体" w:hAnsi="宋体" w:eastAsia="宋体"/>
                <w:color w:val="auto"/>
                <w:sz w:val="21"/>
                <w:szCs w:val="21"/>
                <w:highlight w:val="none"/>
                <w:u w:val="single"/>
                <w:lang w:eastAsia="zh-CN"/>
              </w:rPr>
              <w:t>投标人原因</w:t>
            </w:r>
            <w:r>
              <w:rPr>
                <w:rFonts w:hint="eastAsia" w:ascii="宋体" w:hAnsi="宋体" w:eastAsia="宋体"/>
                <w:color w:val="auto"/>
                <w:sz w:val="21"/>
                <w:szCs w:val="21"/>
                <w:highlight w:val="none"/>
                <w:u w:val="single"/>
                <w:lang w:eastAsia="zh-CN"/>
              </w:rPr>
              <w:t>解密失败</w:t>
            </w:r>
            <w:r>
              <w:rPr>
                <w:rFonts w:ascii="宋体" w:hAnsi="宋体" w:eastAsia="宋体"/>
                <w:color w:val="auto"/>
                <w:sz w:val="21"/>
                <w:szCs w:val="21"/>
                <w:highlight w:val="none"/>
                <w:u w:val="single"/>
                <w:lang w:eastAsia="zh-CN"/>
              </w:rPr>
              <w:t>且</w:t>
            </w:r>
            <w:r>
              <w:rPr>
                <w:rFonts w:hint="eastAsia" w:ascii="宋体" w:hAnsi="宋体" w:eastAsia="宋体"/>
                <w:color w:val="auto"/>
                <w:sz w:val="21"/>
                <w:szCs w:val="21"/>
                <w:highlight w:val="none"/>
                <w:u w:val="single"/>
                <w:lang w:eastAsia="zh-CN"/>
              </w:rPr>
              <w:t>未</w:t>
            </w:r>
            <w:r>
              <w:rPr>
                <w:rFonts w:ascii="宋体" w:hAnsi="宋体" w:eastAsia="宋体"/>
                <w:color w:val="auto"/>
                <w:sz w:val="21"/>
                <w:szCs w:val="21"/>
                <w:highlight w:val="none"/>
                <w:u w:val="single"/>
                <w:lang w:eastAsia="zh-CN"/>
              </w:rPr>
              <w:t>递交电子光盘</w:t>
            </w:r>
            <w:r>
              <w:rPr>
                <w:rFonts w:hint="eastAsia" w:ascii="宋体" w:hAnsi="宋体" w:eastAsia="宋体"/>
                <w:color w:val="auto"/>
                <w:sz w:val="21"/>
                <w:szCs w:val="21"/>
                <w:highlight w:val="none"/>
                <w:u w:val="single"/>
                <w:lang w:eastAsia="zh-CN"/>
              </w:rPr>
              <w:t>或递交</w:t>
            </w:r>
            <w:r>
              <w:rPr>
                <w:rFonts w:ascii="宋体" w:hAnsi="宋体" w:eastAsia="宋体"/>
                <w:color w:val="auto"/>
                <w:sz w:val="21"/>
                <w:szCs w:val="21"/>
                <w:highlight w:val="none"/>
                <w:u w:val="single"/>
                <w:lang w:eastAsia="zh-CN"/>
              </w:rPr>
              <w:t>的电子光盘</w:t>
            </w:r>
            <w:r>
              <w:rPr>
                <w:rFonts w:hint="eastAsia" w:ascii="宋体" w:hAnsi="宋体" w:eastAsia="宋体"/>
                <w:color w:val="auto"/>
                <w:sz w:val="21"/>
                <w:szCs w:val="21"/>
                <w:highlight w:val="none"/>
                <w:u w:val="single"/>
                <w:lang w:eastAsia="zh-CN"/>
              </w:rPr>
              <w:t>不能</w:t>
            </w:r>
            <w:r>
              <w:rPr>
                <w:rFonts w:ascii="宋体" w:hAnsi="宋体" w:eastAsia="宋体"/>
                <w:color w:val="auto"/>
                <w:sz w:val="21"/>
                <w:szCs w:val="21"/>
                <w:highlight w:val="none"/>
                <w:u w:val="single"/>
                <w:lang w:eastAsia="zh-CN"/>
              </w:rPr>
              <w:t>读取的，视为撤回投标文件。</w:t>
            </w:r>
          </w:p>
          <w:p>
            <w:pPr>
              <w:adjustRightInd w:val="0"/>
              <w:spacing w:beforeLines="50" w:line="360" w:lineRule="auto"/>
              <w:ind w:left="110" w:leftChars="50" w:right="110" w:rightChars="50"/>
              <w:rPr>
                <w:rFonts w:ascii="宋体" w:hAnsi="宋体" w:eastAsia="宋体"/>
                <w:color w:val="auto"/>
                <w:sz w:val="21"/>
                <w:szCs w:val="21"/>
                <w:highlight w:val="none"/>
                <w:u w:val="single"/>
                <w:lang w:eastAsia="zh-CN"/>
              </w:rPr>
            </w:pPr>
            <w:r>
              <w:rPr>
                <w:rFonts w:hint="eastAsia" w:ascii="宋体" w:hAnsi="宋体" w:eastAsia="宋体"/>
                <w:color w:val="auto"/>
                <w:sz w:val="21"/>
                <w:szCs w:val="21"/>
                <w:highlight w:val="none"/>
                <w:u w:val="single"/>
                <w:lang w:eastAsia="zh-CN"/>
              </w:rPr>
              <w:t>（2）评标时突发情况的补救方案</w:t>
            </w:r>
          </w:p>
          <w:p>
            <w:pPr>
              <w:adjustRightInd w:val="0"/>
              <w:spacing w:beforeLines="50" w:line="360" w:lineRule="auto"/>
              <w:ind w:left="110" w:leftChars="50" w:right="110" w:rightChars="50"/>
              <w:rPr>
                <w:rFonts w:ascii="宋体" w:hAnsi="宋体" w:eastAsia="宋体"/>
                <w:color w:val="auto"/>
                <w:sz w:val="21"/>
                <w:szCs w:val="21"/>
                <w:highlight w:val="none"/>
                <w:u w:val="single"/>
                <w:lang w:eastAsia="zh-CN"/>
              </w:rPr>
            </w:pPr>
            <w:r>
              <w:rPr>
                <w:rFonts w:hint="eastAsia" w:ascii="宋体" w:hAnsi="宋体" w:eastAsia="宋体"/>
                <w:color w:val="auto"/>
                <w:sz w:val="21"/>
                <w:szCs w:val="21"/>
                <w:highlight w:val="none"/>
                <w:u w:val="single"/>
                <w:lang w:eastAsia="zh-CN"/>
              </w:rPr>
              <w:t>若遇不可抗力发生（如：网络瘫痪、服务器损坏、交易系统故障短期无法恢复等因素），由评标委员会开启递交的全部投标文件光盘，并按光盘内容进行评审。</w:t>
            </w:r>
          </w:p>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olor w:val="auto"/>
                <w:sz w:val="21"/>
                <w:szCs w:val="21"/>
                <w:highlight w:val="none"/>
                <w:u w:val="single"/>
                <w:lang w:eastAsia="zh-CN"/>
              </w:rPr>
              <w:t>（3）除发生上述情况外，开标评标均以投标人通过交易平台网上递交的电子投标文件为准。</w:t>
            </w:r>
          </w:p>
        </w:tc>
      </w:tr>
      <w:tr>
        <w:tblPrEx>
          <w:tblCellMar>
            <w:top w:w="0" w:type="dxa"/>
            <w:left w:w="0" w:type="dxa"/>
            <w:bottom w:w="0" w:type="dxa"/>
            <w:right w:w="0" w:type="dxa"/>
          </w:tblCellMar>
        </w:tblPrEx>
        <w:trPr>
          <w:trHeight w:val="593" w:hRule="atLeast"/>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10</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需要补充的其他内容</w:t>
            </w:r>
          </w:p>
        </w:tc>
        <w:tc>
          <w:tcPr>
            <w:tcW w:w="3564"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jc w:val="both"/>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10.</w:t>
            </w:r>
            <w:r>
              <w:rPr>
                <w:rFonts w:hint="eastAsia" w:ascii="宋体" w:hAnsi="宋体" w:eastAsia="宋体"/>
                <w:color w:val="auto"/>
                <w:sz w:val="21"/>
                <w:szCs w:val="21"/>
                <w:highlight w:val="none"/>
                <w:lang w:val="en-US" w:eastAsia="zh-CN"/>
              </w:rPr>
              <w:t>1</w:t>
            </w:r>
          </w:p>
        </w:tc>
        <w:tc>
          <w:tcPr>
            <w:tcW w:w="918"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招标失败的情形</w:t>
            </w:r>
          </w:p>
        </w:tc>
        <w:tc>
          <w:tcPr>
            <w:tcW w:w="3564"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本项目采用资格后审方式，满足资格审查合格条件或通过初步评审的投标申请人不足</w:t>
            </w:r>
            <w:r>
              <w:rPr>
                <w:rFonts w:ascii="宋体" w:hAnsi="宋体" w:eastAsia="宋体"/>
                <w:color w:val="auto"/>
                <w:sz w:val="21"/>
                <w:szCs w:val="21"/>
                <w:highlight w:val="none"/>
                <w:lang w:eastAsia="zh-CN"/>
              </w:rPr>
              <w:t>3</w:t>
            </w:r>
            <w:r>
              <w:rPr>
                <w:rFonts w:hint="eastAsia" w:ascii="宋体" w:hAnsi="宋体" w:eastAsia="宋体"/>
                <w:color w:val="auto"/>
                <w:sz w:val="21"/>
                <w:szCs w:val="21"/>
                <w:highlight w:val="none"/>
                <w:lang w:eastAsia="zh-CN"/>
              </w:rPr>
              <w:t>名时为招标失败。招标人分析招标失败原因，修正招标方案，报有关管理部门核准后，重新组织招标。</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10.</w:t>
            </w:r>
            <w:r>
              <w:rPr>
                <w:rFonts w:hint="eastAsia" w:ascii="宋体" w:hAnsi="宋体" w:eastAsia="宋体"/>
                <w:color w:val="auto"/>
                <w:sz w:val="21"/>
                <w:szCs w:val="21"/>
                <w:highlight w:val="none"/>
                <w:lang w:val="en-US" w:eastAsia="zh-CN"/>
              </w:rPr>
              <w:t>2</w:t>
            </w:r>
          </w:p>
        </w:tc>
        <w:tc>
          <w:tcPr>
            <w:tcW w:w="918"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投标文件公开</w:t>
            </w:r>
          </w:p>
        </w:tc>
        <w:tc>
          <w:tcPr>
            <w:tcW w:w="3564"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s="宋体"/>
                <w:color w:val="auto"/>
                <w:spacing w:val="-2"/>
                <w:sz w:val="21"/>
                <w:szCs w:val="21"/>
                <w:highlight w:val="none"/>
                <w:u w:val="single"/>
                <w:lang w:eastAsia="zh-CN"/>
              </w:rPr>
              <w:t>在产生中标候选人后，招标人将中标候选人的投标文件商务部分的电子版（报价清单、方案等涉及商业秘密的内容除外）在广州公共资源交易中心网站等法定媒介公开。</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10.</w:t>
            </w:r>
            <w:r>
              <w:rPr>
                <w:rFonts w:hint="eastAsia" w:ascii="宋体" w:hAnsi="宋体" w:eastAsia="宋体"/>
                <w:color w:val="auto"/>
                <w:sz w:val="21"/>
                <w:szCs w:val="21"/>
                <w:highlight w:val="none"/>
                <w:lang w:val="en-US" w:eastAsia="zh-CN"/>
              </w:rPr>
              <w:t>3</w:t>
            </w:r>
          </w:p>
        </w:tc>
        <w:tc>
          <w:tcPr>
            <w:tcW w:w="918"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rPr>
              <w:t>其他</w:t>
            </w:r>
          </w:p>
        </w:tc>
        <w:tc>
          <w:tcPr>
            <w:tcW w:w="3564"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1、招标公告、招标文件、答疑纪要等招标资料全部发布在广州公共资源交易中心网站，由投标人自行下载查阅。</w:t>
            </w:r>
          </w:p>
          <w:p>
            <w:pPr>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2、投标截止时间、开标时间和地点：发布在广州公共资源交易中心网站（具体在网站主页“服务指南”中“交易活动安排”栏目上以“项目名称”或“项目编号”进行查询）。</w:t>
            </w:r>
          </w:p>
          <w:p>
            <w:pPr>
              <w:autoSpaceDE w:val="0"/>
              <w:autoSpaceDN w:val="0"/>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3、中标后，中标单位须提交与网上上传电子投标文件完全一致的纸质投标文件给招标单位。</w:t>
            </w:r>
          </w:p>
          <w:p>
            <w:pPr>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4、本工程采用全电子化资格后审方式，具体要求详见《【通用版】新电子招投标系统通用版操作指引（适用于建设工程不使用范本的各类电子标项目操作指引）》（http://www.gzggzy.cn/fwznxtbzczsc/868038.jhtml）。</w:t>
            </w:r>
          </w:p>
          <w:p>
            <w:pPr>
              <w:autoSpaceDE w:val="0"/>
              <w:autoSpaceDN w:val="0"/>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5</w:t>
            </w:r>
            <w:r>
              <w:rPr>
                <w:rFonts w:ascii="宋体" w:hAnsi="宋体" w:eastAsia="宋体"/>
                <w:color w:val="auto"/>
                <w:sz w:val="21"/>
                <w:szCs w:val="21"/>
                <w:highlight w:val="none"/>
                <w:lang w:eastAsia="zh-CN"/>
              </w:rPr>
              <w:t>.</w:t>
            </w:r>
            <w:r>
              <w:rPr>
                <w:rFonts w:hint="eastAsia" w:ascii="宋体" w:hAnsi="宋体" w:eastAsia="宋体" w:cs="宋体"/>
                <w:color w:val="auto"/>
                <w:sz w:val="21"/>
                <w:szCs w:val="20"/>
                <w:highlight w:val="none"/>
                <w:lang w:eastAsia="zh-CN"/>
              </w:rPr>
              <w:t>本项目广州公共资源交易中心收取的交易服务费由中标人支付，</w:t>
            </w:r>
            <w:r>
              <w:rPr>
                <w:rFonts w:hint="eastAsia" w:ascii="宋体" w:hAnsi="宋体" w:eastAsia="宋体" w:cs="宋体"/>
                <w:color w:val="auto"/>
                <w:sz w:val="21"/>
                <w:szCs w:val="20"/>
                <w:highlight w:val="none"/>
                <w:lang w:val="en-US" w:eastAsia="zh-CN"/>
              </w:rPr>
              <w:t>视同已包含在本次</w:t>
            </w:r>
            <w:r>
              <w:rPr>
                <w:rFonts w:hint="eastAsia" w:ascii="宋体" w:hAnsi="宋体" w:eastAsia="宋体" w:cs="宋体"/>
                <w:color w:val="auto"/>
                <w:sz w:val="21"/>
                <w:szCs w:val="20"/>
                <w:highlight w:val="none"/>
                <w:lang w:eastAsia="zh-CN"/>
              </w:rPr>
              <w:t>投标报价中，招标人不另行支付。中标人应在领取中标通知书前及时向广州公共资源交易中心缴交交易服务费，未按要求缴交的，招标人有权取消其中标资格。本项目招标代理服务费由</w:t>
            </w:r>
            <w:r>
              <w:rPr>
                <w:rFonts w:hint="eastAsia" w:ascii="宋体" w:hAnsi="宋体" w:eastAsia="宋体" w:cs="宋体"/>
                <w:color w:val="auto"/>
                <w:sz w:val="21"/>
                <w:szCs w:val="20"/>
                <w:highlight w:val="none"/>
                <w:lang w:val="en-US" w:eastAsia="zh-CN"/>
              </w:rPr>
              <w:t>招标人</w:t>
            </w:r>
            <w:r>
              <w:rPr>
                <w:rFonts w:hint="eastAsia" w:ascii="宋体" w:hAnsi="宋体" w:eastAsia="宋体" w:cs="宋体"/>
                <w:color w:val="auto"/>
                <w:sz w:val="21"/>
                <w:szCs w:val="20"/>
                <w:highlight w:val="none"/>
                <w:lang w:eastAsia="zh-CN"/>
              </w:rPr>
              <w:t>支付。</w:t>
            </w:r>
          </w:p>
        </w:tc>
      </w:tr>
      <w:tr>
        <w:tblPrEx>
          <w:tblCellMar>
            <w:top w:w="0" w:type="dxa"/>
            <w:left w:w="0" w:type="dxa"/>
            <w:bottom w:w="0" w:type="dxa"/>
            <w:right w:w="0" w:type="dxa"/>
          </w:tblCellMar>
        </w:tblPrEx>
        <w:trPr>
          <w:jc w:val="center"/>
        </w:trPr>
        <w:tc>
          <w:tcPr>
            <w:tcW w:w="517"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10.</w:t>
            </w:r>
            <w:r>
              <w:rPr>
                <w:rFonts w:hint="eastAsia" w:ascii="宋体" w:hAnsi="宋体" w:eastAsia="宋体"/>
                <w:color w:val="auto"/>
                <w:sz w:val="21"/>
                <w:szCs w:val="21"/>
                <w:highlight w:val="none"/>
                <w:lang w:val="en-US" w:eastAsia="zh-CN"/>
              </w:rPr>
              <w:t>4</w:t>
            </w:r>
          </w:p>
        </w:tc>
        <w:tc>
          <w:tcPr>
            <w:tcW w:w="918"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jc w:val="center"/>
              <w:rPr>
                <w:rFonts w:ascii="宋体" w:hAnsi="宋体" w:eastAsia="宋体"/>
                <w:color w:val="auto"/>
                <w:sz w:val="21"/>
                <w:szCs w:val="21"/>
                <w:highlight w:val="none"/>
              </w:rPr>
            </w:pPr>
            <w:r>
              <w:rPr>
                <w:rFonts w:hint="eastAsia" w:ascii="宋体" w:hAnsi="宋体" w:eastAsia="宋体"/>
                <w:color w:val="auto"/>
                <w:sz w:val="21"/>
                <w:szCs w:val="21"/>
                <w:highlight w:val="none"/>
                <w:lang w:eastAsia="zh-CN"/>
              </w:rPr>
              <w:t>否决投标</w:t>
            </w:r>
          </w:p>
        </w:tc>
        <w:tc>
          <w:tcPr>
            <w:tcW w:w="3564" w:type="pct"/>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10.</w:t>
            </w: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lang w:eastAsia="zh-CN"/>
              </w:rPr>
              <w:t>.1</w:t>
            </w:r>
            <w:r>
              <w:rPr>
                <w:rFonts w:hint="eastAsia" w:ascii="宋体" w:hAnsi="宋体" w:eastAsia="宋体" w:cs="宋体"/>
                <w:color w:val="auto"/>
                <w:sz w:val="21"/>
                <w:szCs w:val="21"/>
                <w:highlight w:val="none"/>
                <w:lang w:eastAsia="zh-CN"/>
              </w:rPr>
              <w:t>投标人有下列情况之一的，评标委员会应当否决其投标：</w:t>
            </w:r>
          </w:p>
          <w:p>
            <w:pPr>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w:t>
            </w:r>
            <w:r>
              <w:rPr>
                <w:rFonts w:hint="eastAsia" w:ascii="宋体" w:hAnsi="宋体" w:eastAsia="宋体" w:cs="宋体"/>
                <w:color w:val="auto"/>
                <w:sz w:val="21"/>
                <w:szCs w:val="21"/>
                <w:highlight w:val="none"/>
                <w:lang w:eastAsia="zh-CN"/>
              </w:rPr>
              <w:t>投标人与招标人、评标委员会成员或者其他投标人串通投标；</w:t>
            </w:r>
          </w:p>
          <w:p>
            <w:pPr>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w:t>
            </w:r>
            <w:r>
              <w:rPr>
                <w:rFonts w:hint="eastAsia" w:ascii="宋体" w:hAnsi="宋体" w:eastAsia="宋体" w:cs="宋体"/>
                <w:color w:val="auto"/>
                <w:sz w:val="21"/>
                <w:szCs w:val="21"/>
                <w:highlight w:val="none"/>
                <w:lang w:eastAsia="zh-CN"/>
              </w:rPr>
              <w:t>投标人之间存在《广东省实施</w:t>
            </w:r>
            <w:r>
              <w:rPr>
                <w:rFonts w:ascii="宋体" w:hAnsi="宋体" w:eastAsia="宋体"/>
                <w:color w:val="auto"/>
                <w:sz w:val="21"/>
                <w:szCs w:val="21"/>
                <w:highlight w:val="none"/>
                <w:lang w:eastAsia="zh-CN"/>
              </w:rPr>
              <w:t>&lt;</w:t>
            </w:r>
            <w:r>
              <w:rPr>
                <w:rFonts w:hint="eastAsia" w:ascii="宋体" w:hAnsi="宋体" w:eastAsia="宋体" w:cs="宋体"/>
                <w:color w:val="auto"/>
                <w:sz w:val="21"/>
                <w:szCs w:val="21"/>
                <w:highlight w:val="none"/>
                <w:lang w:eastAsia="zh-CN"/>
              </w:rPr>
              <w:t>中华人民共和国招标投标法</w:t>
            </w:r>
            <w:r>
              <w:rPr>
                <w:rFonts w:ascii="宋体" w:hAnsi="宋体" w:eastAsia="宋体"/>
                <w:color w:val="auto"/>
                <w:sz w:val="21"/>
                <w:szCs w:val="21"/>
                <w:highlight w:val="none"/>
                <w:lang w:eastAsia="zh-CN"/>
              </w:rPr>
              <w:t>&gt;</w:t>
            </w:r>
            <w:r>
              <w:rPr>
                <w:rFonts w:hint="eastAsia" w:ascii="宋体" w:hAnsi="宋体" w:eastAsia="宋体" w:cs="宋体"/>
                <w:color w:val="auto"/>
                <w:sz w:val="21"/>
                <w:szCs w:val="21"/>
                <w:highlight w:val="none"/>
                <w:lang w:eastAsia="zh-CN"/>
              </w:rPr>
              <w:t>》第十六条所禁止的情形的；</w:t>
            </w:r>
          </w:p>
          <w:p>
            <w:pPr>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10</w:t>
            </w:r>
            <w:r>
              <w:rPr>
                <w:rFonts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lang w:eastAsia="zh-CN"/>
              </w:rPr>
              <w:t>.2</w:t>
            </w:r>
            <w:r>
              <w:rPr>
                <w:rFonts w:hint="eastAsia" w:ascii="宋体" w:hAnsi="宋体" w:eastAsia="宋体" w:cs="宋体"/>
                <w:color w:val="auto"/>
                <w:sz w:val="21"/>
                <w:szCs w:val="21"/>
                <w:highlight w:val="none"/>
                <w:lang w:eastAsia="zh-CN"/>
              </w:rPr>
              <w:t>有下列情况之一的，评标委员会应当否决其投标：</w:t>
            </w:r>
          </w:p>
          <w:p>
            <w:pPr>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w:t>
            </w:r>
            <w:r>
              <w:rPr>
                <w:rFonts w:hint="eastAsia" w:ascii="宋体" w:hAnsi="宋体" w:eastAsia="宋体" w:cs="宋体"/>
                <w:color w:val="auto"/>
                <w:sz w:val="21"/>
                <w:szCs w:val="21"/>
                <w:highlight w:val="none"/>
                <w:lang w:eastAsia="zh-CN"/>
              </w:rPr>
              <w:t>《投标书》未加盖投标人公章，也未经法定代表人或者其授权代表签字；</w:t>
            </w:r>
          </w:p>
          <w:p>
            <w:pPr>
              <w:adjustRightInd w:val="0"/>
              <w:spacing w:beforeLines="50" w:line="360" w:lineRule="auto"/>
              <w:ind w:left="110" w:leftChars="50" w:right="110" w:rightChars="50"/>
              <w:rPr>
                <w:rFonts w:hint="eastAsia" w:ascii="宋体" w:hAnsi="宋体" w:eastAsia="宋体" w:cs="宋体"/>
                <w:color w:val="auto"/>
                <w:sz w:val="21"/>
                <w:szCs w:val="21"/>
                <w:highlight w:val="none"/>
                <w:lang w:eastAsia="zh-CN"/>
              </w:rPr>
            </w:pPr>
            <w:r>
              <w:rPr>
                <w:rFonts w:hint="eastAsia" w:ascii="宋体" w:hAnsi="宋体" w:eastAsia="宋体"/>
                <w:color w:val="auto"/>
                <w:sz w:val="21"/>
                <w:szCs w:val="21"/>
                <w:highlight w:val="none"/>
                <w:lang w:eastAsia="zh-CN"/>
              </w:rPr>
              <w:t>（2）</w:t>
            </w:r>
            <w:r>
              <w:rPr>
                <w:rFonts w:hint="eastAsia" w:ascii="宋体" w:hAnsi="宋体" w:eastAsia="宋体" w:cs="宋体"/>
                <w:color w:val="auto"/>
                <w:sz w:val="21"/>
                <w:szCs w:val="21"/>
                <w:highlight w:val="none"/>
                <w:lang w:eastAsia="zh-CN"/>
              </w:rPr>
              <w:t>《投标书》包含有招标人不能接受的偏差，并且投标人拒绝书面撤回偏差；</w:t>
            </w:r>
          </w:p>
          <w:p>
            <w:pPr>
              <w:adjustRightInd w:val="0"/>
              <w:spacing w:beforeLines="50" w:line="360" w:lineRule="auto"/>
              <w:ind w:left="110" w:leftChars="50" w:right="110" w:righ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（3）《投标</w:t>
            </w:r>
            <w:r>
              <w:rPr>
                <w:rFonts w:hint="eastAsia" w:ascii="宋体" w:hAnsi="宋体" w:eastAsia="宋体" w:cs="宋体"/>
                <w:color w:val="auto"/>
                <w:sz w:val="21"/>
                <w:szCs w:val="21"/>
                <w:highlight w:val="none"/>
                <w:lang w:val="en-US" w:eastAsia="zh-CN"/>
              </w:rPr>
              <w:t>申请</w:t>
            </w:r>
            <w:r>
              <w:rPr>
                <w:rFonts w:hint="eastAsia" w:ascii="宋体" w:hAnsi="宋体" w:eastAsia="宋体" w:cs="宋体"/>
                <w:color w:val="auto"/>
                <w:sz w:val="21"/>
                <w:szCs w:val="21"/>
                <w:highlight w:val="none"/>
                <w:lang w:eastAsia="zh-CN"/>
              </w:rPr>
              <w:t>人声明》未按规定格式填写或未加盖投标人公章；</w:t>
            </w:r>
          </w:p>
          <w:p>
            <w:pPr>
              <w:adjustRightInd w:val="0"/>
              <w:spacing w:beforeLines="50" w:line="360" w:lineRule="auto"/>
              <w:ind w:left="110" w:leftChars="50" w:right="110" w:rightChars="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未满足招标公告“投标人资格要求”的；</w:t>
            </w:r>
          </w:p>
          <w:p>
            <w:pPr>
              <w:adjustRightInd w:val="0"/>
              <w:spacing w:beforeLines="50" w:line="360" w:lineRule="auto"/>
              <w:ind w:left="110" w:leftChars="50" w:right="110" w:rightChars="5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（5）未满足第三章评标办法（综合评估法）评标办法前附表中的“形式评审标准”或“资格评审标准”或资信业绩响应性评审标准“”或“设计方案（暗标）响应性评审标准”的。</w:t>
            </w:r>
          </w:p>
          <w:p>
            <w:pPr>
              <w:adjustRightInd w:val="0"/>
              <w:spacing w:beforeLines="50" w:line="360" w:lineRule="auto"/>
              <w:ind w:left="110" w:leftChars="50" w:right="110" w:righ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.3投标文件有下列情况之一的，评标委员会应当否决其投标：</w:t>
            </w:r>
          </w:p>
          <w:p>
            <w:pPr>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s="宋体"/>
                <w:color w:val="auto"/>
                <w:sz w:val="21"/>
                <w:szCs w:val="21"/>
                <w:highlight w:val="none"/>
                <w:lang w:eastAsia="zh-CN"/>
              </w:rPr>
              <w:t>（1）投标人与其他投标人加密打包投标文件电脑机器特征码一致的；</w:t>
            </w:r>
          </w:p>
          <w:p>
            <w:pPr>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w:t>
            </w:r>
            <w:r>
              <w:rPr>
                <w:rFonts w:hint="eastAsia" w:ascii="宋体" w:hAnsi="宋体" w:eastAsia="宋体" w:cs="宋体"/>
                <w:color w:val="auto"/>
                <w:sz w:val="21"/>
                <w:szCs w:val="21"/>
                <w:highlight w:val="none"/>
                <w:lang w:eastAsia="zh-CN"/>
              </w:rPr>
              <w:t>投标人在设计方案内标注名称、印章、商标、图形等记认符号，使人辨认出投标人或其专业技术人员的身份；</w:t>
            </w:r>
          </w:p>
          <w:p>
            <w:pPr>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w:t>
            </w:r>
            <w:r>
              <w:rPr>
                <w:rFonts w:hint="eastAsia" w:ascii="宋体" w:hAnsi="宋体" w:eastAsia="宋体" w:cs="宋体"/>
                <w:color w:val="auto"/>
                <w:sz w:val="21"/>
                <w:szCs w:val="21"/>
                <w:highlight w:val="none"/>
                <w:lang w:eastAsia="zh-CN"/>
              </w:rPr>
              <w:t>投标人之间存在《广东省实施</w:t>
            </w:r>
            <w:r>
              <w:rPr>
                <w:rFonts w:ascii="宋体" w:hAnsi="宋体" w:eastAsia="宋体"/>
                <w:color w:val="auto"/>
                <w:sz w:val="21"/>
                <w:szCs w:val="21"/>
                <w:highlight w:val="none"/>
                <w:lang w:eastAsia="zh-CN"/>
              </w:rPr>
              <w:t>&lt;</w:t>
            </w:r>
            <w:r>
              <w:rPr>
                <w:rFonts w:hint="eastAsia" w:ascii="宋体" w:hAnsi="宋体" w:eastAsia="宋体" w:cs="宋体"/>
                <w:color w:val="auto"/>
                <w:sz w:val="21"/>
                <w:szCs w:val="21"/>
                <w:highlight w:val="none"/>
                <w:lang w:eastAsia="zh-CN"/>
              </w:rPr>
              <w:t>中华人民共和国招标投标法</w:t>
            </w:r>
            <w:r>
              <w:rPr>
                <w:rFonts w:ascii="宋体" w:hAnsi="宋体" w:eastAsia="宋体"/>
                <w:color w:val="auto"/>
                <w:sz w:val="21"/>
                <w:szCs w:val="21"/>
                <w:highlight w:val="none"/>
                <w:lang w:eastAsia="zh-CN"/>
              </w:rPr>
              <w:t>&gt;</w:t>
            </w:r>
            <w:r>
              <w:rPr>
                <w:rFonts w:hint="eastAsia" w:ascii="宋体" w:hAnsi="宋体" w:eastAsia="宋体" w:cs="宋体"/>
                <w:color w:val="auto"/>
                <w:sz w:val="21"/>
                <w:szCs w:val="21"/>
                <w:highlight w:val="none"/>
                <w:lang w:eastAsia="zh-CN"/>
              </w:rPr>
              <w:t>》第十六条所禁止的情形的；</w:t>
            </w:r>
          </w:p>
          <w:p>
            <w:pPr>
              <w:adjustRightInd w:val="0"/>
              <w:spacing w:beforeLines="50" w:line="360" w:lineRule="auto"/>
              <w:ind w:left="110" w:leftChars="50" w:right="110" w:rightChars="50"/>
              <w:rPr>
                <w:rFonts w:ascii="宋体" w:hAnsi="宋体" w:eastAsia="宋体" w:cs="宋体"/>
                <w:color w:val="auto"/>
                <w:sz w:val="21"/>
                <w:szCs w:val="21"/>
                <w:highlight w:val="none"/>
                <w:lang w:eastAsia="zh-CN"/>
              </w:rPr>
            </w:pPr>
            <w:r>
              <w:rPr>
                <w:rFonts w:hint="eastAsia" w:ascii="宋体" w:hAnsi="宋体" w:eastAsia="宋体"/>
                <w:color w:val="auto"/>
                <w:sz w:val="21"/>
                <w:szCs w:val="21"/>
                <w:highlight w:val="none"/>
                <w:lang w:eastAsia="zh-CN"/>
              </w:rPr>
              <w:t>（4）</w:t>
            </w:r>
            <w:r>
              <w:rPr>
                <w:rFonts w:hint="eastAsia" w:ascii="宋体" w:hAnsi="宋体" w:eastAsia="宋体" w:cs="宋体"/>
                <w:color w:val="auto"/>
                <w:sz w:val="21"/>
                <w:szCs w:val="21"/>
                <w:highlight w:val="none"/>
                <w:lang w:eastAsia="zh-CN"/>
              </w:rPr>
              <w:t>投标报价高于最高投标限价的；</w:t>
            </w:r>
          </w:p>
          <w:p>
            <w:pPr>
              <w:adjustRightInd w:val="0"/>
              <w:spacing w:beforeLines="50" w:line="360" w:lineRule="auto"/>
              <w:ind w:left="110" w:leftChars="50" w:right="110" w:rightChars="50"/>
              <w:rPr>
                <w:rFonts w:ascii="宋体" w:hAnsi="宋体" w:eastAsia="宋体"/>
                <w:strike/>
                <w:color w:val="auto"/>
                <w:sz w:val="21"/>
                <w:szCs w:val="21"/>
                <w:highlight w:val="none"/>
                <w:lang w:eastAsia="zh-CN"/>
              </w:rPr>
            </w:pPr>
            <w:r>
              <w:rPr>
                <w:rFonts w:hint="eastAsia" w:ascii="宋体" w:hAnsi="宋体" w:eastAsia="宋体" w:cs="宋体"/>
                <w:strike/>
                <w:color w:val="auto"/>
                <w:sz w:val="21"/>
                <w:szCs w:val="21"/>
                <w:highlight w:val="none"/>
                <w:lang w:eastAsia="zh-CN"/>
              </w:rPr>
              <w:t>（5）投标人未递交投标保证金的。</w:t>
            </w:r>
          </w:p>
          <w:p>
            <w:pPr>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10.</w:t>
            </w: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lang w:eastAsia="zh-CN"/>
              </w:rPr>
              <w:t>.4</w:t>
            </w:r>
            <w:r>
              <w:rPr>
                <w:rFonts w:hint="eastAsia" w:ascii="宋体" w:hAnsi="宋体" w:eastAsia="宋体" w:cs="宋体"/>
                <w:color w:val="auto"/>
                <w:sz w:val="21"/>
                <w:szCs w:val="21"/>
                <w:highlight w:val="none"/>
                <w:lang w:eastAsia="zh-CN"/>
              </w:rPr>
              <w:t>投标人有下列情况之一的，视为串通投标：</w:t>
            </w:r>
          </w:p>
          <w:p>
            <w:pPr>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w:t>
            </w:r>
            <w:r>
              <w:rPr>
                <w:rFonts w:hint="eastAsia" w:ascii="宋体" w:hAnsi="宋体" w:eastAsia="宋体" w:cs="宋体"/>
                <w:color w:val="auto"/>
                <w:sz w:val="21"/>
                <w:szCs w:val="21"/>
                <w:highlight w:val="none"/>
                <w:lang w:eastAsia="zh-CN"/>
              </w:rPr>
              <w:t>递交投标文件前，投标人私下向招标人或其雇员出示或告知投标文件内容；</w:t>
            </w:r>
          </w:p>
          <w:p>
            <w:pPr>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w:t>
            </w:r>
            <w:r>
              <w:rPr>
                <w:rFonts w:hint="eastAsia" w:ascii="宋体" w:hAnsi="宋体" w:eastAsia="宋体" w:cs="宋体"/>
                <w:color w:val="auto"/>
                <w:sz w:val="21"/>
                <w:szCs w:val="21"/>
                <w:highlight w:val="none"/>
                <w:lang w:eastAsia="zh-CN"/>
              </w:rPr>
              <w:t>评标表决结束前，投标人私下向评标委员会成员出示或告知投标文件内容；</w:t>
            </w:r>
          </w:p>
          <w:p>
            <w:pPr>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w:t>
            </w:r>
            <w:r>
              <w:rPr>
                <w:rFonts w:hint="eastAsia" w:ascii="宋体" w:hAnsi="宋体" w:eastAsia="宋体" w:cs="宋体"/>
                <w:color w:val="auto"/>
                <w:sz w:val="21"/>
                <w:szCs w:val="21"/>
                <w:highlight w:val="none"/>
                <w:lang w:eastAsia="zh-CN"/>
              </w:rPr>
              <w:t>评标结果揭晓前，投标人与招标人就投标价格、投标方案等实质性内容进行谈判。</w:t>
            </w:r>
          </w:p>
          <w:p>
            <w:pPr>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10.</w:t>
            </w: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lang w:eastAsia="zh-CN"/>
              </w:rPr>
              <w:t>.5</w:t>
            </w:r>
            <w:r>
              <w:rPr>
                <w:rFonts w:hint="eastAsia" w:ascii="宋体" w:hAnsi="宋体" w:eastAsia="宋体" w:cs="宋体"/>
                <w:color w:val="auto"/>
                <w:sz w:val="21"/>
                <w:szCs w:val="21"/>
                <w:highlight w:val="none"/>
                <w:lang w:eastAsia="zh-CN"/>
              </w:rPr>
              <w:t>发生下列情形之一的，招标人应当重新组织招标：</w:t>
            </w:r>
          </w:p>
          <w:p>
            <w:pPr>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w:t>
            </w:r>
            <w:r>
              <w:rPr>
                <w:rFonts w:hint="eastAsia" w:ascii="宋体" w:hAnsi="宋体" w:eastAsia="宋体" w:cs="宋体"/>
                <w:color w:val="auto"/>
                <w:sz w:val="21"/>
                <w:szCs w:val="21"/>
                <w:highlight w:val="none"/>
                <w:lang w:eastAsia="zh-CN"/>
              </w:rPr>
              <w:t>递交投标文件或通过资格审查的投标人不足三人；</w:t>
            </w:r>
          </w:p>
          <w:p>
            <w:pPr>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w:t>
            </w:r>
            <w:r>
              <w:rPr>
                <w:rFonts w:hint="eastAsia" w:ascii="宋体" w:hAnsi="宋体" w:eastAsia="宋体" w:cs="宋体"/>
                <w:color w:val="auto"/>
                <w:sz w:val="21"/>
                <w:szCs w:val="21"/>
                <w:highlight w:val="none"/>
                <w:lang w:eastAsia="zh-CN"/>
              </w:rPr>
              <w:t>所有投标被否决，或者经评议有效投标的投标人少于三人；</w:t>
            </w:r>
          </w:p>
          <w:p>
            <w:pPr>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w:t>
            </w:r>
            <w:r>
              <w:rPr>
                <w:rFonts w:hint="eastAsia" w:ascii="宋体" w:hAnsi="宋体" w:eastAsia="宋体" w:cs="宋体"/>
                <w:color w:val="auto"/>
                <w:sz w:val="21"/>
                <w:szCs w:val="21"/>
                <w:highlight w:val="none"/>
                <w:lang w:eastAsia="zh-CN"/>
              </w:rPr>
              <w:t>经项目审批部门会同行业主管部门裁定招标投标结果无效；</w:t>
            </w:r>
          </w:p>
          <w:p>
            <w:pPr>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10.</w:t>
            </w: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lang w:eastAsia="zh-CN"/>
              </w:rPr>
              <w:t>.6</w:t>
            </w:r>
            <w:r>
              <w:rPr>
                <w:rFonts w:hint="eastAsia" w:ascii="宋体" w:hAnsi="宋体" w:eastAsia="宋体" w:cs="宋体"/>
                <w:color w:val="auto"/>
                <w:sz w:val="21"/>
                <w:szCs w:val="21"/>
                <w:highlight w:val="none"/>
                <w:lang w:eastAsia="zh-CN"/>
              </w:rPr>
              <w:t>否决投标的决定由评标委员会作出，其他投标人无权干涉。</w:t>
            </w:r>
          </w:p>
          <w:p>
            <w:pPr>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10.</w:t>
            </w: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lang w:eastAsia="zh-CN"/>
              </w:rPr>
              <w:t>.7</w:t>
            </w:r>
            <w:r>
              <w:rPr>
                <w:rFonts w:hint="eastAsia" w:ascii="宋体" w:hAnsi="宋体" w:eastAsia="宋体" w:cs="宋体"/>
                <w:color w:val="auto"/>
                <w:sz w:val="21"/>
                <w:szCs w:val="21"/>
                <w:highlight w:val="none"/>
                <w:lang w:eastAsia="zh-CN"/>
              </w:rPr>
              <w:t>投标文件如果隐瞒不符合评审标准的事实，一切法律责任由投标人承担。</w:t>
            </w:r>
          </w:p>
        </w:tc>
      </w:tr>
    </w:tbl>
    <w:p>
      <w:pPr>
        <w:spacing w:line="360" w:lineRule="auto"/>
        <w:rPr>
          <w:rFonts w:ascii="宋体" w:hAnsi="宋体" w:eastAsia="宋体"/>
          <w:color w:val="auto"/>
          <w:highlight w:val="none"/>
          <w:lang w:eastAsia="zh-CN"/>
        </w:rPr>
      </w:pPr>
    </w:p>
    <w:p>
      <w:pPr>
        <w:spacing w:line="360" w:lineRule="auto"/>
        <w:jc w:val="both"/>
        <w:rPr>
          <w:rFonts w:ascii="宋体" w:hAnsi="宋体" w:eastAsia="宋体"/>
          <w:color w:val="auto"/>
          <w:sz w:val="21"/>
          <w:szCs w:val="21"/>
          <w:highlight w:val="none"/>
          <w:lang w:eastAsia="zh-CN"/>
        </w:rPr>
      </w:pPr>
      <w:r>
        <w:rPr>
          <w:rFonts w:ascii="宋体" w:hAnsi="宋体" w:eastAsia="宋体"/>
          <w:color w:val="auto"/>
          <w:highlight w:val="none"/>
          <w:lang w:eastAsia="zh-CN"/>
        </w:rPr>
        <w:br w:type="page"/>
      </w:r>
    </w:p>
    <w:p>
      <w:pPr>
        <w:pStyle w:val="6"/>
        <w:spacing w:line="443" w:lineRule="exact"/>
        <w:ind w:right="44"/>
        <w:jc w:val="both"/>
        <w:rPr>
          <w:rFonts w:ascii="宋体" w:hAnsi="宋体" w:eastAsia="宋体"/>
          <w:b w:val="0"/>
          <w:bCs w:val="0"/>
          <w:color w:val="auto"/>
          <w:sz w:val="21"/>
          <w:szCs w:val="21"/>
          <w:highlight w:val="none"/>
          <w:lang w:eastAsia="zh-CN"/>
        </w:rPr>
      </w:pPr>
      <w:bookmarkStart w:id="12" w:name="_Toc109809383"/>
      <w:bookmarkStart w:id="13" w:name="_Toc25137982"/>
      <w:bookmarkStart w:id="14" w:name="_Toc109809422"/>
      <w:r>
        <w:rPr>
          <w:rFonts w:ascii="宋体" w:hAnsi="宋体" w:eastAsia="宋体"/>
          <w:color w:val="auto"/>
          <w:sz w:val="21"/>
          <w:szCs w:val="21"/>
          <w:highlight w:val="none"/>
          <w:lang w:eastAsia="zh-CN"/>
        </w:rPr>
        <w:t>1. 总则</w:t>
      </w:r>
      <w:bookmarkEnd w:id="12"/>
      <w:bookmarkEnd w:id="13"/>
      <w:bookmarkEnd w:id="14"/>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1.1招标项目概况</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1.1.1</w:t>
      </w:r>
      <w:r>
        <w:rPr>
          <w:color w:val="auto"/>
          <w:spacing w:val="-8"/>
          <w:highlight w:val="none"/>
          <w:lang w:eastAsia="zh-CN"/>
        </w:rPr>
        <w:t>根据《中华人民共和国招标投标法》、《中华人民共和国招标投标法实施条例》等有关</w:t>
      </w:r>
      <w:r>
        <w:rPr>
          <w:color w:val="auto"/>
          <w:highlight w:val="none"/>
          <w:lang w:eastAsia="zh-CN"/>
        </w:rPr>
        <w:t>法律、法规和规章的规定，本招标项目已具备招标条件，现对设计进行招标。</w:t>
      </w:r>
    </w:p>
    <w:p>
      <w:pPr>
        <w:pStyle w:val="12"/>
        <w:spacing w:line="360" w:lineRule="auto"/>
        <w:ind w:left="0" w:firstLine="420" w:firstLineChars="200"/>
        <w:jc w:val="both"/>
        <w:rPr>
          <w:color w:val="auto"/>
          <w:highlight w:val="none"/>
          <w:lang w:eastAsia="zh-CN"/>
        </w:rPr>
      </w:pPr>
      <w:r>
        <w:rPr>
          <w:color w:val="auto"/>
          <w:highlight w:val="none"/>
          <w:lang w:eastAsia="zh-CN"/>
        </w:rPr>
        <w:t>1.1.2招标人：见投标人须知前附表。</w:t>
      </w:r>
    </w:p>
    <w:p>
      <w:pPr>
        <w:pStyle w:val="12"/>
        <w:spacing w:line="360" w:lineRule="auto"/>
        <w:ind w:left="0" w:firstLine="420" w:firstLineChars="200"/>
        <w:jc w:val="both"/>
        <w:rPr>
          <w:color w:val="auto"/>
          <w:highlight w:val="none"/>
          <w:lang w:eastAsia="zh-CN"/>
        </w:rPr>
      </w:pPr>
      <w:r>
        <w:rPr>
          <w:color w:val="auto"/>
          <w:highlight w:val="none"/>
          <w:lang w:eastAsia="zh-CN"/>
        </w:rPr>
        <w:t>1.1.3招标代理机构：见投标人须知前附表。</w:t>
      </w:r>
    </w:p>
    <w:p>
      <w:pPr>
        <w:pStyle w:val="12"/>
        <w:spacing w:line="360" w:lineRule="auto"/>
        <w:ind w:left="0" w:firstLine="420" w:firstLineChars="200"/>
        <w:jc w:val="both"/>
        <w:rPr>
          <w:color w:val="auto"/>
          <w:highlight w:val="none"/>
          <w:lang w:eastAsia="zh-CN"/>
        </w:rPr>
      </w:pPr>
      <w:r>
        <w:rPr>
          <w:color w:val="auto"/>
          <w:highlight w:val="none"/>
          <w:lang w:eastAsia="zh-CN"/>
        </w:rPr>
        <w:t>1.1.4招标项目名称：见投标人须知前附表。</w:t>
      </w:r>
    </w:p>
    <w:p>
      <w:pPr>
        <w:pStyle w:val="12"/>
        <w:spacing w:line="360" w:lineRule="auto"/>
        <w:ind w:left="0" w:firstLine="420" w:firstLineChars="200"/>
        <w:jc w:val="both"/>
        <w:rPr>
          <w:color w:val="auto"/>
          <w:highlight w:val="none"/>
          <w:lang w:eastAsia="zh-CN"/>
        </w:rPr>
      </w:pPr>
      <w:r>
        <w:rPr>
          <w:color w:val="auto"/>
          <w:highlight w:val="none"/>
          <w:lang w:eastAsia="zh-CN"/>
        </w:rPr>
        <w:t>1.1.5项目建设地点：见投标人须知前附表。</w:t>
      </w:r>
    </w:p>
    <w:p>
      <w:pPr>
        <w:pStyle w:val="12"/>
        <w:spacing w:line="360" w:lineRule="auto"/>
        <w:ind w:left="0" w:firstLine="420" w:firstLineChars="200"/>
        <w:jc w:val="both"/>
        <w:rPr>
          <w:color w:val="auto"/>
          <w:highlight w:val="none"/>
          <w:lang w:eastAsia="zh-CN"/>
        </w:rPr>
      </w:pPr>
      <w:r>
        <w:rPr>
          <w:color w:val="auto"/>
          <w:highlight w:val="none"/>
          <w:lang w:eastAsia="zh-CN"/>
        </w:rPr>
        <w:t>1.1.6项目建设规模：见投标人须知前附表。</w:t>
      </w:r>
    </w:p>
    <w:p>
      <w:pPr>
        <w:pStyle w:val="12"/>
        <w:spacing w:line="360" w:lineRule="auto"/>
        <w:ind w:left="0" w:firstLine="420" w:firstLineChars="200"/>
        <w:jc w:val="both"/>
        <w:rPr>
          <w:color w:val="auto"/>
          <w:highlight w:val="none"/>
          <w:lang w:eastAsia="zh-CN"/>
        </w:rPr>
      </w:pPr>
      <w:r>
        <w:rPr>
          <w:color w:val="auto"/>
          <w:highlight w:val="none"/>
          <w:lang w:eastAsia="zh-CN"/>
        </w:rPr>
        <w:t>1.1.7项目投资估算：见投标人须知前附表。</w:t>
      </w:r>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1.2招标项目的资金来源和落实情况</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1.2.1资金来源及比例：见投标人须知前附表。</w:t>
      </w:r>
    </w:p>
    <w:p>
      <w:pPr>
        <w:pStyle w:val="12"/>
        <w:spacing w:line="360" w:lineRule="auto"/>
        <w:ind w:left="0" w:firstLine="420" w:firstLineChars="200"/>
        <w:jc w:val="both"/>
        <w:rPr>
          <w:color w:val="auto"/>
          <w:highlight w:val="none"/>
          <w:lang w:eastAsia="zh-CN"/>
        </w:rPr>
      </w:pPr>
      <w:r>
        <w:rPr>
          <w:color w:val="auto"/>
          <w:highlight w:val="none"/>
          <w:lang w:eastAsia="zh-CN"/>
        </w:rPr>
        <w:t>1.2.2资金落实情况：见投标人须知前附表。</w:t>
      </w:r>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1.3招标范围、设计服务期限和质量标准</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1.3.1招标范围：见投标人须知前附表。</w:t>
      </w:r>
    </w:p>
    <w:p>
      <w:pPr>
        <w:pStyle w:val="12"/>
        <w:spacing w:line="360" w:lineRule="auto"/>
        <w:ind w:left="0" w:firstLine="420" w:firstLineChars="200"/>
        <w:jc w:val="both"/>
        <w:rPr>
          <w:color w:val="auto"/>
          <w:highlight w:val="none"/>
          <w:lang w:eastAsia="zh-CN"/>
        </w:rPr>
      </w:pPr>
      <w:r>
        <w:rPr>
          <w:color w:val="auto"/>
          <w:highlight w:val="none"/>
          <w:lang w:eastAsia="zh-CN"/>
        </w:rPr>
        <w:t>1.3.2设计服务期限：见投标人须知前附表。</w:t>
      </w:r>
    </w:p>
    <w:p>
      <w:pPr>
        <w:pStyle w:val="12"/>
        <w:spacing w:line="360" w:lineRule="auto"/>
        <w:ind w:left="0" w:firstLine="420" w:firstLineChars="200"/>
        <w:jc w:val="both"/>
        <w:rPr>
          <w:color w:val="auto"/>
          <w:highlight w:val="none"/>
          <w:lang w:eastAsia="zh-CN"/>
        </w:rPr>
      </w:pPr>
      <w:r>
        <w:rPr>
          <w:color w:val="auto"/>
          <w:highlight w:val="none"/>
          <w:lang w:eastAsia="zh-CN"/>
        </w:rPr>
        <w:t>1.3.3质量标准：见投标人须知前附表。</w:t>
      </w:r>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1.4投标人资格要求</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1.4.1投标人应具备承担本招标项目资质条件、能力和信誉：</w:t>
      </w:r>
    </w:p>
    <w:p>
      <w:pPr>
        <w:pStyle w:val="12"/>
        <w:spacing w:line="360" w:lineRule="auto"/>
        <w:ind w:left="0" w:firstLine="420" w:firstLineChars="200"/>
        <w:jc w:val="both"/>
        <w:rPr>
          <w:color w:val="auto"/>
          <w:highlight w:val="none"/>
          <w:lang w:eastAsia="zh-CN"/>
        </w:rPr>
      </w:pPr>
      <w:r>
        <w:rPr>
          <w:color w:val="auto"/>
          <w:highlight w:val="none"/>
          <w:lang w:eastAsia="zh-CN"/>
        </w:rPr>
        <w:t>（1）资质要求：见投标人须知前附表；</w:t>
      </w:r>
    </w:p>
    <w:p>
      <w:pPr>
        <w:pStyle w:val="12"/>
        <w:spacing w:line="360" w:lineRule="auto"/>
        <w:ind w:left="0" w:firstLine="420" w:firstLineChars="200"/>
        <w:jc w:val="both"/>
        <w:rPr>
          <w:color w:val="auto"/>
          <w:highlight w:val="none"/>
          <w:lang w:eastAsia="zh-CN"/>
        </w:rPr>
      </w:pPr>
      <w:r>
        <w:rPr>
          <w:color w:val="auto"/>
          <w:highlight w:val="none"/>
          <w:lang w:eastAsia="zh-CN"/>
        </w:rPr>
        <w:t>（2）财务要求：见投标人须知前附表；</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（3）业绩要求：见投标人须知前附表；</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（4）信誉要求：见投标人须知前附表；</w:t>
      </w:r>
    </w:p>
    <w:p>
      <w:pPr>
        <w:pStyle w:val="12"/>
        <w:spacing w:line="360" w:lineRule="auto"/>
        <w:ind w:left="0" w:firstLine="420" w:firstLineChars="200"/>
        <w:jc w:val="both"/>
        <w:rPr>
          <w:color w:val="auto"/>
          <w:highlight w:val="none"/>
          <w:lang w:eastAsia="zh-CN"/>
        </w:rPr>
      </w:pPr>
      <w:r>
        <w:rPr>
          <w:color w:val="auto"/>
          <w:highlight w:val="none"/>
          <w:lang w:eastAsia="zh-CN"/>
        </w:rPr>
        <w:t>（5）项目负责人的资格要求：</w:t>
      </w:r>
      <w:r>
        <w:rPr>
          <w:strike/>
          <w:color w:val="auto"/>
          <w:highlight w:val="none"/>
          <w:lang w:eastAsia="zh-CN"/>
        </w:rPr>
        <w:t>应当具备工程设计类注册执业资格（如有），</w:t>
      </w:r>
      <w:r>
        <w:rPr>
          <w:color w:val="auto"/>
          <w:highlight w:val="none"/>
          <w:lang w:eastAsia="zh-CN"/>
        </w:rPr>
        <w:t>具体要求见投标人须知前附表；</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（6）其他主要人员要求：见投标人须知前附表。</w:t>
      </w:r>
    </w:p>
    <w:p>
      <w:pPr>
        <w:pStyle w:val="12"/>
        <w:spacing w:line="360" w:lineRule="auto"/>
        <w:ind w:left="0" w:firstLine="420" w:firstLineChars="200"/>
        <w:jc w:val="both"/>
        <w:rPr>
          <w:color w:val="auto"/>
          <w:highlight w:val="none"/>
          <w:lang w:eastAsia="zh-CN"/>
        </w:rPr>
      </w:pPr>
      <w:r>
        <w:rPr>
          <w:rFonts w:hint="eastAsia"/>
          <w:color w:val="auto"/>
          <w:highlight w:val="none"/>
          <w:lang w:eastAsia="zh-CN"/>
        </w:rPr>
        <w:t>（7）</w:t>
      </w:r>
      <w:r>
        <w:rPr>
          <w:color w:val="auto"/>
          <w:highlight w:val="none"/>
          <w:lang w:eastAsia="zh-CN"/>
        </w:rPr>
        <w:t>其他要求：见投标人须知前附表。</w:t>
      </w:r>
    </w:p>
    <w:p>
      <w:pPr>
        <w:pStyle w:val="12"/>
        <w:spacing w:line="360" w:lineRule="auto"/>
        <w:ind w:left="0" w:firstLine="420" w:firstLineChars="200"/>
        <w:jc w:val="both"/>
        <w:rPr>
          <w:color w:val="auto"/>
          <w:highlight w:val="none"/>
          <w:lang w:eastAsia="zh-CN"/>
        </w:rPr>
      </w:pPr>
      <w:r>
        <w:rPr>
          <w:color w:val="auto"/>
          <w:highlight w:val="none"/>
          <w:lang w:eastAsia="zh-CN"/>
        </w:rPr>
        <w:t>需要提交的相关证明材料见本章第3.5款的规定。</w:t>
      </w:r>
    </w:p>
    <w:p>
      <w:pPr>
        <w:pStyle w:val="12"/>
        <w:spacing w:line="360" w:lineRule="auto"/>
        <w:ind w:left="0" w:firstLine="420" w:firstLineChars="200"/>
        <w:jc w:val="both"/>
        <w:rPr>
          <w:color w:val="auto"/>
          <w:highlight w:val="none"/>
          <w:lang w:eastAsia="zh-CN"/>
        </w:rPr>
      </w:pPr>
      <w:r>
        <w:rPr>
          <w:color w:val="auto"/>
          <w:highlight w:val="none"/>
          <w:lang w:eastAsia="zh-CN"/>
        </w:rPr>
        <w:t>1.4.2 投标人须知前附表规定接受联合体投标的，联合体除应符合本章第1.4.1项和投标人须知前附表的要求外，还应遵守以下规定：</w:t>
      </w:r>
    </w:p>
    <w:p>
      <w:pPr>
        <w:pStyle w:val="12"/>
        <w:spacing w:line="360" w:lineRule="auto"/>
        <w:ind w:left="0" w:firstLine="420" w:firstLineChars="200"/>
        <w:jc w:val="both"/>
        <w:rPr>
          <w:color w:val="auto"/>
          <w:highlight w:val="none"/>
          <w:lang w:eastAsia="zh-CN"/>
        </w:rPr>
      </w:pPr>
      <w:r>
        <w:rPr>
          <w:color w:val="auto"/>
          <w:highlight w:val="none"/>
          <w:lang w:eastAsia="zh-CN"/>
        </w:rPr>
        <w:t>（1）联合体各方应按招标文件提供的格式签订</w:t>
      </w:r>
      <w:r>
        <w:rPr>
          <w:rFonts w:hint="eastAsia"/>
          <w:color w:val="auto"/>
          <w:highlight w:val="none"/>
          <w:lang w:eastAsia="zh-CN"/>
        </w:rPr>
        <w:t>联合体投标协议书</w:t>
      </w:r>
      <w:r>
        <w:rPr>
          <w:color w:val="auto"/>
          <w:highlight w:val="none"/>
          <w:lang w:eastAsia="zh-CN"/>
        </w:rPr>
        <w:t>，明确联合体</w:t>
      </w:r>
      <w:r>
        <w:rPr>
          <w:rFonts w:hint="eastAsia"/>
          <w:color w:val="auto"/>
          <w:highlight w:val="none"/>
          <w:lang w:val="en-US" w:eastAsia="zh-CN"/>
        </w:rPr>
        <w:t>主办方</w:t>
      </w:r>
      <w:r>
        <w:rPr>
          <w:color w:val="auto"/>
          <w:highlight w:val="none"/>
          <w:lang w:eastAsia="zh-CN"/>
        </w:rPr>
        <w:t>和各方权利义务，并承诺就中标项目向招标人承担连带责任；</w:t>
      </w:r>
    </w:p>
    <w:p>
      <w:pPr>
        <w:pStyle w:val="12"/>
        <w:spacing w:line="360" w:lineRule="auto"/>
        <w:ind w:left="0" w:firstLine="420" w:firstLineChars="200"/>
        <w:jc w:val="both"/>
        <w:rPr>
          <w:color w:val="auto"/>
          <w:highlight w:val="none"/>
          <w:lang w:eastAsia="zh-CN"/>
        </w:rPr>
      </w:pPr>
      <w:r>
        <w:rPr>
          <w:color w:val="auto"/>
          <w:highlight w:val="none"/>
          <w:lang w:eastAsia="zh-CN"/>
        </w:rPr>
        <w:t>（2）由同一专业的单位组成的联合体，按照资质等级较低的单位确定资质等级；</w:t>
      </w:r>
    </w:p>
    <w:p>
      <w:pPr>
        <w:pStyle w:val="12"/>
        <w:spacing w:line="360" w:lineRule="auto"/>
        <w:ind w:left="0" w:firstLine="420" w:firstLineChars="200"/>
        <w:jc w:val="both"/>
        <w:rPr>
          <w:color w:val="auto"/>
          <w:highlight w:val="none"/>
          <w:lang w:eastAsia="zh-CN"/>
        </w:rPr>
      </w:pPr>
      <w:r>
        <w:rPr>
          <w:color w:val="auto"/>
          <w:highlight w:val="none"/>
          <w:lang w:eastAsia="zh-CN"/>
        </w:rPr>
        <w:t>（3）联合体各方不得再以自己名义单独或参加其他联合体在本招标项目中投标，否则各相关投标均无效。</w:t>
      </w:r>
    </w:p>
    <w:p>
      <w:pPr>
        <w:pStyle w:val="12"/>
        <w:spacing w:line="360" w:lineRule="auto"/>
        <w:ind w:left="0" w:firstLine="420" w:firstLineChars="200"/>
        <w:jc w:val="both"/>
        <w:rPr>
          <w:color w:val="auto"/>
          <w:highlight w:val="none"/>
          <w:lang w:eastAsia="zh-CN"/>
        </w:rPr>
      </w:pPr>
      <w:r>
        <w:rPr>
          <w:color w:val="auto"/>
          <w:highlight w:val="none"/>
          <w:lang w:eastAsia="zh-CN"/>
        </w:rPr>
        <w:t>1.4.3投标人不得存在下列情形之一：</w:t>
      </w:r>
    </w:p>
    <w:p>
      <w:pPr>
        <w:snapToGrid w:val="0"/>
        <w:spacing w:line="360" w:lineRule="auto"/>
        <w:ind w:firstLine="440" w:firstLineChars="200"/>
        <w:rPr>
          <w:rFonts w:hint="eastAsia"/>
          <w:color w:val="auto"/>
          <w:szCs w:val="21"/>
          <w:highlight w:val="none"/>
        </w:rPr>
      </w:pPr>
      <w:r>
        <w:rPr>
          <w:rFonts w:hint="eastAsia"/>
          <w:color w:val="auto"/>
          <w:szCs w:val="21"/>
          <w:highlight w:val="none"/>
        </w:rPr>
        <w:t>（1）为招标人不具有独立法人资格的附属机构（单位）；</w:t>
      </w:r>
    </w:p>
    <w:p>
      <w:pPr>
        <w:snapToGrid w:val="0"/>
        <w:spacing w:line="360" w:lineRule="auto"/>
        <w:ind w:firstLine="440" w:firstLineChars="200"/>
        <w:rPr>
          <w:rFonts w:hint="eastAsia"/>
          <w:color w:val="auto"/>
          <w:szCs w:val="21"/>
          <w:highlight w:val="none"/>
        </w:rPr>
      </w:pPr>
      <w:r>
        <w:rPr>
          <w:rFonts w:hint="eastAsia"/>
          <w:color w:val="auto"/>
          <w:szCs w:val="21"/>
          <w:highlight w:val="none"/>
        </w:rPr>
        <w:t>（2）与招标人存在利害关系且可能影响招标公正性；</w:t>
      </w:r>
    </w:p>
    <w:p>
      <w:pPr>
        <w:snapToGrid w:val="0"/>
        <w:spacing w:line="360" w:lineRule="auto"/>
        <w:ind w:firstLine="440" w:firstLineChars="200"/>
        <w:rPr>
          <w:rFonts w:hint="eastAsia"/>
          <w:color w:val="auto"/>
          <w:szCs w:val="21"/>
          <w:highlight w:val="none"/>
        </w:rPr>
      </w:pPr>
      <w:r>
        <w:rPr>
          <w:rFonts w:hint="eastAsia"/>
          <w:color w:val="auto"/>
          <w:szCs w:val="21"/>
          <w:highlight w:val="none"/>
        </w:rPr>
        <w:t>（3）与本招标项目的其他投标人为同一个单位负责人；</w:t>
      </w:r>
    </w:p>
    <w:p>
      <w:pPr>
        <w:snapToGrid w:val="0"/>
        <w:spacing w:line="360" w:lineRule="auto"/>
        <w:ind w:firstLine="440" w:firstLineChars="200"/>
        <w:rPr>
          <w:rFonts w:hint="eastAsia"/>
          <w:color w:val="auto"/>
          <w:szCs w:val="21"/>
          <w:highlight w:val="none"/>
        </w:rPr>
      </w:pPr>
      <w:r>
        <w:rPr>
          <w:rFonts w:hint="eastAsia"/>
          <w:color w:val="auto"/>
          <w:szCs w:val="21"/>
          <w:highlight w:val="none"/>
        </w:rPr>
        <w:t>（4）与本招标项目的其他投标人存在控股、管理关系；</w:t>
      </w:r>
    </w:p>
    <w:p>
      <w:pPr>
        <w:snapToGrid w:val="0"/>
        <w:spacing w:line="360" w:lineRule="auto"/>
        <w:ind w:firstLine="440" w:firstLineChars="200"/>
        <w:rPr>
          <w:rFonts w:hint="eastAsia"/>
          <w:color w:val="auto"/>
          <w:szCs w:val="21"/>
          <w:highlight w:val="none"/>
        </w:rPr>
      </w:pPr>
      <w:r>
        <w:rPr>
          <w:rFonts w:hint="eastAsia"/>
          <w:color w:val="auto"/>
          <w:szCs w:val="21"/>
          <w:highlight w:val="none"/>
        </w:rPr>
        <w:t>（5）为本招标项目的代建人；</w:t>
      </w:r>
    </w:p>
    <w:p>
      <w:pPr>
        <w:snapToGrid w:val="0"/>
        <w:spacing w:line="360" w:lineRule="auto"/>
        <w:ind w:firstLine="440" w:firstLineChars="200"/>
        <w:rPr>
          <w:rFonts w:hint="eastAsia"/>
          <w:color w:val="auto"/>
          <w:szCs w:val="21"/>
          <w:highlight w:val="none"/>
        </w:rPr>
      </w:pPr>
      <w:r>
        <w:rPr>
          <w:rFonts w:hint="eastAsia"/>
          <w:color w:val="auto"/>
          <w:szCs w:val="21"/>
          <w:highlight w:val="none"/>
        </w:rPr>
        <w:t>（6）为本招标项目的招标代理机构；</w:t>
      </w:r>
    </w:p>
    <w:p>
      <w:pPr>
        <w:snapToGrid w:val="0"/>
        <w:spacing w:line="360" w:lineRule="auto"/>
        <w:ind w:firstLine="440" w:firstLineChars="200"/>
        <w:rPr>
          <w:rFonts w:hint="eastAsia"/>
          <w:color w:val="auto"/>
          <w:szCs w:val="21"/>
          <w:highlight w:val="none"/>
        </w:rPr>
      </w:pPr>
      <w:r>
        <w:rPr>
          <w:rFonts w:hint="eastAsia"/>
          <w:color w:val="auto"/>
          <w:szCs w:val="21"/>
          <w:highlight w:val="none"/>
        </w:rPr>
        <w:t>（7）与本招标项目的代建人或招标代理机构同为一个法定代表人；</w:t>
      </w:r>
    </w:p>
    <w:p>
      <w:pPr>
        <w:snapToGrid w:val="0"/>
        <w:spacing w:line="360" w:lineRule="auto"/>
        <w:ind w:firstLine="440" w:firstLineChars="200"/>
        <w:rPr>
          <w:rFonts w:hint="eastAsia"/>
          <w:color w:val="auto"/>
          <w:szCs w:val="21"/>
          <w:highlight w:val="none"/>
        </w:rPr>
      </w:pPr>
      <w:r>
        <w:rPr>
          <w:rFonts w:hint="eastAsia"/>
          <w:color w:val="auto"/>
          <w:szCs w:val="21"/>
          <w:highlight w:val="none"/>
        </w:rPr>
        <w:t>（8）与本招标项目的代建人或招标代理机构存在控股或参股关系；</w:t>
      </w:r>
    </w:p>
    <w:p>
      <w:pPr>
        <w:snapToGrid w:val="0"/>
        <w:spacing w:line="360" w:lineRule="auto"/>
        <w:ind w:firstLine="440" w:firstLineChars="200"/>
        <w:rPr>
          <w:rFonts w:hint="eastAsia"/>
          <w:color w:val="auto"/>
          <w:szCs w:val="21"/>
          <w:highlight w:val="none"/>
        </w:rPr>
      </w:pPr>
      <w:r>
        <w:rPr>
          <w:rFonts w:hint="eastAsia"/>
          <w:color w:val="auto"/>
          <w:szCs w:val="21"/>
          <w:highlight w:val="none"/>
        </w:rPr>
        <w:t>（9）被依法暂停或者取消投标资格；</w:t>
      </w:r>
    </w:p>
    <w:p>
      <w:pPr>
        <w:snapToGrid w:val="0"/>
        <w:spacing w:line="360" w:lineRule="auto"/>
        <w:ind w:firstLine="440" w:firstLineChars="200"/>
        <w:rPr>
          <w:rFonts w:hint="eastAsia"/>
          <w:color w:val="auto"/>
          <w:szCs w:val="21"/>
          <w:highlight w:val="none"/>
        </w:rPr>
      </w:pPr>
      <w:r>
        <w:rPr>
          <w:rFonts w:hint="eastAsia"/>
          <w:color w:val="auto"/>
          <w:szCs w:val="21"/>
          <w:highlight w:val="none"/>
        </w:rPr>
        <w:t>（10）被责令停产停业、暂扣或者吊销许可证、暂扣或者吊销执照；</w:t>
      </w:r>
    </w:p>
    <w:p>
      <w:pPr>
        <w:snapToGrid w:val="0"/>
        <w:spacing w:line="360" w:lineRule="auto"/>
        <w:ind w:firstLine="440" w:firstLineChars="200"/>
        <w:rPr>
          <w:rFonts w:hint="eastAsia"/>
          <w:color w:val="auto"/>
          <w:szCs w:val="21"/>
          <w:highlight w:val="none"/>
        </w:rPr>
      </w:pPr>
      <w:r>
        <w:rPr>
          <w:rFonts w:hint="eastAsia"/>
          <w:color w:val="auto"/>
          <w:szCs w:val="21"/>
          <w:highlight w:val="none"/>
        </w:rPr>
        <w:t>（11）进入清算程序，或被宣告破产，或其他丧失履约能力的情形；</w:t>
      </w:r>
    </w:p>
    <w:p>
      <w:pPr>
        <w:snapToGrid w:val="0"/>
        <w:spacing w:line="360" w:lineRule="auto"/>
        <w:ind w:firstLine="440" w:firstLineChars="200"/>
        <w:rPr>
          <w:rFonts w:hint="eastAsia"/>
          <w:color w:val="auto"/>
          <w:szCs w:val="21"/>
          <w:highlight w:val="none"/>
        </w:rPr>
      </w:pPr>
      <w:r>
        <w:rPr>
          <w:rFonts w:hint="eastAsia"/>
          <w:color w:val="auto"/>
          <w:szCs w:val="21"/>
          <w:highlight w:val="none"/>
        </w:rPr>
        <w:t>（12）在最近三年内发生重大设计质量问题（以相关行业主管部门的行政处罚决定或司法机关出具的有关法律文书为准）；</w:t>
      </w:r>
    </w:p>
    <w:p>
      <w:pPr>
        <w:snapToGrid w:val="0"/>
        <w:spacing w:line="360" w:lineRule="auto"/>
        <w:ind w:firstLine="440" w:firstLineChars="200"/>
        <w:rPr>
          <w:rFonts w:hint="eastAsia"/>
          <w:color w:val="auto"/>
          <w:szCs w:val="21"/>
          <w:highlight w:val="none"/>
        </w:rPr>
      </w:pPr>
      <w:r>
        <w:rPr>
          <w:rFonts w:hint="eastAsia"/>
          <w:color w:val="auto"/>
          <w:szCs w:val="21"/>
          <w:highlight w:val="none"/>
        </w:rPr>
        <w:t>（13）被工商行政（市场监管）管理机关在全国企业信用信息公示系统中列入严重违法失信企业名单；</w:t>
      </w:r>
    </w:p>
    <w:p>
      <w:pPr>
        <w:snapToGrid w:val="0"/>
        <w:spacing w:line="360" w:lineRule="auto"/>
        <w:ind w:firstLine="440" w:firstLineChars="200"/>
        <w:rPr>
          <w:rFonts w:hint="eastAsia"/>
          <w:color w:val="auto"/>
          <w:szCs w:val="21"/>
          <w:highlight w:val="none"/>
        </w:rPr>
      </w:pPr>
      <w:r>
        <w:rPr>
          <w:rFonts w:hint="eastAsia"/>
          <w:color w:val="auto"/>
          <w:szCs w:val="21"/>
          <w:highlight w:val="none"/>
        </w:rPr>
        <w:t>（14）被最高人民法院在“信用中国”网站（www.creditchina.gov.cn）或各级信用信息共享平台中列入失信被执行人名单；</w:t>
      </w:r>
    </w:p>
    <w:p>
      <w:pPr>
        <w:snapToGrid w:val="0"/>
        <w:spacing w:line="360" w:lineRule="auto"/>
        <w:ind w:firstLine="440" w:firstLineChars="200"/>
        <w:rPr>
          <w:rFonts w:hint="eastAsia"/>
          <w:color w:val="auto"/>
          <w:szCs w:val="21"/>
          <w:highlight w:val="none"/>
        </w:rPr>
      </w:pPr>
      <w:r>
        <w:rPr>
          <w:rFonts w:hint="eastAsia"/>
          <w:color w:val="auto"/>
          <w:szCs w:val="21"/>
          <w:highlight w:val="none"/>
        </w:rPr>
        <w:t>（15）在近三年内投标人或其法定代表人、拟委任的项目负责人有行贿犯罪行为的。</w:t>
      </w:r>
    </w:p>
    <w:p>
      <w:pPr>
        <w:snapToGrid w:val="0"/>
        <w:spacing w:line="360" w:lineRule="auto"/>
        <w:ind w:firstLine="440" w:firstLineChars="200"/>
        <w:rPr>
          <w:rFonts w:hint="eastAsia"/>
          <w:color w:val="auto"/>
          <w:szCs w:val="21"/>
          <w:highlight w:val="none"/>
        </w:rPr>
      </w:pPr>
      <w:r>
        <w:rPr>
          <w:rFonts w:hint="eastAsia"/>
          <w:color w:val="auto"/>
          <w:szCs w:val="21"/>
          <w:highlight w:val="none"/>
        </w:rPr>
        <w:t>（16）被住房城乡建设行政主管部门在全国建筑市场监管一体化工作平台列入建筑市场主体“黑名单”；</w:t>
      </w:r>
    </w:p>
    <w:p>
      <w:pPr>
        <w:snapToGrid w:val="0"/>
        <w:spacing w:line="360" w:lineRule="auto"/>
        <w:ind w:firstLine="440" w:firstLineChars="200"/>
        <w:rPr>
          <w:rFonts w:hint="eastAsia"/>
          <w:color w:val="auto"/>
          <w:szCs w:val="21"/>
          <w:highlight w:val="none"/>
        </w:rPr>
      </w:pPr>
      <w:r>
        <w:rPr>
          <w:rFonts w:hint="eastAsia"/>
          <w:color w:val="auto"/>
          <w:szCs w:val="21"/>
          <w:highlight w:val="none"/>
        </w:rPr>
        <w:t>（17）被发改委、人力资源社会保障、质检总局等有关部门、单位在“信用中国”网站中列入联合惩戒</w:t>
      </w:r>
      <w:r>
        <w:rPr>
          <w:rFonts w:hint="eastAsia" w:eastAsia="宋体"/>
          <w:color w:val="auto"/>
          <w:szCs w:val="21"/>
          <w:highlight w:val="none"/>
          <w:lang w:eastAsia="zh-CN"/>
        </w:rPr>
        <w:t>严重失信主体名单信息</w:t>
      </w:r>
      <w:r>
        <w:rPr>
          <w:rFonts w:hint="eastAsia"/>
          <w:color w:val="auto"/>
          <w:szCs w:val="21"/>
          <w:highlight w:val="none"/>
        </w:rPr>
        <w:t>。</w:t>
      </w:r>
    </w:p>
    <w:p>
      <w:pPr>
        <w:spacing w:line="360" w:lineRule="auto"/>
        <w:ind w:firstLine="440" w:firstLineChars="200"/>
        <w:jc w:val="both"/>
        <w:rPr>
          <w:rFonts w:ascii="宋体" w:hAnsi="宋体" w:eastAsia="宋体"/>
          <w:color w:val="auto"/>
          <w:sz w:val="21"/>
          <w:szCs w:val="21"/>
          <w:highlight w:val="none"/>
          <w:lang w:eastAsia="zh-CN"/>
        </w:rPr>
      </w:pPr>
      <w:r>
        <w:rPr>
          <w:rFonts w:hint="eastAsia"/>
          <w:color w:val="auto"/>
          <w:szCs w:val="21"/>
          <w:highlight w:val="none"/>
        </w:rPr>
        <w:t>（1</w:t>
      </w:r>
      <w:r>
        <w:rPr>
          <w:rFonts w:hint="eastAsia"/>
          <w:color w:val="auto"/>
          <w:szCs w:val="21"/>
          <w:highlight w:val="none"/>
          <w:lang w:val="en-US" w:eastAsia="zh-CN"/>
        </w:rPr>
        <w:t>8</w:t>
      </w:r>
      <w:r>
        <w:rPr>
          <w:rFonts w:hint="eastAsia"/>
          <w:color w:val="auto"/>
          <w:szCs w:val="21"/>
          <w:highlight w:val="none"/>
        </w:rPr>
        <w:t>）法律法规或投标人须知规定的其他情形。</w:t>
      </w:r>
    </w:p>
    <w:p>
      <w:pPr>
        <w:pStyle w:val="23"/>
        <w:rPr>
          <w:color w:val="auto"/>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1.5费用承担</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投标人准备和参加投标活动发生的费用自理。</w:t>
      </w:r>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1.6保密</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参与招标投标活动的各方应对招标文件和投标文件中的商业和技术等秘密保密，否则应承担相应的法律责任。</w:t>
      </w:r>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1.7语言文字</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招标投标文件使用的语言文字为中文。专用术语使用外文的，应附有中文注释。</w:t>
      </w:r>
    </w:p>
    <w:p>
      <w:pPr>
        <w:pStyle w:val="12"/>
        <w:spacing w:line="360" w:lineRule="auto"/>
        <w:ind w:left="0" w:firstLine="420" w:firstLineChars="200"/>
        <w:jc w:val="both"/>
        <w:rPr>
          <w:color w:val="auto"/>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1.8计量单位</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所有计量均采用中华人民共和国法定计量单位。</w:t>
      </w:r>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1.9踏勘现场</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u w:val="single"/>
          <w:lang w:eastAsia="zh-CN"/>
        </w:rPr>
      </w:pPr>
      <w:r>
        <w:rPr>
          <w:rFonts w:hint="eastAsia"/>
          <w:color w:val="auto"/>
          <w:highlight w:val="none"/>
          <w:u w:val="single"/>
          <w:lang w:eastAsia="zh-CN"/>
        </w:rPr>
        <w:t>不组织</w:t>
      </w:r>
      <w:r>
        <w:rPr>
          <w:rFonts w:cs="宋体"/>
          <w:color w:val="auto"/>
          <w:highlight w:val="none"/>
          <w:u w:val="single"/>
          <w:lang w:eastAsia="zh-CN"/>
        </w:rPr>
        <w:t>踏勘现场。</w:t>
      </w:r>
      <w:r>
        <w:rPr>
          <w:rFonts w:hint="eastAsia" w:cs="宋体"/>
          <w:color w:val="auto"/>
          <w:highlight w:val="none"/>
          <w:u w:val="single"/>
          <w:lang w:eastAsia="zh-CN"/>
        </w:rPr>
        <w:t>补充说明如下：</w:t>
      </w:r>
    </w:p>
    <w:p>
      <w:pPr>
        <w:pStyle w:val="12"/>
        <w:spacing w:line="360" w:lineRule="auto"/>
        <w:ind w:left="0" w:firstLine="420" w:firstLineChars="200"/>
        <w:jc w:val="both"/>
        <w:rPr>
          <w:color w:val="auto"/>
          <w:highlight w:val="none"/>
          <w:u w:val="single"/>
          <w:lang w:eastAsia="zh-CN"/>
        </w:rPr>
      </w:pPr>
      <w:r>
        <w:rPr>
          <w:rFonts w:hint="eastAsia" w:cs="宋体"/>
          <w:color w:val="auto"/>
          <w:highlight w:val="none"/>
          <w:u w:val="single"/>
          <w:lang w:eastAsia="zh-CN"/>
        </w:rPr>
        <w:t>（</w:t>
      </w:r>
      <w:r>
        <w:rPr>
          <w:color w:val="auto"/>
          <w:highlight w:val="none"/>
          <w:u w:val="single"/>
          <w:lang w:eastAsia="zh-CN"/>
        </w:rPr>
        <w:t>1</w:t>
      </w:r>
      <w:r>
        <w:rPr>
          <w:rFonts w:hint="eastAsia" w:cs="宋体"/>
          <w:color w:val="auto"/>
          <w:highlight w:val="none"/>
          <w:u w:val="single"/>
          <w:lang w:eastAsia="zh-CN"/>
        </w:rPr>
        <w:t>）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场考察活动。</w:t>
      </w:r>
    </w:p>
    <w:p>
      <w:pPr>
        <w:pStyle w:val="12"/>
        <w:spacing w:line="360" w:lineRule="auto"/>
        <w:ind w:left="0" w:firstLine="420" w:firstLineChars="200"/>
        <w:jc w:val="both"/>
        <w:rPr>
          <w:color w:val="auto"/>
          <w:highlight w:val="none"/>
          <w:u w:val="single"/>
          <w:lang w:eastAsia="zh-CN"/>
        </w:rPr>
      </w:pPr>
      <w:r>
        <w:rPr>
          <w:rFonts w:hint="eastAsia" w:cs="宋体"/>
          <w:color w:val="auto"/>
          <w:highlight w:val="none"/>
          <w:u w:val="single"/>
          <w:lang w:eastAsia="zh-CN"/>
        </w:rPr>
        <w:t>（</w:t>
      </w:r>
      <w:r>
        <w:rPr>
          <w:color w:val="auto"/>
          <w:highlight w:val="none"/>
          <w:u w:val="single"/>
          <w:lang w:eastAsia="zh-CN"/>
        </w:rPr>
        <w:t>2</w:t>
      </w:r>
      <w:r>
        <w:rPr>
          <w:rFonts w:hint="eastAsia" w:cs="宋体"/>
          <w:color w:val="auto"/>
          <w:highlight w:val="none"/>
          <w:u w:val="single"/>
          <w:lang w:eastAsia="zh-CN"/>
        </w:rPr>
        <w:t>）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pPr>
        <w:pStyle w:val="12"/>
        <w:spacing w:line="360" w:lineRule="auto"/>
        <w:ind w:left="0" w:firstLine="420" w:firstLineChars="200"/>
        <w:jc w:val="both"/>
        <w:rPr>
          <w:color w:val="auto"/>
          <w:highlight w:val="none"/>
          <w:u w:val="single"/>
          <w:lang w:eastAsia="zh-CN"/>
        </w:rPr>
      </w:pPr>
      <w:r>
        <w:rPr>
          <w:rFonts w:hint="eastAsia" w:cs="宋体"/>
          <w:color w:val="auto"/>
          <w:highlight w:val="none"/>
          <w:u w:val="single"/>
          <w:lang w:eastAsia="zh-CN"/>
        </w:rPr>
        <w:t>（</w:t>
      </w:r>
      <w:r>
        <w:rPr>
          <w:color w:val="auto"/>
          <w:highlight w:val="none"/>
          <w:u w:val="single"/>
          <w:lang w:eastAsia="zh-CN"/>
        </w:rPr>
        <w:t>3</w:t>
      </w:r>
      <w:r>
        <w:rPr>
          <w:rFonts w:hint="eastAsia" w:cs="宋体"/>
          <w:color w:val="auto"/>
          <w:highlight w:val="none"/>
          <w:u w:val="single"/>
          <w:lang w:eastAsia="zh-CN"/>
        </w:rPr>
        <w:t>）由招标人提供的资料和数据，只是为了使投标人能够利用招标人现有的资料。招标人对投标人由此而作出的推论、解释和结论概不负责。</w:t>
      </w:r>
    </w:p>
    <w:p>
      <w:pPr>
        <w:pStyle w:val="12"/>
        <w:spacing w:line="360" w:lineRule="auto"/>
        <w:ind w:left="0" w:firstLine="420" w:firstLineChars="200"/>
        <w:jc w:val="both"/>
        <w:rPr>
          <w:rFonts w:cs="宋体"/>
          <w:color w:val="auto"/>
          <w:highlight w:val="none"/>
          <w:u w:val="single"/>
          <w:lang w:eastAsia="zh-CN"/>
        </w:rPr>
      </w:pPr>
      <w:r>
        <w:rPr>
          <w:rFonts w:hint="eastAsia" w:cs="宋体"/>
          <w:color w:val="auto"/>
          <w:highlight w:val="none"/>
          <w:u w:val="single"/>
          <w:lang w:eastAsia="zh-CN"/>
        </w:rPr>
        <w:t>（</w:t>
      </w:r>
      <w:r>
        <w:rPr>
          <w:color w:val="auto"/>
          <w:highlight w:val="none"/>
          <w:u w:val="single"/>
          <w:lang w:eastAsia="zh-CN"/>
        </w:rPr>
        <w:t>4</w:t>
      </w:r>
      <w:r>
        <w:rPr>
          <w:rFonts w:hint="eastAsia" w:cs="宋体"/>
          <w:color w:val="auto"/>
          <w:highlight w:val="none"/>
          <w:u w:val="single"/>
          <w:lang w:eastAsia="zh-CN"/>
        </w:rPr>
        <w:t>）不论投标结果如何，投标人应承担其投标文件编制与递交所涉及的一切费用，发包人对上述费用不负任何责任。</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1.9.1投标人须知前附表规定组织踏勘现场的，招标人按投标人须知前附表规定的时间、地点组织投标人踏勘项目现场。部分投标人未按时参加踏勘现场的，不影响踏勘现场的正常进行。</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1.9.2投标人踏勘现场发生的费用自理。</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1.9.3除招标人的原因外，投标人自行负责在踏勘现场中所发生的人员伤亡和财产损失。</w:t>
      </w:r>
    </w:p>
    <w:p>
      <w:pPr>
        <w:pStyle w:val="12"/>
        <w:spacing w:line="360" w:lineRule="auto"/>
        <w:ind w:left="0" w:firstLine="420" w:firstLineChars="200"/>
        <w:jc w:val="both"/>
        <w:rPr>
          <w:color w:val="auto"/>
          <w:highlight w:val="none"/>
          <w:lang w:eastAsia="zh-CN"/>
        </w:rPr>
      </w:pPr>
      <w:r>
        <w:rPr>
          <w:strike/>
          <w:color w:val="auto"/>
          <w:highlight w:val="none"/>
          <w:lang w:eastAsia="zh-CN"/>
        </w:rPr>
        <w:t>1.9.4招标人在踏勘现场中介绍的工程场地和相关的周边环境情况，供投标人在编制投标文件时参考，招标人不对投标人据此作出的判断和决策负责。</w:t>
      </w:r>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1.10投标预备会</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strike/>
          <w:color w:val="auto"/>
          <w:highlight w:val="none"/>
          <w:lang w:eastAsia="zh-CN"/>
        </w:rPr>
      </w:pPr>
      <w:r>
        <w:rPr>
          <w:color w:val="auto"/>
          <w:highlight w:val="none"/>
          <w:lang w:eastAsia="zh-CN"/>
        </w:rPr>
        <w:t>不召开。</w:t>
      </w:r>
      <w:r>
        <w:rPr>
          <w:strike/>
          <w:color w:val="auto"/>
          <w:highlight w:val="none"/>
          <w:lang w:eastAsia="zh-CN"/>
        </w:rPr>
        <w:t>1.10.1投标人须知前附表规定召开投标预备会的，招标人按投标人须知前附表规定的时间和地点召开投标预备会，澄清投标人提出的问题。</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1.10.2投标人应按投标人须知前附表规定的时间和形式将提出的问题送达招标人，以便招标人在会议期间澄清。</w:t>
      </w:r>
    </w:p>
    <w:p>
      <w:pPr>
        <w:pStyle w:val="12"/>
        <w:spacing w:line="360" w:lineRule="auto"/>
        <w:ind w:left="0" w:firstLine="420" w:firstLineChars="200"/>
        <w:jc w:val="both"/>
        <w:rPr>
          <w:color w:val="auto"/>
          <w:highlight w:val="none"/>
          <w:lang w:eastAsia="zh-CN"/>
        </w:rPr>
      </w:pPr>
      <w:r>
        <w:rPr>
          <w:strike/>
          <w:color w:val="auto"/>
          <w:highlight w:val="none"/>
          <w:lang w:eastAsia="zh-CN"/>
        </w:rPr>
        <w:t>1.10.3投标预备会后，招标人将对投标人所提问题的澄清，以投标人须知前附表规定的形式通知所有购买招标文件的投标人。该澄清内容为招标文件的组成部分。</w:t>
      </w:r>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1.11分包</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1.11.1投标人拟在中标后将中标项目的非主体、非关键性设计工作进行分包的，应符合投标人须知前附表规定的分包内容、分包金额和资质要求等限制性条件，除投标人须知前附表规定的非主体、非关键性设计工作外，其他工作不得分包。</w:t>
      </w:r>
    </w:p>
    <w:p>
      <w:pPr>
        <w:pStyle w:val="12"/>
        <w:spacing w:line="360" w:lineRule="auto"/>
        <w:ind w:left="0" w:firstLine="420" w:firstLineChars="200"/>
        <w:jc w:val="both"/>
        <w:rPr>
          <w:color w:val="auto"/>
          <w:highlight w:val="none"/>
          <w:lang w:eastAsia="zh-CN"/>
        </w:rPr>
      </w:pPr>
      <w:r>
        <w:rPr>
          <w:color w:val="auto"/>
          <w:highlight w:val="none"/>
          <w:lang w:eastAsia="zh-CN"/>
        </w:rPr>
        <w:t>1.11.2中标人不得向他人转让中标项目，接受分包的人不得再次分包。中标人应当就分包项目向招标人负责，接受分包的人就分包项目承担连带责任。</w:t>
      </w:r>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1.12响应和偏差</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1.12.1投标文件应当对招标文件的实质性要求和条件作出满足性或更有利于招标人的响应，否则，投标人的投标将被否决。实质性要求和条件见投标人须知前附表。</w:t>
      </w:r>
    </w:p>
    <w:p>
      <w:pPr>
        <w:pStyle w:val="12"/>
        <w:spacing w:line="360" w:lineRule="auto"/>
        <w:ind w:left="0" w:firstLine="420" w:firstLineChars="200"/>
        <w:jc w:val="both"/>
        <w:rPr>
          <w:color w:val="auto"/>
          <w:highlight w:val="none"/>
          <w:lang w:eastAsia="zh-CN"/>
        </w:rPr>
      </w:pPr>
      <w:r>
        <w:rPr>
          <w:color w:val="auto"/>
          <w:highlight w:val="none"/>
          <w:lang w:eastAsia="zh-CN"/>
        </w:rPr>
        <w:t>1.12.2投标人应根据招标文件的要求提供投标勘察设计方案等内容以对招标文件作出响应。</w:t>
      </w:r>
    </w:p>
    <w:p>
      <w:pPr>
        <w:pStyle w:val="12"/>
        <w:spacing w:line="360" w:lineRule="auto"/>
        <w:ind w:left="0" w:firstLine="420" w:firstLineChars="200"/>
        <w:jc w:val="both"/>
        <w:rPr>
          <w:color w:val="auto"/>
          <w:highlight w:val="none"/>
          <w:lang w:eastAsia="zh-CN"/>
        </w:rPr>
      </w:pPr>
      <w:r>
        <w:rPr>
          <w:color w:val="auto"/>
          <w:highlight w:val="none"/>
          <w:lang w:eastAsia="zh-CN"/>
        </w:rPr>
        <w:t>1.12.3投标人须知前附表允许投标文件偏离招标文件某些要求的，偏差应当符合招标文件规定的偏差范围和幅度。</w:t>
      </w:r>
    </w:p>
    <w:p>
      <w:pPr>
        <w:spacing w:line="360" w:lineRule="auto"/>
        <w:jc w:val="both"/>
        <w:rPr>
          <w:rFonts w:ascii="宋体" w:hAnsi="宋体" w:eastAsia="宋体"/>
          <w:color w:val="auto"/>
          <w:sz w:val="21"/>
          <w:szCs w:val="21"/>
          <w:highlight w:val="none"/>
          <w:lang w:eastAsia="zh-CN"/>
        </w:rPr>
      </w:pPr>
      <w:bookmarkStart w:id="15" w:name="_Toc25137983"/>
    </w:p>
    <w:p>
      <w:pPr>
        <w:pStyle w:val="6"/>
        <w:spacing w:line="443" w:lineRule="exact"/>
        <w:ind w:right="44"/>
        <w:jc w:val="both"/>
        <w:rPr>
          <w:rFonts w:ascii="宋体" w:hAnsi="宋体" w:eastAsia="宋体"/>
          <w:color w:val="auto"/>
          <w:sz w:val="21"/>
          <w:szCs w:val="21"/>
          <w:highlight w:val="none"/>
          <w:lang w:eastAsia="zh-CN"/>
        </w:rPr>
      </w:pPr>
      <w:bookmarkStart w:id="16" w:name="_Toc109809384"/>
      <w:bookmarkStart w:id="17" w:name="_Toc109809423"/>
      <w:r>
        <w:rPr>
          <w:rFonts w:ascii="宋体" w:hAnsi="宋体" w:eastAsia="宋体"/>
          <w:color w:val="auto"/>
          <w:sz w:val="21"/>
          <w:szCs w:val="21"/>
          <w:highlight w:val="none"/>
          <w:lang w:eastAsia="zh-CN"/>
        </w:rPr>
        <w:t>2. 招标文件</w:t>
      </w:r>
      <w:bookmarkEnd w:id="15"/>
      <w:bookmarkEnd w:id="16"/>
      <w:bookmarkEnd w:id="17"/>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2.1招标文件的组成</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本招标文件包括：</w:t>
      </w:r>
    </w:p>
    <w:p>
      <w:pPr>
        <w:pStyle w:val="12"/>
        <w:spacing w:line="360" w:lineRule="auto"/>
        <w:ind w:left="0" w:firstLine="420" w:firstLineChars="200"/>
        <w:jc w:val="both"/>
        <w:rPr>
          <w:color w:val="auto"/>
          <w:highlight w:val="none"/>
          <w:lang w:eastAsia="zh-CN"/>
        </w:rPr>
      </w:pPr>
      <w:r>
        <w:rPr>
          <w:color w:val="auto"/>
          <w:highlight w:val="none"/>
          <w:lang w:eastAsia="zh-CN"/>
        </w:rPr>
        <w:t>（1）招标公告（或投标邀请书）；</w:t>
      </w:r>
    </w:p>
    <w:p>
      <w:pPr>
        <w:pStyle w:val="12"/>
        <w:spacing w:line="360" w:lineRule="auto"/>
        <w:ind w:left="0" w:firstLine="420" w:firstLineChars="200"/>
        <w:jc w:val="both"/>
        <w:rPr>
          <w:color w:val="auto"/>
          <w:highlight w:val="none"/>
          <w:lang w:eastAsia="zh-CN"/>
        </w:rPr>
      </w:pPr>
      <w:r>
        <w:rPr>
          <w:color w:val="auto"/>
          <w:highlight w:val="none"/>
          <w:lang w:eastAsia="zh-CN"/>
        </w:rPr>
        <w:t>（2）投标人须知；</w:t>
      </w:r>
    </w:p>
    <w:p>
      <w:pPr>
        <w:pStyle w:val="12"/>
        <w:spacing w:line="360" w:lineRule="auto"/>
        <w:ind w:left="0" w:firstLine="420" w:firstLineChars="200"/>
        <w:jc w:val="both"/>
        <w:rPr>
          <w:color w:val="auto"/>
          <w:highlight w:val="none"/>
          <w:lang w:eastAsia="zh-CN"/>
        </w:rPr>
      </w:pPr>
      <w:r>
        <w:rPr>
          <w:color w:val="auto"/>
          <w:highlight w:val="none"/>
          <w:lang w:eastAsia="zh-CN"/>
        </w:rPr>
        <w:t>（3）评标办法；</w:t>
      </w:r>
    </w:p>
    <w:p>
      <w:pPr>
        <w:pStyle w:val="12"/>
        <w:spacing w:line="360" w:lineRule="auto"/>
        <w:ind w:left="0" w:firstLine="420" w:firstLineChars="200"/>
        <w:jc w:val="both"/>
        <w:rPr>
          <w:color w:val="auto"/>
          <w:highlight w:val="none"/>
          <w:lang w:eastAsia="zh-CN"/>
        </w:rPr>
      </w:pPr>
      <w:r>
        <w:rPr>
          <w:color w:val="auto"/>
          <w:highlight w:val="none"/>
          <w:lang w:eastAsia="zh-CN"/>
        </w:rPr>
        <w:t>（4）合同条款及格式；</w:t>
      </w:r>
    </w:p>
    <w:p>
      <w:pPr>
        <w:pStyle w:val="12"/>
        <w:spacing w:line="360" w:lineRule="auto"/>
        <w:ind w:left="0" w:firstLine="420" w:firstLineChars="200"/>
        <w:jc w:val="both"/>
        <w:rPr>
          <w:color w:val="auto"/>
          <w:highlight w:val="none"/>
          <w:lang w:eastAsia="zh-CN"/>
        </w:rPr>
      </w:pPr>
      <w:r>
        <w:rPr>
          <w:color w:val="auto"/>
          <w:highlight w:val="none"/>
          <w:lang w:eastAsia="zh-CN"/>
        </w:rPr>
        <w:t>（5）发包人要求；</w:t>
      </w:r>
    </w:p>
    <w:p>
      <w:pPr>
        <w:pStyle w:val="12"/>
        <w:spacing w:line="360" w:lineRule="auto"/>
        <w:ind w:left="0" w:firstLine="420" w:firstLineChars="200"/>
        <w:jc w:val="both"/>
        <w:rPr>
          <w:color w:val="auto"/>
          <w:highlight w:val="none"/>
          <w:lang w:eastAsia="zh-CN"/>
        </w:rPr>
      </w:pPr>
      <w:r>
        <w:rPr>
          <w:color w:val="auto"/>
          <w:highlight w:val="none"/>
          <w:lang w:eastAsia="zh-CN"/>
        </w:rPr>
        <w:t>（6）投标文件格式；</w:t>
      </w:r>
    </w:p>
    <w:p>
      <w:pPr>
        <w:pStyle w:val="12"/>
        <w:spacing w:line="360" w:lineRule="auto"/>
        <w:ind w:left="0" w:firstLine="420" w:firstLineChars="200"/>
        <w:jc w:val="both"/>
        <w:rPr>
          <w:color w:val="auto"/>
          <w:highlight w:val="none"/>
          <w:lang w:eastAsia="zh-CN"/>
        </w:rPr>
      </w:pPr>
      <w:r>
        <w:rPr>
          <w:color w:val="auto"/>
          <w:highlight w:val="none"/>
          <w:lang w:eastAsia="zh-CN"/>
        </w:rPr>
        <w:t>（7）投标人须知前附表规定的其他资料。</w:t>
      </w:r>
    </w:p>
    <w:p>
      <w:pPr>
        <w:pStyle w:val="12"/>
        <w:spacing w:line="360" w:lineRule="auto"/>
        <w:ind w:left="0" w:firstLine="420" w:firstLineChars="200"/>
        <w:jc w:val="both"/>
        <w:rPr>
          <w:color w:val="auto"/>
          <w:highlight w:val="none"/>
          <w:lang w:eastAsia="zh-CN"/>
        </w:rPr>
      </w:pPr>
      <w:r>
        <w:rPr>
          <w:color w:val="auto"/>
          <w:highlight w:val="none"/>
          <w:lang w:eastAsia="zh-CN"/>
        </w:rPr>
        <w:t>根据本章第1.10款、第2.2款和第2.3款对招标文件所作的澄清、修改，构成招标文件的组成部分。</w:t>
      </w:r>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2.2招标文件的澄清</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pStyle w:val="12"/>
        <w:spacing w:line="360" w:lineRule="auto"/>
        <w:ind w:left="0" w:firstLine="420" w:firstLineChars="200"/>
        <w:jc w:val="both"/>
        <w:rPr>
          <w:color w:val="auto"/>
          <w:highlight w:val="none"/>
          <w:lang w:eastAsia="zh-CN"/>
        </w:rPr>
      </w:pPr>
      <w:r>
        <w:rPr>
          <w:color w:val="auto"/>
          <w:highlight w:val="none"/>
          <w:lang w:eastAsia="zh-CN"/>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pStyle w:val="12"/>
        <w:spacing w:line="360" w:lineRule="auto"/>
        <w:ind w:left="0" w:firstLine="420" w:firstLineChars="200"/>
        <w:jc w:val="both"/>
        <w:rPr>
          <w:color w:val="auto"/>
          <w:highlight w:val="none"/>
          <w:lang w:eastAsia="zh-CN"/>
        </w:rPr>
      </w:pPr>
      <w:r>
        <w:rPr>
          <w:color w:val="auto"/>
          <w:highlight w:val="none"/>
          <w:lang w:eastAsia="zh-CN"/>
        </w:rPr>
        <w:t>2.2.3投标人在收到澄清后，应按投标人须知前附表规定的时间和形式通知招标人，确认已收到该澄清。</w:t>
      </w:r>
    </w:p>
    <w:p>
      <w:pPr>
        <w:pStyle w:val="12"/>
        <w:spacing w:line="360" w:lineRule="auto"/>
        <w:ind w:left="0" w:firstLine="420" w:firstLineChars="200"/>
        <w:jc w:val="both"/>
        <w:rPr>
          <w:color w:val="auto"/>
          <w:highlight w:val="none"/>
          <w:lang w:eastAsia="zh-CN"/>
        </w:rPr>
      </w:pPr>
      <w:r>
        <w:rPr>
          <w:color w:val="auto"/>
          <w:highlight w:val="none"/>
          <w:lang w:eastAsia="zh-CN"/>
        </w:rPr>
        <w:t>2.2.4 除非招标人认为确有必要答复，否则，招标人有权拒绝回复投标人在本章第 2.2.1项规定的时间后的任何澄清要求。</w:t>
      </w:r>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2.3招标文件的修改</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2.3.1招标人以投标人须知前附表规定的形式修改招标文件，并通知所有已购买招标文件的</w:t>
      </w:r>
    </w:p>
    <w:p>
      <w:pPr>
        <w:pStyle w:val="12"/>
        <w:spacing w:line="360" w:lineRule="auto"/>
        <w:ind w:left="0" w:firstLine="420" w:firstLineChars="200"/>
        <w:jc w:val="both"/>
        <w:rPr>
          <w:color w:val="auto"/>
          <w:highlight w:val="none"/>
          <w:lang w:eastAsia="zh-CN"/>
        </w:rPr>
      </w:pPr>
      <w:r>
        <w:rPr>
          <w:color w:val="auto"/>
          <w:highlight w:val="none"/>
          <w:lang w:eastAsia="zh-CN"/>
        </w:rPr>
        <w:t>投标人。修改招标文件的时间距本章第4.2.1项规定的投标截止时间不足15日的，并且修改内容可能影响投标文件编制的，将相应延长投标截止时间。</w:t>
      </w:r>
    </w:p>
    <w:p>
      <w:pPr>
        <w:pStyle w:val="12"/>
        <w:spacing w:line="360" w:lineRule="auto"/>
        <w:ind w:left="0" w:firstLine="420" w:firstLineChars="200"/>
        <w:jc w:val="both"/>
        <w:rPr>
          <w:color w:val="auto"/>
          <w:highlight w:val="none"/>
          <w:lang w:eastAsia="zh-CN"/>
        </w:rPr>
      </w:pPr>
      <w:r>
        <w:rPr>
          <w:color w:val="auto"/>
          <w:highlight w:val="none"/>
          <w:lang w:eastAsia="zh-CN"/>
        </w:rPr>
        <w:t>2.3.2投标人收到修改内容后，应按投标人须知前附表规定的时间和形式通知招标人，确认已收到该修改。</w:t>
      </w:r>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2.4招标文件的异议</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投标人或者其他利害关系人对招标文件有异议的，应当在投标截止时间10日前以书面形式提出。招标人将在收到异议之日起3日内作出答复；作出答复前，将暂停招标投标活动。</w:t>
      </w:r>
    </w:p>
    <w:p>
      <w:pPr>
        <w:spacing w:line="360" w:lineRule="auto"/>
        <w:jc w:val="both"/>
        <w:rPr>
          <w:rFonts w:ascii="宋体" w:hAnsi="宋体" w:eastAsia="宋体"/>
          <w:color w:val="auto"/>
          <w:sz w:val="21"/>
          <w:szCs w:val="21"/>
          <w:highlight w:val="none"/>
          <w:lang w:eastAsia="zh-CN"/>
        </w:rPr>
      </w:pPr>
      <w:bookmarkStart w:id="18" w:name="_Toc25137984"/>
    </w:p>
    <w:p>
      <w:pPr>
        <w:pStyle w:val="6"/>
        <w:spacing w:line="443" w:lineRule="exact"/>
        <w:ind w:right="44"/>
        <w:jc w:val="both"/>
        <w:rPr>
          <w:rFonts w:ascii="宋体" w:hAnsi="宋体" w:eastAsia="宋体"/>
          <w:color w:val="auto"/>
          <w:sz w:val="21"/>
          <w:szCs w:val="21"/>
          <w:highlight w:val="none"/>
          <w:lang w:eastAsia="zh-CN"/>
        </w:rPr>
      </w:pPr>
      <w:bookmarkStart w:id="19" w:name="_Toc109809385"/>
      <w:bookmarkStart w:id="20" w:name="_Toc109809424"/>
      <w:r>
        <w:rPr>
          <w:rFonts w:ascii="宋体" w:hAnsi="宋体" w:eastAsia="宋体"/>
          <w:color w:val="auto"/>
          <w:sz w:val="21"/>
          <w:szCs w:val="21"/>
          <w:highlight w:val="none"/>
          <w:lang w:eastAsia="zh-CN"/>
        </w:rPr>
        <w:t>3. 投标文件</w:t>
      </w:r>
      <w:bookmarkEnd w:id="18"/>
      <w:bookmarkEnd w:id="19"/>
      <w:bookmarkEnd w:id="20"/>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3.1投标文件的组成</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 xml:space="preserve">3.1.1 </w:t>
      </w:r>
      <w:r>
        <w:rPr>
          <w:rFonts w:hint="eastAsia" w:cs="宋体"/>
          <w:color w:val="auto"/>
          <w:highlight w:val="none"/>
          <w:lang w:eastAsia="zh-CN"/>
        </w:rPr>
        <w:t>投标文件应包括下列内容：</w:t>
      </w:r>
    </w:p>
    <w:p>
      <w:pPr>
        <w:pStyle w:val="12"/>
        <w:spacing w:line="360" w:lineRule="auto"/>
        <w:ind w:left="0" w:firstLine="420" w:firstLineChars="200"/>
        <w:jc w:val="both"/>
        <w:rPr>
          <w:strike/>
          <w:color w:val="auto"/>
          <w:highlight w:val="none"/>
          <w:lang w:eastAsia="zh-CN"/>
        </w:rPr>
      </w:pPr>
      <w:r>
        <w:rPr>
          <w:rFonts w:hint="eastAsia" w:cs="宋体"/>
          <w:strike/>
          <w:color w:val="auto"/>
          <w:highlight w:val="none"/>
          <w:lang w:eastAsia="zh-CN"/>
        </w:rPr>
        <w:t>（</w:t>
      </w:r>
      <w:r>
        <w:rPr>
          <w:strike/>
          <w:color w:val="auto"/>
          <w:highlight w:val="none"/>
          <w:lang w:eastAsia="zh-CN"/>
        </w:rPr>
        <w:t>1</w:t>
      </w:r>
      <w:r>
        <w:rPr>
          <w:rFonts w:hint="eastAsia" w:cs="宋体"/>
          <w:strike/>
          <w:color w:val="auto"/>
          <w:highlight w:val="none"/>
          <w:lang w:eastAsia="zh-CN"/>
        </w:rPr>
        <w:t>）投标函及投标函附录；</w:t>
      </w:r>
    </w:p>
    <w:p>
      <w:pPr>
        <w:pStyle w:val="12"/>
        <w:spacing w:line="360" w:lineRule="auto"/>
        <w:ind w:left="0" w:firstLine="420" w:firstLineChars="200"/>
        <w:jc w:val="both"/>
        <w:rPr>
          <w:strike/>
          <w:color w:val="auto"/>
          <w:highlight w:val="none"/>
          <w:lang w:eastAsia="zh-CN"/>
        </w:rPr>
      </w:pPr>
      <w:r>
        <w:rPr>
          <w:rFonts w:hint="eastAsia" w:cs="宋体"/>
          <w:strike/>
          <w:color w:val="auto"/>
          <w:highlight w:val="none"/>
          <w:lang w:eastAsia="zh-CN"/>
        </w:rPr>
        <w:t>（</w:t>
      </w:r>
      <w:r>
        <w:rPr>
          <w:strike/>
          <w:color w:val="auto"/>
          <w:highlight w:val="none"/>
          <w:lang w:eastAsia="zh-CN"/>
        </w:rPr>
        <w:t>2</w:t>
      </w:r>
      <w:r>
        <w:rPr>
          <w:rFonts w:hint="eastAsia" w:cs="宋体"/>
          <w:strike/>
          <w:color w:val="auto"/>
          <w:highlight w:val="none"/>
          <w:lang w:eastAsia="zh-CN"/>
        </w:rPr>
        <w:t>）法定代表人身份证明或附有法定代表人身份证明的授权委托书；</w:t>
      </w:r>
    </w:p>
    <w:p>
      <w:pPr>
        <w:pStyle w:val="12"/>
        <w:spacing w:line="360" w:lineRule="auto"/>
        <w:ind w:left="0" w:firstLine="420" w:firstLineChars="200"/>
        <w:jc w:val="both"/>
        <w:rPr>
          <w:color w:val="auto"/>
          <w:highlight w:val="none"/>
          <w:lang w:eastAsia="zh-CN"/>
        </w:rPr>
      </w:pPr>
      <w:r>
        <w:rPr>
          <w:rFonts w:hint="eastAsia" w:cs="宋体"/>
          <w:color w:val="auto"/>
          <w:highlight w:val="none"/>
          <w:lang w:eastAsia="zh-CN"/>
        </w:rPr>
        <w:t>（</w:t>
      </w:r>
      <w:r>
        <w:rPr>
          <w:color w:val="auto"/>
          <w:highlight w:val="none"/>
          <w:lang w:eastAsia="zh-CN"/>
        </w:rPr>
        <w:t>3</w:t>
      </w:r>
      <w:r>
        <w:rPr>
          <w:rFonts w:hint="eastAsia" w:cs="宋体"/>
          <w:color w:val="auto"/>
          <w:highlight w:val="none"/>
          <w:lang w:eastAsia="zh-CN"/>
        </w:rPr>
        <w:t>）联合体投标协议书；</w:t>
      </w:r>
    </w:p>
    <w:p>
      <w:pPr>
        <w:pStyle w:val="12"/>
        <w:spacing w:line="360" w:lineRule="auto"/>
        <w:ind w:left="0" w:firstLine="420" w:firstLineChars="200"/>
        <w:jc w:val="both"/>
        <w:rPr>
          <w:strike/>
          <w:color w:val="auto"/>
          <w:highlight w:val="none"/>
          <w:lang w:eastAsia="zh-CN"/>
        </w:rPr>
      </w:pPr>
      <w:r>
        <w:rPr>
          <w:rFonts w:hint="eastAsia" w:cs="宋体"/>
          <w:strike/>
          <w:color w:val="auto"/>
          <w:highlight w:val="none"/>
          <w:lang w:eastAsia="zh-CN"/>
        </w:rPr>
        <w:t>（</w:t>
      </w:r>
      <w:r>
        <w:rPr>
          <w:strike/>
          <w:color w:val="auto"/>
          <w:highlight w:val="none"/>
          <w:lang w:eastAsia="zh-CN"/>
        </w:rPr>
        <w:t>4</w:t>
      </w:r>
      <w:r>
        <w:rPr>
          <w:rFonts w:hint="eastAsia" w:cs="宋体"/>
          <w:strike/>
          <w:color w:val="auto"/>
          <w:highlight w:val="none"/>
          <w:lang w:eastAsia="zh-CN"/>
        </w:rPr>
        <w:t>）投标保证金；</w:t>
      </w:r>
    </w:p>
    <w:p>
      <w:pPr>
        <w:pStyle w:val="12"/>
        <w:spacing w:line="360" w:lineRule="auto"/>
        <w:ind w:left="0" w:firstLine="420" w:firstLineChars="200"/>
        <w:jc w:val="both"/>
        <w:rPr>
          <w:rFonts w:cs="宋体"/>
          <w:strike/>
          <w:color w:val="auto"/>
          <w:highlight w:val="none"/>
          <w:lang w:eastAsia="zh-CN"/>
        </w:rPr>
      </w:pPr>
      <w:r>
        <w:rPr>
          <w:rFonts w:cs="宋体"/>
          <w:strike/>
          <w:color w:val="auto"/>
          <w:highlight w:val="none"/>
          <w:lang w:eastAsia="zh-CN"/>
        </w:rPr>
        <w:t>（5）设计费用清单；</w:t>
      </w:r>
    </w:p>
    <w:p>
      <w:pPr>
        <w:pStyle w:val="12"/>
        <w:spacing w:line="360" w:lineRule="auto"/>
        <w:ind w:left="0" w:firstLine="420" w:firstLineChars="200"/>
        <w:jc w:val="both"/>
        <w:rPr>
          <w:rFonts w:cs="宋体"/>
          <w:strike/>
          <w:color w:val="auto"/>
          <w:highlight w:val="none"/>
          <w:lang w:eastAsia="zh-CN"/>
        </w:rPr>
      </w:pPr>
      <w:r>
        <w:rPr>
          <w:rFonts w:cs="宋体"/>
          <w:strike/>
          <w:color w:val="auto"/>
          <w:highlight w:val="none"/>
          <w:lang w:eastAsia="zh-CN"/>
        </w:rPr>
        <w:t>（6）资格审查资料；</w:t>
      </w:r>
    </w:p>
    <w:p>
      <w:pPr>
        <w:pStyle w:val="12"/>
        <w:spacing w:line="360" w:lineRule="auto"/>
        <w:ind w:left="0" w:firstLine="420" w:firstLineChars="200"/>
        <w:jc w:val="both"/>
        <w:rPr>
          <w:rFonts w:cs="宋体"/>
          <w:strike/>
          <w:color w:val="auto"/>
          <w:highlight w:val="none"/>
          <w:lang w:eastAsia="zh-CN"/>
        </w:rPr>
      </w:pPr>
      <w:r>
        <w:rPr>
          <w:rFonts w:cs="宋体"/>
          <w:strike/>
          <w:color w:val="auto"/>
          <w:highlight w:val="none"/>
          <w:lang w:eastAsia="zh-CN"/>
        </w:rPr>
        <w:t>（7）勘察设计方案；</w:t>
      </w:r>
    </w:p>
    <w:p>
      <w:pPr>
        <w:pStyle w:val="12"/>
        <w:spacing w:line="360" w:lineRule="auto"/>
        <w:ind w:left="0" w:firstLine="420" w:firstLineChars="200"/>
        <w:jc w:val="both"/>
        <w:rPr>
          <w:rFonts w:cs="宋体"/>
          <w:color w:val="auto"/>
          <w:highlight w:val="none"/>
          <w:lang w:eastAsia="zh-CN"/>
        </w:rPr>
      </w:pPr>
      <w:r>
        <w:rPr>
          <w:rFonts w:cs="宋体"/>
          <w:strike/>
          <w:color w:val="auto"/>
          <w:highlight w:val="none"/>
          <w:lang w:eastAsia="zh-CN"/>
        </w:rPr>
        <w:t xml:space="preserve">（8）投标人须知前附表规定的其他资料。 </w:t>
      </w:r>
    </w:p>
    <w:p>
      <w:pPr>
        <w:pStyle w:val="12"/>
        <w:spacing w:line="360" w:lineRule="auto"/>
        <w:ind w:left="0" w:firstLine="422" w:firstLineChars="200"/>
        <w:jc w:val="both"/>
        <w:rPr>
          <w:rFonts w:cs="宋体"/>
          <w:b/>
          <w:color w:val="auto"/>
          <w:highlight w:val="none"/>
          <w:u w:val="single"/>
          <w:lang w:eastAsia="zh-CN"/>
        </w:rPr>
      </w:pPr>
      <w:r>
        <w:rPr>
          <w:rFonts w:hint="eastAsia" w:cs="宋体"/>
          <w:b/>
          <w:color w:val="auto"/>
          <w:highlight w:val="none"/>
          <w:u w:val="single"/>
          <w:lang w:eastAsia="zh-CN"/>
        </w:rPr>
        <w:t>投标文件由商务文件（含资格审查部分、资信业绩部分）、技术文件（含设计方案部分）两个部分组成。各部分投标文件应分别编制。设计投标文件编制要求详见第六章投标文件格式“设计投标文件编制要求”。</w:t>
      </w:r>
    </w:p>
    <w:p>
      <w:pPr>
        <w:pStyle w:val="12"/>
        <w:spacing w:line="360" w:lineRule="auto"/>
        <w:ind w:firstLine="422" w:firstLineChars="200"/>
        <w:jc w:val="both"/>
        <w:rPr>
          <w:rFonts w:cs="宋体"/>
          <w:b/>
          <w:color w:val="auto"/>
          <w:highlight w:val="none"/>
          <w:u w:val="single"/>
          <w:lang w:eastAsia="zh-CN"/>
        </w:rPr>
      </w:pPr>
      <w:r>
        <w:rPr>
          <w:rFonts w:hint="eastAsia" w:cs="宋体"/>
          <w:b/>
          <w:color w:val="auto"/>
          <w:highlight w:val="none"/>
          <w:u w:val="single"/>
          <w:lang w:eastAsia="zh-CN"/>
        </w:rPr>
        <w:t>注：技术文件（含设计方案部分）为暗标。技术标中不能辨认出投标人或其专业技术人员的身份。不在设计方案上标注或做任何可以辨认投标人及专业技术人员身份的名称、印章、商标、图形等记认符号。</w:t>
      </w:r>
    </w:p>
    <w:p>
      <w:pPr>
        <w:pStyle w:val="12"/>
        <w:spacing w:line="360" w:lineRule="auto"/>
        <w:ind w:left="0" w:firstLine="420" w:firstLineChars="200"/>
        <w:jc w:val="both"/>
        <w:rPr>
          <w:rFonts w:cs="宋体"/>
          <w:color w:val="auto"/>
          <w:highlight w:val="none"/>
          <w:lang w:eastAsia="zh-CN"/>
        </w:rPr>
      </w:pPr>
      <w:r>
        <w:rPr>
          <w:rFonts w:cs="宋体"/>
          <w:color w:val="auto"/>
          <w:highlight w:val="none"/>
          <w:lang w:eastAsia="zh-CN"/>
        </w:rPr>
        <w:t>投标人在评标过程中作出的符合法律法规和招标文件规定的澄清确认，构成投标文件的组成部分。</w:t>
      </w:r>
    </w:p>
    <w:p>
      <w:pPr>
        <w:pStyle w:val="12"/>
        <w:spacing w:line="360" w:lineRule="auto"/>
        <w:ind w:left="0" w:firstLine="420" w:firstLineChars="200"/>
        <w:jc w:val="both"/>
        <w:rPr>
          <w:color w:val="auto"/>
          <w:highlight w:val="none"/>
          <w:lang w:eastAsia="zh-CN"/>
        </w:rPr>
      </w:pPr>
      <w:r>
        <w:rPr>
          <w:color w:val="auto"/>
          <w:highlight w:val="none"/>
          <w:lang w:eastAsia="zh-CN"/>
        </w:rPr>
        <w:t>3.1.2投标人须知前附表规定不接受联合体投标的，或投标人没有组成联合体的，投标文件不包括本章第3.1.1（3）目所指的</w:t>
      </w:r>
      <w:r>
        <w:rPr>
          <w:rFonts w:hint="eastAsia"/>
          <w:color w:val="auto"/>
          <w:highlight w:val="none"/>
          <w:lang w:eastAsia="zh-CN"/>
        </w:rPr>
        <w:t>联合体投标协议书</w:t>
      </w:r>
      <w:r>
        <w:rPr>
          <w:color w:val="auto"/>
          <w:highlight w:val="none"/>
          <w:lang w:eastAsia="zh-CN"/>
        </w:rPr>
        <w:t>。</w:t>
      </w:r>
    </w:p>
    <w:p>
      <w:pPr>
        <w:pStyle w:val="12"/>
        <w:spacing w:line="360" w:lineRule="auto"/>
        <w:ind w:left="0" w:firstLine="420" w:firstLineChars="200"/>
        <w:jc w:val="both"/>
        <w:rPr>
          <w:color w:val="auto"/>
          <w:highlight w:val="none"/>
          <w:lang w:eastAsia="zh-CN"/>
        </w:rPr>
      </w:pPr>
      <w:r>
        <w:rPr>
          <w:color w:val="auto"/>
          <w:highlight w:val="none"/>
          <w:lang w:eastAsia="zh-CN"/>
        </w:rPr>
        <w:t>3.1.3 投标人须知前附表未要求提交投标保证金的，投标文件不包括本章第 3.1.1（4）目所指的投标保证金。</w:t>
      </w:r>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3.2投标报价</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3.2.1投标报价应包括国家规定的增值税税金，除投标人须知前附表另有规定外，增值税税金按一般计税方法计算。投标人应按第六章“投标文件格式”的要求在投标函中进行报价并填写设计费用清单。</w:t>
      </w:r>
    </w:p>
    <w:p>
      <w:pPr>
        <w:pStyle w:val="12"/>
        <w:spacing w:line="360" w:lineRule="auto"/>
        <w:ind w:left="0" w:firstLine="420" w:firstLineChars="200"/>
        <w:jc w:val="both"/>
        <w:rPr>
          <w:color w:val="auto"/>
          <w:highlight w:val="none"/>
          <w:lang w:eastAsia="zh-CN"/>
        </w:rPr>
      </w:pPr>
      <w:r>
        <w:rPr>
          <w:color w:val="auto"/>
          <w:highlight w:val="none"/>
          <w:lang w:eastAsia="zh-CN"/>
        </w:rPr>
        <w:t>3.2.2投标人应充分了解该项目的总体情况以及影响投标报价的其他要素。</w:t>
      </w:r>
    </w:p>
    <w:p>
      <w:pPr>
        <w:pStyle w:val="12"/>
        <w:spacing w:line="360" w:lineRule="auto"/>
        <w:ind w:left="0" w:firstLine="420" w:firstLineChars="200"/>
        <w:jc w:val="both"/>
        <w:rPr>
          <w:color w:val="auto"/>
          <w:highlight w:val="none"/>
          <w:lang w:eastAsia="zh-CN"/>
        </w:rPr>
      </w:pPr>
      <w:r>
        <w:rPr>
          <w:color w:val="auto"/>
          <w:highlight w:val="none"/>
          <w:lang w:eastAsia="zh-CN"/>
        </w:rPr>
        <w:t>3.2.3本项目的报价方式见投标人须知前附表。</w:t>
      </w:r>
      <w:r>
        <w:rPr>
          <w:strike/>
          <w:color w:val="auto"/>
          <w:highlight w:val="none"/>
          <w:lang w:eastAsia="zh-CN"/>
        </w:rPr>
        <w:t>投标人在投标截止时间前修改投标函中的投标报价总额，应同时修改投标文件“设计费用清单”中的相应报价。此修改须符合本章第 4.3 款的有关要求。</w:t>
      </w:r>
    </w:p>
    <w:p>
      <w:pPr>
        <w:pStyle w:val="12"/>
        <w:spacing w:line="360" w:lineRule="auto"/>
        <w:ind w:left="0" w:firstLine="420" w:firstLineChars="200"/>
        <w:jc w:val="both"/>
        <w:rPr>
          <w:color w:val="auto"/>
          <w:highlight w:val="none"/>
          <w:lang w:eastAsia="zh-CN"/>
        </w:rPr>
      </w:pPr>
      <w:r>
        <w:rPr>
          <w:color w:val="auto"/>
          <w:highlight w:val="none"/>
          <w:lang w:eastAsia="zh-CN"/>
        </w:rPr>
        <w:t>3.2.4招标人设有最高投标限价的，投标人的投标报价不得超过最高投标限价，最高投标限价在投标人须知前附表中载明。</w:t>
      </w:r>
    </w:p>
    <w:p>
      <w:pPr>
        <w:pStyle w:val="12"/>
        <w:spacing w:line="360" w:lineRule="auto"/>
        <w:ind w:left="0" w:firstLine="420" w:firstLineChars="200"/>
        <w:jc w:val="both"/>
        <w:rPr>
          <w:color w:val="auto"/>
          <w:highlight w:val="none"/>
          <w:lang w:eastAsia="zh-CN"/>
        </w:rPr>
      </w:pPr>
      <w:r>
        <w:rPr>
          <w:color w:val="auto"/>
          <w:highlight w:val="none"/>
          <w:lang w:eastAsia="zh-CN"/>
        </w:rPr>
        <w:t>3.2.5投标报价的其他要求见投标人须知前附表。</w:t>
      </w:r>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3.3投标有效期</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3.3.1除投标人须知前附表另有规定外，投标有效期为</w:t>
      </w:r>
      <w:r>
        <w:rPr>
          <w:rFonts w:hint="eastAsia"/>
          <w:color w:val="auto"/>
          <w:highlight w:val="none"/>
          <w:lang w:eastAsia="zh-CN"/>
        </w:rPr>
        <w:t>120</w:t>
      </w:r>
      <w:r>
        <w:rPr>
          <w:color w:val="auto"/>
          <w:highlight w:val="none"/>
          <w:lang w:eastAsia="zh-CN"/>
        </w:rPr>
        <w:t>天。</w:t>
      </w:r>
    </w:p>
    <w:p>
      <w:pPr>
        <w:pStyle w:val="12"/>
        <w:spacing w:line="360" w:lineRule="auto"/>
        <w:ind w:left="0" w:firstLine="420" w:firstLineChars="200"/>
        <w:jc w:val="both"/>
        <w:rPr>
          <w:color w:val="auto"/>
          <w:highlight w:val="none"/>
          <w:lang w:eastAsia="zh-CN"/>
        </w:rPr>
      </w:pPr>
      <w:r>
        <w:rPr>
          <w:color w:val="auto"/>
          <w:highlight w:val="none"/>
          <w:lang w:eastAsia="zh-CN"/>
        </w:rPr>
        <w:t>3.3.2在投标有效期内，投标人撤销投标文件的，应承担招标文件和法律规定的责任。</w:t>
      </w:r>
    </w:p>
    <w:p>
      <w:pPr>
        <w:pStyle w:val="12"/>
        <w:spacing w:line="360" w:lineRule="auto"/>
        <w:ind w:left="0" w:firstLine="420" w:firstLineChars="200"/>
        <w:jc w:val="both"/>
        <w:rPr>
          <w:color w:val="auto"/>
          <w:highlight w:val="none"/>
          <w:lang w:eastAsia="zh-CN"/>
        </w:rPr>
      </w:pPr>
      <w:r>
        <w:rPr>
          <w:color w:val="auto"/>
          <w:highlight w:val="none"/>
          <w:lang w:eastAsia="zh-CN"/>
        </w:rPr>
        <w:t>3.3.3出现特殊情况需要延长投标有效期的，招标人以书面形式通知所有投标人延长投标有效期。投标人应予以书面答复，同意延长的，</w:t>
      </w:r>
      <w:r>
        <w:rPr>
          <w:strike/>
          <w:color w:val="auto"/>
          <w:highlight w:val="none"/>
          <w:lang w:eastAsia="zh-CN"/>
        </w:rPr>
        <w:t>应相应延长其投标保证金的有效期，</w:t>
      </w:r>
      <w:r>
        <w:rPr>
          <w:color w:val="auto"/>
          <w:highlight w:val="none"/>
          <w:lang w:eastAsia="zh-CN"/>
        </w:rPr>
        <w:t>但不得要求或被允许修改其投标文件；投标人拒绝延长的，其投标失效</w:t>
      </w:r>
      <w:r>
        <w:rPr>
          <w:strike/>
          <w:color w:val="auto"/>
          <w:highlight w:val="none"/>
          <w:lang w:eastAsia="zh-CN"/>
        </w:rPr>
        <w:t>，但投标人有权收回其投标保证金及以现金或者支票形式递交的投标保证金的银行同期存款利息</w:t>
      </w:r>
      <w:r>
        <w:rPr>
          <w:color w:val="auto"/>
          <w:highlight w:val="none"/>
          <w:lang w:eastAsia="zh-CN"/>
        </w:rPr>
        <w:t>。</w:t>
      </w:r>
    </w:p>
    <w:p>
      <w:pPr>
        <w:spacing w:line="360" w:lineRule="auto"/>
        <w:jc w:val="both"/>
        <w:rPr>
          <w:rFonts w:ascii="宋体" w:hAnsi="宋体" w:eastAsia="宋体"/>
          <w:color w:val="auto"/>
          <w:sz w:val="21"/>
          <w:szCs w:val="21"/>
          <w:highlight w:val="none"/>
          <w:lang w:eastAsia="zh-CN"/>
        </w:rPr>
      </w:pPr>
    </w:p>
    <w:p>
      <w:pPr>
        <w:pStyle w:val="7"/>
        <w:ind w:right="44"/>
        <w:jc w:val="both"/>
        <w:rPr>
          <w:b/>
          <w:bCs/>
          <w:strike/>
          <w:color w:val="auto"/>
          <w:sz w:val="21"/>
          <w:szCs w:val="21"/>
          <w:highlight w:val="none"/>
          <w:lang w:eastAsia="zh-CN"/>
        </w:rPr>
      </w:pPr>
      <w:r>
        <w:rPr>
          <w:b/>
          <w:bCs/>
          <w:strike/>
          <w:color w:val="auto"/>
          <w:sz w:val="21"/>
          <w:szCs w:val="21"/>
          <w:highlight w:val="none"/>
          <w:lang w:eastAsia="zh-CN"/>
        </w:rPr>
        <w:t>3.4投标保证金</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strike/>
          <w:color w:val="auto"/>
          <w:highlight w:val="none"/>
          <w:lang w:eastAsia="zh-CN"/>
        </w:rPr>
      </w:pPr>
      <w:r>
        <w:rPr>
          <w:strike/>
          <w:color w:val="auto"/>
          <w:highlight w:val="none"/>
          <w:lang w:eastAsia="zh-CN"/>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3.4.2投标人不按本章第 3.4.1项要求提交投标保证金的，评标委员会将否决其投标。</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3.4.3 招标人最迟将在与中标人签订合同后 5日内，向未中标的投标人和中标人退还投标保证金。投标保证金以现金或者支票形式递交的，还应退还银行同期存款利息。</w:t>
      </w:r>
      <w:r>
        <w:rPr>
          <w:rFonts w:hint="eastAsia"/>
          <w:strike/>
          <w:color w:val="auto"/>
          <w:highlight w:val="none"/>
          <w:lang w:eastAsia="zh-CN"/>
        </w:rPr>
        <w:t>如出现异议或投诉，则投标有效期自动延长至异议或投诉处理结束。在提交投标文件截止时间后到招标文件规定的投标有效期终止之前，投标人不得补充、修改或者撤回其投标文件，否则其保证金将不予退还。招标人因特殊情况需要延长提交投标文件截止时间，投标人可以拒绝投标，招标人对退出的投标人不作任何经济补偿。同意延长投标有效期的投标人，在延长期内本招标文件的规定仍然适用。</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3.4.4有下列情形之一的，投标保证金将不予退还：</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（1）投标人在投标有效期内撤销投标文件；</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（2）中标人在收到中标通知书后，无正当理由不与招标人订立合同，在签订合同时向招标人提出附加条件，或者不按照招标文件要求提交履约保证金；</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（3）发生投标人须知前附表规定的其他可以不予退还投标保证金的情形。</w:t>
      </w:r>
    </w:p>
    <w:p>
      <w:pPr>
        <w:spacing w:line="360" w:lineRule="auto"/>
        <w:jc w:val="both"/>
        <w:rPr>
          <w:rFonts w:ascii="宋体" w:hAnsi="宋体" w:eastAsia="宋体"/>
          <w:color w:val="auto"/>
          <w:sz w:val="21"/>
          <w:szCs w:val="21"/>
          <w:highlight w:val="none"/>
          <w:lang w:eastAsia="zh-CN"/>
        </w:rPr>
      </w:pPr>
    </w:p>
    <w:p>
      <w:pPr>
        <w:pStyle w:val="7"/>
        <w:ind w:right="44"/>
        <w:jc w:val="both"/>
        <w:rPr>
          <w:b/>
          <w:bCs/>
          <w:strike/>
          <w:color w:val="auto"/>
          <w:sz w:val="21"/>
          <w:szCs w:val="21"/>
          <w:highlight w:val="none"/>
          <w:lang w:eastAsia="zh-CN"/>
        </w:rPr>
      </w:pPr>
      <w:r>
        <w:rPr>
          <w:b/>
          <w:bCs/>
          <w:strike/>
          <w:color w:val="auto"/>
          <w:sz w:val="21"/>
          <w:szCs w:val="21"/>
          <w:highlight w:val="none"/>
          <w:lang w:eastAsia="zh-CN"/>
        </w:rPr>
        <w:t>3.5资格审查资料（适用于已进行资格预审的）</w:t>
      </w:r>
    </w:p>
    <w:p>
      <w:pPr>
        <w:spacing w:line="360" w:lineRule="auto"/>
        <w:jc w:val="both"/>
        <w:rPr>
          <w:rFonts w:ascii="宋体" w:hAnsi="宋体" w:eastAsia="宋体"/>
          <w:strike/>
          <w:color w:val="auto"/>
          <w:sz w:val="21"/>
          <w:szCs w:val="21"/>
          <w:highlight w:val="none"/>
          <w:lang w:eastAsia="zh-CN"/>
        </w:rPr>
      </w:pPr>
    </w:p>
    <w:p>
      <w:pPr>
        <w:pStyle w:val="12"/>
        <w:spacing w:line="360" w:lineRule="auto"/>
        <w:ind w:left="0" w:firstLine="420" w:firstLineChars="200"/>
        <w:jc w:val="both"/>
        <w:rPr>
          <w:strike/>
          <w:color w:val="auto"/>
          <w:highlight w:val="none"/>
          <w:lang w:eastAsia="zh-CN"/>
        </w:rPr>
      </w:pPr>
      <w:r>
        <w:rPr>
          <w:strike/>
          <w:color w:val="auto"/>
          <w:highlight w:val="none"/>
          <w:lang w:eastAsia="zh-CN"/>
        </w:rPr>
        <w:t>投标人在递交投标文件前，发生可能影响其投标资格的新情况的，应更新或补充其在申请资格预审时提供的资料，以证实其各项资格条件仍能继续满足资格预审文件的要求，且没有实质性降低。</w:t>
      </w:r>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3.5资格审查资料（适用于未进行资格预审的）</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除投标人须知前附表另有规定外，投标人应按下列规定提供资格审查资料，以证明其满足本章第1.4款规定的资质、</w:t>
      </w:r>
      <w:r>
        <w:rPr>
          <w:strike/>
          <w:color w:val="auto"/>
          <w:highlight w:val="none"/>
          <w:lang w:eastAsia="zh-CN"/>
        </w:rPr>
        <w:t>财务、业绩、信誉</w:t>
      </w:r>
      <w:r>
        <w:rPr>
          <w:color w:val="auto"/>
          <w:highlight w:val="none"/>
          <w:lang w:eastAsia="zh-CN"/>
        </w:rPr>
        <w:t>等要求。</w:t>
      </w:r>
    </w:p>
    <w:p>
      <w:pPr>
        <w:pStyle w:val="12"/>
        <w:spacing w:line="360" w:lineRule="auto"/>
        <w:ind w:left="0" w:firstLine="420" w:firstLineChars="200"/>
        <w:jc w:val="both"/>
        <w:rPr>
          <w:color w:val="auto"/>
          <w:highlight w:val="none"/>
          <w:lang w:eastAsia="zh-CN"/>
        </w:rPr>
      </w:pPr>
      <w:r>
        <w:rPr>
          <w:color w:val="auto"/>
          <w:highlight w:val="none"/>
          <w:lang w:eastAsia="zh-CN"/>
        </w:rPr>
        <w:t>3.5.1</w:t>
      </w:r>
      <w:r>
        <w:rPr>
          <w:strike/>
          <w:color w:val="auto"/>
          <w:highlight w:val="none"/>
          <w:lang w:eastAsia="zh-CN"/>
        </w:rPr>
        <w:t>“投标人基本情况表”应附</w:t>
      </w:r>
      <w:r>
        <w:rPr>
          <w:color w:val="auto"/>
          <w:highlight w:val="none"/>
          <w:lang w:eastAsia="zh-CN"/>
        </w:rPr>
        <w:t>投标人营业执照和组织机构代码证的</w:t>
      </w:r>
      <w:r>
        <w:rPr>
          <w:rFonts w:hint="eastAsia"/>
          <w:color w:val="auto"/>
          <w:highlight w:val="none"/>
          <w:lang w:eastAsia="zh-CN"/>
        </w:rPr>
        <w:t>扫描</w:t>
      </w:r>
      <w:r>
        <w:rPr>
          <w:color w:val="auto"/>
          <w:highlight w:val="none"/>
          <w:lang w:eastAsia="zh-CN"/>
        </w:rPr>
        <w:t>件（按照“三证合一”或“五证合一”登记制度进行登记的，可仅提供营业执照</w:t>
      </w:r>
      <w:r>
        <w:rPr>
          <w:rFonts w:hint="eastAsia"/>
          <w:color w:val="auto"/>
          <w:highlight w:val="none"/>
          <w:lang w:eastAsia="zh-CN"/>
        </w:rPr>
        <w:t>扫描</w:t>
      </w:r>
      <w:r>
        <w:rPr>
          <w:color w:val="auto"/>
          <w:highlight w:val="none"/>
          <w:lang w:eastAsia="zh-CN"/>
        </w:rPr>
        <w:t>件）、投标人设计资质证书副本等材料的</w:t>
      </w:r>
      <w:r>
        <w:rPr>
          <w:rFonts w:hint="eastAsia"/>
          <w:color w:val="auto"/>
          <w:highlight w:val="none"/>
          <w:lang w:eastAsia="zh-CN"/>
        </w:rPr>
        <w:t>扫描</w:t>
      </w:r>
      <w:r>
        <w:rPr>
          <w:color w:val="auto"/>
          <w:highlight w:val="none"/>
          <w:lang w:eastAsia="zh-CN"/>
        </w:rPr>
        <w:t>件。</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3.5.2“近年财务状况表”应附经会计师事务所或审计机构审计的财务会计报表，包括资产负债表、现金流量表、利润表和财务情况说明书的</w:t>
      </w:r>
      <w:r>
        <w:rPr>
          <w:rFonts w:hint="eastAsia"/>
          <w:strike/>
          <w:color w:val="auto"/>
          <w:highlight w:val="none"/>
          <w:lang w:eastAsia="zh-CN"/>
        </w:rPr>
        <w:t>扫描</w:t>
      </w:r>
      <w:r>
        <w:rPr>
          <w:strike/>
          <w:color w:val="auto"/>
          <w:highlight w:val="none"/>
          <w:lang w:eastAsia="zh-CN"/>
        </w:rPr>
        <w:t>件，具体年份要求见投标人须知前附表。投标人的成立时间少于投标人须知前附表规定年份的，应提供成立以来的财务状况表。</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3.5.3“近年完成的类似设计项目情况表”应附中标通知书和（或）合同协议书、发包人出具的证明文件；具体时间要求见投标人须知前附表，每张表格只填写一个项目，并标明序号。</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3.5.4“正在设计和新承接的项目情况表”应附中标通知书和（或）合同协议书</w:t>
      </w:r>
      <w:r>
        <w:rPr>
          <w:rFonts w:hint="eastAsia"/>
          <w:strike/>
          <w:color w:val="auto"/>
          <w:highlight w:val="none"/>
          <w:lang w:eastAsia="zh-CN"/>
        </w:rPr>
        <w:t>扫描</w:t>
      </w:r>
      <w:r>
        <w:rPr>
          <w:strike/>
          <w:color w:val="auto"/>
          <w:highlight w:val="none"/>
          <w:lang w:eastAsia="zh-CN"/>
        </w:rPr>
        <w:t>件。每张表格只填写一个项目，并标明序号。</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3.5.5“近年发生的诉讼及仲裁情况”应说明投标人败诉的设计合同的相关情况，并附法院或仲裁机构作出的判决、裁决等有关法律文书</w:t>
      </w:r>
      <w:r>
        <w:rPr>
          <w:rFonts w:hint="eastAsia"/>
          <w:strike/>
          <w:color w:val="auto"/>
          <w:highlight w:val="none"/>
          <w:lang w:eastAsia="zh-CN"/>
        </w:rPr>
        <w:t>扫描</w:t>
      </w:r>
      <w:r>
        <w:rPr>
          <w:strike/>
          <w:color w:val="auto"/>
          <w:highlight w:val="none"/>
          <w:lang w:eastAsia="zh-CN"/>
        </w:rPr>
        <w:t>件，具体时间要求见投标人须知前附表。</w:t>
      </w:r>
    </w:p>
    <w:p>
      <w:pPr>
        <w:pStyle w:val="12"/>
        <w:spacing w:line="360" w:lineRule="auto"/>
        <w:ind w:left="0" w:firstLine="420" w:firstLineChars="200"/>
        <w:jc w:val="both"/>
        <w:rPr>
          <w:color w:val="auto"/>
          <w:highlight w:val="none"/>
          <w:lang w:eastAsia="zh-CN"/>
        </w:rPr>
      </w:pPr>
      <w:r>
        <w:rPr>
          <w:strike/>
          <w:color w:val="auto"/>
          <w:highlight w:val="none"/>
          <w:lang w:eastAsia="zh-CN"/>
        </w:rPr>
        <w:t>3.5.6“拟委任的主要人员汇总表”应填报满足本章第 1.4.1项规定的项目负责人和其他主要人员的相关信息。“主要人员简历表”中项目负责人应附身份证、学历证、职称证、执业资格证书和社保缴费证明</w:t>
      </w:r>
      <w:r>
        <w:rPr>
          <w:rFonts w:hint="eastAsia"/>
          <w:strike/>
          <w:color w:val="auto"/>
          <w:highlight w:val="none"/>
          <w:lang w:eastAsia="zh-CN"/>
        </w:rPr>
        <w:t>扫描</w:t>
      </w:r>
      <w:r>
        <w:rPr>
          <w:strike/>
          <w:color w:val="auto"/>
          <w:highlight w:val="none"/>
          <w:lang w:eastAsia="zh-CN"/>
        </w:rPr>
        <w:t>件，管理过的项目业绩须附合同协议书</w:t>
      </w:r>
      <w:r>
        <w:rPr>
          <w:rFonts w:hint="eastAsia"/>
          <w:strike/>
          <w:color w:val="auto"/>
          <w:highlight w:val="none"/>
          <w:lang w:eastAsia="zh-CN"/>
        </w:rPr>
        <w:t>扫描</w:t>
      </w:r>
      <w:r>
        <w:rPr>
          <w:strike/>
          <w:color w:val="auto"/>
          <w:highlight w:val="none"/>
          <w:lang w:eastAsia="zh-CN"/>
        </w:rPr>
        <w:t>件；其他主要人员应附身份证、学历证、职称证、有关证书和社保缴费证明</w:t>
      </w:r>
      <w:r>
        <w:rPr>
          <w:rFonts w:hint="eastAsia"/>
          <w:strike/>
          <w:color w:val="auto"/>
          <w:highlight w:val="none"/>
          <w:lang w:eastAsia="zh-CN"/>
        </w:rPr>
        <w:t>扫描</w:t>
      </w:r>
      <w:r>
        <w:rPr>
          <w:strike/>
          <w:color w:val="auto"/>
          <w:highlight w:val="none"/>
          <w:lang w:eastAsia="zh-CN"/>
        </w:rPr>
        <w:t>件。</w:t>
      </w:r>
    </w:p>
    <w:p>
      <w:pPr>
        <w:pStyle w:val="12"/>
        <w:spacing w:line="360" w:lineRule="auto"/>
        <w:ind w:left="0" w:firstLine="420" w:firstLineChars="200"/>
        <w:jc w:val="both"/>
        <w:rPr>
          <w:color w:val="auto"/>
          <w:highlight w:val="none"/>
          <w:lang w:eastAsia="zh-CN"/>
        </w:rPr>
      </w:pPr>
      <w:r>
        <w:rPr>
          <w:color w:val="auto"/>
          <w:highlight w:val="none"/>
          <w:lang w:eastAsia="zh-CN"/>
        </w:rPr>
        <w:t>3.5.7投标人须知前附表规定接受联合体投标的，本章第3.5.1项至第3.5.6项规定的表格和资料应包括联合体各方相关情况。</w:t>
      </w:r>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3.6备选投标方案</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rFonts w:hint="eastAsia"/>
          <w:color w:val="auto"/>
          <w:highlight w:val="none"/>
          <w:lang w:eastAsia="zh-CN"/>
        </w:rPr>
        <w:t>不允许递交备选投标方案。</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3.6.1除投标人须知前附表规定允许外，投标人不得递交备选投标方案，否则其投标将被否决。</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12"/>
        <w:spacing w:line="360" w:lineRule="auto"/>
        <w:ind w:left="0" w:firstLine="420" w:firstLineChars="200"/>
        <w:jc w:val="both"/>
        <w:rPr>
          <w:color w:val="auto"/>
          <w:highlight w:val="none"/>
          <w:lang w:eastAsia="zh-CN"/>
        </w:rPr>
      </w:pPr>
      <w:r>
        <w:rPr>
          <w:strike/>
          <w:color w:val="auto"/>
          <w:highlight w:val="none"/>
          <w:lang w:eastAsia="zh-CN"/>
        </w:rPr>
        <w:t>3.6.3投标人提供两个或两个以上投标报价，或者在投标文件中提供一个报价，但同时提供两个或两个以上勘察设计方案的，视为提供备选方案。</w:t>
      </w:r>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3.7投标文件的编制</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3.7.1投标文件应按第六章“投标文件格式”进行编写，如有必要，可以增加附页，作为投标文件的组成部分。其中，投标函附录在满足招标文件实质性要求的基础上，可以提出比招标文件要求更有利于招标人的承诺。</w:t>
      </w:r>
    </w:p>
    <w:p>
      <w:pPr>
        <w:pStyle w:val="12"/>
        <w:spacing w:line="360" w:lineRule="auto"/>
        <w:ind w:left="0" w:firstLine="420" w:firstLineChars="200"/>
        <w:jc w:val="both"/>
        <w:rPr>
          <w:color w:val="auto"/>
          <w:highlight w:val="none"/>
          <w:lang w:eastAsia="zh-CN"/>
        </w:rPr>
      </w:pPr>
      <w:r>
        <w:rPr>
          <w:color w:val="auto"/>
          <w:highlight w:val="none"/>
          <w:lang w:eastAsia="zh-CN"/>
        </w:rPr>
        <w:t>3.7.2投标文件应当对招标文件有关设计服务期限、投标有效期、发包人要求、招标范围等实质性内容作出响应。</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（3）投标文件的正本与副本应分别装订，并编制目录，投标文件需分册装订的，具体分册装订要求见投标人须知前附表规定。</w:t>
      </w:r>
    </w:p>
    <w:p>
      <w:pPr>
        <w:pStyle w:val="12"/>
        <w:spacing w:line="360" w:lineRule="auto"/>
        <w:ind w:left="0" w:firstLine="420" w:firstLineChars="200"/>
        <w:jc w:val="both"/>
        <w:rPr>
          <w:color w:val="auto"/>
          <w:highlight w:val="none"/>
          <w:lang w:eastAsia="zh-CN"/>
        </w:rPr>
      </w:pPr>
      <w:r>
        <w:rPr>
          <w:color w:val="auto"/>
          <w:highlight w:val="none"/>
          <w:lang w:eastAsia="zh-CN"/>
        </w:rPr>
        <w:t>3.7.3（B）投标文件全部采用电子文档，除投标人须知前附表另有规定外，投标文件所附证书证件均为原件扫描件，并采用单位和个人数字证书，按招标文件要求在相应位置加盖电子印章</w:t>
      </w:r>
      <w:r>
        <w:rPr>
          <w:rFonts w:hint="eastAsia"/>
          <w:b/>
          <w:color w:val="auto"/>
          <w:highlight w:val="none"/>
          <w:u w:val="single"/>
          <w:lang w:eastAsia="zh-CN"/>
        </w:rPr>
        <w:t>（技术文件除外）</w:t>
      </w:r>
      <w:r>
        <w:rPr>
          <w:color w:val="auto"/>
          <w:highlight w:val="none"/>
          <w:lang w:eastAsia="zh-CN"/>
        </w:rPr>
        <w:t>。由投标人的法定代表人签字或加盖电子印章的，应附法定代表人身份证明，由代理人签字或加盖电子印章的，应附由法定代表人签署的授权委托书。签字或盖章的具体要求见投标人须知前附表。</w:t>
      </w:r>
    </w:p>
    <w:p>
      <w:pPr>
        <w:spacing w:line="360" w:lineRule="auto"/>
        <w:jc w:val="both"/>
        <w:rPr>
          <w:rFonts w:ascii="宋体" w:hAnsi="宋体" w:eastAsia="宋体"/>
          <w:color w:val="auto"/>
          <w:sz w:val="21"/>
          <w:szCs w:val="21"/>
          <w:highlight w:val="none"/>
          <w:lang w:eastAsia="zh-CN"/>
        </w:rPr>
      </w:pPr>
      <w:bookmarkStart w:id="21" w:name="_Toc25137985"/>
    </w:p>
    <w:p>
      <w:pPr>
        <w:pStyle w:val="6"/>
        <w:spacing w:line="443" w:lineRule="exact"/>
        <w:ind w:right="44"/>
        <w:jc w:val="both"/>
        <w:rPr>
          <w:rFonts w:ascii="宋体" w:hAnsi="宋体" w:eastAsia="宋体"/>
          <w:color w:val="auto"/>
          <w:sz w:val="21"/>
          <w:szCs w:val="21"/>
          <w:highlight w:val="none"/>
          <w:lang w:eastAsia="zh-CN"/>
        </w:rPr>
      </w:pPr>
      <w:bookmarkStart w:id="22" w:name="_Toc109809425"/>
      <w:bookmarkStart w:id="23" w:name="_Toc109809386"/>
      <w:r>
        <w:rPr>
          <w:rFonts w:ascii="宋体" w:hAnsi="宋体" w:eastAsia="宋体"/>
          <w:color w:val="auto"/>
          <w:sz w:val="21"/>
          <w:szCs w:val="21"/>
          <w:highlight w:val="none"/>
          <w:lang w:eastAsia="zh-CN"/>
        </w:rPr>
        <w:t>4. 投标</w:t>
      </w:r>
      <w:bookmarkEnd w:id="21"/>
      <w:bookmarkEnd w:id="22"/>
      <w:bookmarkEnd w:id="23"/>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4.1投标文件的密封和标记</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strike/>
          <w:color w:val="auto"/>
          <w:highlight w:val="none"/>
          <w:lang w:eastAsia="zh-CN"/>
        </w:rPr>
      </w:pPr>
      <w:r>
        <w:rPr>
          <w:strike/>
          <w:color w:val="auto"/>
          <w:highlight w:val="none"/>
          <w:lang w:eastAsia="zh-CN"/>
        </w:rPr>
        <w:t>4.1.1（A）投标文件应密封包装，并在封套的封口处加盖投标人单位章或由投标人的法定代表人或其授权的代理人签字。</w:t>
      </w:r>
    </w:p>
    <w:p>
      <w:pPr>
        <w:pStyle w:val="12"/>
        <w:spacing w:line="360" w:lineRule="auto"/>
        <w:ind w:left="0" w:firstLine="420" w:firstLineChars="200"/>
        <w:jc w:val="both"/>
        <w:rPr>
          <w:color w:val="auto"/>
          <w:highlight w:val="none"/>
          <w:lang w:eastAsia="zh-CN"/>
        </w:rPr>
      </w:pPr>
      <w:r>
        <w:rPr>
          <w:color w:val="auto"/>
          <w:highlight w:val="none"/>
          <w:lang w:eastAsia="zh-CN"/>
        </w:rPr>
        <w:t>4.1.1（B）投标人应当按照招标文件和电子招标投标交易平台的要求加密投标文件，具体要求见投标人须知前附表。</w:t>
      </w:r>
    </w:p>
    <w:p>
      <w:pPr>
        <w:pStyle w:val="12"/>
        <w:spacing w:line="360" w:lineRule="auto"/>
        <w:ind w:left="0" w:firstLine="420" w:firstLineChars="200"/>
        <w:jc w:val="both"/>
        <w:rPr>
          <w:color w:val="auto"/>
          <w:highlight w:val="none"/>
          <w:lang w:eastAsia="zh-CN"/>
        </w:rPr>
      </w:pPr>
      <w:r>
        <w:rPr>
          <w:color w:val="auto"/>
          <w:highlight w:val="none"/>
          <w:lang w:eastAsia="zh-CN"/>
        </w:rPr>
        <w:t>4.1.2投标文件</w:t>
      </w:r>
      <w:r>
        <w:rPr>
          <w:rFonts w:hint="eastAsia"/>
          <w:b/>
          <w:color w:val="auto"/>
          <w:highlight w:val="none"/>
          <w:u w:val="single"/>
          <w:lang w:eastAsia="zh-CN"/>
        </w:rPr>
        <w:t>备用光盘</w:t>
      </w:r>
      <w:r>
        <w:rPr>
          <w:color w:val="auto"/>
          <w:highlight w:val="none"/>
          <w:lang w:eastAsia="zh-CN"/>
        </w:rPr>
        <w:t>封套上应写明的内容见投标人须知前附表。</w:t>
      </w:r>
    </w:p>
    <w:p>
      <w:pPr>
        <w:pStyle w:val="12"/>
        <w:spacing w:line="360" w:lineRule="auto"/>
        <w:ind w:left="0" w:firstLine="420" w:firstLineChars="200"/>
        <w:jc w:val="both"/>
        <w:rPr>
          <w:color w:val="auto"/>
          <w:highlight w:val="none"/>
          <w:lang w:eastAsia="zh-CN"/>
        </w:rPr>
      </w:pPr>
      <w:r>
        <w:rPr>
          <w:color w:val="auto"/>
          <w:highlight w:val="none"/>
          <w:lang w:eastAsia="zh-CN"/>
        </w:rPr>
        <w:t>4.1.3未按本章第 4.1.1项要求密封的投标文件，招标人将予以拒收。</w:t>
      </w:r>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4.2投标文件的递交</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4.2.1投标人应在投标人须知前附表规定的投标截止时间前递交投标文件。</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4.2.2（A）投标人递交投标文件的地点：见投标人须知前附表。</w:t>
      </w:r>
    </w:p>
    <w:p>
      <w:pPr>
        <w:pStyle w:val="12"/>
        <w:spacing w:line="360" w:lineRule="auto"/>
        <w:ind w:left="0" w:firstLine="420" w:firstLineChars="200"/>
        <w:jc w:val="both"/>
        <w:rPr>
          <w:color w:val="auto"/>
          <w:highlight w:val="none"/>
          <w:lang w:eastAsia="zh-CN"/>
        </w:rPr>
      </w:pPr>
      <w:r>
        <w:rPr>
          <w:color w:val="auto"/>
          <w:highlight w:val="none"/>
          <w:lang w:eastAsia="zh-CN"/>
        </w:rPr>
        <w:t>4.2.2（B）投标人通过下载招标文件的电子招标投标交易平台递交电子投标文件。</w:t>
      </w:r>
    </w:p>
    <w:p>
      <w:pPr>
        <w:pStyle w:val="12"/>
        <w:spacing w:line="360" w:lineRule="auto"/>
        <w:ind w:left="0" w:firstLine="420" w:firstLineChars="200"/>
        <w:jc w:val="both"/>
        <w:rPr>
          <w:color w:val="auto"/>
          <w:highlight w:val="none"/>
          <w:lang w:eastAsia="zh-CN"/>
        </w:rPr>
      </w:pPr>
      <w:r>
        <w:rPr>
          <w:color w:val="auto"/>
          <w:highlight w:val="none"/>
          <w:lang w:eastAsia="zh-CN"/>
        </w:rPr>
        <w:t>4.2.3除投标人须知前附表另有规定外，投标人所递交的投标文件不予退还。</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4.2.4（A）招标人收到投标文件后，向投标人出具签收凭证。</w:t>
      </w:r>
    </w:p>
    <w:p>
      <w:pPr>
        <w:pStyle w:val="12"/>
        <w:spacing w:line="360" w:lineRule="auto"/>
        <w:ind w:left="0" w:firstLine="420" w:firstLineChars="200"/>
        <w:jc w:val="both"/>
        <w:rPr>
          <w:color w:val="auto"/>
          <w:highlight w:val="none"/>
          <w:lang w:eastAsia="zh-CN"/>
        </w:rPr>
      </w:pPr>
      <w:r>
        <w:rPr>
          <w:color w:val="auto"/>
          <w:highlight w:val="none"/>
          <w:lang w:eastAsia="zh-CN"/>
        </w:rPr>
        <w:t>4.2.4（B）投标人完成电子投标文件上传后，电子招标投标交易平台即时向投标人发出递交回执通知。递交时间以递交回执通知载明的传输完成时间为准。</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4.2.5（A）逾期送达的投标文件，招标人将予以拒收。</w:t>
      </w:r>
    </w:p>
    <w:p>
      <w:pPr>
        <w:pStyle w:val="12"/>
        <w:spacing w:line="360" w:lineRule="auto"/>
        <w:ind w:left="0" w:firstLine="420" w:firstLineChars="200"/>
        <w:jc w:val="both"/>
        <w:rPr>
          <w:color w:val="auto"/>
          <w:highlight w:val="none"/>
          <w:lang w:eastAsia="zh-CN"/>
        </w:rPr>
      </w:pPr>
      <w:r>
        <w:rPr>
          <w:color w:val="auto"/>
          <w:highlight w:val="none"/>
          <w:lang w:eastAsia="zh-CN"/>
        </w:rPr>
        <w:t>4.2.5（B）逾期送达的投标文件，电子招标投标交易平台将予以拒收。</w:t>
      </w:r>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4.3投标文件的修改与撤回</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4.3.1在本章第 4.2.1项规定的投标截止时间前，投标人可以修改或撤回已递交的投标文件，但应以书面形式通知招标人。</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4.3.2（A）投标人修改或撤回已递交投标文件的书面通知应按照本章第3.7.3（A）项的要求签字或盖章。招标人收到书面通知后，向投标人出具签收凭证。</w:t>
      </w:r>
    </w:p>
    <w:p>
      <w:pPr>
        <w:pStyle w:val="12"/>
        <w:spacing w:line="360" w:lineRule="auto"/>
        <w:ind w:left="0" w:firstLine="420" w:firstLineChars="200"/>
        <w:jc w:val="both"/>
        <w:rPr>
          <w:color w:val="auto"/>
          <w:highlight w:val="none"/>
          <w:lang w:eastAsia="zh-CN"/>
        </w:rPr>
      </w:pPr>
      <w:r>
        <w:rPr>
          <w:color w:val="auto"/>
          <w:highlight w:val="none"/>
          <w:lang w:eastAsia="zh-CN"/>
        </w:rPr>
        <w:t>4.3.2（B）投标人修改或撤回已递交投标文件的通知，应按照本章第3.7.3（B）项的要求加盖电子印章。电子招标投标交易平台收到通知后，即时向投标人发出确认回执通知。</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4.3.3投标人撤回投标文件的，招标人自收到投标人书面撤回通知之日起 5日内退还已收取的投标保证金。</w:t>
      </w:r>
    </w:p>
    <w:p>
      <w:pPr>
        <w:pStyle w:val="12"/>
        <w:spacing w:line="360" w:lineRule="auto"/>
        <w:ind w:left="0" w:firstLine="420" w:firstLineChars="200"/>
        <w:jc w:val="both"/>
        <w:rPr>
          <w:color w:val="auto"/>
          <w:highlight w:val="none"/>
          <w:lang w:eastAsia="zh-CN"/>
        </w:rPr>
      </w:pPr>
      <w:r>
        <w:rPr>
          <w:color w:val="auto"/>
          <w:highlight w:val="none"/>
          <w:lang w:eastAsia="zh-CN"/>
        </w:rPr>
        <w:t>4.3.4修改的内容为投标文件的组成部分。修改的投标文件应按照本章第3条、第4条的规定进行编制、密封、标记和递交，并标明“修改”字样。</w:t>
      </w:r>
    </w:p>
    <w:p>
      <w:pPr>
        <w:spacing w:line="360" w:lineRule="auto"/>
        <w:jc w:val="both"/>
        <w:rPr>
          <w:rFonts w:ascii="宋体" w:hAnsi="宋体" w:eastAsia="宋体"/>
          <w:color w:val="auto"/>
          <w:sz w:val="21"/>
          <w:szCs w:val="21"/>
          <w:highlight w:val="none"/>
          <w:lang w:eastAsia="zh-CN"/>
        </w:rPr>
      </w:pPr>
      <w:bookmarkStart w:id="24" w:name="_Toc25137986"/>
    </w:p>
    <w:p>
      <w:pPr>
        <w:pStyle w:val="6"/>
        <w:spacing w:line="443" w:lineRule="exact"/>
        <w:ind w:right="44"/>
        <w:jc w:val="both"/>
        <w:rPr>
          <w:rFonts w:ascii="宋体" w:hAnsi="宋体" w:eastAsia="宋体"/>
          <w:color w:val="auto"/>
          <w:sz w:val="21"/>
          <w:szCs w:val="21"/>
          <w:highlight w:val="none"/>
          <w:lang w:eastAsia="zh-CN"/>
        </w:rPr>
      </w:pPr>
      <w:bookmarkStart w:id="25" w:name="_Toc109809426"/>
      <w:bookmarkStart w:id="26" w:name="_Toc109809387"/>
      <w:r>
        <w:rPr>
          <w:rFonts w:ascii="宋体" w:hAnsi="宋体" w:eastAsia="宋体"/>
          <w:color w:val="auto"/>
          <w:sz w:val="21"/>
          <w:szCs w:val="21"/>
          <w:highlight w:val="none"/>
          <w:lang w:eastAsia="zh-CN"/>
        </w:rPr>
        <w:t>5. 开标</w:t>
      </w:r>
      <w:bookmarkEnd w:id="24"/>
      <w:bookmarkEnd w:id="25"/>
      <w:bookmarkEnd w:id="26"/>
    </w:p>
    <w:p>
      <w:pPr>
        <w:spacing w:line="360" w:lineRule="auto"/>
        <w:jc w:val="both"/>
        <w:rPr>
          <w:rFonts w:ascii="宋体" w:hAnsi="宋体" w:eastAsia="宋体"/>
          <w:color w:val="auto"/>
          <w:sz w:val="21"/>
          <w:szCs w:val="21"/>
          <w:highlight w:val="none"/>
          <w:lang w:eastAsia="zh-CN"/>
        </w:rPr>
      </w:pPr>
    </w:p>
    <w:p>
      <w:pPr>
        <w:pStyle w:val="7"/>
        <w:ind w:right="44"/>
        <w:jc w:val="both"/>
        <w:rPr>
          <w:b/>
          <w:bCs/>
          <w:strike/>
          <w:color w:val="auto"/>
          <w:sz w:val="21"/>
          <w:szCs w:val="21"/>
          <w:highlight w:val="none"/>
          <w:lang w:eastAsia="zh-CN"/>
        </w:rPr>
      </w:pPr>
      <w:r>
        <w:rPr>
          <w:b/>
          <w:bCs/>
          <w:strike/>
          <w:color w:val="auto"/>
          <w:sz w:val="21"/>
          <w:szCs w:val="21"/>
          <w:highlight w:val="none"/>
          <w:lang w:eastAsia="zh-CN"/>
        </w:rPr>
        <w:t>5.1开标时间和地点（A）</w:t>
      </w:r>
    </w:p>
    <w:p>
      <w:pPr>
        <w:spacing w:line="360" w:lineRule="auto"/>
        <w:jc w:val="both"/>
        <w:rPr>
          <w:rFonts w:ascii="宋体" w:hAnsi="宋体" w:eastAsia="宋体"/>
          <w:strike/>
          <w:color w:val="auto"/>
          <w:sz w:val="21"/>
          <w:szCs w:val="21"/>
          <w:highlight w:val="none"/>
          <w:lang w:eastAsia="zh-CN"/>
        </w:rPr>
      </w:pPr>
    </w:p>
    <w:p>
      <w:pPr>
        <w:pStyle w:val="12"/>
        <w:spacing w:line="360" w:lineRule="auto"/>
        <w:ind w:left="0" w:firstLine="420" w:firstLineChars="200"/>
        <w:jc w:val="both"/>
        <w:rPr>
          <w:strike/>
          <w:color w:val="auto"/>
          <w:highlight w:val="none"/>
          <w:lang w:eastAsia="zh-CN"/>
        </w:rPr>
      </w:pPr>
      <w:r>
        <w:rPr>
          <w:strike/>
          <w:color w:val="auto"/>
          <w:highlight w:val="none"/>
          <w:lang w:eastAsia="zh-CN"/>
        </w:rPr>
        <w:t>招标人在本章第 4.2.1项规定的投标截止时间（开标时间）和投标人须知前附表规定的地点公开开标，并邀请所有投标人的法定代表人或其委托代理人准时参加。</w:t>
      </w:r>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5.1开标时间和地点（B）</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招标人在本章第 4.2.1项规定的投标截止时间（开标时间）,通过电子招标投标交易平台公开开标，所有投标人的法定代表人或其委托代理人应当准时参加</w:t>
      </w:r>
      <w:r>
        <w:rPr>
          <w:rFonts w:hint="eastAsia"/>
          <w:color w:val="auto"/>
          <w:highlight w:val="none"/>
          <w:u w:val="single"/>
          <w:lang w:eastAsia="zh-CN"/>
        </w:rPr>
        <w:t>，也可不参加</w:t>
      </w:r>
      <w:r>
        <w:rPr>
          <w:color w:val="auto"/>
          <w:highlight w:val="none"/>
          <w:lang w:eastAsia="zh-CN"/>
        </w:rPr>
        <w:t>。</w:t>
      </w:r>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5.2开标程序</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u w:val="single"/>
          <w:lang w:eastAsia="zh-CN"/>
        </w:rPr>
      </w:pPr>
      <w:r>
        <w:rPr>
          <w:color w:val="auto"/>
          <w:highlight w:val="none"/>
          <w:u w:val="single"/>
          <w:lang w:eastAsia="zh-CN"/>
        </w:rPr>
        <w:t>主持人按下列程序进行开标：</w:t>
      </w:r>
    </w:p>
    <w:p>
      <w:pPr>
        <w:pStyle w:val="12"/>
        <w:spacing w:line="360" w:lineRule="auto"/>
        <w:ind w:firstLine="420" w:firstLineChars="200"/>
        <w:jc w:val="both"/>
        <w:rPr>
          <w:color w:val="auto"/>
          <w:highlight w:val="none"/>
          <w:u w:val="single"/>
          <w:lang w:eastAsia="zh-CN"/>
        </w:rPr>
      </w:pPr>
      <w:r>
        <w:rPr>
          <w:rFonts w:hint="eastAsia"/>
          <w:color w:val="auto"/>
          <w:highlight w:val="none"/>
          <w:u w:val="single"/>
          <w:lang w:eastAsia="zh-CN"/>
        </w:rPr>
        <w:t>（</w:t>
      </w:r>
      <w:r>
        <w:rPr>
          <w:color w:val="auto"/>
          <w:highlight w:val="none"/>
          <w:u w:val="single"/>
          <w:lang w:eastAsia="zh-CN"/>
        </w:rPr>
        <w:t>1</w:t>
      </w:r>
      <w:r>
        <w:rPr>
          <w:rFonts w:hint="eastAsia"/>
          <w:color w:val="auto"/>
          <w:highlight w:val="none"/>
          <w:u w:val="single"/>
          <w:lang w:eastAsia="zh-CN"/>
        </w:rPr>
        <w:t>）宣布开标纪律；</w:t>
      </w:r>
    </w:p>
    <w:p>
      <w:pPr>
        <w:pStyle w:val="12"/>
        <w:spacing w:line="360" w:lineRule="auto"/>
        <w:ind w:firstLine="420" w:firstLineChars="200"/>
        <w:jc w:val="both"/>
        <w:rPr>
          <w:color w:val="auto"/>
          <w:highlight w:val="none"/>
          <w:u w:val="single"/>
          <w:lang w:eastAsia="zh-CN"/>
        </w:rPr>
      </w:pPr>
      <w:r>
        <w:rPr>
          <w:rFonts w:hint="eastAsia"/>
          <w:color w:val="auto"/>
          <w:highlight w:val="none"/>
          <w:u w:val="single"/>
          <w:lang w:eastAsia="zh-CN"/>
        </w:rPr>
        <w:t>（</w:t>
      </w:r>
      <w:r>
        <w:rPr>
          <w:color w:val="auto"/>
          <w:highlight w:val="none"/>
          <w:u w:val="single"/>
          <w:lang w:eastAsia="zh-CN"/>
        </w:rPr>
        <w:t>2</w:t>
      </w:r>
      <w:r>
        <w:rPr>
          <w:rFonts w:hint="eastAsia"/>
          <w:color w:val="auto"/>
          <w:highlight w:val="none"/>
          <w:u w:val="single"/>
          <w:lang w:eastAsia="zh-CN"/>
        </w:rPr>
        <w:t>）招标代理（招标人）登录交易平台</w:t>
      </w:r>
      <w:r>
        <w:rPr>
          <w:color w:val="auto"/>
          <w:highlight w:val="none"/>
          <w:u w:val="single"/>
          <w:lang w:eastAsia="zh-CN"/>
        </w:rPr>
        <w:t>-</w:t>
      </w:r>
      <w:r>
        <w:rPr>
          <w:rFonts w:hint="eastAsia"/>
          <w:color w:val="auto"/>
          <w:highlight w:val="none"/>
          <w:u w:val="single"/>
          <w:lang w:eastAsia="zh-CN"/>
        </w:rPr>
        <w:t>数字开标系统，公布在投标截止时间前递交投标文件的投标人名称；</w:t>
      </w:r>
    </w:p>
    <w:p>
      <w:pPr>
        <w:pStyle w:val="12"/>
        <w:spacing w:line="360" w:lineRule="auto"/>
        <w:ind w:firstLine="420" w:firstLineChars="200"/>
        <w:jc w:val="both"/>
        <w:rPr>
          <w:color w:val="auto"/>
          <w:highlight w:val="none"/>
          <w:u w:val="single"/>
          <w:lang w:eastAsia="zh-CN"/>
        </w:rPr>
      </w:pPr>
      <w:r>
        <w:rPr>
          <w:rFonts w:hint="eastAsia"/>
          <w:color w:val="auto"/>
          <w:highlight w:val="none"/>
          <w:u w:val="single"/>
          <w:lang w:eastAsia="zh-CN"/>
        </w:rPr>
        <w:t>（</w:t>
      </w:r>
      <w:r>
        <w:rPr>
          <w:color w:val="auto"/>
          <w:highlight w:val="none"/>
          <w:u w:val="single"/>
          <w:lang w:eastAsia="zh-CN"/>
        </w:rPr>
        <w:t>3</w:t>
      </w:r>
      <w:r>
        <w:rPr>
          <w:rFonts w:hint="eastAsia"/>
          <w:color w:val="auto"/>
          <w:highlight w:val="none"/>
          <w:u w:val="single"/>
          <w:lang w:eastAsia="zh-CN"/>
        </w:rPr>
        <w:t>）宣布开标人、唱标人、记录人、监标人等有关人员姓名；</w:t>
      </w:r>
    </w:p>
    <w:p>
      <w:pPr>
        <w:pStyle w:val="12"/>
        <w:spacing w:line="360" w:lineRule="auto"/>
        <w:ind w:firstLine="420" w:firstLineChars="200"/>
        <w:jc w:val="both"/>
        <w:rPr>
          <w:color w:val="auto"/>
          <w:highlight w:val="none"/>
          <w:u w:val="single"/>
          <w:lang w:eastAsia="zh-CN"/>
        </w:rPr>
      </w:pPr>
      <w:r>
        <w:rPr>
          <w:rFonts w:hint="eastAsia"/>
          <w:color w:val="auto"/>
          <w:highlight w:val="none"/>
          <w:u w:val="single"/>
          <w:lang w:eastAsia="zh-CN"/>
        </w:rPr>
        <w:t>（</w:t>
      </w:r>
      <w:r>
        <w:rPr>
          <w:color w:val="auto"/>
          <w:highlight w:val="none"/>
          <w:u w:val="single"/>
          <w:lang w:eastAsia="zh-CN"/>
        </w:rPr>
        <w:t>4</w:t>
      </w:r>
      <w:r>
        <w:rPr>
          <w:rFonts w:hint="eastAsia"/>
          <w:color w:val="auto"/>
          <w:highlight w:val="none"/>
          <w:u w:val="single"/>
          <w:lang w:eastAsia="zh-CN"/>
        </w:rPr>
        <w:t>）（</w:t>
      </w:r>
      <w:r>
        <w:rPr>
          <w:color w:val="auto"/>
          <w:highlight w:val="none"/>
          <w:u w:val="single"/>
          <w:lang w:eastAsia="zh-CN"/>
        </w:rPr>
        <w:t>B</w:t>
      </w:r>
      <w:r>
        <w:rPr>
          <w:rFonts w:hint="eastAsia"/>
          <w:color w:val="auto"/>
          <w:highlight w:val="none"/>
          <w:u w:val="single"/>
          <w:lang w:eastAsia="zh-CN"/>
        </w:rPr>
        <w:t>）投标人登录交易平台</w:t>
      </w:r>
      <w:r>
        <w:rPr>
          <w:color w:val="auto"/>
          <w:highlight w:val="none"/>
          <w:u w:val="single"/>
          <w:lang w:eastAsia="zh-CN"/>
        </w:rPr>
        <w:t>-</w:t>
      </w:r>
      <w:r>
        <w:rPr>
          <w:rFonts w:hint="eastAsia"/>
          <w:color w:val="auto"/>
          <w:highlight w:val="none"/>
          <w:u w:val="single"/>
          <w:lang w:eastAsia="zh-CN"/>
        </w:rPr>
        <w:t>数字开标系统，输入</w:t>
      </w:r>
      <w:r>
        <w:rPr>
          <w:color w:val="auto"/>
          <w:highlight w:val="none"/>
          <w:u w:val="single"/>
          <w:lang w:eastAsia="zh-CN"/>
        </w:rPr>
        <w:t>CA</w:t>
      </w:r>
      <w:r>
        <w:rPr>
          <w:rFonts w:hint="eastAsia"/>
          <w:color w:val="auto"/>
          <w:highlight w:val="none"/>
          <w:u w:val="single"/>
          <w:lang w:eastAsia="zh-CN"/>
        </w:rPr>
        <w:t>密码对已递交的电子投标文件进行解密，所有投标人需要在招标时设定的投标文件解密截止时间内进行解密，投标文件解密截止时间后不能再进行解密操作；</w:t>
      </w:r>
    </w:p>
    <w:p>
      <w:pPr>
        <w:pStyle w:val="12"/>
        <w:spacing w:line="360" w:lineRule="auto"/>
        <w:ind w:firstLine="420" w:firstLineChars="200"/>
        <w:jc w:val="both"/>
        <w:rPr>
          <w:color w:val="auto"/>
          <w:highlight w:val="none"/>
          <w:u w:val="single"/>
          <w:lang w:eastAsia="zh-CN"/>
        </w:rPr>
      </w:pPr>
      <w:r>
        <w:rPr>
          <w:rFonts w:hint="eastAsia"/>
          <w:color w:val="auto"/>
          <w:highlight w:val="none"/>
          <w:u w:val="single"/>
          <w:lang w:eastAsia="zh-CN"/>
        </w:rPr>
        <w:t>所有投标人都已解密完成，或到了投标文件解密截止时间后，招标代理（招标人）可进行</w:t>
      </w:r>
      <w:r>
        <w:rPr>
          <w:color w:val="auto"/>
          <w:highlight w:val="none"/>
          <w:u w:val="single"/>
          <w:lang w:eastAsia="zh-CN"/>
        </w:rPr>
        <w:t>“</w:t>
      </w:r>
      <w:r>
        <w:rPr>
          <w:rFonts w:hint="eastAsia"/>
          <w:color w:val="auto"/>
          <w:highlight w:val="none"/>
          <w:u w:val="single"/>
          <w:lang w:eastAsia="zh-CN"/>
        </w:rPr>
        <w:t>招标人解密操作</w:t>
      </w:r>
      <w:r>
        <w:rPr>
          <w:color w:val="auto"/>
          <w:highlight w:val="none"/>
          <w:u w:val="single"/>
          <w:lang w:eastAsia="zh-CN"/>
        </w:rPr>
        <w:t>”</w:t>
      </w:r>
      <w:r>
        <w:rPr>
          <w:rFonts w:hint="eastAsia"/>
          <w:color w:val="auto"/>
          <w:highlight w:val="none"/>
          <w:u w:val="single"/>
          <w:lang w:eastAsia="zh-CN"/>
        </w:rPr>
        <w:t>，解密操作同样需要进行</w:t>
      </w:r>
      <w:r>
        <w:rPr>
          <w:color w:val="auto"/>
          <w:highlight w:val="none"/>
          <w:u w:val="single"/>
          <w:lang w:eastAsia="zh-CN"/>
        </w:rPr>
        <w:t>CA</w:t>
      </w:r>
      <w:r>
        <w:rPr>
          <w:rFonts w:hint="eastAsia"/>
          <w:color w:val="auto"/>
          <w:highlight w:val="none"/>
          <w:u w:val="single"/>
          <w:lang w:eastAsia="zh-CN"/>
        </w:rPr>
        <w:t>验证；</w:t>
      </w:r>
    </w:p>
    <w:p>
      <w:pPr>
        <w:pStyle w:val="12"/>
        <w:spacing w:line="360" w:lineRule="auto"/>
        <w:ind w:firstLine="420" w:firstLineChars="200"/>
        <w:jc w:val="both"/>
        <w:rPr>
          <w:color w:val="auto"/>
          <w:highlight w:val="none"/>
          <w:u w:val="single"/>
          <w:lang w:eastAsia="zh-CN"/>
        </w:rPr>
      </w:pPr>
      <w:r>
        <w:rPr>
          <w:rFonts w:hint="eastAsia"/>
          <w:color w:val="auto"/>
          <w:highlight w:val="none"/>
          <w:u w:val="single"/>
          <w:lang w:eastAsia="zh-CN"/>
        </w:rPr>
        <w:t>投标人、招标代理（招标人）完成解密后，招标代理开启电子唱标，公布招标项目名称、投标人名称、</w:t>
      </w:r>
      <w:r>
        <w:rPr>
          <w:rFonts w:hint="eastAsia"/>
          <w:strike/>
          <w:color w:val="auto"/>
          <w:highlight w:val="none"/>
          <w:u w:val="single"/>
          <w:lang w:eastAsia="zh-CN"/>
        </w:rPr>
        <w:t>投标保证金的递交情况、</w:t>
      </w:r>
      <w:r>
        <w:rPr>
          <w:rFonts w:hint="eastAsia"/>
          <w:color w:val="auto"/>
          <w:highlight w:val="none"/>
          <w:u w:val="single"/>
          <w:lang w:eastAsia="zh-CN"/>
        </w:rPr>
        <w:t>投标报价、服务期限及其他内容，并记录在案；</w:t>
      </w:r>
    </w:p>
    <w:p>
      <w:pPr>
        <w:pStyle w:val="12"/>
        <w:spacing w:line="360" w:lineRule="auto"/>
        <w:ind w:firstLine="420" w:firstLineChars="200"/>
        <w:jc w:val="both"/>
        <w:rPr>
          <w:color w:val="auto"/>
          <w:highlight w:val="none"/>
          <w:u w:val="single"/>
          <w:lang w:eastAsia="zh-CN"/>
        </w:rPr>
      </w:pPr>
      <w:r>
        <w:rPr>
          <w:rFonts w:hint="eastAsia"/>
          <w:color w:val="auto"/>
          <w:highlight w:val="none"/>
          <w:u w:val="single"/>
          <w:lang w:eastAsia="zh-CN"/>
        </w:rPr>
        <w:t>唱标结束后，招标代理须开启</w:t>
      </w:r>
      <w:r>
        <w:rPr>
          <w:color w:val="auto"/>
          <w:highlight w:val="none"/>
          <w:u w:val="single"/>
          <w:lang w:eastAsia="zh-CN"/>
        </w:rPr>
        <w:t>“</w:t>
      </w:r>
      <w:r>
        <w:rPr>
          <w:rFonts w:hint="eastAsia"/>
          <w:color w:val="auto"/>
          <w:highlight w:val="none"/>
          <w:u w:val="single"/>
          <w:lang w:eastAsia="zh-CN"/>
        </w:rPr>
        <w:t>开始异议</w:t>
      </w:r>
      <w:r>
        <w:rPr>
          <w:color w:val="auto"/>
          <w:highlight w:val="none"/>
          <w:u w:val="single"/>
          <w:lang w:eastAsia="zh-CN"/>
        </w:rPr>
        <w:t>”</w:t>
      </w:r>
      <w:r>
        <w:rPr>
          <w:rFonts w:hint="eastAsia"/>
          <w:color w:val="auto"/>
          <w:highlight w:val="none"/>
          <w:u w:val="single"/>
          <w:lang w:eastAsia="zh-CN"/>
        </w:rPr>
        <w:t>，开启后，投标人若需要提问的可在</w:t>
      </w:r>
      <w:r>
        <w:rPr>
          <w:color w:val="auto"/>
          <w:highlight w:val="none"/>
          <w:u w:val="single"/>
          <w:lang w:eastAsia="zh-CN"/>
        </w:rPr>
        <w:t>15</w:t>
      </w:r>
      <w:r>
        <w:rPr>
          <w:rFonts w:hint="eastAsia"/>
          <w:color w:val="auto"/>
          <w:highlight w:val="none"/>
          <w:u w:val="single"/>
          <w:lang w:eastAsia="zh-CN"/>
        </w:rPr>
        <w:t>分钟内进行提问，招标代理（招标人）需要回答所有的投标人提问或等待</w:t>
      </w:r>
      <w:r>
        <w:rPr>
          <w:color w:val="auto"/>
          <w:highlight w:val="none"/>
          <w:u w:val="single"/>
          <w:lang w:eastAsia="zh-CN"/>
        </w:rPr>
        <w:t>15</w:t>
      </w:r>
      <w:r>
        <w:rPr>
          <w:rFonts w:hint="eastAsia"/>
          <w:color w:val="auto"/>
          <w:highlight w:val="none"/>
          <w:u w:val="single"/>
          <w:lang w:eastAsia="zh-CN"/>
        </w:rPr>
        <w:t>分钟才能结束异议，若所有投标人都回复了</w:t>
      </w:r>
      <w:r>
        <w:rPr>
          <w:color w:val="auto"/>
          <w:highlight w:val="none"/>
          <w:u w:val="single"/>
          <w:lang w:eastAsia="zh-CN"/>
        </w:rPr>
        <w:t>“</w:t>
      </w:r>
      <w:r>
        <w:rPr>
          <w:rFonts w:hint="eastAsia"/>
          <w:color w:val="auto"/>
          <w:highlight w:val="none"/>
          <w:u w:val="single"/>
          <w:lang w:eastAsia="zh-CN"/>
        </w:rPr>
        <w:t>无异议</w:t>
      </w:r>
      <w:r>
        <w:rPr>
          <w:color w:val="auto"/>
          <w:highlight w:val="none"/>
          <w:u w:val="single"/>
          <w:lang w:eastAsia="zh-CN"/>
        </w:rPr>
        <w:t>”</w:t>
      </w:r>
      <w:r>
        <w:rPr>
          <w:rFonts w:hint="eastAsia"/>
          <w:color w:val="auto"/>
          <w:highlight w:val="none"/>
          <w:u w:val="single"/>
          <w:lang w:eastAsia="zh-CN"/>
        </w:rPr>
        <w:t>，招标代理（招标人）可提前结束异议；</w:t>
      </w:r>
    </w:p>
    <w:p>
      <w:pPr>
        <w:pStyle w:val="12"/>
        <w:spacing w:line="360" w:lineRule="auto"/>
        <w:ind w:firstLine="420" w:firstLineChars="200"/>
        <w:jc w:val="both"/>
        <w:rPr>
          <w:color w:val="auto"/>
          <w:highlight w:val="none"/>
          <w:u w:val="single"/>
          <w:lang w:eastAsia="zh-CN"/>
        </w:rPr>
      </w:pPr>
      <w:r>
        <w:rPr>
          <w:rFonts w:hint="eastAsia"/>
          <w:color w:val="auto"/>
          <w:highlight w:val="none"/>
          <w:u w:val="single"/>
          <w:lang w:eastAsia="zh-CN"/>
        </w:rPr>
        <w:t>（</w:t>
      </w:r>
      <w:r>
        <w:rPr>
          <w:color w:val="auto"/>
          <w:highlight w:val="none"/>
          <w:u w:val="single"/>
          <w:lang w:eastAsia="zh-CN"/>
        </w:rPr>
        <w:t>5</w:t>
      </w:r>
      <w:r>
        <w:rPr>
          <w:rFonts w:hint="eastAsia"/>
          <w:color w:val="auto"/>
          <w:highlight w:val="none"/>
          <w:u w:val="single"/>
          <w:lang w:eastAsia="zh-CN"/>
        </w:rPr>
        <w:t>）（</w:t>
      </w:r>
      <w:r>
        <w:rPr>
          <w:color w:val="auto"/>
          <w:highlight w:val="none"/>
          <w:u w:val="single"/>
          <w:lang w:eastAsia="zh-CN"/>
        </w:rPr>
        <w:t>B</w:t>
      </w:r>
      <w:r>
        <w:rPr>
          <w:rFonts w:hint="eastAsia"/>
          <w:color w:val="auto"/>
          <w:highlight w:val="none"/>
          <w:u w:val="single"/>
          <w:lang w:eastAsia="zh-CN"/>
        </w:rPr>
        <w:t>）唱标环节结束后，招标代理、投标人都可以同时查看到</w:t>
      </w:r>
      <w:r>
        <w:rPr>
          <w:color w:val="auto"/>
          <w:highlight w:val="none"/>
          <w:u w:val="single"/>
          <w:lang w:eastAsia="zh-CN"/>
        </w:rPr>
        <w:t>“</w:t>
      </w:r>
      <w:r>
        <w:rPr>
          <w:rFonts w:hint="eastAsia"/>
          <w:color w:val="auto"/>
          <w:highlight w:val="none"/>
          <w:u w:val="single"/>
          <w:lang w:eastAsia="zh-CN"/>
        </w:rPr>
        <w:t>开标报表</w:t>
      </w:r>
      <w:r>
        <w:rPr>
          <w:color w:val="auto"/>
          <w:highlight w:val="none"/>
          <w:u w:val="single"/>
          <w:lang w:eastAsia="zh-CN"/>
        </w:rPr>
        <w:t>”</w:t>
      </w:r>
      <w:r>
        <w:rPr>
          <w:rFonts w:hint="eastAsia"/>
          <w:color w:val="auto"/>
          <w:highlight w:val="none"/>
          <w:u w:val="single"/>
          <w:lang w:eastAsia="zh-CN"/>
        </w:rPr>
        <w:t>；投标人代表、招标人代表、监标人、记录人等有关人员在开标记录上签字确认；若有关人员不签字的，不影响开标程序；</w:t>
      </w:r>
    </w:p>
    <w:p>
      <w:pPr>
        <w:pStyle w:val="12"/>
        <w:spacing w:line="360" w:lineRule="auto"/>
        <w:ind w:firstLine="420" w:firstLineChars="200"/>
        <w:jc w:val="both"/>
        <w:rPr>
          <w:color w:val="auto"/>
          <w:highlight w:val="none"/>
          <w:u w:val="single"/>
          <w:lang w:eastAsia="zh-CN"/>
        </w:rPr>
      </w:pPr>
      <w:r>
        <w:rPr>
          <w:rFonts w:hint="eastAsia"/>
          <w:color w:val="auto"/>
          <w:highlight w:val="none"/>
          <w:u w:val="single"/>
          <w:lang w:eastAsia="zh-CN"/>
        </w:rPr>
        <w:t>（</w:t>
      </w:r>
      <w:r>
        <w:rPr>
          <w:color w:val="auto"/>
          <w:highlight w:val="none"/>
          <w:u w:val="single"/>
          <w:lang w:eastAsia="zh-CN"/>
        </w:rPr>
        <w:t>6</w:t>
      </w:r>
      <w:r>
        <w:rPr>
          <w:rFonts w:hint="eastAsia"/>
          <w:color w:val="auto"/>
          <w:highlight w:val="none"/>
          <w:u w:val="single"/>
          <w:lang w:eastAsia="zh-CN"/>
        </w:rPr>
        <w:t>）开标结束。</w:t>
      </w:r>
    </w:p>
    <w:p>
      <w:pPr>
        <w:pStyle w:val="12"/>
        <w:spacing w:line="360" w:lineRule="auto"/>
        <w:ind w:left="0" w:firstLine="420" w:firstLineChars="200"/>
        <w:jc w:val="both"/>
        <w:rPr>
          <w:rFonts w:hint="eastAsia"/>
          <w:color w:val="auto"/>
          <w:highlight w:val="none"/>
          <w:u w:val="single"/>
          <w:lang w:eastAsia="zh-CN"/>
        </w:rPr>
      </w:pPr>
      <w:r>
        <w:rPr>
          <w:color w:val="auto"/>
          <w:highlight w:val="none"/>
          <w:u w:val="single"/>
          <w:lang w:eastAsia="zh-CN"/>
        </w:rPr>
        <w:t>5.2.2</w:t>
      </w:r>
      <w:r>
        <w:rPr>
          <w:rFonts w:hint="eastAsia"/>
          <w:color w:val="auto"/>
          <w:highlight w:val="none"/>
          <w:u w:val="single"/>
          <w:lang w:eastAsia="zh-CN"/>
        </w:rPr>
        <w:t>投标截止时间前未完成投标文件传输的或因投标人之外的原因造成投标文件未解密的或未在投标截止时间后半小时解密的，视为投标人其撤回投标文件。因投标人原因造成投标文件未解密的，或因投标人原因解密失败且未递交电子光盘或递交的电子光盘不能读取的，视为撤销其投标文件。</w:t>
      </w:r>
    </w:p>
    <w:p>
      <w:pPr>
        <w:pStyle w:val="12"/>
        <w:spacing w:line="360" w:lineRule="auto"/>
        <w:ind w:left="0" w:firstLine="420" w:firstLineChars="200"/>
        <w:jc w:val="both"/>
        <w:rPr>
          <w:color w:val="auto"/>
          <w:highlight w:val="none"/>
          <w:u w:val="single"/>
          <w:lang w:eastAsia="zh-CN"/>
        </w:rPr>
      </w:pPr>
      <w:r>
        <w:rPr>
          <w:color w:val="auto"/>
          <w:highlight w:val="none"/>
          <w:u w:val="single"/>
          <w:lang w:eastAsia="zh-CN"/>
        </w:rPr>
        <w:t>5.2.3</w:t>
      </w:r>
      <w:r>
        <w:rPr>
          <w:rFonts w:hint="eastAsia"/>
          <w:color w:val="auto"/>
          <w:highlight w:val="none"/>
          <w:u w:val="single"/>
          <w:lang w:eastAsia="zh-CN"/>
        </w:rPr>
        <w:t>开标时，两个（含两个）以上的投标人加密打包投标文件电脑机器特征码一致的，不参与下一程序，并由评标委员会否决其投标。</w:t>
      </w:r>
    </w:p>
    <w:p>
      <w:pPr>
        <w:pStyle w:val="12"/>
        <w:spacing w:line="360" w:lineRule="auto"/>
        <w:ind w:left="0" w:firstLine="420" w:firstLineChars="200"/>
        <w:jc w:val="both"/>
        <w:rPr>
          <w:strike/>
          <w:color w:val="auto"/>
          <w:highlight w:val="none"/>
          <w:u w:val="single"/>
          <w:lang w:eastAsia="zh-CN"/>
        </w:rPr>
      </w:pPr>
      <w:r>
        <w:rPr>
          <w:strike/>
          <w:color w:val="auto"/>
          <w:highlight w:val="none"/>
          <w:u w:val="single"/>
          <w:lang w:eastAsia="zh-CN"/>
        </w:rPr>
        <w:t>（1）宣布开标纪律；</w:t>
      </w:r>
    </w:p>
    <w:p>
      <w:pPr>
        <w:pStyle w:val="12"/>
        <w:spacing w:line="360" w:lineRule="auto"/>
        <w:ind w:left="0" w:firstLine="420" w:firstLineChars="200"/>
        <w:jc w:val="both"/>
        <w:rPr>
          <w:strike/>
          <w:color w:val="auto"/>
          <w:highlight w:val="none"/>
          <w:u w:val="single"/>
          <w:lang w:eastAsia="zh-CN"/>
        </w:rPr>
      </w:pPr>
      <w:r>
        <w:rPr>
          <w:strike/>
          <w:color w:val="auto"/>
          <w:highlight w:val="none"/>
          <w:u w:val="single"/>
          <w:lang w:eastAsia="zh-CN"/>
        </w:rPr>
        <w:t>（2）公布在投标截止时间前递交投标文件的投标人名称；</w:t>
      </w:r>
    </w:p>
    <w:p>
      <w:pPr>
        <w:pStyle w:val="12"/>
        <w:spacing w:line="360" w:lineRule="auto"/>
        <w:ind w:left="0" w:firstLine="420" w:firstLineChars="200"/>
        <w:jc w:val="both"/>
        <w:rPr>
          <w:strike/>
          <w:color w:val="auto"/>
          <w:highlight w:val="none"/>
          <w:u w:val="single"/>
          <w:lang w:eastAsia="zh-CN"/>
        </w:rPr>
      </w:pPr>
      <w:r>
        <w:rPr>
          <w:strike/>
          <w:color w:val="auto"/>
          <w:highlight w:val="none"/>
          <w:u w:val="single"/>
          <w:lang w:eastAsia="zh-CN"/>
        </w:rPr>
        <w:t>（3）宣布开标人、唱标人、记录人、监标人等有关人员姓名；</w:t>
      </w:r>
    </w:p>
    <w:p>
      <w:pPr>
        <w:pStyle w:val="12"/>
        <w:spacing w:line="360" w:lineRule="auto"/>
        <w:ind w:left="0" w:firstLine="420" w:firstLineChars="200"/>
        <w:jc w:val="both"/>
        <w:rPr>
          <w:strike/>
          <w:color w:val="auto"/>
          <w:highlight w:val="none"/>
          <w:u w:val="single"/>
          <w:lang w:eastAsia="zh-CN"/>
        </w:rPr>
      </w:pPr>
      <w:r>
        <w:rPr>
          <w:strike/>
          <w:color w:val="auto"/>
          <w:highlight w:val="none"/>
          <w:u w:val="single"/>
          <w:lang w:eastAsia="zh-CN"/>
        </w:rPr>
        <w:t>（4）（A）检查投标文件的密封情况，按照投标人须知前附表规定的开标顺序当众开标，公布招标项目名称、投标人名称、投标保证金的递交情况、投标报价、设计服务期限及其他内容，并记录在案；</w:t>
      </w:r>
    </w:p>
    <w:p>
      <w:pPr>
        <w:pStyle w:val="12"/>
        <w:spacing w:line="360" w:lineRule="auto"/>
        <w:ind w:left="0" w:firstLine="420" w:firstLineChars="200"/>
        <w:jc w:val="both"/>
        <w:rPr>
          <w:strike/>
          <w:color w:val="auto"/>
          <w:highlight w:val="none"/>
          <w:u w:val="single"/>
          <w:lang w:eastAsia="zh-CN"/>
        </w:rPr>
      </w:pPr>
      <w:r>
        <w:rPr>
          <w:strike/>
          <w:color w:val="auto"/>
          <w:highlight w:val="none"/>
          <w:u w:val="single"/>
          <w:lang w:eastAsia="zh-CN"/>
        </w:rPr>
        <w:t>（4）（B）投标人通过电子招标投标交易平台对已递交的电子投标文件进行解密，公布招标项目名称、投标人名称、投标保证金的递交情况、投标报价、设计服务期限及其他内容，并记录在案；</w:t>
      </w:r>
    </w:p>
    <w:p>
      <w:pPr>
        <w:pStyle w:val="12"/>
        <w:spacing w:line="360" w:lineRule="auto"/>
        <w:ind w:left="0" w:firstLine="420" w:firstLineChars="200"/>
        <w:jc w:val="both"/>
        <w:rPr>
          <w:strike/>
          <w:color w:val="auto"/>
          <w:highlight w:val="none"/>
          <w:u w:val="single"/>
          <w:lang w:eastAsia="zh-CN"/>
        </w:rPr>
      </w:pPr>
      <w:r>
        <w:rPr>
          <w:strike/>
          <w:color w:val="auto"/>
          <w:highlight w:val="none"/>
          <w:u w:val="single"/>
          <w:lang w:eastAsia="zh-CN"/>
        </w:rPr>
        <w:t>（5）（A）投标人代表、招标人代表、监标人、记录人等有关人员在开标记录上签字确认；</w:t>
      </w:r>
    </w:p>
    <w:p>
      <w:pPr>
        <w:pStyle w:val="12"/>
        <w:spacing w:line="360" w:lineRule="auto"/>
        <w:ind w:left="0" w:firstLine="420" w:firstLineChars="200"/>
        <w:jc w:val="both"/>
        <w:rPr>
          <w:strike/>
          <w:color w:val="auto"/>
          <w:highlight w:val="none"/>
          <w:u w:val="single"/>
          <w:lang w:eastAsia="zh-CN"/>
        </w:rPr>
      </w:pPr>
      <w:r>
        <w:rPr>
          <w:strike/>
          <w:color w:val="auto"/>
          <w:highlight w:val="none"/>
          <w:u w:val="single"/>
          <w:lang w:eastAsia="zh-CN"/>
        </w:rPr>
        <w:t>（5）（B）投标人代表、招标人代表、监标人、记录人等有关人员使用本人的电子印章在开标记录上签字确认；</w:t>
      </w:r>
    </w:p>
    <w:p>
      <w:pPr>
        <w:pStyle w:val="12"/>
        <w:spacing w:line="360" w:lineRule="auto"/>
        <w:ind w:left="0" w:firstLine="420" w:firstLineChars="200"/>
        <w:jc w:val="both"/>
        <w:rPr>
          <w:color w:val="auto"/>
          <w:highlight w:val="none"/>
          <w:u w:val="single"/>
          <w:lang w:eastAsia="zh-CN"/>
        </w:rPr>
      </w:pPr>
      <w:r>
        <w:rPr>
          <w:strike/>
          <w:color w:val="auto"/>
          <w:highlight w:val="none"/>
          <w:u w:val="single"/>
          <w:lang w:eastAsia="zh-CN"/>
        </w:rPr>
        <w:t>（6）开标结束。</w:t>
      </w:r>
    </w:p>
    <w:p>
      <w:pPr>
        <w:spacing w:line="360" w:lineRule="auto"/>
        <w:jc w:val="both"/>
        <w:rPr>
          <w:rFonts w:ascii="宋体" w:hAnsi="宋体" w:eastAsia="宋体"/>
          <w:color w:val="auto"/>
          <w:sz w:val="21"/>
          <w:szCs w:val="21"/>
          <w:highlight w:val="none"/>
          <w:u w:val="singl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5.3开标异议</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u w:val="single"/>
          <w:lang w:eastAsia="zh-CN"/>
        </w:rPr>
      </w:pPr>
      <w:r>
        <w:rPr>
          <w:color w:val="auto"/>
          <w:highlight w:val="none"/>
          <w:lang w:eastAsia="zh-CN"/>
        </w:rPr>
        <w:t>投标人对开标有异议的，应当在开标现场提出，招标人当场作出答复，并制作记录。</w:t>
      </w:r>
      <w:r>
        <w:rPr>
          <w:rFonts w:hint="eastAsia"/>
          <w:color w:val="auto"/>
          <w:highlight w:val="none"/>
          <w:u w:val="single"/>
          <w:lang w:eastAsia="zh-CN"/>
        </w:rPr>
        <w:t>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spacing w:line="360" w:lineRule="auto"/>
        <w:jc w:val="both"/>
        <w:rPr>
          <w:rFonts w:ascii="宋体" w:hAnsi="宋体" w:eastAsia="宋体"/>
          <w:color w:val="auto"/>
          <w:sz w:val="21"/>
          <w:szCs w:val="21"/>
          <w:highlight w:val="none"/>
          <w:lang w:eastAsia="zh-CN"/>
        </w:rPr>
      </w:pPr>
      <w:bookmarkStart w:id="27" w:name="_Toc25137987"/>
    </w:p>
    <w:p>
      <w:pPr>
        <w:pStyle w:val="6"/>
        <w:spacing w:line="443" w:lineRule="exact"/>
        <w:ind w:right="44"/>
        <w:jc w:val="both"/>
        <w:rPr>
          <w:rFonts w:ascii="宋体" w:hAnsi="宋体" w:eastAsia="宋体"/>
          <w:color w:val="auto"/>
          <w:sz w:val="21"/>
          <w:szCs w:val="21"/>
          <w:highlight w:val="none"/>
          <w:lang w:eastAsia="zh-CN"/>
        </w:rPr>
      </w:pPr>
      <w:bookmarkStart w:id="28" w:name="_Toc109809427"/>
      <w:bookmarkStart w:id="29" w:name="_Toc109809388"/>
      <w:r>
        <w:rPr>
          <w:rFonts w:ascii="宋体" w:hAnsi="宋体" w:eastAsia="宋体"/>
          <w:color w:val="auto"/>
          <w:sz w:val="21"/>
          <w:szCs w:val="21"/>
          <w:highlight w:val="none"/>
          <w:lang w:eastAsia="zh-CN"/>
        </w:rPr>
        <w:t>6. 评标</w:t>
      </w:r>
      <w:bookmarkEnd w:id="27"/>
      <w:bookmarkEnd w:id="28"/>
      <w:bookmarkEnd w:id="29"/>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6.1评标委员会</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pStyle w:val="12"/>
        <w:spacing w:line="360" w:lineRule="auto"/>
        <w:ind w:left="0" w:firstLine="420" w:firstLineChars="200"/>
        <w:jc w:val="both"/>
        <w:rPr>
          <w:color w:val="auto"/>
          <w:highlight w:val="none"/>
          <w:lang w:eastAsia="zh-CN"/>
        </w:rPr>
      </w:pPr>
      <w:r>
        <w:rPr>
          <w:color w:val="auto"/>
          <w:highlight w:val="none"/>
          <w:lang w:eastAsia="zh-CN"/>
        </w:rPr>
        <w:t>6.1.2评标委员会成员有下列情形之一的，应当回避：</w:t>
      </w:r>
    </w:p>
    <w:p>
      <w:pPr>
        <w:pStyle w:val="12"/>
        <w:spacing w:line="360" w:lineRule="auto"/>
        <w:ind w:left="0" w:firstLine="420" w:firstLineChars="200"/>
        <w:jc w:val="both"/>
        <w:rPr>
          <w:color w:val="auto"/>
          <w:highlight w:val="none"/>
          <w:lang w:eastAsia="zh-CN"/>
        </w:rPr>
      </w:pPr>
      <w:r>
        <w:rPr>
          <w:color w:val="auto"/>
          <w:highlight w:val="none"/>
          <w:lang w:eastAsia="zh-CN"/>
        </w:rPr>
        <w:t>（1）投标人或投标人主要负责人的近亲属；</w:t>
      </w:r>
    </w:p>
    <w:p>
      <w:pPr>
        <w:pStyle w:val="12"/>
        <w:spacing w:line="360" w:lineRule="auto"/>
        <w:ind w:left="0" w:firstLine="420" w:firstLineChars="200"/>
        <w:jc w:val="both"/>
        <w:rPr>
          <w:color w:val="auto"/>
          <w:highlight w:val="none"/>
          <w:lang w:eastAsia="zh-CN"/>
        </w:rPr>
      </w:pPr>
      <w:r>
        <w:rPr>
          <w:color w:val="auto"/>
          <w:highlight w:val="none"/>
          <w:lang w:eastAsia="zh-CN"/>
        </w:rPr>
        <w:t>（2）项目主管部门或者行政监督部门的人员；</w:t>
      </w:r>
    </w:p>
    <w:p>
      <w:pPr>
        <w:pStyle w:val="12"/>
        <w:spacing w:line="360" w:lineRule="auto"/>
        <w:ind w:left="0" w:firstLine="420" w:firstLineChars="200"/>
        <w:jc w:val="both"/>
        <w:rPr>
          <w:color w:val="auto"/>
          <w:highlight w:val="none"/>
          <w:lang w:eastAsia="zh-CN"/>
        </w:rPr>
      </w:pPr>
      <w:r>
        <w:rPr>
          <w:color w:val="auto"/>
          <w:highlight w:val="none"/>
          <w:lang w:eastAsia="zh-CN"/>
        </w:rPr>
        <w:t>（3）与投标人有经济利益关系，可能影响对投标公正评审的；</w:t>
      </w:r>
    </w:p>
    <w:p>
      <w:pPr>
        <w:pStyle w:val="12"/>
        <w:spacing w:line="360" w:lineRule="auto"/>
        <w:ind w:left="0" w:firstLine="420" w:firstLineChars="200"/>
        <w:jc w:val="both"/>
        <w:rPr>
          <w:color w:val="auto"/>
          <w:highlight w:val="none"/>
          <w:lang w:eastAsia="zh-CN"/>
        </w:rPr>
      </w:pPr>
      <w:r>
        <w:rPr>
          <w:color w:val="auto"/>
          <w:highlight w:val="none"/>
          <w:lang w:eastAsia="zh-CN"/>
        </w:rPr>
        <w:t>（4）曾因在招标、评标以及其他与招标投标有关活动中从事违法行为而受过行政处罚或刑事处罚的；</w:t>
      </w:r>
    </w:p>
    <w:p>
      <w:pPr>
        <w:pStyle w:val="12"/>
        <w:spacing w:line="360" w:lineRule="auto"/>
        <w:ind w:left="0" w:firstLine="420" w:firstLineChars="200"/>
        <w:jc w:val="both"/>
        <w:rPr>
          <w:color w:val="auto"/>
          <w:highlight w:val="none"/>
          <w:lang w:eastAsia="zh-CN"/>
        </w:rPr>
      </w:pPr>
      <w:r>
        <w:rPr>
          <w:color w:val="auto"/>
          <w:highlight w:val="none"/>
          <w:lang w:eastAsia="zh-CN"/>
        </w:rPr>
        <w:t>（5）与投标人有其他利害关系。</w:t>
      </w:r>
    </w:p>
    <w:p>
      <w:pPr>
        <w:pStyle w:val="12"/>
        <w:spacing w:line="360" w:lineRule="auto"/>
        <w:ind w:left="0" w:firstLine="420" w:firstLineChars="200"/>
        <w:jc w:val="both"/>
        <w:rPr>
          <w:color w:val="auto"/>
          <w:highlight w:val="none"/>
          <w:lang w:eastAsia="zh-CN"/>
        </w:rPr>
      </w:pPr>
      <w:r>
        <w:rPr>
          <w:color w:val="auto"/>
          <w:highlight w:val="none"/>
          <w:lang w:eastAsia="zh-CN"/>
        </w:rPr>
        <w:t>6.1.3评标过程中，评标委员会成员有回避事由、擅离职守或者因健康等原因不能继续评标的，招标人有权更换。被更换的评标委员会成员作出的评审结论无效，由更换后的评标委员会成员重新进行评审。</w:t>
      </w:r>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6.2评标原则</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评标活动遵循公平、公正、科学和择优的原则。</w:t>
      </w:r>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6.3评标</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6.3.1评标委员会按照第三章“评标办法”规定的方法、评审因素、标准和程序对投标文件进行评审。第三章“评标办法”没有规定的方法、评审因素和标准，不作为评标依据。</w:t>
      </w:r>
    </w:p>
    <w:p>
      <w:pPr>
        <w:pStyle w:val="12"/>
        <w:spacing w:line="360" w:lineRule="auto"/>
        <w:ind w:left="0" w:firstLine="420" w:firstLineChars="200"/>
        <w:jc w:val="both"/>
        <w:rPr>
          <w:color w:val="auto"/>
          <w:highlight w:val="none"/>
          <w:lang w:eastAsia="zh-CN"/>
        </w:rPr>
      </w:pPr>
      <w:r>
        <w:rPr>
          <w:color w:val="auto"/>
          <w:highlight w:val="none"/>
          <w:lang w:eastAsia="zh-CN"/>
        </w:rPr>
        <w:t>6.3.2评标完成后，评标委员会应当向招标人提交书面评标报告和中标候选人名单。评标委员会推荐中标候选人的人数见投标人须知前附表。</w:t>
      </w:r>
    </w:p>
    <w:p>
      <w:pPr>
        <w:spacing w:line="360" w:lineRule="auto"/>
        <w:jc w:val="both"/>
        <w:rPr>
          <w:rFonts w:ascii="宋体" w:hAnsi="宋体" w:eastAsia="宋体"/>
          <w:color w:val="auto"/>
          <w:sz w:val="21"/>
          <w:szCs w:val="21"/>
          <w:highlight w:val="none"/>
          <w:lang w:eastAsia="zh-CN"/>
        </w:rPr>
      </w:pPr>
      <w:bookmarkStart w:id="30" w:name="_Toc25137988"/>
    </w:p>
    <w:p>
      <w:pPr>
        <w:pStyle w:val="6"/>
        <w:spacing w:line="443" w:lineRule="exact"/>
        <w:ind w:right="44"/>
        <w:jc w:val="both"/>
        <w:rPr>
          <w:rFonts w:ascii="宋体" w:hAnsi="宋体" w:eastAsia="宋体"/>
          <w:color w:val="auto"/>
          <w:sz w:val="21"/>
          <w:szCs w:val="21"/>
          <w:highlight w:val="none"/>
          <w:lang w:eastAsia="zh-CN"/>
        </w:rPr>
      </w:pPr>
      <w:bookmarkStart w:id="31" w:name="_Toc109809428"/>
      <w:bookmarkStart w:id="32" w:name="_Toc109809389"/>
      <w:r>
        <w:rPr>
          <w:rFonts w:ascii="宋体" w:hAnsi="宋体" w:eastAsia="宋体"/>
          <w:color w:val="auto"/>
          <w:sz w:val="21"/>
          <w:szCs w:val="21"/>
          <w:highlight w:val="none"/>
          <w:lang w:eastAsia="zh-CN"/>
        </w:rPr>
        <w:t>7. 合同授予</w:t>
      </w:r>
      <w:bookmarkEnd w:id="30"/>
      <w:bookmarkEnd w:id="31"/>
      <w:bookmarkEnd w:id="32"/>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7.1中标候选人公示</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招标人在收到评标报告之日起 3日内，按照投标人须知前附表规定的公示媒介和期限公示中标候选人，公示期不得少于3天。</w:t>
      </w:r>
    </w:p>
    <w:p>
      <w:pPr>
        <w:pStyle w:val="12"/>
        <w:spacing w:line="360" w:lineRule="auto"/>
        <w:ind w:left="0" w:firstLine="420" w:firstLineChars="200"/>
        <w:jc w:val="both"/>
        <w:rPr>
          <w:color w:val="auto"/>
          <w:highlight w:val="none"/>
          <w:u w:val="single"/>
          <w:lang w:eastAsia="zh-CN"/>
        </w:rPr>
      </w:pPr>
      <w:r>
        <w:rPr>
          <w:rFonts w:hint="eastAsia"/>
          <w:color w:val="auto"/>
          <w:highlight w:val="none"/>
          <w:u w:val="single"/>
          <w:lang w:eastAsia="zh-CN"/>
        </w:rPr>
        <w:t>在产生中标候选人后，招标人将中标候选人的投标文件商务部分的电子版（报价清单、方案等涉及商业秘密的内容除外）在广州公共资源交易中心网站等法定媒介公开。</w:t>
      </w:r>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7.2评标结果异议</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投标人或者其他利害关系人对评标结果有异议的，应当在中标候选人公示期间提出。招标人将在收到异议之日起3日内作出答复；作出答复前，将暂停招标投标活动。</w:t>
      </w:r>
    </w:p>
    <w:p>
      <w:pPr>
        <w:pStyle w:val="7"/>
        <w:ind w:right="44"/>
        <w:jc w:val="both"/>
        <w:rPr>
          <w:b/>
          <w:bCs/>
          <w:color w:val="auto"/>
          <w:sz w:val="21"/>
          <w:szCs w:val="21"/>
          <w:highlight w:val="none"/>
          <w:lang w:eastAsia="zh-CN"/>
        </w:rPr>
      </w:pPr>
      <w:r>
        <w:rPr>
          <w:b/>
          <w:bCs/>
          <w:color w:val="auto"/>
          <w:sz w:val="21"/>
          <w:szCs w:val="21"/>
          <w:highlight w:val="none"/>
          <w:lang w:eastAsia="zh-CN"/>
        </w:rPr>
        <w:t>7.3中标候选人履约能力审查</w:t>
      </w:r>
    </w:p>
    <w:p>
      <w:pPr>
        <w:pStyle w:val="12"/>
        <w:spacing w:line="360" w:lineRule="auto"/>
        <w:ind w:left="0" w:firstLine="420" w:firstLineChars="200"/>
        <w:jc w:val="both"/>
        <w:rPr>
          <w:color w:val="auto"/>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中标候选人的经营、财务状况发生较大变化或存在违法行为，招标人认为可能影响其履约能力的，将在发出中标通知书前提请原评标委员会按照招标文件规定的标准和方法进行审查确认。</w:t>
      </w:r>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7.4定标</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按照投标人须知前附表的规定，招标人或招标人授权的评标委员会依法确定中标人。</w:t>
      </w:r>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7.5中标通知</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在本章第 3.3款规定的投标有效期内，招标人以书面形式向中标人发出中标通知书，同时将中标结果通知未中标的投标人。</w:t>
      </w:r>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7.6技术成果经济补偿</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u w:val="single"/>
          <w:lang w:eastAsia="zh-CN"/>
        </w:rPr>
      </w:pPr>
      <w:r>
        <w:rPr>
          <w:rFonts w:hint="eastAsia"/>
          <w:color w:val="auto"/>
          <w:highlight w:val="none"/>
          <w:u w:val="single"/>
          <w:lang w:eastAsia="zh-CN"/>
        </w:rPr>
        <w:t>详见招标公告技术成果经济补偿。</w:t>
      </w:r>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7.7履约保证金</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7.7.1</w:t>
      </w:r>
      <w:r>
        <w:rPr>
          <w:rFonts w:hint="eastAsia" w:ascii="宋体" w:hAnsi="宋体" w:eastAsia="宋体"/>
          <w:color w:val="auto"/>
          <w:sz w:val="21"/>
          <w:szCs w:val="21"/>
          <w:highlight w:val="none"/>
          <w:lang w:val="en-US" w:eastAsia="zh-CN"/>
        </w:rPr>
        <w:t>在申请第一笔款项前，</w:t>
      </w:r>
      <w:r>
        <w:rPr>
          <w:color w:val="auto"/>
          <w:highlight w:val="none"/>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w:t>
      </w:r>
      <w:r>
        <w:rPr>
          <w:rFonts w:hint="eastAsia"/>
          <w:color w:val="auto"/>
          <w:highlight w:val="none"/>
          <w:lang w:val="en-US" w:eastAsia="zh-CN"/>
        </w:rPr>
        <w:t>主办方</w:t>
      </w:r>
      <w:r>
        <w:rPr>
          <w:color w:val="auto"/>
          <w:highlight w:val="none"/>
          <w:lang w:eastAsia="zh-CN"/>
        </w:rPr>
        <w:t>的名义提交。</w:t>
      </w:r>
    </w:p>
    <w:p>
      <w:pPr>
        <w:pStyle w:val="12"/>
        <w:spacing w:line="360" w:lineRule="auto"/>
        <w:ind w:left="0" w:firstLine="420" w:firstLineChars="200"/>
        <w:jc w:val="both"/>
        <w:rPr>
          <w:color w:val="auto"/>
          <w:highlight w:val="none"/>
          <w:lang w:eastAsia="zh-CN"/>
        </w:rPr>
      </w:pPr>
      <w:r>
        <w:rPr>
          <w:color w:val="auto"/>
          <w:highlight w:val="none"/>
          <w:lang w:eastAsia="zh-CN"/>
        </w:rPr>
        <w:t>7.7.2中标人不能按本章第 7.7.1项要求提交履约保证金的，视为放弃中标，</w:t>
      </w:r>
      <w:r>
        <w:rPr>
          <w:strike/>
          <w:color w:val="auto"/>
          <w:highlight w:val="none"/>
          <w:lang w:eastAsia="zh-CN"/>
        </w:rPr>
        <w:t>其投标保证金不予退还，</w:t>
      </w:r>
      <w:r>
        <w:rPr>
          <w:color w:val="auto"/>
          <w:highlight w:val="none"/>
          <w:lang w:eastAsia="zh-CN"/>
        </w:rPr>
        <w:t>给招标人造成的损失</w:t>
      </w:r>
      <w:r>
        <w:rPr>
          <w:strike/>
          <w:color w:val="auto"/>
          <w:highlight w:val="none"/>
          <w:lang w:eastAsia="zh-CN"/>
        </w:rPr>
        <w:t>超过投标保证金数额的</w:t>
      </w:r>
      <w:r>
        <w:rPr>
          <w:color w:val="auto"/>
          <w:highlight w:val="none"/>
          <w:lang w:eastAsia="zh-CN"/>
        </w:rPr>
        <w:t>，中标人还应当</w:t>
      </w:r>
      <w:r>
        <w:rPr>
          <w:strike/>
          <w:color w:val="auto"/>
          <w:highlight w:val="none"/>
          <w:lang w:eastAsia="zh-CN"/>
        </w:rPr>
        <w:t>对超过部分</w:t>
      </w:r>
      <w:r>
        <w:rPr>
          <w:color w:val="auto"/>
          <w:highlight w:val="none"/>
          <w:lang w:eastAsia="zh-CN"/>
        </w:rPr>
        <w:t>予以赔偿。</w:t>
      </w:r>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7.8签订合同</w:t>
      </w:r>
    </w:p>
    <w:p>
      <w:pPr>
        <w:pStyle w:val="12"/>
        <w:spacing w:line="360" w:lineRule="auto"/>
        <w:ind w:left="0" w:firstLine="420" w:firstLineChars="200"/>
        <w:jc w:val="both"/>
        <w:rPr>
          <w:color w:val="auto"/>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7.8.1招标人和中标人应当在中标通知书发出之日起 30日内，根据招标文件和中标人的投标文件订立书面合同。中标人无正当理由拒签合同，在签订合同时向招标人提出附加条件，或者不按照招标文件要求提交履约保证金的，招标人有权取消其中标资格</w:t>
      </w:r>
      <w:r>
        <w:rPr>
          <w:strike/>
          <w:color w:val="auto"/>
          <w:highlight w:val="none"/>
          <w:lang w:eastAsia="zh-CN"/>
        </w:rPr>
        <w:t>，其投标保证金不予退还</w:t>
      </w:r>
      <w:r>
        <w:rPr>
          <w:color w:val="auto"/>
          <w:highlight w:val="none"/>
          <w:lang w:eastAsia="zh-CN"/>
        </w:rPr>
        <w:t>；给招标人造成的损失</w:t>
      </w:r>
      <w:r>
        <w:rPr>
          <w:strike/>
          <w:color w:val="auto"/>
          <w:highlight w:val="none"/>
          <w:lang w:eastAsia="zh-CN"/>
        </w:rPr>
        <w:t>超过投标保证金数额</w:t>
      </w:r>
      <w:r>
        <w:rPr>
          <w:color w:val="auto"/>
          <w:highlight w:val="none"/>
          <w:lang w:eastAsia="zh-CN"/>
        </w:rPr>
        <w:t>的，中标人还应当对超过部分予以赔偿。</w:t>
      </w:r>
    </w:p>
    <w:p>
      <w:pPr>
        <w:pStyle w:val="12"/>
        <w:spacing w:line="360" w:lineRule="auto"/>
        <w:ind w:left="0" w:firstLine="420" w:firstLineChars="200"/>
        <w:jc w:val="both"/>
        <w:rPr>
          <w:color w:val="auto"/>
          <w:highlight w:val="none"/>
          <w:lang w:eastAsia="zh-CN"/>
        </w:rPr>
      </w:pPr>
      <w:r>
        <w:rPr>
          <w:color w:val="auto"/>
          <w:highlight w:val="none"/>
          <w:lang w:eastAsia="zh-CN"/>
        </w:rPr>
        <w:t>7.8.2发出中标通知书后，招标人无正当理由拒签合同，或者在签订合同时向中标人提出附加条件的，</w:t>
      </w:r>
      <w:r>
        <w:rPr>
          <w:strike/>
          <w:color w:val="auto"/>
          <w:highlight w:val="none"/>
          <w:lang w:eastAsia="zh-CN"/>
        </w:rPr>
        <w:t>招标人向中标人退还投标保证金；</w:t>
      </w:r>
      <w:r>
        <w:rPr>
          <w:color w:val="auto"/>
          <w:highlight w:val="none"/>
          <w:lang w:eastAsia="zh-CN"/>
        </w:rPr>
        <w:t>给中标人造成损失的，还应当赔偿损失。</w:t>
      </w:r>
    </w:p>
    <w:p>
      <w:pPr>
        <w:pStyle w:val="12"/>
        <w:spacing w:line="360" w:lineRule="auto"/>
        <w:ind w:left="0" w:firstLine="420" w:firstLineChars="200"/>
        <w:jc w:val="both"/>
        <w:rPr>
          <w:color w:val="auto"/>
          <w:highlight w:val="none"/>
          <w:lang w:eastAsia="zh-CN"/>
        </w:rPr>
      </w:pPr>
      <w:r>
        <w:rPr>
          <w:color w:val="auto"/>
          <w:highlight w:val="none"/>
          <w:lang w:eastAsia="zh-CN"/>
        </w:rPr>
        <w:t>7.8.3联合体中标的，联合体各方应当共同与招标人签订合同，就中标项目向招标人承担连带责任。</w:t>
      </w:r>
    </w:p>
    <w:p>
      <w:pPr>
        <w:pStyle w:val="12"/>
        <w:spacing w:line="360" w:lineRule="auto"/>
        <w:ind w:left="0" w:firstLine="420" w:firstLineChars="200"/>
        <w:jc w:val="both"/>
        <w:rPr>
          <w:color w:val="auto"/>
          <w:highlight w:val="none"/>
          <w:lang w:eastAsia="zh-CN"/>
        </w:rPr>
      </w:pPr>
      <w:bookmarkStart w:id="33" w:name="_Toc25137989"/>
    </w:p>
    <w:p>
      <w:pPr>
        <w:pStyle w:val="6"/>
        <w:spacing w:line="443" w:lineRule="exact"/>
        <w:ind w:right="44"/>
        <w:jc w:val="both"/>
        <w:rPr>
          <w:rFonts w:ascii="宋体" w:hAnsi="宋体" w:eastAsia="宋体"/>
          <w:color w:val="auto"/>
          <w:sz w:val="21"/>
          <w:szCs w:val="21"/>
          <w:highlight w:val="none"/>
          <w:lang w:eastAsia="zh-CN"/>
        </w:rPr>
      </w:pPr>
      <w:bookmarkStart w:id="34" w:name="_Toc109809390"/>
      <w:bookmarkStart w:id="35" w:name="_Toc109809429"/>
      <w:r>
        <w:rPr>
          <w:rFonts w:ascii="宋体" w:hAnsi="宋体" w:eastAsia="宋体"/>
          <w:color w:val="auto"/>
          <w:sz w:val="21"/>
          <w:szCs w:val="21"/>
          <w:highlight w:val="none"/>
          <w:lang w:eastAsia="zh-CN"/>
        </w:rPr>
        <w:t>8.</w:t>
      </w:r>
      <w:r>
        <w:rPr>
          <w:rFonts w:hint="eastAsia" w:ascii="宋体" w:hAnsi="宋体" w:eastAsia="宋体"/>
          <w:color w:val="auto"/>
          <w:sz w:val="21"/>
          <w:szCs w:val="21"/>
          <w:highlight w:val="none"/>
          <w:lang w:eastAsia="zh-CN"/>
        </w:rPr>
        <w:t xml:space="preserve"> </w:t>
      </w:r>
      <w:r>
        <w:rPr>
          <w:rFonts w:ascii="宋体" w:hAnsi="宋体" w:eastAsia="宋体"/>
          <w:color w:val="auto"/>
          <w:sz w:val="21"/>
          <w:szCs w:val="21"/>
          <w:highlight w:val="none"/>
          <w:lang w:eastAsia="zh-CN"/>
        </w:rPr>
        <w:t>纪律和监督</w:t>
      </w:r>
      <w:bookmarkEnd w:id="33"/>
      <w:bookmarkEnd w:id="34"/>
      <w:bookmarkEnd w:id="35"/>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8.1对招标人的纪律要求</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招标人不得泄露招标投标活动中应当保密的情况和资料，不得与投标人串通损害国家利益、社会公共利益或者他人合法权益。</w:t>
      </w:r>
    </w:p>
    <w:p>
      <w:pPr>
        <w:pStyle w:val="7"/>
        <w:ind w:right="44"/>
        <w:jc w:val="both"/>
        <w:rPr>
          <w:b/>
          <w:bCs/>
          <w:color w:val="auto"/>
          <w:sz w:val="21"/>
          <w:szCs w:val="21"/>
          <w:highlight w:val="none"/>
          <w:lang w:eastAsia="zh-CN"/>
        </w:rPr>
      </w:pPr>
      <w:r>
        <w:rPr>
          <w:b/>
          <w:bCs/>
          <w:color w:val="auto"/>
          <w:sz w:val="21"/>
          <w:szCs w:val="21"/>
          <w:highlight w:val="none"/>
          <w:lang w:eastAsia="zh-CN"/>
        </w:rPr>
        <w:t>8.2对投标人的纪律要求</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8.3对评标委员会成员的纪律要求</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8.4对与评标活动有关的工作人员的纪律要求</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8.5投诉</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8.5.1投标人或者其他利害关系人认为招标投标活动不符合法律、行政法规规定的，可以自知道或者应当知道之日起10日内向有关行政监督部门投诉。投诉应当有明确的请求和必要的证明材料。</w:t>
      </w:r>
    </w:p>
    <w:p>
      <w:pPr>
        <w:pStyle w:val="12"/>
        <w:spacing w:line="360" w:lineRule="auto"/>
        <w:ind w:left="0" w:firstLine="420" w:firstLineChars="200"/>
        <w:jc w:val="both"/>
        <w:rPr>
          <w:color w:val="auto"/>
          <w:highlight w:val="none"/>
          <w:lang w:eastAsia="zh-CN"/>
        </w:rPr>
      </w:pPr>
      <w:r>
        <w:rPr>
          <w:color w:val="auto"/>
          <w:highlight w:val="none"/>
          <w:lang w:eastAsia="zh-CN"/>
        </w:rPr>
        <w:t>8.5.2投标人或者其他利害关系人对招标文件、开标和评标结果提出投诉的，应当按照投标人须知第2.4款、第5.3款和第7.2款的规定先向招标人提出异议。异议答复期间不计算在第8.5.1项规定的期限内。</w:t>
      </w:r>
    </w:p>
    <w:p>
      <w:pPr>
        <w:spacing w:line="360" w:lineRule="auto"/>
        <w:jc w:val="both"/>
        <w:rPr>
          <w:rFonts w:ascii="宋体" w:hAnsi="宋体" w:eastAsia="宋体"/>
          <w:color w:val="auto"/>
          <w:sz w:val="21"/>
          <w:szCs w:val="21"/>
          <w:highlight w:val="none"/>
          <w:lang w:eastAsia="zh-CN"/>
        </w:rPr>
      </w:pPr>
      <w:bookmarkStart w:id="36" w:name="_Toc25137990"/>
    </w:p>
    <w:p>
      <w:pPr>
        <w:pStyle w:val="6"/>
        <w:spacing w:line="443" w:lineRule="exact"/>
        <w:ind w:right="44"/>
        <w:jc w:val="both"/>
        <w:rPr>
          <w:rFonts w:ascii="宋体" w:hAnsi="宋体" w:eastAsia="宋体"/>
          <w:color w:val="auto"/>
          <w:sz w:val="21"/>
          <w:szCs w:val="21"/>
          <w:highlight w:val="none"/>
          <w:lang w:eastAsia="zh-CN"/>
        </w:rPr>
      </w:pPr>
      <w:bookmarkStart w:id="37" w:name="_Toc109809391"/>
      <w:bookmarkStart w:id="38" w:name="_Toc109809430"/>
      <w:r>
        <w:rPr>
          <w:rFonts w:ascii="宋体" w:hAnsi="宋体" w:eastAsia="宋体"/>
          <w:color w:val="auto"/>
          <w:sz w:val="21"/>
          <w:szCs w:val="21"/>
          <w:highlight w:val="none"/>
          <w:lang w:eastAsia="zh-CN"/>
        </w:rPr>
        <w:t>9. 是否采用电子招标投标</w:t>
      </w:r>
      <w:bookmarkEnd w:id="36"/>
      <w:bookmarkEnd w:id="37"/>
      <w:bookmarkEnd w:id="38"/>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本招标项目是否采用电子招标投标方式，见投标人须知前附表。</w:t>
      </w:r>
    </w:p>
    <w:p>
      <w:pPr>
        <w:spacing w:line="360" w:lineRule="auto"/>
        <w:jc w:val="both"/>
        <w:rPr>
          <w:rFonts w:ascii="宋体" w:hAnsi="宋体" w:eastAsia="宋体"/>
          <w:color w:val="auto"/>
          <w:sz w:val="21"/>
          <w:szCs w:val="21"/>
          <w:highlight w:val="none"/>
          <w:lang w:eastAsia="zh-CN"/>
        </w:rPr>
      </w:pPr>
      <w:bookmarkStart w:id="39" w:name="_Toc25137991"/>
    </w:p>
    <w:p>
      <w:pPr>
        <w:pStyle w:val="6"/>
        <w:spacing w:line="443" w:lineRule="exact"/>
        <w:ind w:right="44"/>
        <w:jc w:val="both"/>
        <w:rPr>
          <w:rFonts w:ascii="宋体" w:hAnsi="宋体" w:eastAsia="宋体"/>
          <w:color w:val="auto"/>
          <w:sz w:val="21"/>
          <w:szCs w:val="21"/>
          <w:highlight w:val="none"/>
          <w:lang w:eastAsia="zh-CN"/>
        </w:rPr>
      </w:pPr>
      <w:bookmarkStart w:id="40" w:name="_Toc109809431"/>
      <w:bookmarkStart w:id="41" w:name="_Toc109809392"/>
      <w:r>
        <w:rPr>
          <w:rFonts w:ascii="宋体" w:hAnsi="宋体" w:eastAsia="宋体"/>
          <w:color w:val="auto"/>
          <w:sz w:val="21"/>
          <w:szCs w:val="21"/>
          <w:highlight w:val="none"/>
          <w:lang w:eastAsia="zh-CN"/>
        </w:rPr>
        <w:t>10. 需要补充的其他内容</w:t>
      </w:r>
      <w:bookmarkEnd w:id="39"/>
      <w:bookmarkEnd w:id="40"/>
      <w:bookmarkEnd w:id="41"/>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需要补充的其他内容：见投标人须知前附表。</w:t>
      </w:r>
    </w:p>
    <w:p>
      <w:pPr>
        <w:pStyle w:val="12"/>
        <w:spacing w:line="360" w:lineRule="auto"/>
        <w:ind w:left="0" w:firstLine="480" w:firstLineChars="200"/>
        <w:rPr>
          <w:color w:val="auto"/>
          <w:sz w:val="24"/>
          <w:szCs w:val="24"/>
          <w:highlight w:val="none"/>
          <w:lang w:eastAsia="zh-CN"/>
        </w:rPr>
        <w:sectPr>
          <w:footerReference r:id="rId4" w:type="default"/>
          <w:pgSz w:w="11907" w:h="16839"/>
          <w:pgMar w:top="1440" w:right="1440" w:bottom="1440" w:left="1440" w:header="0" w:footer="919" w:gutter="0"/>
          <w:pgNumType w:start="1"/>
          <w:cols w:space="720" w:num="1"/>
        </w:sectPr>
      </w:pPr>
    </w:p>
    <w:p>
      <w:pPr>
        <w:pStyle w:val="7"/>
        <w:spacing w:line="363" w:lineRule="exact"/>
        <w:ind w:left="0"/>
        <w:rPr>
          <w:b/>
          <w:bCs/>
          <w:color w:val="auto"/>
          <w:sz w:val="21"/>
          <w:szCs w:val="21"/>
          <w:highlight w:val="none"/>
          <w:lang w:eastAsia="zh-CN"/>
        </w:rPr>
      </w:pPr>
      <w:r>
        <w:rPr>
          <w:b/>
          <w:bCs/>
          <w:color w:val="auto"/>
          <w:sz w:val="21"/>
          <w:szCs w:val="21"/>
          <w:highlight w:val="none"/>
          <w:lang w:eastAsia="zh-CN"/>
        </w:rPr>
        <w:t>附件一：开标记录表</w:t>
      </w:r>
    </w:p>
    <w:p>
      <w:pPr>
        <w:rPr>
          <w:rFonts w:ascii="宋体" w:hAnsi="宋体" w:eastAsia="宋体" w:cs="宋体"/>
          <w:color w:val="auto"/>
          <w:sz w:val="20"/>
          <w:szCs w:val="20"/>
          <w:highlight w:val="none"/>
          <w:lang w:eastAsia="zh-CN"/>
        </w:rPr>
      </w:pPr>
    </w:p>
    <w:p>
      <w:pPr>
        <w:spacing w:before="9"/>
        <w:rPr>
          <w:rFonts w:ascii="宋体" w:hAnsi="宋体" w:eastAsia="宋体" w:cs="宋体"/>
          <w:color w:val="auto"/>
          <w:sz w:val="23"/>
          <w:szCs w:val="23"/>
          <w:highlight w:val="none"/>
          <w:lang w:eastAsia="zh-CN"/>
        </w:rPr>
      </w:pPr>
    </w:p>
    <w:p>
      <w:pPr>
        <w:spacing w:before="14"/>
        <w:ind w:left="3238" w:right="3137"/>
        <w:jc w:val="center"/>
        <w:rPr>
          <w:rFonts w:ascii="宋体" w:hAnsi="宋体" w:eastAsia="宋体" w:cs="宋体"/>
          <w:b/>
          <w:bCs/>
          <w:color w:val="auto"/>
          <w:sz w:val="28"/>
          <w:szCs w:val="28"/>
          <w:highlight w:val="none"/>
          <w:lang w:eastAsia="zh-CN"/>
        </w:rPr>
      </w:pPr>
      <w:r>
        <w:rPr>
          <w:rFonts w:ascii="宋体" w:hAnsi="宋体" w:eastAsia="宋体" w:cs="宋体"/>
          <w:b/>
          <w:bCs/>
          <w:color w:val="auto"/>
          <w:sz w:val="28"/>
          <w:szCs w:val="28"/>
          <w:highlight w:val="none"/>
          <w:lang w:eastAsia="zh-CN"/>
        </w:rPr>
        <w:t>开标记录表</w:t>
      </w:r>
      <w:r>
        <w:rPr>
          <w:rFonts w:hint="eastAsia" w:ascii="宋体" w:hAnsi="宋体" w:eastAsia="宋体" w:cs="宋体"/>
          <w:b/>
          <w:bCs/>
          <w:color w:val="auto"/>
          <w:sz w:val="28"/>
          <w:szCs w:val="28"/>
          <w:highlight w:val="none"/>
          <w:lang w:eastAsia="zh-CN"/>
        </w:rPr>
        <w:t>（按广州公共资源交易中心系统导出为准）</w:t>
      </w:r>
    </w:p>
    <w:p>
      <w:pPr>
        <w:pStyle w:val="12"/>
        <w:tabs>
          <w:tab w:val="left" w:pos="3614"/>
          <w:tab w:val="left" w:pos="4768"/>
          <w:tab w:val="left" w:pos="5923"/>
          <w:tab w:val="left" w:pos="7078"/>
          <w:tab w:val="left" w:pos="8233"/>
        </w:tabs>
        <w:ind w:left="0"/>
        <w:rPr>
          <w:color w:val="auto"/>
          <w:highlight w:val="none"/>
        </w:rPr>
      </w:pPr>
      <w:r>
        <w:rPr>
          <w:color w:val="auto"/>
          <w:spacing w:val="-1"/>
          <w:highlight w:val="none"/>
        </w:rPr>
        <w:t>开标时间：</w:t>
      </w:r>
      <w:r>
        <w:rPr>
          <w:color w:val="auto"/>
          <w:spacing w:val="-1"/>
          <w:highlight w:val="none"/>
          <w:u w:val="single" w:color="000000"/>
        </w:rPr>
        <w:tab/>
      </w:r>
      <w:r>
        <w:rPr>
          <w:color w:val="auto"/>
          <w:highlight w:val="none"/>
        </w:rPr>
        <w:t>年</w:t>
      </w:r>
      <w:r>
        <w:rPr>
          <w:color w:val="auto"/>
          <w:highlight w:val="none"/>
          <w:u w:val="single" w:color="000000"/>
        </w:rPr>
        <w:tab/>
      </w:r>
      <w:r>
        <w:rPr>
          <w:color w:val="auto"/>
          <w:highlight w:val="none"/>
        </w:rPr>
        <w:t>月</w:t>
      </w:r>
      <w:r>
        <w:rPr>
          <w:color w:val="auto"/>
          <w:highlight w:val="none"/>
          <w:u w:val="single" w:color="000000"/>
        </w:rPr>
        <w:tab/>
      </w:r>
      <w:r>
        <w:rPr>
          <w:color w:val="auto"/>
          <w:highlight w:val="none"/>
        </w:rPr>
        <w:t>日</w:t>
      </w:r>
      <w:r>
        <w:rPr>
          <w:color w:val="auto"/>
          <w:highlight w:val="none"/>
          <w:u w:val="single" w:color="000000"/>
        </w:rPr>
        <w:tab/>
      </w:r>
      <w:r>
        <w:rPr>
          <w:color w:val="auto"/>
          <w:highlight w:val="none"/>
        </w:rPr>
        <w:t>时</w:t>
      </w:r>
      <w:r>
        <w:rPr>
          <w:color w:val="auto"/>
          <w:highlight w:val="none"/>
          <w:u w:val="single" w:color="000000"/>
        </w:rPr>
        <w:tab/>
      </w:r>
      <w:r>
        <w:rPr>
          <w:color w:val="auto"/>
          <w:highlight w:val="none"/>
        </w:rPr>
        <w:t>分</w:t>
      </w:r>
    </w:p>
    <w:p>
      <w:pPr>
        <w:spacing w:before="2"/>
        <w:rPr>
          <w:rFonts w:ascii="宋体" w:hAnsi="宋体" w:eastAsia="宋体" w:cs="宋体"/>
          <w:color w:val="auto"/>
          <w:sz w:val="13"/>
          <w:szCs w:val="13"/>
          <w:highlight w:val="none"/>
        </w:rPr>
      </w:pPr>
    </w:p>
    <w:p>
      <w:pPr>
        <w:pStyle w:val="23"/>
        <w:rPr>
          <w:rFonts w:ascii="宋体" w:hAnsi="宋体" w:eastAsia="宋体" w:cs="宋体"/>
          <w:color w:val="auto"/>
          <w:sz w:val="13"/>
          <w:szCs w:val="13"/>
          <w:highlight w:val="none"/>
        </w:rPr>
      </w:pPr>
    </w:p>
    <w:p>
      <w:pPr>
        <w:rPr>
          <w:rFonts w:ascii="宋体" w:hAnsi="宋体" w:eastAsia="宋体" w:cs="宋体"/>
          <w:color w:val="auto"/>
          <w:sz w:val="13"/>
          <w:szCs w:val="13"/>
          <w:highlight w:val="none"/>
        </w:rPr>
      </w:pPr>
    </w:p>
    <w:tbl>
      <w:tblPr>
        <w:tblStyle w:val="29"/>
        <w:tblW w:w="4997" w:type="pct"/>
        <w:tblInd w:w="0" w:type="dxa"/>
        <w:tblLayout w:type="autofit"/>
        <w:tblCellMar>
          <w:top w:w="0" w:type="dxa"/>
          <w:left w:w="108" w:type="dxa"/>
          <w:bottom w:w="0" w:type="dxa"/>
          <w:right w:w="108" w:type="dxa"/>
        </w:tblCellMar>
      </w:tblPr>
      <w:tblGrid>
        <w:gridCol w:w="482"/>
        <w:gridCol w:w="575"/>
        <w:gridCol w:w="786"/>
        <w:gridCol w:w="1081"/>
        <w:gridCol w:w="961"/>
        <w:gridCol w:w="1187"/>
        <w:gridCol w:w="1172"/>
        <w:gridCol w:w="972"/>
        <w:gridCol w:w="854"/>
        <w:gridCol w:w="1167"/>
      </w:tblGrid>
      <w:tr>
        <w:tblPrEx>
          <w:tblCellMar>
            <w:top w:w="0" w:type="dxa"/>
            <w:left w:w="108" w:type="dxa"/>
            <w:bottom w:w="0" w:type="dxa"/>
            <w:right w:w="108" w:type="dxa"/>
          </w:tblCellMar>
        </w:tblPrEx>
        <w:tc>
          <w:tcPr>
            <w:tcW w:w="26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11"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p>
        </w:tc>
        <w:tc>
          <w:tcPr>
            <w:tcW w:w="424"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投标文件递交情况</w:t>
            </w:r>
          </w:p>
        </w:tc>
        <w:tc>
          <w:tcPr>
            <w:tcW w:w="585"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w:t>
            </w: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解密情况</w:t>
            </w:r>
          </w:p>
        </w:tc>
        <w:tc>
          <w:tcPr>
            <w:tcW w:w="520"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642"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设计费</w:t>
            </w:r>
            <w:r>
              <w:rPr>
                <w:rFonts w:hint="eastAsia" w:ascii="宋体" w:hAnsi="宋体" w:eastAsia="宋体" w:cs="宋体"/>
                <w:color w:val="auto"/>
                <w:szCs w:val="21"/>
                <w:highlight w:val="none"/>
              </w:rPr>
              <w:t>投标报价</w:t>
            </w: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634"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勘察费投标报价（元）</w:t>
            </w:r>
          </w:p>
        </w:tc>
        <w:tc>
          <w:tcPr>
            <w:tcW w:w="526"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投标总报价（元）</w:t>
            </w:r>
          </w:p>
        </w:tc>
        <w:tc>
          <w:tcPr>
            <w:tcW w:w="462"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负责人</w:t>
            </w:r>
          </w:p>
        </w:tc>
        <w:tc>
          <w:tcPr>
            <w:tcW w:w="631"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代表签名</w:t>
            </w:r>
          </w:p>
        </w:tc>
      </w:tr>
      <w:tr>
        <w:tblPrEx>
          <w:tblCellMar>
            <w:top w:w="0" w:type="dxa"/>
            <w:left w:w="108" w:type="dxa"/>
            <w:bottom w:w="0" w:type="dxa"/>
            <w:right w:w="108" w:type="dxa"/>
          </w:tblCellMar>
        </w:tblPrEx>
        <w:tc>
          <w:tcPr>
            <w:tcW w:w="261"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311"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424"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585"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520"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642"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634"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526"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462"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631"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c>
          <w:tcPr>
            <w:tcW w:w="261"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311"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424"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585"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520"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642"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634"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526"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462"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631"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c>
          <w:tcPr>
            <w:tcW w:w="261"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311"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424"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585"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520"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642"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634"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526"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462"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631"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c>
          <w:tcPr>
            <w:tcW w:w="261"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311"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424"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585"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520"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642"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634"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526"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462"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631"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c>
          <w:tcPr>
            <w:tcW w:w="261"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311"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424"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585"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520"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642"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634"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526"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462"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631"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c>
          <w:tcPr>
            <w:tcW w:w="261"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311"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424"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585"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520"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642"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634"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526"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462"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631"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c>
          <w:tcPr>
            <w:tcW w:w="997" w:type="pct"/>
            <w:gridSpan w:val="3"/>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最高投标限价：</w:t>
            </w:r>
          </w:p>
        </w:tc>
        <w:tc>
          <w:tcPr>
            <w:tcW w:w="585"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520"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642"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634"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526"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462"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c>
          <w:tcPr>
            <w:tcW w:w="631" w:type="pct"/>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color w:val="auto"/>
                <w:szCs w:val="21"/>
                <w:highlight w:val="none"/>
              </w:rPr>
            </w:pPr>
          </w:p>
        </w:tc>
      </w:tr>
    </w:tbl>
    <w:p>
      <w:pPr>
        <w:pStyle w:val="23"/>
        <w:rPr>
          <w:rFonts w:ascii="宋体" w:hAnsi="宋体" w:eastAsia="宋体" w:cs="宋体"/>
          <w:color w:val="auto"/>
          <w:sz w:val="13"/>
          <w:szCs w:val="13"/>
          <w:highlight w:val="none"/>
        </w:rPr>
      </w:pPr>
    </w:p>
    <w:p>
      <w:pPr>
        <w:pStyle w:val="23"/>
        <w:ind w:left="0"/>
        <w:rPr>
          <w:rFonts w:ascii="宋体" w:hAnsi="宋体" w:eastAsia="宋体" w:cs="宋体"/>
          <w:color w:val="auto"/>
          <w:sz w:val="13"/>
          <w:szCs w:val="13"/>
          <w:highlight w:val="none"/>
        </w:rPr>
      </w:pPr>
    </w:p>
    <w:p>
      <w:pPr>
        <w:rPr>
          <w:rFonts w:ascii="宋体" w:hAnsi="宋体" w:eastAsia="宋体" w:cs="宋体"/>
          <w:color w:val="auto"/>
          <w:sz w:val="20"/>
          <w:szCs w:val="20"/>
          <w:highlight w:val="none"/>
        </w:rPr>
      </w:pPr>
    </w:p>
    <w:p>
      <w:pPr>
        <w:rPr>
          <w:rFonts w:ascii="宋体" w:hAnsi="宋体" w:eastAsia="宋体" w:cs="宋体"/>
          <w:color w:val="auto"/>
          <w:sz w:val="20"/>
          <w:szCs w:val="20"/>
          <w:highlight w:val="none"/>
        </w:rPr>
      </w:pPr>
    </w:p>
    <w:p>
      <w:pPr>
        <w:pStyle w:val="12"/>
        <w:tabs>
          <w:tab w:val="left" w:pos="2264"/>
          <w:tab w:val="left" w:pos="3057"/>
          <w:tab w:val="left" w:pos="4679"/>
          <w:tab w:val="left" w:pos="5366"/>
          <w:tab w:val="left" w:pos="6989"/>
        </w:tabs>
        <w:ind w:left="0"/>
        <w:rPr>
          <w:color w:val="auto"/>
          <w:highlight w:val="none"/>
          <w:lang w:eastAsia="zh-CN"/>
        </w:rPr>
      </w:pPr>
      <w:r>
        <w:rPr>
          <w:color w:val="auto"/>
          <w:spacing w:val="-2"/>
          <w:highlight w:val="none"/>
          <w:lang w:eastAsia="zh-CN"/>
        </w:rPr>
        <w:t>招标人代表：</w:t>
      </w:r>
      <w:r>
        <w:rPr>
          <w:color w:val="auto"/>
          <w:spacing w:val="-2"/>
          <w:highlight w:val="none"/>
          <w:u w:val="single" w:color="000000"/>
          <w:lang w:eastAsia="zh-CN"/>
        </w:rPr>
        <w:tab/>
      </w:r>
      <w:r>
        <w:rPr>
          <w:color w:val="auto"/>
          <w:spacing w:val="-2"/>
          <w:highlight w:val="none"/>
          <w:lang w:eastAsia="zh-CN"/>
        </w:rPr>
        <w:tab/>
      </w:r>
      <w:r>
        <w:rPr>
          <w:color w:val="auto"/>
          <w:spacing w:val="-2"/>
          <w:highlight w:val="none"/>
          <w:lang w:eastAsia="zh-CN"/>
        </w:rPr>
        <w:t>记录人：</w:t>
      </w:r>
      <w:r>
        <w:rPr>
          <w:color w:val="auto"/>
          <w:spacing w:val="-2"/>
          <w:highlight w:val="none"/>
          <w:u w:val="single" w:color="000000"/>
          <w:lang w:eastAsia="zh-CN"/>
        </w:rPr>
        <w:tab/>
      </w:r>
      <w:r>
        <w:rPr>
          <w:color w:val="auto"/>
          <w:spacing w:val="-2"/>
          <w:highlight w:val="none"/>
          <w:lang w:eastAsia="zh-CN"/>
        </w:rPr>
        <w:tab/>
      </w:r>
      <w:r>
        <w:rPr>
          <w:color w:val="auto"/>
          <w:spacing w:val="-2"/>
          <w:highlight w:val="none"/>
          <w:lang w:eastAsia="zh-CN"/>
        </w:rPr>
        <w:t>监标人：</w:t>
      </w:r>
      <w:r>
        <w:rPr>
          <w:color w:val="auto"/>
          <w:highlight w:val="none"/>
          <w:u w:val="single" w:color="000000"/>
          <w:lang w:eastAsia="zh-CN"/>
        </w:rPr>
        <w:tab/>
      </w:r>
    </w:p>
    <w:p>
      <w:pPr>
        <w:rPr>
          <w:rFonts w:ascii="宋体" w:hAnsi="宋体" w:eastAsia="宋体"/>
          <w:color w:val="auto"/>
          <w:sz w:val="27"/>
          <w:szCs w:val="27"/>
          <w:highlight w:val="none"/>
          <w:lang w:eastAsia="zh-CN"/>
        </w:rPr>
      </w:pPr>
    </w:p>
    <w:p>
      <w:pPr>
        <w:pStyle w:val="7"/>
        <w:spacing w:line="363" w:lineRule="exact"/>
        <w:ind w:left="0"/>
        <w:rPr>
          <w:b/>
          <w:bCs/>
          <w:color w:val="auto"/>
          <w:sz w:val="21"/>
          <w:szCs w:val="21"/>
          <w:highlight w:val="none"/>
          <w:lang w:eastAsia="zh-CN"/>
        </w:rPr>
      </w:pPr>
      <w:r>
        <w:rPr>
          <w:color w:val="auto"/>
          <w:highlight w:val="none"/>
          <w:u w:val="single" w:color="000000"/>
          <w:lang w:eastAsia="zh-CN"/>
        </w:rPr>
        <w:tab/>
      </w:r>
      <w:r>
        <w:rPr>
          <w:color w:val="auto"/>
          <w:highlight w:val="none"/>
          <w:lang w:eastAsia="zh-CN"/>
        </w:rPr>
        <w:t>年</w:t>
      </w:r>
      <w:r>
        <w:rPr>
          <w:color w:val="auto"/>
          <w:highlight w:val="none"/>
          <w:u w:val="single" w:color="000000"/>
          <w:lang w:eastAsia="zh-CN"/>
        </w:rPr>
        <w:tab/>
      </w:r>
      <w:r>
        <w:rPr>
          <w:color w:val="auto"/>
          <w:spacing w:val="-3"/>
          <w:highlight w:val="none"/>
          <w:lang w:eastAsia="zh-CN"/>
        </w:rPr>
        <w:t>月</w:t>
      </w:r>
      <w:r>
        <w:rPr>
          <w:color w:val="auto"/>
          <w:spacing w:val="-3"/>
          <w:highlight w:val="none"/>
          <w:u w:val="single" w:color="000000"/>
          <w:lang w:eastAsia="zh-CN"/>
        </w:rPr>
        <w:tab/>
      </w:r>
      <w:r>
        <w:rPr>
          <w:color w:val="auto"/>
          <w:highlight w:val="none"/>
          <w:lang w:eastAsia="zh-CN"/>
        </w:rPr>
        <w:t>日</w:t>
      </w:r>
    </w:p>
    <w:p>
      <w:pPr>
        <w:pStyle w:val="12"/>
        <w:tabs>
          <w:tab w:val="left" w:pos="736"/>
          <w:tab w:val="left" w:pos="1682"/>
          <w:tab w:val="left" w:pos="2626"/>
        </w:tabs>
        <w:ind w:left="0"/>
        <w:rPr>
          <w:b/>
          <w:color w:val="auto"/>
          <w:highlight w:val="none"/>
          <w:u w:val="single"/>
          <w:lang w:eastAsia="zh-CN"/>
        </w:rPr>
      </w:pPr>
      <w:r>
        <w:rPr>
          <w:rFonts w:hint="eastAsia"/>
          <w:b/>
          <w:color w:val="auto"/>
          <w:highlight w:val="none"/>
          <w:u w:val="single"/>
          <w:lang w:eastAsia="zh-CN"/>
        </w:rPr>
        <w:t>本表仅供参考，具体以开标时的开标记录表为准。</w:t>
      </w:r>
    </w:p>
    <w:p>
      <w:pPr>
        <w:rPr>
          <w:rFonts w:ascii="宋体" w:hAnsi="宋体" w:eastAsia="宋体" w:cs="宋体"/>
          <w:color w:val="auto"/>
          <w:sz w:val="20"/>
          <w:szCs w:val="20"/>
          <w:highlight w:val="none"/>
          <w:lang w:eastAsia="zh-CN"/>
        </w:rPr>
      </w:pPr>
    </w:p>
    <w:p>
      <w:pPr>
        <w:pStyle w:val="7"/>
        <w:spacing w:line="363" w:lineRule="exact"/>
        <w:ind w:left="0"/>
        <w:rPr>
          <w:b/>
          <w:bCs/>
          <w:color w:val="auto"/>
          <w:sz w:val="21"/>
          <w:szCs w:val="21"/>
          <w:highlight w:val="none"/>
          <w:lang w:eastAsia="zh-CN"/>
        </w:rPr>
      </w:pPr>
    </w:p>
    <w:p>
      <w:pPr>
        <w:pStyle w:val="7"/>
        <w:spacing w:line="363" w:lineRule="exact"/>
        <w:ind w:left="0"/>
        <w:rPr>
          <w:b/>
          <w:bCs/>
          <w:color w:val="auto"/>
          <w:sz w:val="21"/>
          <w:szCs w:val="21"/>
          <w:highlight w:val="none"/>
          <w:lang w:eastAsia="zh-CN"/>
        </w:rPr>
      </w:pPr>
    </w:p>
    <w:p>
      <w:pPr>
        <w:pStyle w:val="7"/>
        <w:spacing w:line="363" w:lineRule="exact"/>
        <w:ind w:left="0"/>
        <w:rPr>
          <w:b/>
          <w:bCs/>
          <w:color w:val="auto"/>
          <w:sz w:val="21"/>
          <w:szCs w:val="21"/>
          <w:highlight w:val="none"/>
          <w:lang w:eastAsia="zh-CN"/>
        </w:rPr>
      </w:pPr>
    </w:p>
    <w:p>
      <w:pPr>
        <w:pStyle w:val="7"/>
        <w:spacing w:line="363" w:lineRule="exact"/>
        <w:ind w:left="0"/>
        <w:rPr>
          <w:b/>
          <w:bCs/>
          <w:color w:val="auto"/>
          <w:sz w:val="21"/>
          <w:szCs w:val="21"/>
          <w:highlight w:val="none"/>
          <w:lang w:eastAsia="zh-CN"/>
        </w:rPr>
      </w:pPr>
    </w:p>
    <w:p>
      <w:pPr>
        <w:pStyle w:val="7"/>
        <w:spacing w:line="363" w:lineRule="exact"/>
        <w:ind w:left="0"/>
        <w:rPr>
          <w:b/>
          <w:bCs/>
          <w:color w:val="auto"/>
          <w:sz w:val="21"/>
          <w:szCs w:val="21"/>
          <w:highlight w:val="none"/>
          <w:lang w:eastAsia="zh-CN"/>
        </w:rPr>
      </w:pPr>
    </w:p>
    <w:p>
      <w:pPr>
        <w:pStyle w:val="7"/>
        <w:spacing w:line="363" w:lineRule="exact"/>
        <w:ind w:left="0"/>
        <w:rPr>
          <w:b/>
          <w:bCs/>
          <w:color w:val="auto"/>
          <w:sz w:val="21"/>
          <w:szCs w:val="21"/>
          <w:highlight w:val="none"/>
          <w:lang w:eastAsia="zh-CN"/>
        </w:rPr>
      </w:pPr>
    </w:p>
    <w:p>
      <w:pPr>
        <w:pStyle w:val="7"/>
        <w:spacing w:line="363" w:lineRule="exact"/>
        <w:ind w:left="0"/>
        <w:rPr>
          <w:b/>
          <w:bCs/>
          <w:color w:val="auto"/>
          <w:sz w:val="21"/>
          <w:szCs w:val="21"/>
          <w:highlight w:val="none"/>
          <w:lang w:eastAsia="zh-CN"/>
        </w:rPr>
      </w:pPr>
    </w:p>
    <w:p>
      <w:pPr>
        <w:pStyle w:val="7"/>
        <w:spacing w:line="363" w:lineRule="exact"/>
        <w:ind w:left="0"/>
        <w:rPr>
          <w:b/>
          <w:bCs/>
          <w:color w:val="auto"/>
          <w:sz w:val="21"/>
          <w:szCs w:val="21"/>
          <w:highlight w:val="none"/>
          <w:lang w:eastAsia="zh-CN"/>
        </w:rPr>
      </w:pPr>
    </w:p>
    <w:p>
      <w:pPr>
        <w:pStyle w:val="7"/>
        <w:spacing w:line="363" w:lineRule="exact"/>
        <w:ind w:left="0"/>
        <w:rPr>
          <w:b/>
          <w:bCs/>
          <w:color w:val="auto"/>
          <w:sz w:val="21"/>
          <w:szCs w:val="21"/>
          <w:highlight w:val="none"/>
          <w:lang w:eastAsia="zh-CN"/>
        </w:rPr>
      </w:pPr>
    </w:p>
    <w:p>
      <w:pPr>
        <w:pStyle w:val="7"/>
        <w:spacing w:line="363" w:lineRule="exact"/>
        <w:ind w:left="0"/>
        <w:rPr>
          <w:b/>
          <w:bCs/>
          <w:color w:val="auto"/>
          <w:sz w:val="21"/>
          <w:szCs w:val="21"/>
          <w:highlight w:val="none"/>
          <w:lang w:eastAsia="zh-CN"/>
        </w:rPr>
      </w:pPr>
    </w:p>
    <w:p>
      <w:pPr>
        <w:pStyle w:val="7"/>
        <w:spacing w:line="363" w:lineRule="exact"/>
        <w:ind w:left="0"/>
        <w:rPr>
          <w:b/>
          <w:bCs/>
          <w:color w:val="auto"/>
          <w:sz w:val="21"/>
          <w:szCs w:val="21"/>
          <w:highlight w:val="none"/>
          <w:lang w:eastAsia="zh-CN"/>
        </w:rPr>
      </w:pPr>
      <w:r>
        <w:rPr>
          <w:b/>
          <w:bCs/>
          <w:color w:val="auto"/>
          <w:sz w:val="21"/>
          <w:szCs w:val="21"/>
          <w:highlight w:val="none"/>
          <w:lang w:eastAsia="zh-CN"/>
        </w:rPr>
        <w:t>附件二：问题澄清通知</w:t>
      </w:r>
    </w:p>
    <w:p>
      <w:pPr>
        <w:rPr>
          <w:rFonts w:ascii="宋体" w:hAnsi="宋体" w:eastAsia="宋体" w:cs="宋体"/>
          <w:color w:val="auto"/>
          <w:sz w:val="20"/>
          <w:szCs w:val="20"/>
          <w:highlight w:val="none"/>
          <w:lang w:eastAsia="zh-CN"/>
        </w:rPr>
      </w:pPr>
    </w:p>
    <w:p>
      <w:pPr>
        <w:rPr>
          <w:rFonts w:ascii="宋体" w:hAnsi="宋体" w:eastAsia="宋体" w:cs="宋体"/>
          <w:color w:val="auto"/>
          <w:sz w:val="20"/>
          <w:szCs w:val="20"/>
          <w:highlight w:val="none"/>
          <w:lang w:eastAsia="zh-CN"/>
        </w:rPr>
      </w:pPr>
    </w:p>
    <w:p>
      <w:pPr>
        <w:rPr>
          <w:rFonts w:ascii="宋体" w:hAnsi="宋体" w:eastAsia="宋体" w:cs="宋体"/>
          <w:color w:val="auto"/>
          <w:sz w:val="20"/>
          <w:szCs w:val="20"/>
          <w:highlight w:val="none"/>
          <w:lang w:eastAsia="zh-CN"/>
        </w:rPr>
      </w:pPr>
    </w:p>
    <w:p>
      <w:pPr>
        <w:spacing w:before="4"/>
        <w:rPr>
          <w:rFonts w:ascii="宋体" w:hAnsi="宋体" w:eastAsia="宋体" w:cs="宋体"/>
          <w:color w:val="auto"/>
          <w:sz w:val="17"/>
          <w:szCs w:val="17"/>
          <w:highlight w:val="none"/>
          <w:lang w:eastAsia="zh-CN"/>
        </w:rPr>
      </w:pPr>
    </w:p>
    <w:p>
      <w:pPr>
        <w:spacing w:before="14"/>
        <w:ind w:right="13"/>
        <w:jc w:val="center"/>
        <w:rPr>
          <w:rFonts w:ascii="宋体" w:hAnsi="宋体" w:eastAsia="宋体" w:cs="宋体"/>
          <w:color w:val="auto"/>
          <w:sz w:val="28"/>
          <w:szCs w:val="28"/>
          <w:highlight w:val="none"/>
          <w:lang w:eastAsia="zh-CN"/>
        </w:rPr>
      </w:pPr>
      <w:r>
        <w:rPr>
          <w:rFonts w:ascii="宋体" w:hAnsi="宋体" w:eastAsia="宋体" w:cs="宋体"/>
          <w:b/>
          <w:bCs/>
          <w:color w:val="auto"/>
          <w:sz w:val="28"/>
          <w:szCs w:val="28"/>
          <w:highlight w:val="none"/>
          <w:lang w:eastAsia="zh-CN"/>
        </w:rPr>
        <w:t>问题澄清通知</w:t>
      </w:r>
    </w:p>
    <w:p>
      <w:pPr>
        <w:pStyle w:val="12"/>
        <w:tabs>
          <w:tab w:val="left" w:pos="5671"/>
          <w:tab w:val="left" w:pos="6617"/>
          <w:tab w:val="left" w:pos="7560"/>
        </w:tabs>
        <w:ind w:left="0"/>
        <w:jc w:val="center"/>
        <w:rPr>
          <w:color w:val="auto"/>
          <w:sz w:val="24"/>
          <w:szCs w:val="24"/>
          <w:highlight w:val="none"/>
          <w:lang w:eastAsia="zh-CN"/>
        </w:rPr>
      </w:pPr>
      <w:r>
        <w:rPr>
          <w:rFonts w:hint="eastAsia"/>
          <w:color w:val="auto"/>
          <w:sz w:val="24"/>
          <w:szCs w:val="24"/>
          <w:highlight w:val="none"/>
          <w:lang w:eastAsia="zh-CN"/>
        </w:rPr>
        <w:t>（按广州公共资源交易中心格式）</w:t>
      </w:r>
    </w:p>
    <w:p>
      <w:pPr>
        <w:pStyle w:val="7"/>
        <w:spacing w:line="363" w:lineRule="exact"/>
        <w:ind w:left="0"/>
        <w:rPr>
          <w:b/>
          <w:bCs/>
          <w:color w:val="auto"/>
          <w:sz w:val="21"/>
          <w:szCs w:val="21"/>
          <w:highlight w:val="none"/>
          <w:lang w:eastAsia="zh-CN"/>
        </w:rPr>
      </w:pPr>
      <w:r>
        <w:rPr>
          <w:color w:val="auto"/>
          <w:sz w:val="24"/>
          <w:szCs w:val="24"/>
          <w:highlight w:val="none"/>
          <w:lang w:eastAsia="zh-CN"/>
        </w:rPr>
        <w:br w:type="page"/>
      </w:r>
      <w:r>
        <w:rPr>
          <w:b/>
          <w:bCs/>
          <w:color w:val="auto"/>
          <w:sz w:val="21"/>
          <w:szCs w:val="21"/>
          <w:highlight w:val="none"/>
          <w:lang w:eastAsia="zh-CN"/>
        </w:rPr>
        <w:t>附件三：问题的澄清</w:t>
      </w:r>
    </w:p>
    <w:p>
      <w:pPr>
        <w:rPr>
          <w:rFonts w:ascii="宋体" w:hAnsi="宋体" w:eastAsia="宋体" w:cs="宋体"/>
          <w:color w:val="auto"/>
          <w:sz w:val="20"/>
          <w:szCs w:val="20"/>
          <w:highlight w:val="none"/>
          <w:lang w:eastAsia="zh-CN"/>
        </w:rPr>
      </w:pPr>
    </w:p>
    <w:p>
      <w:pPr>
        <w:rPr>
          <w:rFonts w:ascii="宋体" w:hAnsi="宋体" w:eastAsia="宋体" w:cs="宋体"/>
          <w:color w:val="auto"/>
          <w:sz w:val="20"/>
          <w:szCs w:val="20"/>
          <w:highlight w:val="none"/>
          <w:lang w:eastAsia="zh-CN"/>
        </w:rPr>
      </w:pPr>
    </w:p>
    <w:p>
      <w:pPr>
        <w:rPr>
          <w:rFonts w:ascii="宋体" w:hAnsi="宋体" w:eastAsia="宋体" w:cs="宋体"/>
          <w:color w:val="auto"/>
          <w:sz w:val="20"/>
          <w:szCs w:val="20"/>
          <w:highlight w:val="none"/>
          <w:lang w:eastAsia="zh-CN"/>
        </w:rPr>
      </w:pPr>
    </w:p>
    <w:p>
      <w:pPr>
        <w:spacing w:before="168"/>
        <w:ind w:right="16"/>
        <w:jc w:val="center"/>
        <w:rPr>
          <w:rFonts w:ascii="宋体" w:hAnsi="宋体" w:eastAsia="宋体" w:cs="宋体"/>
          <w:b/>
          <w:bCs/>
          <w:color w:val="auto"/>
          <w:sz w:val="28"/>
          <w:szCs w:val="28"/>
          <w:highlight w:val="none"/>
          <w:lang w:eastAsia="zh-CN"/>
        </w:rPr>
      </w:pPr>
      <w:r>
        <w:rPr>
          <w:rFonts w:ascii="宋体" w:hAnsi="宋体" w:eastAsia="宋体" w:cs="宋体"/>
          <w:b/>
          <w:bCs/>
          <w:color w:val="auto"/>
          <w:sz w:val="28"/>
          <w:szCs w:val="28"/>
          <w:highlight w:val="none"/>
          <w:lang w:eastAsia="zh-CN"/>
        </w:rPr>
        <w:t>问题的澄清</w:t>
      </w:r>
    </w:p>
    <w:p>
      <w:pPr>
        <w:pStyle w:val="12"/>
        <w:tabs>
          <w:tab w:val="left" w:pos="5671"/>
          <w:tab w:val="left" w:pos="6617"/>
          <w:tab w:val="left" w:pos="7560"/>
        </w:tabs>
        <w:ind w:left="0"/>
        <w:jc w:val="center"/>
        <w:rPr>
          <w:color w:val="auto"/>
          <w:sz w:val="24"/>
          <w:szCs w:val="24"/>
          <w:highlight w:val="none"/>
          <w:lang w:eastAsia="zh-CN"/>
        </w:rPr>
      </w:pPr>
      <w:r>
        <w:rPr>
          <w:rFonts w:hint="eastAsia"/>
          <w:color w:val="auto"/>
          <w:sz w:val="24"/>
          <w:szCs w:val="24"/>
          <w:highlight w:val="none"/>
          <w:lang w:eastAsia="zh-CN"/>
        </w:rPr>
        <w:t>（按广州公共资源交易中心格式）</w:t>
      </w:r>
    </w:p>
    <w:p>
      <w:pPr>
        <w:pStyle w:val="7"/>
        <w:spacing w:line="363" w:lineRule="exact"/>
        <w:ind w:left="0"/>
        <w:rPr>
          <w:b/>
          <w:bCs/>
          <w:color w:val="auto"/>
          <w:sz w:val="21"/>
          <w:szCs w:val="21"/>
          <w:highlight w:val="none"/>
          <w:lang w:eastAsia="zh-CN"/>
        </w:rPr>
      </w:pPr>
      <w:r>
        <w:rPr>
          <w:color w:val="auto"/>
          <w:sz w:val="24"/>
          <w:szCs w:val="24"/>
          <w:highlight w:val="none"/>
          <w:lang w:eastAsia="zh-CN"/>
        </w:rPr>
        <w:br w:type="page"/>
      </w:r>
      <w:r>
        <w:rPr>
          <w:b/>
          <w:bCs/>
          <w:color w:val="auto"/>
          <w:sz w:val="21"/>
          <w:szCs w:val="21"/>
          <w:highlight w:val="none"/>
          <w:lang w:eastAsia="zh-CN"/>
        </w:rPr>
        <w:t>附件四：中标通知书</w:t>
      </w:r>
    </w:p>
    <w:p>
      <w:pPr>
        <w:rPr>
          <w:rFonts w:ascii="宋体" w:hAnsi="宋体" w:eastAsia="宋体" w:cs="宋体"/>
          <w:color w:val="auto"/>
          <w:sz w:val="20"/>
          <w:szCs w:val="20"/>
          <w:highlight w:val="none"/>
          <w:lang w:eastAsia="zh-CN"/>
        </w:rPr>
      </w:pPr>
    </w:p>
    <w:p>
      <w:pPr>
        <w:rPr>
          <w:rFonts w:ascii="宋体" w:hAnsi="宋体" w:eastAsia="宋体" w:cs="宋体"/>
          <w:color w:val="auto"/>
          <w:sz w:val="20"/>
          <w:szCs w:val="20"/>
          <w:highlight w:val="none"/>
          <w:lang w:eastAsia="zh-CN"/>
        </w:rPr>
      </w:pPr>
    </w:p>
    <w:p>
      <w:pPr>
        <w:rPr>
          <w:rFonts w:ascii="宋体" w:hAnsi="宋体" w:eastAsia="宋体" w:cs="宋体"/>
          <w:color w:val="auto"/>
          <w:sz w:val="20"/>
          <w:szCs w:val="20"/>
          <w:highlight w:val="none"/>
          <w:lang w:eastAsia="zh-CN"/>
        </w:rPr>
      </w:pPr>
    </w:p>
    <w:p>
      <w:pPr>
        <w:pStyle w:val="12"/>
        <w:tabs>
          <w:tab w:val="left" w:pos="5671"/>
          <w:tab w:val="left" w:pos="6617"/>
          <w:tab w:val="left" w:pos="7560"/>
        </w:tabs>
        <w:ind w:left="0"/>
        <w:jc w:val="center"/>
        <w:rPr>
          <w:color w:val="auto"/>
          <w:sz w:val="24"/>
          <w:szCs w:val="24"/>
          <w:highlight w:val="none"/>
          <w:lang w:eastAsia="zh-CN"/>
        </w:rPr>
      </w:pPr>
      <w:r>
        <w:rPr>
          <w:rFonts w:hint="eastAsia"/>
          <w:color w:val="auto"/>
          <w:sz w:val="24"/>
          <w:szCs w:val="24"/>
          <w:highlight w:val="none"/>
          <w:lang w:eastAsia="zh-CN"/>
        </w:rPr>
        <w:t>（按广州公共资源交易中心格式）</w:t>
      </w:r>
    </w:p>
    <w:p>
      <w:pPr>
        <w:pStyle w:val="4"/>
        <w:jc w:val="center"/>
        <w:rPr>
          <w:rFonts w:ascii="宋体" w:hAnsi="宋体" w:eastAsia="宋体"/>
          <w:color w:val="auto"/>
          <w:highlight w:val="none"/>
          <w:lang w:eastAsia="zh-CN"/>
        </w:rPr>
      </w:pPr>
      <w:r>
        <w:rPr>
          <w:color w:val="auto"/>
          <w:sz w:val="24"/>
          <w:szCs w:val="24"/>
          <w:highlight w:val="none"/>
          <w:lang w:eastAsia="zh-CN"/>
        </w:rPr>
        <w:br w:type="page"/>
      </w:r>
      <w:bookmarkStart w:id="42" w:name="_Toc109809393"/>
      <w:bookmarkStart w:id="43" w:name="_Toc25137992"/>
      <w:bookmarkStart w:id="44" w:name="_Toc109809432"/>
      <w:r>
        <w:rPr>
          <w:rFonts w:ascii="宋体" w:hAnsi="宋体" w:eastAsia="宋体"/>
          <w:color w:val="auto"/>
          <w:highlight w:val="none"/>
          <w:lang w:eastAsia="zh-CN"/>
        </w:rPr>
        <w:t>第三章</w:t>
      </w:r>
      <w:r>
        <w:rPr>
          <w:rFonts w:hint="eastAsia" w:ascii="宋体" w:hAnsi="宋体" w:eastAsia="宋体"/>
          <w:color w:val="auto"/>
          <w:highlight w:val="none"/>
          <w:lang w:eastAsia="zh-CN"/>
        </w:rPr>
        <w:t xml:space="preserve">  </w:t>
      </w:r>
      <w:r>
        <w:rPr>
          <w:rFonts w:ascii="宋体" w:hAnsi="宋体" w:eastAsia="宋体"/>
          <w:color w:val="auto"/>
          <w:highlight w:val="none"/>
          <w:lang w:eastAsia="zh-CN"/>
        </w:rPr>
        <w:t>评标办法（综合评估法）</w:t>
      </w:r>
      <w:bookmarkEnd w:id="42"/>
      <w:bookmarkEnd w:id="43"/>
      <w:bookmarkEnd w:id="44"/>
    </w:p>
    <w:p>
      <w:pPr>
        <w:pStyle w:val="6"/>
        <w:spacing w:beforeLines="50" w:afterLines="50"/>
        <w:ind w:left="119"/>
        <w:jc w:val="center"/>
        <w:rPr>
          <w:rFonts w:ascii="宋体" w:hAnsi="宋体" w:eastAsia="宋体"/>
          <w:color w:val="auto"/>
          <w:highlight w:val="none"/>
          <w:lang w:eastAsia="zh-CN"/>
        </w:rPr>
      </w:pPr>
      <w:bookmarkStart w:id="45" w:name="_Toc109809433"/>
      <w:bookmarkStart w:id="46" w:name="_Toc109809394"/>
      <w:bookmarkStart w:id="47" w:name="_Toc25137993"/>
      <w:r>
        <w:rPr>
          <w:rFonts w:ascii="宋体" w:hAnsi="宋体" w:eastAsia="宋体"/>
          <w:color w:val="auto"/>
          <w:highlight w:val="none"/>
        </w:rPr>
        <w:t>评标办法前附表</w:t>
      </w:r>
      <w:bookmarkEnd w:id="45"/>
      <w:bookmarkEnd w:id="46"/>
      <w:bookmarkEnd w:id="47"/>
    </w:p>
    <w:tbl>
      <w:tblPr>
        <w:tblStyle w:val="29"/>
        <w:tblW w:w="9037" w:type="dxa"/>
        <w:jc w:val="center"/>
        <w:tblLayout w:type="fixed"/>
        <w:tblCellMar>
          <w:top w:w="0" w:type="dxa"/>
          <w:left w:w="0" w:type="dxa"/>
          <w:bottom w:w="0" w:type="dxa"/>
          <w:right w:w="0" w:type="dxa"/>
        </w:tblCellMar>
      </w:tblPr>
      <w:tblGrid>
        <w:gridCol w:w="625"/>
        <w:gridCol w:w="905"/>
        <w:gridCol w:w="2031"/>
        <w:gridCol w:w="5476"/>
      </w:tblGrid>
      <w:tr>
        <w:tblPrEx>
          <w:tblCellMar>
            <w:top w:w="0" w:type="dxa"/>
            <w:left w:w="0" w:type="dxa"/>
            <w:bottom w:w="0" w:type="dxa"/>
            <w:right w:w="0" w:type="dxa"/>
          </w:tblCellMar>
        </w:tblPrEx>
        <w:trPr>
          <w:jc w:val="center"/>
        </w:trPr>
        <w:tc>
          <w:tcPr>
            <w:tcW w:w="1530" w:type="dxa"/>
            <w:gridSpan w:val="2"/>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s="Microsoft JhengHei"/>
                <w:color w:val="auto"/>
                <w:sz w:val="21"/>
                <w:szCs w:val="21"/>
                <w:highlight w:val="none"/>
              </w:rPr>
            </w:pPr>
            <w:r>
              <w:rPr>
                <w:rFonts w:ascii="宋体" w:hAnsi="宋体" w:eastAsia="宋体" w:cs="Microsoft JhengHei"/>
                <w:b/>
                <w:bCs/>
                <w:color w:val="auto"/>
                <w:sz w:val="21"/>
                <w:szCs w:val="21"/>
                <w:highlight w:val="none"/>
              </w:rPr>
              <w:t>条款号</w:t>
            </w:r>
          </w:p>
        </w:tc>
        <w:tc>
          <w:tcPr>
            <w:tcW w:w="2031"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s="Microsoft JhengHei"/>
                <w:color w:val="auto"/>
                <w:sz w:val="21"/>
                <w:szCs w:val="21"/>
                <w:highlight w:val="none"/>
              </w:rPr>
            </w:pPr>
            <w:r>
              <w:rPr>
                <w:rFonts w:ascii="宋体" w:hAnsi="宋体" w:eastAsia="宋体" w:cs="Microsoft JhengHei"/>
                <w:b/>
                <w:bCs/>
                <w:color w:val="auto"/>
                <w:sz w:val="21"/>
                <w:szCs w:val="21"/>
                <w:highlight w:val="none"/>
              </w:rPr>
              <w:t>评审因素</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Microsoft JhengHei"/>
                <w:color w:val="auto"/>
                <w:sz w:val="21"/>
                <w:szCs w:val="21"/>
                <w:highlight w:val="none"/>
              </w:rPr>
            </w:pPr>
            <w:r>
              <w:rPr>
                <w:rFonts w:ascii="宋体" w:hAnsi="宋体" w:eastAsia="宋体" w:cs="Microsoft JhengHei"/>
                <w:b/>
                <w:bCs/>
                <w:color w:val="auto"/>
                <w:sz w:val="21"/>
                <w:szCs w:val="21"/>
                <w:highlight w:val="none"/>
              </w:rPr>
              <w:t>评审标准</w:t>
            </w:r>
          </w:p>
        </w:tc>
      </w:tr>
      <w:tr>
        <w:tblPrEx>
          <w:tblCellMar>
            <w:top w:w="0" w:type="dxa"/>
            <w:left w:w="0" w:type="dxa"/>
            <w:bottom w:w="0" w:type="dxa"/>
            <w:right w:w="0" w:type="dxa"/>
          </w:tblCellMar>
        </w:tblPrEx>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w:t>
            </w:r>
          </w:p>
        </w:tc>
        <w:tc>
          <w:tcPr>
            <w:tcW w:w="905"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评标方法</w:t>
            </w:r>
          </w:p>
        </w:tc>
        <w:tc>
          <w:tcPr>
            <w:tcW w:w="2031"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中标候选人排序方法</w:t>
            </w:r>
          </w:p>
        </w:tc>
        <w:tc>
          <w:tcPr>
            <w:tcW w:w="5476" w:type="dxa"/>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jc w:val="both"/>
              <w:rPr>
                <w:rFonts w:ascii="宋体" w:hAnsi="宋体" w:eastAsia="宋体"/>
                <w:color w:val="auto"/>
                <w:sz w:val="21"/>
                <w:szCs w:val="21"/>
                <w:highlight w:val="none"/>
                <w:u w:val="single"/>
                <w:lang w:eastAsia="zh-CN"/>
              </w:rPr>
            </w:pPr>
            <w:r>
              <w:rPr>
                <w:rFonts w:hint="eastAsia" w:ascii="Calibri" w:hAnsi="Calibri" w:eastAsia="宋体"/>
                <w:color w:val="auto"/>
                <w:kern w:val="2"/>
                <w:sz w:val="21"/>
                <w:szCs w:val="24"/>
                <w:highlight w:val="none"/>
                <w:lang w:eastAsia="zh-CN"/>
              </w:rPr>
              <w:t>本次评标采用综合评估法。评标委员会对满足招标文件实质性要求的投标文件，按照本章规定的评分标准进行打分，并按得分由高到低顺序推荐前三名做为中标候选人，综合评分相等的，以投标报价低的优先；投标报价得分也相等的，以设计方案得分高的优先；如果设计方案得分也相等，则由评标委员会采用记名投票的方式，</w:t>
            </w:r>
            <w:r>
              <w:rPr>
                <w:rFonts w:hint="eastAsia" w:ascii="Calibri" w:hAnsi="Calibri" w:eastAsia="宋体"/>
                <w:color w:val="auto"/>
                <w:kern w:val="2"/>
                <w:sz w:val="21"/>
                <w:szCs w:val="24"/>
                <w:highlight w:val="none"/>
                <w:lang w:val="en-US" w:eastAsia="zh-CN"/>
              </w:rPr>
              <w:t>书面提供推荐理由后，</w:t>
            </w:r>
            <w:r>
              <w:rPr>
                <w:rFonts w:hint="eastAsia" w:ascii="Calibri" w:hAnsi="Calibri" w:eastAsia="宋体"/>
                <w:color w:val="auto"/>
                <w:kern w:val="2"/>
                <w:sz w:val="21"/>
                <w:szCs w:val="24"/>
                <w:highlight w:val="none"/>
                <w:lang w:eastAsia="zh-CN"/>
              </w:rPr>
              <w:t>确定中标候选人的排序。</w:t>
            </w:r>
          </w:p>
        </w:tc>
      </w:tr>
      <w:tr>
        <w:tblPrEx>
          <w:tblCellMar>
            <w:top w:w="0" w:type="dxa"/>
            <w:left w:w="0" w:type="dxa"/>
            <w:bottom w:w="0" w:type="dxa"/>
            <w:right w:w="0" w:type="dxa"/>
          </w:tblCellMar>
        </w:tblPrEx>
        <w:trPr>
          <w:jc w:val="center"/>
        </w:trPr>
        <w:tc>
          <w:tcPr>
            <w:tcW w:w="625" w:type="dxa"/>
            <w:vMerge w:val="restart"/>
            <w:tcBorders>
              <w:top w:val="single" w:color="000000" w:sz="4" w:space="0"/>
              <w:left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2.1.1</w:t>
            </w:r>
          </w:p>
        </w:tc>
        <w:tc>
          <w:tcPr>
            <w:tcW w:w="905" w:type="dxa"/>
            <w:vMerge w:val="restart"/>
            <w:tcBorders>
              <w:top w:val="single" w:color="000000" w:sz="4" w:space="0"/>
              <w:left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形式评审标准</w:t>
            </w:r>
          </w:p>
        </w:tc>
        <w:tc>
          <w:tcPr>
            <w:tcW w:w="2031"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投标人名称</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与营业执照、资质证书一致</w:t>
            </w:r>
          </w:p>
        </w:tc>
      </w:tr>
      <w:tr>
        <w:tblPrEx>
          <w:tblCellMar>
            <w:top w:w="0" w:type="dxa"/>
            <w:left w:w="0" w:type="dxa"/>
            <w:bottom w:w="0" w:type="dxa"/>
            <w:right w:w="0" w:type="dxa"/>
          </w:tblCellMar>
        </w:tblPrEx>
        <w:trPr>
          <w:jc w:val="center"/>
        </w:trPr>
        <w:tc>
          <w:tcPr>
            <w:tcW w:w="625" w:type="dxa"/>
            <w:vMerge w:val="continue"/>
            <w:tcBorders>
              <w:left w:val="single" w:color="000000" w:sz="4" w:space="0"/>
              <w:right w:val="single" w:color="000000"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905" w:type="dxa"/>
            <w:vMerge w:val="continue"/>
            <w:tcBorders>
              <w:left w:val="single" w:color="000000" w:sz="4" w:space="0"/>
              <w:right w:val="single" w:color="000000"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2031"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s="宋体"/>
                <w:color w:val="auto"/>
                <w:sz w:val="21"/>
                <w:szCs w:val="21"/>
                <w:highlight w:val="none"/>
                <w:lang w:eastAsia="zh-CN"/>
              </w:rPr>
            </w:pPr>
            <w:r>
              <w:rPr>
                <w:rFonts w:ascii="宋体" w:hAnsi="宋体" w:eastAsia="宋体" w:cs="宋体"/>
                <w:color w:val="auto"/>
                <w:spacing w:val="-2"/>
                <w:sz w:val="21"/>
                <w:szCs w:val="21"/>
                <w:highlight w:val="none"/>
                <w:lang w:eastAsia="zh-CN"/>
              </w:rPr>
              <w:t>投标</w:t>
            </w:r>
            <w:r>
              <w:rPr>
                <w:rFonts w:hint="eastAsia" w:ascii="宋体" w:hAnsi="宋体" w:eastAsia="宋体" w:cs="宋体"/>
                <w:color w:val="auto"/>
                <w:spacing w:val="-2"/>
                <w:sz w:val="21"/>
                <w:szCs w:val="21"/>
                <w:highlight w:val="none"/>
                <w:lang w:eastAsia="zh-CN"/>
              </w:rPr>
              <w:t>书</w:t>
            </w:r>
            <w:r>
              <w:rPr>
                <w:rFonts w:ascii="宋体" w:hAnsi="宋体" w:eastAsia="宋体" w:cs="宋体"/>
                <w:color w:val="auto"/>
                <w:spacing w:val="-2"/>
                <w:sz w:val="21"/>
                <w:szCs w:val="21"/>
                <w:highlight w:val="none"/>
                <w:lang w:eastAsia="zh-CN"/>
              </w:rPr>
              <w:t>签</w:t>
            </w:r>
            <w:r>
              <w:rPr>
                <w:rFonts w:ascii="宋体" w:hAnsi="宋体" w:eastAsia="宋体" w:cs="宋体"/>
                <w:color w:val="auto"/>
                <w:sz w:val="21"/>
                <w:szCs w:val="21"/>
                <w:highlight w:val="none"/>
                <w:lang w:eastAsia="zh-CN"/>
              </w:rPr>
              <w:t>字盖章</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s="宋体"/>
                <w:color w:val="auto"/>
                <w:spacing w:val="10"/>
                <w:sz w:val="21"/>
                <w:szCs w:val="21"/>
                <w:highlight w:val="none"/>
                <w:lang w:eastAsia="zh-CN"/>
              </w:rPr>
              <w:t>有法定代表人</w:t>
            </w:r>
            <w:r>
              <w:rPr>
                <w:rFonts w:hint="eastAsia" w:ascii="宋体" w:hAnsi="宋体" w:eastAsia="宋体" w:cs="宋体"/>
                <w:color w:val="auto"/>
                <w:spacing w:val="10"/>
                <w:sz w:val="21"/>
                <w:szCs w:val="21"/>
                <w:highlight w:val="none"/>
                <w:lang w:eastAsia="zh-CN"/>
              </w:rPr>
              <w:t>、</w:t>
            </w:r>
            <w:r>
              <w:rPr>
                <w:rFonts w:ascii="宋体" w:hAnsi="宋体" w:eastAsia="宋体" w:cs="宋体"/>
                <w:color w:val="auto"/>
                <w:spacing w:val="10"/>
                <w:sz w:val="21"/>
                <w:szCs w:val="21"/>
                <w:highlight w:val="none"/>
                <w:lang w:eastAsia="zh-CN"/>
              </w:rPr>
              <w:t>委托代理人</w:t>
            </w:r>
            <w:r>
              <w:rPr>
                <w:rFonts w:hint="eastAsia" w:ascii="宋体" w:hAnsi="宋体" w:eastAsia="宋体" w:cs="宋体"/>
                <w:color w:val="auto"/>
                <w:spacing w:val="10"/>
                <w:sz w:val="21"/>
                <w:szCs w:val="21"/>
                <w:highlight w:val="none"/>
                <w:lang w:eastAsia="zh-CN"/>
              </w:rPr>
              <w:t>及项目负责人</w:t>
            </w:r>
            <w:r>
              <w:rPr>
                <w:rFonts w:ascii="宋体" w:hAnsi="宋体" w:eastAsia="宋体" w:cs="宋体"/>
                <w:color w:val="auto"/>
                <w:spacing w:val="10"/>
                <w:sz w:val="21"/>
                <w:szCs w:val="21"/>
                <w:highlight w:val="none"/>
                <w:lang w:eastAsia="zh-CN"/>
              </w:rPr>
              <w:t>签字</w:t>
            </w:r>
            <w:r>
              <w:rPr>
                <w:rFonts w:hint="eastAsia" w:ascii="宋体" w:hAnsi="宋体" w:eastAsia="宋体" w:cs="宋体"/>
                <w:b/>
                <w:color w:val="auto"/>
                <w:spacing w:val="10"/>
                <w:sz w:val="21"/>
                <w:szCs w:val="21"/>
                <w:highlight w:val="none"/>
                <w:u w:val="none"/>
                <w:lang w:eastAsia="zh-CN"/>
              </w:rPr>
              <w:t>（或盖章）</w:t>
            </w:r>
            <w:r>
              <w:rPr>
                <w:rFonts w:hint="eastAsia" w:ascii="宋体" w:hAnsi="宋体" w:eastAsia="宋体" w:cs="宋体"/>
                <w:color w:val="auto"/>
                <w:spacing w:val="10"/>
                <w:sz w:val="21"/>
                <w:szCs w:val="21"/>
                <w:highlight w:val="none"/>
                <w:lang w:eastAsia="zh-CN"/>
              </w:rPr>
              <w:t>、</w:t>
            </w:r>
            <w:r>
              <w:rPr>
                <w:rFonts w:ascii="宋体" w:hAnsi="宋体" w:eastAsia="宋体" w:cs="宋体"/>
                <w:color w:val="auto"/>
                <w:spacing w:val="10"/>
                <w:sz w:val="21"/>
                <w:szCs w:val="21"/>
                <w:highlight w:val="none"/>
                <w:lang w:eastAsia="zh-CN"/>
              </w:rPr>
              <w:t>加盖单位</w:t>
            </w:r>
            <w:r>
              <w:rPr>
                <w:rFonts w:ascii="宋体" w:hAnsi="宋体" w:eastAsia="宋体" w:cs="宋体"/>
                <w:color w:val="auto"/>
                <w:sz w:val="21"/>
                <w:szCs w:val="21"/>
                <w:highlight w:val="none"/>
                <w:lang w:eastAsia="zh-CN"/>
              </w:rPr>
              <w:t>章。</w:t>
            </w:r>
          </w:p>
        </w:tc>
      </w:tr>
      <w:tr>
        <w:tblPrEx>
          <w:tblCellMar>
            <w:top w:w="0" w:type="dxa"/>
            <w:left w:w="0" w:type="dxa"/>
            <w:bottom w:w="0" w:type="dxa"/>
            <w:right w:w="0" w:type="dxa"/>
          </w:tblCellMar>
        </w:tblPrEx>
        <w:trPr>
          <w:jc w:val="center"/>
        </w:trPr>
        <w:tc>
          <w:tcPr>
            <w:tcW w:w="625" w:type="dxa"/>
            <w:vMerge w:val="continue"/>
            <w:tcBorders>
              <w:left w:val="single" w:color="000000" w:sz="4" w:space="0"/>
              <w:right w:val="single" w:color="000000"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905" w:type="dxa"/>
            <w:vMerge w:val="continue"/>
            <w:tcBorders>
              <w:left w:val="single" w:color="000000" w:sz="4" w:space="0"/>
              <w:right w:val="single" w:color="000000"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2031"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投标书</w:t>
            </w:r>
            <w:r>
              <w:rPr>
                <w:rFonts w:ascii="宋体" w:hAnsi="宋体" w:eastAsia="宋体" w:cs="宋体"/>
                <w:color w:val="auto"/>
                <w:sz w:val="21"/>
                <w:szCs w:val="21"/>
                <w:highlight w:val="none"/>
              </w:rPr>
              <w:t>投标文件格式</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投标书格式</w:t>
            </w:r>
            <w:r>
              <w:rPr>
                <w:rFonts w:ascii="宋体" w:hAnsi="宋体" w:eastAsia="宋体" w:cs="宋体"/>
                <w:color w:val="auto"/>
                <w:sz w:val="21"/>
                <w:szCs w:val="21"/>
                <w:highlight w:val="none"/>
                <w:lang w:eastAsia="zh-CN"/>
              </w:rPr>
              <w:t>符合第六章</w:t>
            </w: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投标文件格式</w:t>
            </w: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的规定</w:t>
            </w:r>
          </w:p>
        </w:tc>
      </w:tr>
      <w:tr>
        <w:tblPrEx>
          <w:tblCellMar>
            <w:top w:w="0" w:type="dxa"/>
            <w:left w:w="0" w:type="dxa"/>
            <w:bottom w:w="0" w:type="dxa"/>
            <w:right w:w="0" w:type="dxa"/>
          </w:tblCellMar>
        </w:tblPrEx>
        <w:trPr>
          <w:jc w:val="center"/>
        </w:trPr>
        <w:tc>
          <w:tcPr>
            <w:tcW w:w="625" w:type="dxa"/>
            <w:vMerge w:val="continue"/>
            <w:tcBorders>
              <w:left w:val="single" w:color="000000" w:sz="4" w:space="0"/>
              <w:right w:val="single" w:color="000000"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905" w:type="dxa"/>
            <w:vMerge w:val="continue"/>
            <w:tcBorders>
              <w:left w:val="single" w:color="000000" w:sz="4" w:space="0"/>
              <w:right w:val="single" w:color="000000"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2031"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联合体投标人</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color w:val="auto"/>
                <w:sz w:val="21"/>
                <w:szCs w:val="21"/>
                <w:highlight w:val="none"/>
                <w:u w:val="single"/>
                <w:lang w:eastAsia="zh-CN"/>
              </w:rPr>
              <w:t>符合第二章</w:t>
            </w:r>
            <w:r>
              <w:rPr>
                <w:rFonts w:ascii="宋体" w:hAnsi="宋体"/>
                <w:color w:val="auto"/>
                <w:sz w:val="21"/>
                <w:szCs w:val="21"/>
                <w:highlight w:val="none"/>
                <w:u w:val="single"/>
                <w:lang w:eastAsia="zh-CN"/>
              </w:rPr>
              <w:t>“</w:t>
            </w:r>
            <w:r>
              <w:rPr>
                <w:rFonts w:hint="eastAsia" w:ascii="宋体" w:hAnsi="宋体"/>
                <w:color w:val="auto"/>
                <w:sz w:val="21"/>
                <w:szCs w:val="21"/>
                <w:highlight w:val="none"/>
                <w:u w:val="single"/>
                <w:lang w:eastAsia="zh-CN"/>
              </w:rPr>
              <w:t>投标人须知</w:t>
            </w:r>
            <w:r>
              <w:rPr>
                <w:rFonts w:ascii="宋体" w:hAnsi="宋体"/>
                <w:color w:val="auto"/>
                <w:sz w:val="21"/>
                <w:szCs w:val="21"/>
                <w:highlight w:val="none"/>
                <w:u w:val="single"/>
                <w:lang w:eastAsia="zh-CN"/>
              </w:rPr>
              <w:t>”</w:t>
            </w:r>
            <w:r>
              <w:rPr>
                <w:rFonts w:hint="eastAsia" w:ascii="宋体" w:hAnsi="宋体"/>
                <w:color w:val="auto"/>
                <w:sz w:val="21"/>
                <w:szCs w:val="21"/>
                <w:highlight w:val="none"/>
                <w:u w:val="single"/>
                <w:lang w:eastAsia="zh-CN"/>
              </w:rPr>
              <w:t>第1</w:t>
            </w:r>
            <w:r>
              <w:rPr>
                <w:rFonts w:ascii="宋体" w:hAnsi="宋体"/>
                <w:color w:val="auto"/>
                <w:sz w:val="21"/>
                <w:szCs w:val="21"/>
                <w:highlight w:val="none"/>
                <w:u w:val="single"/>
                <w:lang w:eastAsia="zh-CN"/>
              </w:rPr>
              <w:t>.</w:t>
            </w:r>
            <w:r>
              <w:rPr>
                <w:rFonts w:hint="eastAsia" w:ascii="宋体" w:hAnsi="宋体"/>
                <w:color w:val="auto"/>
                <w:sz w:val="21"/>
                <w:szCs w:val="21"/>
                <w:highlight w:val="none"/>
                <w:u w:val="single"/>
                <w:lang w:eastAsia="zh-CN"/>
              </w:rPr>
              <w:t>4</w:t>
            </w:r>
            <w:r>
              <w:rPr>
                <w:rFonts w:ascii="宋体" w:hAnsi="宋体"/>
                <w:color w:val="auto"/>
                <w:sz w:val="21"/>
                <w:szCs w:val="21"/>
                <w:highlight w:val="none"/>
                <w:u w:val="single"/>
                <w:lang w:eastAsia="zh-CN"/>
              </w:rPr>
              <w:t>.</w:t>
            </w:r>
            <w:r>
              <w:rPr>
                <w:rFonts w:hint="eastAsia" w:ascii="宋体" w:hAnsi="宋体"/>
                <w:color w:val="auto"/>
                <w:sz w:val="21"/>
                <w:szCs w:val="21"/>
                <w:highlight w:val="none"/>
                <w:u w:val="single"/>
                <w:lang w:eastAsia="zh-CN"/>
              </w:rPr>
              <w:t>2项规定</w:t>
            </w:r>
          </w:p>
        </w:tc>
      </w:tr>
      <w:tr>
        <w:tblPrEx>
          <w:tblCellMar>
            <w:top w:w="0" w:type="dxa"/>
            <w:left w:w="0" w:type="dxa"/>
            <w:bottom w:w="0" w:type="dxa"/>
            <w:right w:w="0" w:type="dxa"/>
          </w:tblCellMar>
        </w:tblPrEx>
        <w:trPr>
          <w:jc w:val="center"/>
        </w:trPr>
        <w:tc>
          <w:tcPr>
            <w:tcW w:w="625" w:type="dxa"/>
            <w:vMerge w:val="continue"/>
            <w:tcBorders>
              <w:left w:val="single" w:color="000000" w:sz="4" w:space="0"/>
              <w:right w:val="single" w:color="000000"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905" w:type="dxa"/>
            <w:vMerge w:val="continue"/>
            <w:tcBorders>
              <w:left w:val="single" w:color="000000" w:sz="4" w:space="0"/>
              <w:right w:val="single" w:color="000000"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2031"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备选投标方案</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tblPrEx>
          <w:tblCellMar>
            <w:top w:w="0" w:type="dxa"/>
            <w:left w:w="0" w:type="dxa"/>
            <w:bottom w:w="0" w:type="dxa"/>
            <w:right w:w="0" w:type="dxa"/>
          </w:tblCellMar>
        </w:tblPrEx>
        <w:trPr>
          <w:jc w:val="center"/>
        </w:trPr>
        <w:tc>
          <w:tcPr>
            <w:tcW w:w="625" w:type="dxa"/>
            <w:vMerge w:val="continue"/>
            <w:tcBorders>
              <w:left w:val="single" w:color="000000" w:sz="4" w:space="0"/>
              <w:right w:val="single" w:color="000000"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905" w:type="dxa"/>
            <w:vMerge w:val="continue"/>
            <w:tcBorders>
              <w:left w:val="single" w:color="000000" w:sz="4" w:space="0"/>
              <w:right w:val="single" w:color="000000"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2031"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投标人机器码</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投标人与其他投标人加密打包投标文件电脑机器特征码一致的（以广州公共资源交易中心评标系统的检索信息为准）将被否决。</w:t>
            </w:r>
          </w:p>
        </w:tc>
      </w:tr>
      <w:tr>
        <w:tblPrEx>
          <w:tblCellMar>
            <w:top w:w="0" w:type="dxa"/>
            <w:left w:w="0" w:type="dxa"/>
            <w:bottom w:w="0" w:type="dxa"/>
            <w:right w:w="0" w:type="dxa"/>
          </w:tblCellMar>
        </w:tblPrEx>
        <w:trPr>
          <w:jc w:val="center"/>
        </w:trPr>
        <w:tc>
          <w:tcPr>
            <w:tcW w:w="625" w:type="dxa"/>
            <w:vMerge w:val="restart"/>
            <w:tcBorders>
              <w:top w:val="single" w:color="000000" w:sz="4" w:space="0"/>
              <w:left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2.1.2</w:t>
            </w:r>
          </w:p>
        </w:tc>
        <w:tc>
          <w:tcPr>
            <w:tcW w:w="905" w:type="dxa"/>
            <w:vMerge w:val="restart"/>
            <w:tcBorders>
              <w:top w:val="single" w:color="000000" w:sz="4" w:space="0"/>
              <w:left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资格评审标准</w:t>
            </w:r>
          </w:p>
        </w:tc>
        <w:tc>
          <w:tcPr>
            <w:tcW w:w="2031"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s="宋体"/>
                <w:color w:val="auto"/>
                <w:sz w:val="21"/>
                <w:szCs w:val="21"/>
                <w:highlight w:val="none"/>
                <w:lang w:eastAsia="zh-CN"/>
              </w:rPr>
            </w:pPr>
            <w:r>
              <w:rPr>
                <w:rFonts w:hint="eastAsia" w:ascii="宋体" w:hAnsi="宋体"/>
                <w:color w:val="auto"/>
                <w:spacing w:val="-1"/>
                <w:sz w:val="21"/>
                <w:szCs w:val="21"/>
                <w:highlight w:val="none"/>
              </w:rPr>
              <w:t>营业执照</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投标人（如为联合体，要求联合体各方）具有独立法人资格，持有工商行政管理部门核发的有效法人营业执照，按国家法律经营。</w:t>
            </w:r>
          </w:p>
        </w:tc>
      </w:tr>
      <w:tr>
        <w:tblPrEx>
          <w:tblCellMar>
            <w:top w:w="0" w:type="dxa"/>
            <w:left w:w="0" w:type="dxa"/>
            <w:bottom w:w="0" w:type="dxa"/>
            <w:right w:w="0" w:type="dxa"/>
          </w:tblCellMar>
        </w:tblPrEx>
        <w:trPr>
          <w:jc w:val="center"/>
        </w:trPr>
        <w:tc>
          <w:tcPr>
            <w:tcW w:w="625" w:type="dxa"/>
            <w:vMerge w:val="continue"/>
            <w:tcBorders>
              <w:top w:val="single" w:color="000000" w:sz="4" w:space="0"/>
              <w:left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lang w:eastAsia="zh-CN"/>
              </w:rPr>
            </w:pPr>
          </w:p>
        </w:tc>
        <w:tc>
          <w:tcPr>
            <w:tcW w:w="905" w:type="dxa"/>
            <w:vMerge w:val="continue"/>
            <w:tcBorders>
              <w:top w:val="single" w:color="000000" w:sz="4" w:space="0"/>
              <w:left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s="宋体"/>
                <w:color w:val="auto"/>
                <w:sz w:val="21"/>
                <w:szCs w:val="21"/>
                <w:highlight w:val="none"/>
                <w:lang w:eastAsia="zh-CN"/>
              </w:rPr>
            </w:pPr>
          </w:p>
        </w:tc>
        <w:tc>
          <w:tcPr>
            <w:tcW w:w="2031"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资质要求</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符合第二章</w:t>
            </w: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投标人须知</w:t>
            </w: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第</w:t>
            </w:r>
            <w:r>
              <w:rPr>
                <w:rFonts w:ascii="宋体" w:hAnsi="宋体" w:eastAsia="宋体"/>
                <w:color w:val="auto"/>
                <w:sz w:val="21"/>
                <w:szCs w:val="21"/>
                <w:highlight w:val="none"/>
                <w:lang w:eastAsia="zh-CN"/>
              </w:rPr>
              <w:t>1.4.1</w:t>
            </w:r>
            <w:r>
              <w:rPr>
                <w:rFonts w:ascii="宋体" w:hAnsi="宋体" w:eastAsia="宋体" w:cs="宋体"/>
                <w:color w:val="auto"/>
                <w:sz w:val="21"/>
                <w:szCs w:val="21"/>
                <w:highlight w:val="none"/>
                <w:lang w:eastAsia="zh-CN"/>
              </w:rPr>
              <w:t>项规定</w:t>
            </w:r>
          </w:p>
        </w:tc>
      </w:tr>
      <w:tr>
        <w:tblPrEx>
          <w:tblCellMar>
            <w:top w:w="0" w:type="dxa"/>
            <w:left w:w="0" w:type="dxa"/>
            <w:bottom w:w="0" w:type="dxa"/>
            <w:right w:w="0" w:type="dxa"/>
          </w:tblCellMar>
        </w:tblPrEx>
        <w:trPr>
          <w:jc w:val="center"/>
        </w:trPr>
        <w:tc>
          <w:tcPr>
            <w:tcW w:w="625" w:type="dxa"/>
            <w:vMerge w:val="continue"/>
            <w:tcBorders>
              <w:left w:val="single" w:color="000000" w:sz="4" w:space="0"/>
              <w:right w:val="single" w:color="000000"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905" w:type="dxa"/>
            <w:vMerge w:val="continue"/>
            <w:tcBorders>
              <w:left w:val="single" w:color="000000" w:sz="4" w:space="0"/>
              <w:right w:val="single" w:color="000000"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2031"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rPr>
              <w:t>联合体投标人</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符合第二章</w:t>
            </w: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投标人须知</w:t>
            </w: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第</w:t>
            </w:r>
            <w:r>
              <w:rPr>
                <w:rFonts w:ascii="宋体" w:hAnsi="宋体" w:eastAsia="宋体"/>
                <w:color w:val="auto"/>
                <w:sz w:val="21"/>
                <w:szCs w:val="21"/>
                <w:highlight w:val="none"/>
                <w:lang w:eastAsia="zh-CN"/>
              </w:rPr>
              <w:t>1.4.</w:t>
            </w:r>
            <w:r>
              <w:rPr>
                <w:rFonts w:hint="eastAsia" w:ascii="宋体" w:hAnsi="宋体" w:eastAsia="宋体"/>
                <w:color w:val="auto"/>
                <w:sz w:val="21"/>
                <w:szCs w:val="21"/>
                <w:highlight w:val="none"/>
                <w:lang w:eastAsia="zh-CN"/>
              </w:rPr>
              <w:t>2</w:t>
            </w:r>
            <w:r>
              <w:rPr>
                <w:rFonts w:ascii="宋体" w:hAnsi="宋体" w:eastAsia="宋体" w:cs="宋体"/>
                <w:color w:val="auto"/>
                <w:sz w:val="21"/>
                <w:szCs w:val="21"/>
                <w:highlight w:val="none"/>
                <w:lang w:eastAsia="zh-CN"/>
              </w:rPr>
              <w:t>项规定</w:t>
            </w:r>
          </w:p>
        </w:tc>
      </w:tr>
      <w:tr>
        <w:tblPrEx>
          <w:tblCellMar>
            <w:top w:w="0" w:type="dxa"/>
            <w:left w:w="0" w:type="dxa"/>
            <w:bottom w:w="0" w:type="dxa"/>
            <w:right w:w="0" w:type="dxa"/>
          </w:tblCellMar>
        </w:tblPrEx>
        <w:trPr>
          <w:jc w:val="center"/>
        </w:trPr>
        <w:tc>
          <w:tcPr>
            <w:tcW w:w="625" w:type="dxa"/>
            <w:vMerge w:val="continue"/>
            <w:tcBorders>
              <w:left w:val="single" w:color="000000" w:sz="4" w:space="0"/>
              <w:right w:val="single" w:color="000000"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905" w:type="dxa"/>
            <w:vMerge w:val="continue"/>
            <w:tcBorders>
              <w:left w:val="single" w:color="000000" w:sz="4" w:space="0"/>
              <w:right w:val="single" w:color="000000"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2031"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申请</w:t>
            </w:r>
            <w:r>
              <w:rPr>
                <w:rFonts w:hint="eastAsia" w:ascii="宋体" w:hAnsi="宋体" w:eastAsia="宋体" w:cs="宋体"/>
                <w:color w:val="auto"/>
                <w:sz w:val="21"/>
                <w:szCs w:val="21"/>
                <w:highlight w:val="none"/>
                <w:lang w:eastAsia="zh-CN"/>
              </w:rPr>
              <w:t>人声明</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投标人已按照规定格式和内容签署盖章《投标</w:t>
            </w:r>
            <w:r>
              <w:rPr>
                <w:rFonts w:hint="eastAsia" w:ascii="宋体" w:hAnsi="宋体" w:eastAsia="宋体" w:cs="宋体"/>
                <w:color w:val="auto"/>
                <w:sz w:val="21"/>
                <w:szCs w:val="21"/>
                <w:highlight w:val="none"/>
                <w:lang w:val="en-US" w:eastAsia="zh-CN"/>
              </w:rPr>
              <w:t>申请</w:t>
            </w:r>
            <w:r>
              <w:rPr>
                <w:rFonts w:hint="eastAsia" w:ascii="宋体" w:hAnsi="宋体" w:eastAsia="宋体" w:cs="宋体"/>
                <w:color w:val="auto"/>
                <w:sz w:val="21"/>
                <w:szCs w:val="21"/>
                <w:highlight w:val="none"/>
                <w:lang w:eastAsia="zh-CN"/>
              </w:rPr>
              <w:t>人声明》和《投标人廉洁承诺书》</w:t>
            </w:r>
          </w:p>
        </w:tc>
      </w:tr>
      <w:tr>
        <w:tblPrEx>
          <w:tblCellMar>
            <w:top w:w="0" w:type="dxa"/>
            <w:left w:w="0" w:type="dxa"/>
            <w:bottom w:w="0" w:type="dxa"/>
            <w:right w:w="0" w:type="dxa"/>
          </w:tblCellMar>
        </w:tblPrEx>
        <w:trPr>
          <w:jc w:val="center"/>
        </w:trPr>
        <w:tc>
          <w:tcPr>
            <w:tcW w:w="625" w:type="dxa"/>
            <w:vMerge w:val="continue"/>
            <w:tcBorders>
              <w:left w:val="single" w:color="000000" w:sz="4" w:space="0"/>
              <w:right w:val="single" w:color="000000"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905" w:type="dxa"/>
            <w:vMerge w:val="continue"/>
            <w:tcBorders>
              <w:left w:val="single" w:color="000000" w:sz="4" w:space="0"/>
              <w:right w:val="single" w:color="000000"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2031"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企业信息登记</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投标人在广州公共资源交易中心已办理企业信息登记，拟担任本工程项目负责人须是本企业信息登记中的在册人员。</w:t>
            </w:r>
          </w:p>
        </w:tc>
      </w:tr>
      <w:tr>
        <w:tblPrEx>
          <w:tblCellMar>
            <w:top w:w="0" w:type="dxa"/>
            <w:left w:w="0" w:type="dxa"/>
            <w:bottom w:w="0" w:type="dxa"/>
            <w:right w:w="0" w:type="dxa"/>
          </w:tblCellMar>
        </w:tblPrEx>
        <w:trPr>
          <w:jc w:val="center"/>
        </w:trPr>
        <w:tc>
          <w:tcPr>
            <w:tcW w:w="625" w:type="dxa"/>
            <w:vMerge w:val="continue"/>
            <w:tcBorders>
              <w:left w:val="single" w:color="000000" w:sz="4" w:space="0"/>
              <w:right w:val="single" w:color="000000"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905" w:type="dxa"/>
            <w:vMerge w:val="continue"/>
            <w:tcBorders>
              <w:left w:val="single" w:color="000000" w:sz="4" w:space="0"/>
              <w:right w:val="single" w:color="000000"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2031"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项目负责人</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符合第二章</w:t>
            </w: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投标人须知</w:t>
            </w: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第</w:t>
            </w:r>
            <w:r>
              <w:rPr>
                <w:rFonts w:ascii="宋体" w:hAnsi="宋体" w:eastAsia="宋体"/>
                <w:color w:val="auto"/>
                <w:sz w:val="21"/>
                <w:szCs w:val="21"/>
                <w:highlight w:val="none"/>
                <w:lang w:eastAsia="zh-CN"/>
              </w:rPr>
              <w:t>1.4.1</w:t>
            </w:r>
            <w:r>
              <w:rPr>
                <w:rFonts w:ascii="宋体" w:hAnsi="宋体" w:eastAsia="宋体" w:cs="宋体"/>
                <w:color w:val="auto"/>
                <w:sz w:val="21"/>
                <w:szCs w:val="21"/>
                <w:highlight w:val="none"/>
                <w:lang w:eastAsia="zh-CN"/>
              </w:rPr>
              <w:t>项规定</w:t>
            </w:r>
          </w:p>
        </w:tc>
      </w:tr>
      <w:tr>
        <w:tblPrEx>
          <w:tblCellMar>
            <w:top w:w="0" w:type="dxa"/>
            <w:left w:w="0" w:type="dxa"/>
            <w:bottom w:w="0" w:type="dxa"/>
            <w:right w:w="0" w:type="dxa"/>
          </w:tblCellMar>
        </w:tblPrEx>
        <w:trPr>
          <w:jc w:val="center"/>
        </w:trPr>
        <w:tc>
          <w:tcPr>
            <w:tcW w:w="625" w:type="dxa"/>
            <w:vMerge w:val="continue"/>
            <w:tcBorders>
              <w:left w:val="single" w:color="000000" w:sz="4" w:space="0"/>
              <w:right w:val="single" w:color="000000"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905" w:type="dxa"/>
            <w:vMerge w:val="continue"/>
            <w:tcBorders>
              <w:left w:val="single" w:color="000000" w:sz="4" w:space="0"/>
              <w:right w:val="single" w:color="000000"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2031"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信誉要求</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未被纳入失信联合惩戒名单且被限制参加财政投资工程或政府投资工程或建设工程投标的（具体名单以递交投标文件截止时间“信用广州”https://credit1.gz.gov.cn/publicity/punishGz公布的“严重失信主体名单信息”为准）。</w:t>
            </w:r>
          </w:p>
          <w:p>
            <w:pPr>
              <w:pStyle w:val="63"/>
              <w:adjustRightInd w:val="0"/>
              <w:spacing w:beforeLines="50" w:line="360" w:lineRule="auto"/>
              <w:ind w:left="110" w:leftChars="50" w:right="110" w:rightChars="50"/>
              <w:jc w:val="both"/>
              <w:rPr>
                <w:rFonts w:hint="eastAsia" w:ascii="宋体" w:hAnsi="宋体" w:eastAsia="宋体" w:cs="宋体"/>
                <w:color w:val="auto"/>
                <w:sz w:val="21"/>
                <w:szCs w:val="21"/>
                <w:highlight w:val="none"/>
                <w:lang w:eastAsia="zh-CN"/>
              </w:rPr>
            </w:pPr>
            <w:r>
              <w:rPr>
                <w:rFonts w:hint="eastAsia" w:ascii="宋体" w:hAnsi="宋体" w:eastAsia="宋体" w:cs="Times New Roman"/>
                <w:color w:val="auto"/>
                <w:spacing w:val="7"/>
                <w:kern w:val="0"/>
                <w:sz w:val="21"/>
                <w:szCs w:val="21"/>
                <w:highlight w:val="none"/>
                <w:u w:val="none"/>
                <w:lang w:val="en-US" w:eastAsia="zh-CN"/>
              </w:rPr>
              <w:t>②</w:t>
            </w:r>
            <w:r>
              <w:rPr>
                <w:rFonts w:hint="eastAsia" w:ascii="宋体" w:hAnsi="宋体" w:eastAsia="宋体" w:cs="Times New Roman"/>
                <w:color w:val="auto"/>
                <w:spacing w:val="7"/>
                <w:kern w:val="0"/>
                <w:sz w:val="21"/>
                <w:szCs w:val="21"/>
                <w:highlight w:val="none"/>
                <w:u w:val="none"/>
              </w:rPr>
              <w:t>本项目不接受被列入黄埔区区不良记录名单（处罚有效期内）的单位或个人（指项目负责人）投标，不良记录具体名单以资格审查时广州市黄埔区人民政府、广州开发区管委会网站的区住房和城乡建设局网页“建筑活动不良行为记录”栏目（网址： http://www.hp.gov.cn/gzjg/qzfgwhgzbm/qzfhcxjsj10/jzhdblxwjl/）公布名单为准。若资格审查时网址有变化，以最新网址为准。</w:t>
            </w:r>
          </w:p>
        </w:tc>
      </w:tr>
      <w:tr>
        <w:tblPrEx>
          <w:tblCellMar>
            <w:top w:w="0" w:type="dxa"/>
            <w:left w:w="0" w:type="dxa"/>
            <w:bottom w:w="0" w:type="dxa"/>
            <w:right w:w="0" w:type="dxa"/>
          </w:tblCellMar>
        </w:tblPrEx>
        <w:trPr>
          <w:trHeight w:val="1500" w:hRule="atLeast"/>
          <w:jc w:val="center"/>
        </w:trPr>
        <w:tc>
          <w:tcPr>
            <w:tcW w:w="625" w:type="dxa"/>
            <w:vMerge w:val="continue"/>
            <w:tcBorders>
              <w:left w:val="single" w:color="000000" w:sz="4" w:space="0"/>
              <w:right w:val="single" w:color="000000"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905" w:type="dxa"/>
            <w:vMerge w:val="continue"/>
            <w:tcBorders>
              <w:left w:val="single" w:color="000000" w:sz="4" w:space="0"/>
              <w:right w:val="single" w:color="000000"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2031"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hint="eastAsia" w:ascii="宋体" w:hAnsi="宋体" w:eastAsia="宋体" w:cs="宋体"/>
                <w:color w:val="auto"/>
                <w:sz w:val="21"/>
                <w:szCs w:val="21"/>
                <w:highlight w:val="none"/>
                <w:lang w:eastAsia="zh-CN"/>
              </w:rPr>
            </w:pPr>
            <w:r>
              <w:rPr>
                <w:rFonts w:hint="eastAsia" w:ascii="宋体" w:hAnsi="宋体"/>
                <w:color w:val="auto"/>
                <w:spacing w:val="7"/>
                <w:kern w:val="0"/>
                <w:szCs w:val="21"/>
                <w:highlight w:val="none"/>
              </w:rPr>
              <w:t>企业信用档案</w:t>
            </w:r>
          </w:p>
        </w:tc>
        <w:tc>
          <w:tcPr>
            <w:tcW w:w="54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0" w:leftChars="0"/>
              <w:rPr>
                <w:rFonts w:hint="eastAsia"/>
                <w:color w:val="auto"/>
                <w:highlight w:val="none"/>
                <w:lang w:val="en-US" w:eastAsia="zh-CN"/>
              </w:rPr>
            </w:pPr>
            <w:r>
              <w:rPr>
                <w:rFonts w:hint="default" w:ascii="宋体" w:hAnsi="宋体" w:eastAsia="宋体" w:cs="宋体"/>
                <w:color w:val="auto"/>
                <w:sz w:val="21"/>
                <w:szCs w:val="21"/>
                <w:highlight w:val="none"/>
                <w:lang w:eastAsia="zh-CN"/>
              </w:rPr>
              <w:t>投标人已在广州市住建行业信用管理平台建立企业信用档案（外国或澳门、台湾的设计企业除外），拟委派的项目负责人须是本企业信用档案中的在册人员。</w:t>
            </w:r>
          </w:p>
        </w:tc>
      </w:tr>
      <w:tr>
        <w:tblPrEx>
          <w:tblCellMar>
            <w:top w:w="0" w:type="dxa"/>
            <w:left w:w="0" w:type="dxa"/>
            <w:bottom w:w="0" w:type="dxa"/>
            <w:right w:w="0" w:type="dxa"/>
          </w:tblCellMar>
        </w:tblPrEx>
        <w:trPr>
          <w:trHeight w:val="558" w:hRule="atLeast"/>
          <w:jc w:val="center"/>
        </w:trPr>
        <w:tc>
          <w:tcPr>
            <w:tcW w:w="625" w:type="dxa"/>
            <w:vMerge w:val="continue"/>
            <w:tcBorders>
              <w:left w:val="single" w:color="000000" w:sz="4" w:space="0"/>
              <w:bottom w:val="single" w:color="auto" w:sz="4" w:space="0"/>
              <w:right w:val="single" w:color="000000"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905" w:type="dxa"/>
            <w:vMerge w:val="continue"/>
            <w:tcBorders>
              <w:left w:val="single" w:color="000000" w:sz="4" w:space="0"/>
              <w:bottom w:val="single" w:color="auto" w:sz="4" w:space="0"/>
              <w:right w:val="single" w:color="000000"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2031" w:type="dxa"/>
            <w:tcBorders>
              <w:top w:val="single" w:color="000000" w:sz="4" w:space="0"/>
              <w:left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不存在禁止投标的情形</w:t>
            </w:r>
          </w:p>
        </w:tc>
        <w:tc>
          <w:tcPr>
            <w:tcW w:w="5476" w:type="dxa"/>
            <w:tcBorders>
              <w:top w:val="single" w:color="000000" w:sz="4" w:space="0"/>
              <w:left w:val="single" w:color="000000" w:sz="4" w:space="0"/>
              <w:right w:val="single" w:color="000000" w:sz="4" w:space="0"/>
            </w:tcBorders>
            <w:vAlign w:val="center"/>
          </w:tcPr>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不存在第二章</w:t>
            </w: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投标人须知</w:t>
            </w: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第</w:t>
            </w:r>
            <w:r>
              <w:rPr>
                <w:rFonts w:ascii="宋体" w:hAnsi="宋体" w:eastAsia="宋体"/>
                <w:color w:val="auto"/>
                <w:sz w:val="21"/>
                <w:szCs w:val="21"/>
                <w:highlight w:val="none"/>
                <w:lang w:eastAsia="zh-CN"/>
              </w:rPr>
              <w:t>1.4.3</w:t>
            </w:r>
            <w:r>
              <w:rPr>
                <w:rFonts w:ascii="宋体" w:hAnsi="宋体" w:eastAsia="宋体" w:cs="宋体"/>
                <w:color w:val="auto"/>
                <w:sz w:val="21"/>
                <w:szCs w:val="21"/>
                <w:highlight w:val="none"/>
                <w:lang w:eastAsia="zh-CN"/>
              </w:rPr>
              <w:t>项规定的任何一种情形</w:t>
            </w:r>
            <w:r>
              <w:rPr>
                <w:rFonts w:hint="eastAsia" w:ascii="宋体" w:hAnsi="宋体" w:eastAsia="宋体" w:cs="宋体"/>
                <w:color w:val="auto"/>
                <w:sz w:val="21"/>
                <w:szCs w:val="21"/>
                <w:highlight w:val="none"/>
                <w:lang w:eastAsia="zh-CN"/>
              </w:rPr>
              <w:t>（以投标</w:t>
            </w:r>
            <w:r>
              <w:rPr>
                <w:rFonts w:hint="eastAsia" w:ascii="宋体" w:hAnsi="宋体" w:eastAsia="宋体" w:cs="宋体"/>
                <w:color w:val="auto"/>
                <w:sz w:val="21"/>
                <w:szCs w:val="21"/>
                <w:highlight w:val="none"/>
                <w:lang w:val="en-US" w:eastAsia="zh-CN"/>
              </w:rPr>
              <w:t>申请</w:t>
            </w:r>
            <w:r>
              <w:rPr>
                <w:rFonts w:hint="eastAsia" w:ascii="宋体" w:hAnsi="宋体" w:eastAsia="宋体" w:cs="宋体"/>
                <w:color w:val="auto"/>
                <w:sz w:val="21"/>
                <w:szCs w:val="21"/>
                <w:highlight w:val="none"/>
                <w:lang w:eastAsia="zh-CN"/>
              </w:rPr>
              <w:t>人声明为评审依据）。</w:t>
            </w:r>
          </w:p>
        </w:tc>
      </w:tr>
      <w:tr>
        <w:tblPrEx>
          <w:tblCellMar>
            <w:top w:w="0" w:type="dxa"/>
            <w:left w:w="0" w:type="dxa"/>
            <w:bottom w:w="0" w:type="dxa"/>
            <w:right w:w="0" w:type="dxa"/>
          </w:tblCellMar>
        </w:tblPrEx>
        <w:trPr>
          <w:jc w:val="center"/>
        </w:trPr>
        <w:tc>
          <w:tcPr>
            <w:tcW w:w="625" w:type="dxa"/>
            <w:vMerge w:val="restart"/>
            <w:tcBorders>
              <w:top w:val="single" w:color="auto" w:sz="4" w:space="0"/>
              <w:left w:val="single" w:color="auto" w:sz="4" w:space="0"/>
              <w:bottom w:val="single" w:color="auto" w:sz="4" w:space="0"/>
              <w:right w:val="single" w:color="auto"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2.1.3</w:t>
            </w:r>
            <w:r>
              <w:rPr>
                <w:rFonts w:hint="eastAsia" w:ascii="宋体" w:hAnsi="宋体" w:eastAsia="宋体"/>
                <w:color w:val="auto"/>
                <w:sz w:val="21"/>
                <w:szCs w:val="21"/>
                <w:highlight w:val="none"/>
                <w:lang w:eastAsia="zh-CN"/>
              </w:rPr>
              <w:t>（1）</w:t>
            </w:r>
          </w:p>
        </w:tc>
        <w:tc>
          <w:tcPr>
            <w:tcW w:w="905" w:type="dxa"/>
            <w:vMerge w:val="restart"/>
            <w:tcBorders>
              <w:top w:val="single" w:color="auto" w:sz="4" w:space="0"/>
              <w:left w:val="single" w:color="auto" w:sz="4" w:space="0"/>
              <w:bottom w:val="single" w:color="auto" w:sz="4" w:space="0"/>
              <w:right w:val="single" w:color="auto" w:sz="4" w:space="0"/>
            </w:tcBorders>
            <w:vAlign w:val="center"/>
          </w:tcPr>
          <w:p>
            <w:pPr>
              <w:pStyle w:val="63"/>
              <w:adjustRightInd w:val="0"/>
              <w:spacing w:beforeLines="50" w:line="36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资信业绩</w:t>
            </w:r>
            <w:r>
              <w:rPr>
                <w:rFonts w:ascii="宋体" w:hAnsi="宋体" w:eastAsia="宋体" w:cs="宋体"/>
                <w:color w:val="auto"/>
                <w:sz w:val="21"/>
                <w:szCs w:val="21"/>
                <w:highlight w:val="none"/>
                <w:lang w:eastAsia="zh-CN"/>
              </w:rPr>
              <w:t>响应性评审标准</w:t>
            </w:r>
          </w:p>
        </w:tc>
        <w:tc>
          <w:tcPr>
            <w:tcW w:w="2031" w:type="dxa"/>
            <w:tcBorders>
              <w:top w:val="single" w:color="000000" w:sz="4" w:space="0"/>
              <w:left w:val="single" w:color="auto"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投标报价</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符合第二章</w:t>
            </w: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投标人须知</w:t>
            </w: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第</w:t>
            </w:r>
            <w:r>
              <w:rPr>
                <w:rFonts w:ascii="宋体" w:hAnsi="宋体" w:eastAsia="宋体"/>
                <w:color w:val="auto"/>
                <w:sz w:val="21"/>
                <w:szCs w:val="21"/>
                <w:highlight w:val="none"/>
                <w:lang w:eastAsia="zh-CN"/>
              </w:rPr>
              <w:t>3.2</w:t>
            </w:r>
            <w:r>
              <w:rPr>
                <w:rFonts w:ascii="宋体" w:hAnsi="宋体" w:eastAsia="宋体" w:cs="宋体"/>
                <w:color w:val="auto"/>
                <w:sz w:val="21"/>
                <w:szCs w:val="21"/>
                <w:highlight w:val="none"/>
                <w:lang w:eastAsia="zh-CN"/>
              </w:rPr>
              <w:t>款规定</w:t>
            </w:r>
          </w:p>
        </w:tc>
      </w:tr>
      <w:tr>
        <w:tblPrEx>
          <w:tblCellMar>
            <w:top w:w="0" w:type="dxa"/>
            <w:left w:w="0" w:type="dxa"/>
            <w:bottom w:w="0" w:type="dxa"/>
            <w:right w:w="0" w:type="dxa"/>
          </w:tblCellMar>
        </w:tblPrEx>
        <w:trPr>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905"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2031" w:type="dxa"/>
            <w:tcBorders>
              <w:top w:val="single" w:color="000000" w:sz="4" w:space="0"/>
              <w:left w:val="single" w:color="auto"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设计服务期限</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符合第二章</w:t>
            </w: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投标人须知</w:t>
            </w: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第</w:t>
            </w:r>
            <w:r>
              <w:rPr>
                <w:rFonts w:ascii="宋体" w:hAnsi="宋体" w:eastAsia="宋体"/>
                <w:color w:val="auto"/>
                <w:sz w:val="21"/>
                <w:szCs w:val="21"/>
                <w:highlight w:val="none"/>
                <w:lang w:eastAsia="zh-CN"/>
              </w:rPr>
              <w:t>1.3.2</w:t>
            </w:r>
            <w:r>
              <w:rPr>
                <w:rFonts w:ascii="宋体" w:hAnsi="宋体" w:eastAsia="宋体" w:cs="宋体"/>
                <w:color w:val="auto"/>
                <w:sz w:val="21"/>
                <w:szCs w:val="21"/>
                <w:highlight w:val="none"/>
                <w:lang w:eastAsia="zh-CN"/>
              </w:rPr>
              <w:t>项规定</w:t>
            </w:r>
          </w:p>
        </w:tc>
      </w:tr>
      <w:tr>
        <w:tblPrEx>
          <w:tblCellMar>
            <w:top w:w="0" w:type="dxa"/>
            <w:left w:w="0" w:type="dxa"/>
            <w:bottom w:w="0" w:type="dxa"/>
            <w:right w:w="0" w:type="dxa"/>
          </w:tblCellMar>
        </w:tblPrEx>
        <w:trPr>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905"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2031" w:type="dxa"/>
            <w:tcBorders>
              <w:top w:val="single" w:color="000000" w:sz="4" w:space="0"/>
              <w:left w:val="single" w:color="auto"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质量标准</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符合第二章</w:t>
            </w: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投标人须知</w:t>
            </w: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第</w:t>
            </w:r>
            <w:r>
              <w:rPr>
                <w:rFonts w:ascii="宋体" w:hAnsi="宋体" w:eastAsia="宋体"/>
                <w:color w:val="auto"/>
                <w:sz w:val="21"/>
                <w:szCs w:val="21"/>
                <w:highlight w:val="none"/>
                <w:lang w:eastAsia="zh-CN"/>
              </w:rPr>
              <w:t>1.3.3</w:t>
            </w:r>
            <w:r>
              <w:rPr>
                <w:rFonts w:ascii="宋体" w:hAnsi="宋体" w:eastAsia="宋体" w:cs="宋体"/>
                <w:color w:val="auto"/>
                <w:sz w:val="21"/>
                <w:szCs w:val="21"/>
                <w:highlight w:val="none"/>
                <w:lang w:eastAsia="zh-CN"/>
              </w:rPr>
              <w:t>项规定</w:t>
            </w:r>
          </w:p>
        </w:tc>
      </w:tr>
      <w:tr>
        <w:tblPrEx>
          <w:tblCellMar>
            <w:top w:w="0" w:type="dxa"/>
            <w:left w:w="0" w:type="dxa"/>
            <w:bottom w:w="0" w:type="dxa"/>
            <w:right w:w="0" w:type="dxa"/>
          </w:tblCellMar>
        </w:tblPrEx>
        <w:trPr>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905"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2031" w:type="dxa"/>
            <w:tcBorders>
              <w:top w:val="single" w:color="000000" w:sz="4" w:space="0"/>
              <w:left w:val="single" w:color="auto"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投标有效期</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符合第二章</w:t>
            </w: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投标人须知</w:t>
            </w: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第</w:t>
            </w:r>
            <w:r>
              <w:rPr>
                <w:rFonts w:ascii="宋体" w:hAnsi="宋体" w:eastAsia="宋体"/>
                <w:color w:val="auto"/>
                <w:sz w:val="21"/>
                <w:szCs w:val="21"/>
                <w:highlight w:val="none"/>
                <w:lang w:eastAsia="zh-CN"/>
              </w:rPr>
              <w:t>3.3.1</w:t>
            </w:r>
            <w:r>
              <w:rPr>
                <w:rFonts w:ascii="宋体" w:hAnsi="宋体" w:eastAsia="宋体" w:cs="宋体"/>
                <w:color w:val="auto"/>
                <w:sz w:val="21"/>
                <w:szCs w:val="21"/>
                <w:highlight w:val="none"/>
                <w:lang w:eastAsia="zh-CN"/>
              </w:rPr>
              <w:t>项规定</w:t>
            </w:r>
          </w:p>
        </w:tc>
      </w:tr>
      <w:tr>
        <w:tblPrEx>
          <w:tblCellMar>
            <w:top w:w="0" w:type="dxa"/>
            <w:left w:w="0" w:type="dxa"/>
            <w:bottom w:w="0" w:type="dxa"/>
            <w:right w:w="0" w:type="dxa"/>
          </w:tblCellMar>
        </w:tblPrEx>
        <w:trPr>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905"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2031" w:type="dxa"/>
            <w:tcBorders>
              <w:top w:val="single" w:color="000000" w:sz="4" w:space="0"/>
              <w:left w:val="single" w:color="auto"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s="宋体"/>
                <w:strike/>
                <w:color w:val="auto"/>
                <w:sz w:val="21"/>
                <w:szCs w:val="21"/>
                <w:highlight w:val="none"/>
              </w:rPr>
            </w:pPr>
            <w:r>
              <w:rPr>
                <w:rFonts w:ascii="宋体" w:hAnsi="宋体" w:eastAsia="宋体" w:cs="宋体"/>
                <w:strike/>
                <w:color w:val="auto"/>
                <w:sz w:val="21"/>
                <w:szCs w:val="21"/>
                <w:highlight w:val="none"/>
              </w:rPr>
              <w:t>投标保证金</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both"/>
              <w:rPr>
                <w:rFonts w:ascii="宋体" w:hAnsi="宋体" w:eastAsia="宋体" w:cs="宋体"/>
                <w:strike/>
                <w:color w:val="auto"/>
                <w:sz w:val="21"/>
                <w:szCs w:val="21"/>
                <w:highlight w:val="none"/>
                <w:lang w:eastAsia="zh-CN"/>
              </w:rPr>
            </w:pPr>
            <w:r>
              <w:rPr>
                <w:rFonts w:hint="eastAsia" w:ascii="宋体" w:hAnsi="宋体" w:eastAsia="宋体" w:cs="宋体"/>
                <w:strike/>
                <w:color w:val="auto"/>
                <w:sz w:val="21"/>
                <w:szCs w:val="21"/>
                <w:highlight w:val="none"/>
                <w:lang w:eastAsia="zh-CN"/>
              </w:rPr>
              <w:t>符合第二章“投标人须知”第</w:t>
            </w:r>
            <w:r>
              <w:rPr>
                <w:rFonts w:ascii="宋体" w:hAnsi="宋体" w:eastAsia="宋体" w:cs="宋体"/>
                <w:strike/>
                <w:color w:val="auto"/>
                <w:sz w:val="21"/>
                <w:szCs w:val="21"/>
                <w:highlight w:val="none"/>
                <w:lang w:eastAsia="zh-CN"/>
              </w:rPr>
              <w:t>3.4.1</w:t>
            </w:r>
            <w:r>
              <w:rPr>
                <w:rFonts w:hint="eastAsia" w:ascii="宋体" w:hAnsi="宋体" w:eastAsia="宋体" w:cs="宋体"/>
                <w:strike/>
                <w:color w:val="auto"/>
                <w:sz w:val="21"/>
                <w:szCs w:val="21"/>
                <w:highlight w:val="none"/>
                <w:lang w:eastAsia="zh-CN"/>
              </w:rPr>
              <w:t>项规定</w:t>
            </w:r>
          </w:p>
        </w:tc>
      </w:tr>
      <w:tr>
        <w:tblPrEx>
          <w:tblCellMar>
            <w:top w:w="0" w:type="dxa"/>
            <w:left w:w="0" w:type="dxa"/>
            <w:bottom w:w="0" w:type="dxa"/>
            <w:right w:w="0" w:type="dxa"/>
          </w:tblCellMar>
        </w:tblPrEx>
        <w:trPr>
          <w:trHeight w:val="612" w:hRule="atLeast"/>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905"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2031" w:type="dxa"/>
            <w:tcBorders>
              <w:top w:val="single" w:color="000000" w:sz="4" w:space="0"/>
              <w:left w:val="single" w:color="auto" w:sz="4" w:space="0"/>
              <w:right w:val="single" w:color="000000" w:sz="4" w:space="0"/>
            </w:tcBorders>
            <w:vAlign w:val="center"/>
          </w:tcPr>
          <w:p>
            <w:pPr>
              <w:pStyle w:val="63"/>
              <w:adjustRightInd w:val="0"/>
              <w:spacing w:beforeLines="50"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串通投标情形</w:t>
            </w:r>
          </w:p>
        </w:tc>
        <w:tc>
          <w:tcPr>
            <w:tcW w:w="5476" w:type="dxa"/>
            <w:tcBorders>
              <w:top w:val="single" w:color="000000" w:sz="4" w:space="0"/>
              <w:left w:val="single" w:color="000000" w:sz="4" w:space="0"/>
              <w:right w:val="single" w:color="000000" w:sz="4" w:space="0"/>
            </w:tcBorders>
            <w:vAlign w:val="center"/>
          </w:tcPr>
          <w:p>
            <w:pPr>
              <w:pStyle w:val="63"/>
              <w:adjustRightInd w:val="0"/>
              <w:spacing w:beforeLines="50" w:line="360" w:lineRule="auto"/>
              <w:ind w:left="110" w:leftChars="50" w:right="110" w:rightChars="5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不存在串通投标情形（串通投标情形以《广东省实施</w:t>
            </w:r>
            <w:r>
              <w:rPr>
                <w:rFonts w:ascii="宋体" w:hAnsi="宋体" w:eastAsia="宋体" w:cs="宋体"/>
                <w:color w:val="auto"/>
                <w:sz w:val="21"/>
                <w:szCs w:val="21"/>
                <w:highlight w:val="none"/>
                <w:lang w:eastAsia="zh-CN"/>
              </w:rPr>
              <w:t>&lt;</w:t>
            </w:r>
            <w:r>
              <w:rPr>
                <w:rFonts w:hint="eastAsia" w:ascii="宋体" w:hAnsi="宋体" w:eastAsia="宋体" w:cs="宋体"/>
                <w:color w:val="auto"/>
                <w:sz w:val="21"/>
                <w:szCs w:val="21"/>
                <w:highlight w:val="none"/>
                <w:lang w:eastAsia="zh-CN"/>
              </w:rPr>
              <w:t>中华人民共和国招标投标法</w:t>
            </w:r>
            <w:r>
              <w:rPr>
                <w:rFonts w:ascii="宋体" w:hAnsi="宋体" w:eastAsia="宋体" w:cs="宋体"/>
                <w:color w:val="auto"/>
                <w:sz w:val="21"/>
                <w:szCs w:val="21"/>
                <w:highlight w:val="none"/>
                <w:lang w:eastAsia="zh-CN"/>
              </w:rPr>
              <w:t>&gt;</w:t>
            </w:r>
            <w:r>
              <w:rPr>
                <w:rFonts w:hint="eastAsia" w:ascii="宋体" w:hAnsi="宋体" w:eastAsia="宋体" w:cs="宋体"/>
                <w:color w:val="auto"/>
                <w:sz w:val="21"/>
                <w:szCs w:val="21"/>
                <w:highlight w:val="none"/>
                <w:lang w:eastAsia="zh-CN"/>
              </w:rPr>
              <w:t>》第十六条的规定为准）。</w:t>
            </w:r>
          </w:p>
        </w:tc>
      </w:tr>
      <w:tr>
        <w:tblPrEx>
          <w:tblCellMar>
            <w:top w:w="0" w:type="dxa"/>
            <w:left w:w="0" w:type="dxa"/>
            <w:bottom w:w="0" w:type="dxa"/>
            <w:right w:w="0" w:type="dxa"/>
          </w:tblCellMar>
        </w:tblPrEx>
        <w:trPr>
          <w:jc w:val="center"/>
        </w:trPr>
        <w:tc>
          <w:tcPr>
            <w:tcW w:w="625" w:type="dxa"/>
            <w:vMerge w:val="restart"/>
            <w:tcBorders>
              <w:top w:val="single" w:color="auto" w:sz="4" w:space="0"/>
              <w:left w:val="single" w:color="000000" w:sz="4" w:space="0"/>
              <w:right w:val="single" w:color="000000"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w:t>
            </w:r>
            <w:r>
              <w:rPr>
                <w:rFonts w:ascii="宋体" w:hAnsi="宋体" w:eastAsia="宋体"/>
                <w:color w:val="auto"/>
                <w:sz w:val="21"/>
                <w:szCs w:val="21"/>
                <w:highlight w:val="none"/>
                <w:lang w:eastAsia="zh-CN"/>
              </w:rPr>
              <w:t>.1.3</w:t>
            </w:r>
            <w:r>
              <w:rPr>
                <w:rFonts w:hint="eastAsia" w:ascii="宋体" w:hAnsi="宋体" w:eastAsia="宋体"/>
                <w:color w:val="auto"/>
                <w:sz w:val="21"/>
                <w:szCs w:val="21"/>
                <w:highlight w:val="none"/>
                <w:lang w:eastAsia="zh-CN"/>
              </w:rPr>
              <w:t>（2）</w:t>
            </w:r>
          </w:p>
        </w:tc>
        <w:tc>
          <w:tcPr>
            <w:tcW w:w="905" w:type="dxa"/>
            <w:vMerge w:val="restart"/>
            <w:tcBorders>
              <w:top w:val="single" w:color="auto" w:sz="4" w:space="0"/>
              <w:left w:val="single" w:color="000000" w:sz="4" w:space="0"/>
              <w:right w:val="single" w:color="000000"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设计方案（暗标）响应性评审标准</w:t>
            </w:r>
          </w:p>
        </w:tc>
        <w:tc>
          <w:tcPr>
            <w:tcW w:w="2031"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编制</w:t>
            </w:r>
            <w:r>
              <w:rPr>
                <w:rFonts w:hint="eastAsia" w:ascii="宋体" w:hAnsi="宋体" w:eastAsia="宋体" w:cs="宋体"/>
                <w:color w:val="auto"/>
                <w:sz w:val="21"/>
                <w:szCs w:val="21"/>
                <w:highlight w:val="none"/>
              </w:rPr>
              <w:t>要求</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技术标中未能辨认出投标人或其专业技术人员的身份。未在设计方案上标注或做任何可以辨认投标人及专业技术人员身份的名称、印章、商标、图形等记认符号。</w:t>
            </w:r>
          </w:p>
        </w:tc>
      </w:tr>
      <w:tr>
        <w:tblPrEx>
          <w:tblCellMar>
            <w:top w:w="0" w:type="dxa"/>
            <w:left w:w="0" w:type="dxa"/>
            <w:bottom w:w="0" w:type="dxa"/>
            <w:right w:w="0" w:type="dxa"/>
          </w:tblCellMar>
        </w:tblPrEx>
        <w:trPr>
          <w:jc w:val="center"/>
        </w:trPr>
        <w:tc>
          <w:tcPr>
            <w:tcW w:w="625" w:type="dxa"/>
            <w:vMerge w:val="continue"/>
            <w:tcBorders>
              <w:top w:val="single" w:color="auto" w:sz="4" w:space="0"/>
              <w:left w:val="single" w:color="000000" w:sz="4" w:space="0"/>
              <w:right w:val="single" w:color="000000"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905" w:type="dxa"/>
            <w:vMerge w:val="continue"/>
            <w:tcBorders>
              <w:top w:val="single" w:color="auto" w:sz="4" w:space="0"/>
              <w:left w:val="single" w:color="000000" w:sz="4" w:space="0"/>
              <w:right w:val="single" w:color="000000"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2031"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s="宋体"/>
                <w:color w:val="auto"/>
                <w:sz w:val="21"/>
                <w:szCs w:val="21"/>
                <w:highlight w:val="none"/>
                <w:lang w:eastAsia="zh-CN"/>
              </w:rPr>
            </w:pPr>
            <w:r>
              <w:rPr>
                <w:rFonts w:hint="eastAsia" w:ascii="宋体" w:hAnsi="宋体" w:eastAsia="宋体"/>
                <w:color w:val="auto"/>
                <w:sz w:val="21"/>
                <w:szCs w:val="21"/>
                <w:highlight w:val="none"/>
                <w:lang w:eastAsia="zh-CN"/>
              </w:rPr>
              <w:t>抄袭行为</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rPr>
                <w:rFonts w:ascii="宋体" w:hAnsi="宋体" w:eastAsia="宋体" w:cs="宋体"/>
                <w:color w:val="auto"/>
                <w:sz w:val="21"/>
                <w:szCs w:val="21"/>
                <w:highlight w:val="none"/>
                <w:lang w:eastAsia="zh-CN"/>
              </w:rPr>
            </w:pPr>
            <w:r>
              <w:rPr>
                <w:rFonts w:hint="eastAsia" w:ascii="宋体" w:hAnsi="宋体" w:eastAsia="宋体"/>
                <w:color w:val="auto"/>
                <w:sz w:val="21"/>
                <w:szCs w:val="21"/>
                <w:highlight w:val="none"/>
                <w:lang w:eastAsia="zh-CN"/>
              </w:rPr>
              <w:t>不存在明显的抄袭行为；</w:t>
            </w:r>
          </w:p>
        </w:tc>
      </w:tr>
      <w:tr>
        <w:tblPrEx>
          <w:tblCellMar>
            <w:top w:w="0" w:type="dxa"/>
            <w:left w:w="0" w:type="dxa"/>
            <w:bottom w:w="0" w:type="dxa"/>
            <w:right w:w="0" w:type="dxa"/>
          </w:tblCellMar>
        </w:tblPrEx>
        <w:trPr>
          <w:jc w:val="center"/>
        </w:trPr>
        <w:tc>
          <w:tcPr>
            <w:tcW w:w="625" w:type="dxa"/>
            <w:vMerge w:val="continue"/>
            <w:tcBorders>
              <w:top w:val="single" w:color="auto" w:sz="4" w:space="0"/>
              <w:left w:val="single" w:color="000000" w:sz="4" w:space="0"/>
              <w:right w:val="single" w:color="000000"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905" w:type="dxa"/>
            <w:vMerge w:val="continue"/>
            <w:tcBorders>
              <w:top w:val="single" w:color="auto" w:sz="4" w:space="0"/>
              <w:left w:val="single" w:color="000000" w:sz="4" w:space="0"/>
              <w:right w:val="single" w:color="000000"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2031"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侵犯他人著作权和特许权</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不存在侵犯他人著作权和特许权的；</w:t>
            </w:r>
          </w:p>
        </w:tc>
      </w:tr>
      <w:tr>
        <w:tblPrEx>
          <w:tblCellMar>
            <w:top w:w="0" w:type="dxa"/>
            <w:left w:w="0" w:type="dxa"/>
            <w:bottom w:w="0" w:type="dxa"/>
            <w:right w:w="0" w:type="dxa"/>
          </w:tblCellMar>
        </w:tblPrEx>
        <w:trPr>
          <w:jc w:val="center"/>
        </w:trPr>
        <w:tc>
          <w:tcPr>
            <w:tcW w:w="625" w:type="dxa"/>
            <w:vMerge w:val="continue"/>
            <w:tcBorders>
              <w:left w:val="single" w:color="000000" w:sz="4" w:space="0"/>
              <w:right w:val="single" w:color="000000"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905" w:type="dxa"/>
            <w:vMerge w:val="continue"/>
            <w:tcBorders>
              <w:left w:val="single" w:color="000000" w:sz="4" w:space="0"/>
              <w:right w:val="single" w:color="000000"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2031"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s="宋体"/>
                <w:color w:val="auto"/>
                <w:sz w:val="21"/>
                <w:szCs w:val="21"/>
                <w:highlight w:val="none"/>
              </w:rPr>
            </w:pPr>
            <w:r>
              <w:rPr>
                <w:rFonts w:ascii="宋体" w:hAnsi="宋体" w:eastAsia="宋体"/>
                <w:color w:val="auto"/>
                <w:sz w:val="21"/>
                <w:szCs w:val="21"/>
                <w:highlight w:val="none"/>
                <w:lang w:eastAsia="zh-CN"/>
              </w:rPr>
              <w:t>串通投标情形</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rPr>
                <w:rFonts w:ascii="宋体" w:hAnsi="宋体" w:eastAsia="宋体" w:cs="宋体"/>
                <w:color w:val="auto"/>
                <w:sz w:val="21"/>
                <w:szCs w:val="21"/>
                <w:highlight w:val="none"/>
                <w:lang w:eastAsia="zh-CN"/>
              </w:rPr>
            </w:pPr>
            <w:r>
              <w:rPr>
                <w:rFonts w:hint="eastAsia" w:ascii="宋体" w:hAnsi="宋体" w:eastAsia="宋体"/>
                <w:color w:val="auto"/>
                <w:sz w:val="21"/>
                <w:szCs w:val="21"/>
                <w:highlight w:val="none"/>
                <w:lang w:eastAsia="zh-CN"/>
              </w:rPr>
              <w:t>不存在串通投标情形的</w:t>
            </w:r>
            <w:r>
              <w:rPr>
                <w:rFonts w:ascii="宋体" w:hAnsi="宋体" w:eastAsia="宋体"/>
                <w:color w:val="auto"/>
                <w:sz w:val="21"/>
                <w:szCs w:val="21"/>
                <w:highlight w:val="none"/>
                <w:lang w:eastAsia="zh-CN"/>
              </w:rPr>
              <w:t>（串通投标情形以</w:t>
            </w:r>
            <w:r>
              <w:rPr>
                <w:rFonts w:hint="eastAsia" w:ascii="宋体" w:hAnsi="宋体" w:eastAsia="宋体"/>
                <w:color w:val="auto"/>
                <w:sz w:val="21"/>
                <w:szCs w:val="21"/>
                <w:highlight w:val="none"/>
                <w:lang w:eastAsia="zh-CN"/>
              </w:rPr>
              <w:t>《广东省实施&lt;中华人民共和国招标投标法&gt;》第十六条</w:t>
            </w:r>
            <w:r>
              <w:rPr>
                <w:rFonts w:ascii="宋体" w:hAnsi="宋体" w:eastAsia="宋体"/>
                <w:color w:val="auto"/>
                <w:sz w:val="21"/>
                <w:szCs w:val="21"/>
                <w:highlight w:val="none"/>
                <w:lang w:eastAsia="zh-CN"/>
              </w:rPr>
              <w:t>的规定为准）</w:t>
            </w:r>
            <w:r>
              <w:rPr>
                <w:rFonts w:hint="eastAsia" w:ascii="宋体" w:hAnsi="宋体" w:eastAsia="宋体" w:cs="宋体"/>
                <w:color w:val="auto"/>
                <w:sz w:val="21"/>
                <w:szCs w:val="21"/>
                <w:highlight w:val="none"/>
                <w:lang w:eastAsia="zh-CN"/>
              </w:rPr>
              <w:t>。</w:t>
            </w:r>
          </w:p>
        </w:tc>
      </w:tr>
      <w:tr>
        <w:tblPrEx>
          <w:tblCellMar>
            <w:top w:w="0" w:type="dxa"/>
            <w:left w:w="0" w:type="dxa"/>
            <w:bottom w:w="0" w:type="dxa"/>
            <w:right w:w="0" w:type="dxa"/>
          </w:tblCellMar>
        </w:tblPrEx>
        <w:trPr>
          <w:jc w:val="center"/>
        </w:trPr>
        <w:tc>
          <w:tcPr>
            <w:tcW w:w="1530" w:type="dxa"/>
            <w:gridSpan w:val="2"/>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s="Microsoft JhengHei"/>
                <w:color w:val="auto"/>
                <w:sz w:val="21"/>
                <w:szCs w:val="21"/>
                <w:highlight w:val="none"/>
              </w:rPr>
            </w:pPr>
            <w:r>
              <w:rPr>
                <w:rFonts w:ascii="宋体" w:hAnsi="宋体" w:eastAsia="宋体" w:cs="Microsoft JhengHei"/>
                <w:b/>
                <w:bCs/>
                <w:color w:val="auto"/>
                <w:sz w:val="21"/>
                <w:szCs w:val="21"/>
                <w:highlight w:val="none"/>
              </w:rPr>
              <w:t>条款号</w:t>
            </w:r>
          </w:p>
        </w:tc>
        <w:tc>
          <w:tcPr>
            <w:tcW w:w="2031"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s="Microsoft JhengHei"/>
                <w:color w:val="auto"/>
                <w:sz w:val="21"/>
                <w:szCs w:val="21"/>
                <w:highlight w:val="none"/>
              </w:rPr>
            </w:pPr>
            <w:r>
              <w:rPr>
                <w:rFonts w:ascii="宋体" w:hAnsi="宋体" w:eastAsia="宋体" w:cs="Microsoft JhengHei"/>
                <w:b/>
                <w:bCs/>
                <w:color w:val="auto"/>
                <w:sz w:val="21"/>
                <w:szCs w:val="21"/>
                <w:highlight w:val="none"/>
              </w:rPr>
              <w:t>条款内容</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Microsoft JhengHei"/>
                <w:color w:val="auto"/>
                <w:sz w:val="21"/>
                <w:szCs w:val="21"/>
                <w:highlight w:val="none"/>
              </w:rPr>
            </w:pPr>
            <w:r>
              <w:rPr>
                <w:rFonts w:ascii="宋体" w:hAnsi="宋体" w:eastAsia="宋体" w:cs="Microsoft JhengHei"/>
                <w:b/>
                <w:bCs/>
                <w:color w:val="auto"/>
                <w:sz w:val="21"/>
                <w:szCs w:val="21"/>
                <w:highlight w:val="none"/>
              </w:rPr>
              <w:t>编列内容</w:t>
            </w:r>
          </w:p>
        </w:tc>
      </w:tr>
      <w:tr>
        <w:tblPrEx>
          <w:tblCellMar>
            <w:top w:w="0" w:type="dxa"/>
            <w:left w:w="0" w:type="dxa"/>
            <w:bottom w:w="0" w:type="dxa"/>
            <w:right w:w="0" w:type="dxa"/>
          </w:tblCellMar>
        </w:tblPrEx>
        <w:trPr>
          <w:jc w:val="center"/>
        </w:trPr>
        <w:tc>
          <w:tcPr>
            <w:tcW w:w="1530" w:type="dxa"/>
            <w:gridSpan w:val="2"/>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2.2.1</w:t>
            </w:r>
          </w:p>
        </w:tc>
        <w:tc>
          <w:tcPr>
            <w:tcW w:w="2031"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分值构成</w:t>
            </w:r>
          </w:p>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w:t>
            </w:r>
            <w:r>
              <w:rPr>
                <w:rFonts w:ascii="宋体" w:hAnsi="宋体" w:eastAsia="宋体" w:cs="宋体"/>
                <w:color w:val="auto"/>
                <w:sz w:val="21"/>
                <w:szCs w:val="21"/>
                <w:highlight w:val="none"/>
              </w:rPr>
              <w:t>总分</w:t>
            </w:r>
            <w:r>
              <w:rPr>
                <w:rFonts w:ascii="宋体" w:hAnsi="宋体" w:eastAsia="宋体"/>
                <w:color w:val="auto"/>
                <w:sz w:val="21"/>
                <w:szCs w:val="21"/>
                <w:highlight w:val="none"/>
              </w:rPr>
              <w:t>100</w:t>
            </w:r>
            <w:r>
              <w:rPr>
                <w:rFonts w:ascii="宋体" w:hAnsi="宋体" w:eastAsia="宋体" w:cs="宋体"/>
                <w:color w:val="auto"/>
                <w:sz w:val="21"/>
                <w:szCs w:val="21"/>
                <w:highlight w:val="none"/>
              </w:rPr>
              <w:t>分</w:t>
            </w:r>
            <w:r>
              <w:rPr>
                <w:rFonts w:ascii="宋体" w:hAnsi="宋体" w:eastAsia="宋体"/>
                <w:color w:val="auto"/>
                <w:sz w:val="21"/>
                <w:szCs w:val="21"/>
                <w:highlight w:val="none"/>
              </w:rPr>
              <w:t>)</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商务文件部分：30分；</w:t>
            </w:r>
          </w:p>
          <w:p>
            <w:pPr>
              <w:pStyle w:val="63"/>
              <w:adjustRightInd w:val="0"/>
              <w:spacing w:beforeLines="50" w:line="360" w:lineRule="auto"/>
              <w:ind w:left="110" w:leftChars="50" w:right="110" w:rightChars="50"/>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技术文件（勘察设计方案部分）：70分</w:t>
            </w:r>
          </w:p>
        </w:tc>
      </w:tr>
      <w:tr>
        <w:tblPrEx>
          <w:tblCellMar>
            <w:top w:w="0" w:type="dxa"/>
            <w:left w:w="0" w:type="dxa"/>
            <w:bottom w:w="0" w:type="dxa"/>
            <w:right w:w="0" w:type="dxa"/>
          </w:tblCellMar>
        </w:tblPrEx>
        <w:trPr>
          <w:trHeight w:val="494" w:hRule="atLeast"/>
          <w:jc w:val="center"/>
        </w:trPr>
        <w:tc>
          <w:tcPr>
            <w:tcW w:w="1530" w:type="dxa"/>
            <w:gridSpan w:val="2"/>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2.2.2</w:t>
            </w:r>
          </w:p>
        </w:tc>
        <w:tc>
          <w:tcPr>
            <w:tcW w:w="2031"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评标基准价计算方法</w:t>
            </w:r>
          </w:p>
        </w:tc>
        <w:tc>
          <w:tcPr>
            <w:tcW w:w="5476" w:type="dxa"/>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p>
        </w:tc>
      </w:tr>
      <w:tr>
        <w:tblPrEx>
          <w:tblCellMar>
            <w:top w:w="0" w:type="dxa"/>
            <w:left w:w="0" w:type="dxa"/>
            <w:bottom w:w="0" w:type="dxa"/>
            <w:right w:w="0" w:type="dxa"/>
          </w:tblCellMar>
        </w:tblPrEx>
        <w:trPr>
          <w:trHeight w:val="657" w:hRule="atLeast"/>
          <w:jc w:val="center"/>
        </w:trPr>
        <w:tc>
          <w:tcPr>
            <w:tcW w:w="1530" w:type="dxa"/>
            <w:gridSpan w:val="2"/>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2.2.3</w:t>
            </w:r>
          </w:p>
        </w:tc>
        <w:tc>
          <w:tcPr>
            <w:tcW w:w="2031"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投标报价的偏差率计算公式</w:t>
            </w:r>
          </w:p>
        </w:tc>
        <w:tc>
          <w:tcPr>
            <w:tcW w:w="5476" w:type="dxa"/>
            <w:tcBorders>
              <w:top w:val="single" w:color="000000" w:sz="4" w:space="0"/>
              <w:left w:val="single" w:color="000000" w:sz="4" w:space="0"/>
              <w:bottom w:val="single" w:color="000000" w:sz="4" w:space="0"/>
              <w:right w:val="single" w:color="000000" w:sz="4" w:space="0"/>
            </w:tcBorders>
            <w:vAlign w:val="center"/>
          </w:tcPr>
          <w:p>
            <w:pPr>
              <w:adjustRightInd w:val="0"/>
              <w:spacing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p>
        </w:tc>
      </w:tr>
      <w:tr>
        <w:tblPrEx>
          <w:tblCellMar>
            <w:top w:w="0" w:type="dxa"/>
            <w:left w:w="0" w:type="dxa"/>
            <w:bottom w:w="0" w:type="dxa"/>
            <w:right w:w="0" w:type="dxa"/>
          </w:tblCellMar>
        </w:tblPrEx>
        <w:trPr>
          <w:jc w:val="center"/>
        </w:trPr>
        <w:tc>
          <w:tcPr>
            <w:tcW w:w="1530" w:type="dxa"/>
            <w:gridSpan w:val="2"/>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s="Microsoft JhengHei"/>
                <w:color w:val="auto"/>
                <w:sz w:val="21"/>
                <w:szCs w:val="21"/>
                <w:highlight w:val="none"/>
              </w:rPr>
            </w:pPr>
            <w:r>
              <w:rPr>
                <w:rFonts w:ascii="宋体" w:hAnsi="宋体" w:eastAsia="宋体" w:cs="Microsoft JhengHei"/>
                <w:b/>
                <w:bCs/>
                <w:color w:val="auto"/>
                <w:sz w:val="21"/>
                <w:szCs w:val="21"/>
                <w:highlight w:val="none"/>
              </w:rPr>
              <w:t>条款号</w:t>
            </w:r>
          </w:p>
        </w:tc>
        <w:tc>
          <w:tcPr>
            <w:tcW w:w="2031"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s="Microsoft JhengHei"/>
                <w:color w:val="auto"/>
                <w:sz w:val="21"/>
                <w:szCs w:val="21"/>
                <w:highlight w:val="none"/>
              </w:rPr>
            </w:pPr>
            <w:r>
              <w:rPr>
                <w:rFonts w:ascii="宋体" w:hAnsi="宋体" w:eastAsia="宋体" w:cs="Microsoft JhengHei"/>
                <w:b/>
                <w:bCs/>
                <w:color w:val="auto"/>
                <w:sz w:val="21"/>
                <w:szCs w:val="21"/>
                <w:highlight w:val="none"/>
              </w:rPr>
              <w:t>评分因素</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3"/>
              <w:adjustRightInd w:val="0"/>
              <w:spacing w:beforeLines="50" w:line="360" w:lineRule="auto"/>
              <w:ind w:left="110" w:leftChars="50" w:right="110" w:rightChars="50"/>
              <w:jc w:val="center"/>
              <w:rPr>
                <w:rFonts w:ascii="宋体" w:hAnsi="宋体" w:eastAsia="宋体" w:cs="Microsoft JhengHei"/>
                <w:color w:val="auto"/>
                <w:sz w:val="21"/>
                <w:szCs w:val="21"/>
                <w:highlight w:val="none"/>
              </w:rPr>
            </w:pPr>
            <w:r>
              <w:rPr>
                <w:rFonts w:ascii="宋体" w:hAnsi="宋体" w:eastAsia="宋体" w:cs="Microsoft JhengHei"/>
                <w:b/>
                <w:bCs/>
                <w:color w:val="auto"/>
                <w:sz w:val="21"/>
                <w:szCs w:val="21"/>
                <w:highlight w:val="none"/>
              </w:rPr>
              <w:t>评分标准</w:t>
            </w:r>
          </w:p>
        </w:tc>
      </w:tr>
      <w:tr>
        <w:tblPrEx>
          <w:tblCellMar>
            <w:top w:w="0" w:type="dxa"/>
            <w:left w:w="0" w:type="dxa"/>
            <w:bottom w:w="0" w:type="dxa"/>
            <w:right w:w="0" w:type="dxa"/>
          </w:tblCellMar>
        </w:tblPrEx>
        <w:trPr>
          <w:trHeight w:val="3180" w:hRule="atLeast"/>
          <w:jc w:val="center"/>
        </w:trPr>
        <w:tc>
          <w:tcPr>
            <w:tcW w:w="625" w:type="dxa"/>
            <w:vMerge w:val="restart"/>
            <w:tcBorders>
              <w:top w:val="single" w:color="000000" w:sz="4" w:space="0"/>
              <w:left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2.2.4（1）</w:t>
            </w:r>
          </w:p>
        </w:tc>
        <w:tc>
          <w:tcPr>
            <w:tcW w:w="905" w:type="dxa"/>
            <w:vMerge w:val="restart"/>
            <w:tcBorders>
              <w:top w:val="single" w:color="000000" w:sz="4" w:space="0"/>
              <w:left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商务文件（资信业绩评分标准）（30分）</w:t>
            </w:r>
          </w:p>
        </w:tc>
        <w:tc>
          <w:tcPr>
            <w:tcW w:w="203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企业业绩（</w:t>
            </w:r>
            <w:r>
              <w:rPr>
                <w:rFonts w:hint="eastAsia" w:ascii="宋体" w:hAnsi="宋体" w:eastAsia="宋体" w:cs="宋体"/>
                <w:color w:val="auto"/>
                <w:sz w:val="21"/>
                <w:szCs w:val="21"/>
                <w:highlight w:val="none"/>
                <w:lang w:val="en-US" w:eastAsia="zh-CN"/>
              </w:rPr>
              <w:t>9分</w:t>
            </w:r>
            <w:r>
              <w:rPr>
                <w:rFonts w:hint="eastAsia" w:ascii="宋体" w:hAnsi="宋体" w:eastAsia="宋体" w:cs="宋体"/>
                <w:color w:val="auto"/>
                <w:sz w:val="21"/>
                <w:szCs w:val="21"/>
                <w:highlight w:val="none"/>
                <w:lang w:eastAsia="zh-CN"/>
              </w:rPr>
              <w:t>）</w:t>
            </w:r>
          </w:p>
        </w:tc>
        <w:tc>
          <w:tcPr>
            <w:tcW w:w="5476" w:type="dxa"/>
            <w:tcBorders>
              <w:top w:val="single" w:color="000000" w:sz="4" w:space="0"/>
              <w:left w:val="single" w:color="000000" w:sz="4" w:space="0"/>
              <w:right w:val="single" w:color="000000" w:sz="4" w:space="0"/>
            </w:tcBorders>
            <w:vAlign w:val="center"/>
          </w:tcPr>
          <w:p>
            <w:pPr>
              <w:spacing w:line="240" w:lineRule="exac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1、设计业绩：</w:t>
            </w:r>
          </w:p>
          <w:p>
            <w:pPr>
              <w:spacing w:line="240" w:lineRule="exac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2020年1月1日至投标截止时间，独立投标人或联合体</w:t>
            </w:r>
            <w:r>
              <w:rPr>
                <w:rFonts w:hint="eastAsia"/>
                <w:color w:val="auto"/>
                <w:highlight w:val="none"/>
                <w:lang w:val="en-US" w:eastAsia="zh-CN"/>
              </w:rPr>
              <w:t>主办方</w:t>
            </w:r>
            <w:r>
              <w:rPr>
                <w:rFonts w:hint="eastAsia" w:ascii="宋体" w:hAnsi="宋体" w:eastAsia="宋体" w:cs="宋体"/>
                <w:color w:val="auto"/>
                <w:sz w:val="21"/>
                <w:szCs w:val="21"/>
                <w:highlight w:val="none"/>
                <w:lang w:val="zh-CN" w:eastAsia="zh-CN"/>
              </w:rPr>
              <w:t>承接过房建类工程设计项目，每提供一个得1.5分，最多得6分。</w:t>
            </w:r>
          </w:p>
          <w:p>
            <w:pPr>
              <w:spacing w:line="240" w:lineRule="exac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（注：①以合同签订时间为准；②提供设计合同并加盖投标人公章作为评审依据，不提供不得分。）</w:t>
            </w:r>
          </w:p>
          <w:p>
            <w:pPr>
              <w:spacing w:line="240" w:lineRule="exac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2、勘察业绩：</w:t>
            </w:r>
          </w:p>
          <w:p>
            <w:pPr>
              <w:spacing w:line="240" w:lineRule="exac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2020年1月1日至投标截止时间，独立投标人或联合体勘察方承接过工程勘察项目业绩的，每提供一个得1.5分，最多得3分。</w:t>
            </w:r>
          </w:p>
          <w:p>
            <w:pPr>
              <w:spacing w:line="240" w:lineRule="exact"/>
              <w:rPr>
                <w:rFonts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（注：①以合同签订时间为准；②提供勘察合同并加盖投标人公章作为评审依据，不提供不得分。）</w:t>
            </w:r>
          </w:p>
        </w:tc>
      </w:tr>
      <w:tr>
        <w:tblPrEx>
          <w:tblCellMar>
            <w:top w:w="0" w:type="dxa"/>
            <w:left w:w="0" w:type="dxa"/>
            <w:bottom w:w="0" w:type="dxa"/>
            <w:right w:w="0" w:type="dxa"/>
          </w:tblCellMar>
        </w:tblPrEx>
        <w:trPr>
          <w:trHeight w:val="2560" w:hRule="atLeast"/>
          <w:jc w:val="center"/>
        </w:trPr>
        <w:tc>
          <w:tcPr>
            <w:tcW w:w="625" w:type="dxa"/>
            <w:vMerge w:val="continue"/>
            <w:tcBorders>
              <w:left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lang w:eastAsia="zh-CN"/>
              </w:rPr>
            </w:pPr>
          </w:p>
        </w:tc>
        <w:tc>
          <w:tcPr>
            <w:tcW w:w="905" w:type="dxa"/>
            <w:vMerge w:val="continue"/>
            <w:tcBorders>
              <w:left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s="宋体"/>
                <w:color w:val="auto"/>
                <w:sz w:val="21"/>
                <w:szCs w:val="21"/>
                <w:highlight w:val="none"/>
                <w:lang w:eastAsia="zh-CN"/>
              </w:rPr>
            </w:pPr>
          </w:p>
        </w:tc>
        <w:tc>
          <w:tcPr>
            <w:tcW w:w="2031" w:type="dxa"/>
            <w:tcBorders>
              <w:top w:val="single" w:color="000000" w:sz="4" w:space="0"/>
              <w:left w:val="single" w:color="000000" w:sz="4" w:space="0"/>
              <w:right w:val="single" w:color="000000" w:sz="4" w:space="0"/>
            </w:tcBorders>
            <w:vAlign w:val="center"/>
          </w:tcPr>
          <w:p>
            <w:pPr>
              <w:adjustRightInd w:val="0"/>
              <w:snapToGrid w:val="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项目负责人综合素质（</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lang w:eastAsia="zh-CN"/>
              </w:rPr>
              <w:t>）</w:t>
            </w:r>
          </w:p>
        </w:tc>
        <w:tc>
          <w:tcPr>
            <w:tcW w:w="5476" w:type="dxa"/>
            <w:tcBorders>
              <w:top w:val="single" w:color="000000" w:sz="4" w:space="0"/>
              <w:left w:val="single" w:color="000000" w:sz="4" w:space="0"/>
              <w:right w:val="single" w:color="000000" w:sz="4" w:space="0"/>
            </w:tcBorders>
            <w:vAlign w:val="center"/>
          </w:tcPr>
          <w:p>
            <w:pPr>
              <w:spacing w:line="240" w:lineRule="exac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独立投标人或联合体</w:t>
            </w:r>
            <w:r>
              <w:rPr>
                <w:rFonts w:hint="eastAsia"/>
                <w:color w:val="auto"/>
                <w:highlight w:val="none"/>
                <w:lang w:val="en-US" w:eastAsia="zh-CN"/>
              </w:rPr>
              <w:t>主办方</w:t>
            </w:r>
            <w:r>
              <w:rPr>
                <w:rFonts w:hint="eastAsia" w:ascii="宋体" w:hAnsi="宋体" w:eastAsia="宋体" w:cs="宋体"/>
                <w:color w:val="auto"/>
                <w:sz w:val="21"/>
                <w:szCs w:val="21"/>
                <w:highlight w:val="none"/>
                <w:lang w:val="zh-CN" w:eastAsia="zh-CN"/>
              </w:rPr>
              <w:t>拟派的设计项目负责人：</w:t>
            </w:r>
          </w:p>
          <w:p>
            <w:pPr>
              <w:spacing w:line="240" w:lineRule="exac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（1）具有</w:t>
            </w:r>
            <w:r>
              <w:rPr>
                <w:rFonts w:hint="eastAsia" w:ascii="宋体" w:hAnsi="宋体" w:eastAsia="宋体" w:cs="宋体"/>
                <w:color w:val="auto"/>
                <w:sz w:val="21"/>
                <w:szCs w:val="21"/>
                <w:highlight w:val="none"/>
                <w:lang w:val="en-US" w:eastAsia="zh-CN"/>
              </w:rPr>
              <w:t>副</w:t>
            </w:r>
            <w:r>
              <w:rPr>
                <w:rFonts w:hint="eastAsia" w:ascii="宋体" w:hAnsi="宋体" w:eastAsia="宋体" w:cs="宋体"/>
                <w:color w:val="auto"/>
                <w:sz w:val="21"/>
                <w:szCs w:val="21"/>
                <w:highlight w:val="none"/>
                <w:lang w:eastAsia="zh-CN"/>
              </w:rPr>
              <w:t>高</w:t>
            </w:r>
            <w:r>
              <w:rPr>
                <w:rFonts w:hint="eastAsia" w:ascii="宋体" w:hAnsi="宋体" w:eastAsia="宋体" w:cs="宋体"/>
                <w:color w:val="auto"/>
                <w:sz w:val="21"/>
                <w:szCs w:val="21"/>
                <w:highlight w:val="none"/>
                <w:lang w:val="en-US" w:eastAsia="zh-CN"/>
              </w:rPr>
              <w:t>级</w:t>
            </w:r>
            <w:r>
              <w:rPr>
                <w:rFonts w:hint="eastAsia" w:ascii="宋体" w:hAnsi="宋体" w:eastAsia="宋体" w:cs="宋体"/>
                <w:color w:val="auto"/>
                <w:sz w:val="21"/>
                <w:szCs w:val="21"/>
                <w:highlight w:val="none"/>
                <w:lang w:eastAsia="zh-CN"/>
              </w:rPr>
              <w:t>工程师</w:t>
            </w:r>
            <w:r>
              <w:rPr>
                <w:rFonts w:hint="eastAsia" w:ascii="宋体" w:hAnsi="宋体" w:eastAsia="宋体" w:cs="宋体"/>
                <w:color w:val="auto"/>
                <w:sz w:val="21"/>
                <w:szCs w:val="21"/>
                <w:highlight w:val="none"/>
                <w:lang w:val="en-US" w:eastAsia="zh-CN"/>
              </w:rPr>
              <w:t>或以上级别</w:t>
            </w:r>
            <w:r>
              <w:rPr>
                <w:rFonts w:hint="eastAsia" w:ascii="宋体" w:hAnsi="宋体" w:eastAsia="宋体" w:cs="宋体"/>
                <w:color w:val="auto"/>
                <w:sz w:val="21"/>
                <w:szCs w:val="21"/>
                <w:highlight w:val="none"/>
                <w:lang w:eastAsia="zh-CN"/>
              </w:rPr>
              <w:t>职称</w:t>
            </w:r>
            <w:r>
              <w:rPr>
                <w:rFonts w:hint="eastAsia" w:ascii="宋体" w:hAnsi="宋体" w:eastAsia="宋体" w:cs="宋体"/>
                <w:color w:val="auto"/>
                <w:sz w:val="21"/>
                <w:szCs w:val="21"/>
                <w:highlight w:val="none"/>
                <w:lang w:val="zh-CN" w:eastAsia="zh-CN"/>
              </w:rPr>
              <w:t>的得2分；</w:t>
            </w:r>
          </w:p>
          <w:p>
            <w:pPr>
              <w:spacing w:line="240" w:lineRule="exac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（2）2020年1月1日至投标截止时间，以设计负责人或项目负责人身份主持过房建类工程设计项目的得1分。</w:t>
            </w:r>
          </w:p>
          <w:p>
            <w:pPr>
              <w:spacing w:line="240" w:lineRule="exact"/>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eastAsia="zh-CN"/>
              </w:rPr>
              <w:t>（注：本项最高得3分；提供拟派的设计项目负责人的相关注册证书、职称证、身份证、业绩合同复印件及近一个月（2023年</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月）有效的社保的证明材料（所属当地社保管理部门出具的证明或所属当地社保管理部门网站下载打印的打印件）等相关证明材料并加盖投标人公章作为评审依据，不提供不得分。）</w:t>
            </w:r>
          </w:p>
        </w:tc>
      </w:tr>
      <w:tr>
        <w:tblPrEx>
          <w:tblCellMar>
            <w:top w:w="0" w:type="dxa"/>
            <w:left w:w="0" w:type="dxa"/>
            <w:bottom w:w="0" w:type="dxa"/>
            <w:right w:w="0" w:type="dxa"/>
          </w:tblCellMar>
        </w:tblPrEx>
        <w:trPr>
          <w:trHeight w:val="870" w:hRule="atLeast"/>
          <w:jc w:val="center"/>
        </w:trPr>
        <w:tc>
          <w:tcPr>
            <w:tcW w:w="625" w:type="dxa"/>
            <w:vMerge w:val="continue"/>
            <w:tcBorders>
              <w:left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lang w:eastAsia="zh-CN"/>
              </w:rPr>
            </w:pPr>
          </w:p>
        </w:tc>
        <w:tc>
          <w:tcPr>
            <w:tcW w:w="905" w:type="dxa"/>
            <w:vMerge w:val="continue"/>
            <w:tcBorders>
              <w:left w:val="single" w:color="000000" w:sz="4" w:space="0"/>
              <w:right w:val="single" w:color="000000" w:sz="4" w:space="0"/>
            </w:tcBorders>
            <w:vAlign w:val="center"/>
          </w:tcPr>
          <w:p>
            <w:pPr>
              <w:pStyle w:val="63"/>
              <w:adjustRightInd w:val="0"/>
              <w:spacing w:beforeLines="50" w:line="360" w:lineRule="auto"/>
              <w:jc w:val="center"/>
              <w:rPr>
                <w:rFonts w:ascii="宋体" w:hAnsi="宋体" w:eastAsia="宋体" w:cs="宋体"/>
                <w:color w:val="auto"/>
                <w:sz w:val="21"/>
                <w:szCs w:val="21"/>
                <w:highlight w:val="none"/>
                <w:lang w:eastAsia="zh-CN"/>
              </w:rPr>
            </w:pPr>
          </w:p>
        </w:tc>
        <w:tc>
          <w:tcPr>
            <w:tcW w:w="2031" w:type="dxa"/>
            <w:tcBorders>
              <w:top w:val="single" w:color="000000" w:sz="4" w:space="0"/>
              <w:left w:val="single" w:color="000000" w:sz="4" w:space="0"/>
              <w:bottom w:val="single" w:color="auto" w:sz="4" w:space="0"/>
              <w:right w:val="single" w:color="000000" w:sz="4" w:space="0"/>
            </w:tcBorders>
            <w:vAlign w:val="center"/>
          </w:tcPr>
          <w:p>
            <w:pPr>
              <w:adjustRightInd w:val="0"/>
              <w:snapToGrid w:val="0"/>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项目管理班子配备情况（</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lang w:eastAsia="zh-CN"/>
              </w:rPr>
              <w:t>）</w:t>
            </w:r>
          </w:p>
        </w:tc>
        <w:tc>
          <w:tcPr>
            <w:tcW w:w="5476" w:type="dxa"/>
            <w:tcBorders>
              <w:top w:val="single" w:color="000000" w:sz="4" w:space="0"/>
              <w:left w:val="single" w:color="000000" w:sz="4" w:space="0"/>
              <w:bottom w:val="single" w:color="auto" w:sz="4" w:space="0"/>
              <w:right w:val="single" w:color="000000" w:sz="4" w:space="0"/>
            </w:tcBorders>
            <w:vAlign w:val="center"/>
          </w:tcPr>
          <w:p>
            <w:pPr>
              <w:adjustRightInd w:val="0"/>
              <w:snapToGrid w:val="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根据独立投标人或联合体</w:t>
            </w:r>
            <w:r>
              <w:rPr>
                <w:rFonts w:hint="eastAsia"/>
                <w:color w:val="auto"/>
                <w:highlight w:val="none"/>
                <w:lang w:val="en-US" w:eastAsia="zh-CN"/>
              </w:rPr>
              <w:t>主办方</w:t>
            </w:r>
            <w:r>
              <w:rPr>
                <w:rFonts w:hint="eastAsia" w:ascii="宋体" w:hAnsi="宋体" w:eastAsia="宋体" w:cs="宋体"/>
                <w:color w:val="auto"/>
                <w:sz w:val="21"/>
                <w:szCs w:val="21"/>
                <w:highlight w:val="none"/>
                <w:lang w:val="zh-CN" w:eastAsia="zh-CN"/>
              </w:rPr>
              <w:t>拟投入在本项目的设计项目管理班子（不含设计项目负责人）配备情况进行综合评审：</w:t>
            </w:r>
          </w:p>
          <w:p>
            <w:pPr>
              <w:adjustRightInd w:val="0"/>
              <w:snapToGrid w:val="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（1）配备建筑、结构、给排水、电气、风景园林、道路（6个</w:t>
            </w:r>
            <w:r>
              <w:rPr>
                <w:rFonts w:hint="eastAsia" w:ascii="宋体" w:hAnsi="宋体" w:eastAsia="宋体" w:cs="宋体"/>
                <w:color w:val="auto"/>
                <w:sz w:val="21"/>
                <w:szCs w:val="21"/>
                <w:highlight w:val="none"/>
                <w:lang w:val="en-US" w:eastAsia="zh-CN"/>
              </w:rPr>
              <w:t>主要</w:t>
            </w:r>
            <w:r>
              <w:rPr>
                <w:rFonts w:hint="eastAsia" w:ascii="宋体" w:hAnsi="宋体" w:eastAsia="宋体" w:cs="宋体"/>
                <w:color w:val="auto"/>
                <w:sz w:val="21"/>
                <w:szCs w:val="21"/>
                <w:highlight w:val="none"/>
                <w:lang w:val="zh-CN" w:eastAsia="zh-CN"/>
              </w:rPr>
              <w:t>专业）专业设计负责人且专业设计负责人中具有相应专业</w:t>
            </w:r>
            <w:r>
              <w:rPr>
                <w:rFonts w:hint="eastAsia" w:ascii="宋体" w:hAnsi="宋体" w:eastAsia="宋体" w:cs="宋体"/>
                <w:color w:val="auto"/>
                <w:sz w:val="21"/>
                <w:szCs w:val="21"/>
                <w:highlight w:val="none"/>
                <w:lang w:val="en-US" w:eastAsia="zh-CN"/>
              </w:rPr>
              <w:t>副</w:t>
            </w:r>
            <w:r>
              <w:rPr>
                <w:rFonts w:hint="eastAsia" w:ascii="宋体" w:hAnsi="宋体" w:eastAsia="宋体" w:cs="宋体"/>
                <w:color w:val="auto"/>
                <w:sz w:val="21"/>
                <w:szCs w:val="21"/>
                <w:highlight w:val="none"/>
                <w:lang w:eastAsia="zh-CN"/>
              </w:rPr>
              <w:t>高</w:t>
            </w:r>
            <w:r>
              <w:rPr>
                <w:rFonts w:hint="eastAsia" w:ascii="宋体" w:hAnsi="宋体" w:eastAsia="宋体" w:cs="宋体"/>
                <w:color w:val="auto"/>
                <w:sz w:val="21"/>
                <w:szCs w:val="21"/>
                <w:highlight w:val="none"/>
                <w:lang w:val="en-US" w:eastAsia="zh-CN"/>
              </w:rPr>
              <w:t>级</w:t>
            </w:r>
            <w:r>
              <w:rPr>
                <w:rFonts w:hint="eastAsia" w:ascii="宋体" w:hAnsi="宋体" w:eastAsia="宋体" w:cs="宋体"/>
                <w:color w:val="auto"/>
                <w:sz w:val="21"/>
                <w:szCs w:val="21"/>
                <w:highlight w:val="none"/>
                <w:lang w:eastAsia="zh-CN"/>
              </w:rPr>
              <w:t>工程师</w:t>
            </w:r>
            <w:r>
              <w:rPr>
                <w:rFonts w:hint="eastAsia" w:ascii="宋体" w:hAnsi="宋体" w:eastAsia="宋体" w:cs="宋体"/>
                <w:color w:val="auto"/>
                <w:sz w:val="21"/>
                <w:szCs w:val="21"/>
                <w:highlight w:val="none"/>
                <w:lang w:val="en-US" w:eastAsia="zh-CN"/>
              </w:rPr>
              <w:t>或以上级别</w:t>
            </w:r>
            <w:r>
              <w:rPr>
                <w:rFonts w:hint="eastAsia" w:ascii="宋体" w:hAnsi="宋体" w:eastAsia="宋体" w:cs="宋体"/>
                <w:color w:val="auto"/>
                <w:sz w:val="21"/>
                <w:szCs w:val="21"/>
                <w:highlight w:val="none"/>
                <w:lang w:eastAsia="zh-CN"/>
              </w:rPr>
              <w:t>职称</w:t>
            </w:r>
            <w:r>
              <w:rPr>
                <w:rFonts w:hint="eastAsia" w:ascii="宋体" w:hAnsi="宋体" w:eastAsia="宋体" w:cs="宋体"/>
                <w:color w:val="auto"/>
                <w:sz w:val="21"/>
                <w:szCs w:val="21"/>
                <w:highlight w:val="none"/>
                <w:lang w:val="zh-CN" w:eastAsia="zh-CN"/>
              </w:rPr>
              <w:t>的，每具备一人得0.5分，最多得3分；</w:t>
            </w:r>
          </w:p>
          <w:p>
            <w:pPr>
              <w:adjustRightInd w:val="0"/>
              <w:snapToGrid w:val="0"/>
              <w:rPr>
                <w:rFonts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（注：①本项最高得3分。②上述人员必须是投标人本单位的在职员工且各岗位之间不得互相兼任。③提供与人员对应的身份证、专业注册证书（如有）、职称证书、人员近一个月（2023年</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月）有效的社保证明材料复印件并加盖投标人公章作为评审依据，否则不计得分。④社保证明材料可以是所属当地社保管理部门出具的证明或所属当地社保管理部门网站下载打印的打印件证明材料；注册类工程师必需为注册在投标人本单位的在职人员并在（http://jzsc.mohurd.gov.cn/）“全国建筑市场监管公共服务平台”-注册人员查询中查证已登记在本公司名册内（不含子母公司），提供网站查询截图，否则不计得分）。</w:t>
            </w:r>
          </w:p>
        </w:tc>
      </w:tr>
      <w:tr>
        <w:tblPrEx>
          <w:tblCellMar>
            <w:top w:w="0" w:type="dxa"/>
            <w:left w:w="0" w:type="dxa"/>
            <w:bottom w:w="0" w:type="dxa"/>
            <w:right w:w="0" w:type="dxa"/>
          </w:tblCellMar>
        </w:tblPrEx>
        <w:trPr>
          <w:trHeight w:val="294" w:hRule="atLeast"/>
          <w:jc w:val="center"/>
        </w:trPr>
        <w:tc>
          <w:tcPr>
            <w:tcW w:w="625" w:type="dxa"/>
            <w:vMerge w:val="continue"/>
            <w:tcBorders>
              <w:left w:val="single" w:color="000000" w:sz="4" w:space="0"/>
              <w:bottom w:val="single" w:color="auto" w:sz="4" w:space="0"/>
              <w:right w:val="single" w:color="000000" w:sz="4" w:space="0"/>
            </w:tcBorders>
            <w:vAlign w:val="center"/>
          </w:tcPr>
          <w:p>
            <w:pPr>
              <w:pStyle w:val="63"/>
              <w:adjustRightInd w:val="0"/>
              <w:spacing w:beforeLines="50" w:line="360" w:lineRule="auto"/>
              <w:jc w:val="center"/>
              <w:rPr>
                <w:rFonts w:ascii="宋体" w:hAnsi="宋体" w:eastAsia="宋体"/>
                <w:color w:val="auto"/>
                <w:sz w:val="21"/>
                <w:szCs w:val="21"/>
                <w:highlight w:val="none"/>
                <w:lang w:eastAsia="zh-CN"/>
              </w:rPr>
            </w:pPr>
          </w:p>
        </w:tc>
        <w:tc>
          <w:tcPr>
            <w:tcW w:w="905" w:type="dxa"/>
            <w:vMerge w:val="continue"/>
            <w:tcBorders>
              <w:left w:val="single" w:color="000000" w:sz="4" w:space="0"/>
              <w:bottom w:val="single" w:color="auto" w:sz="4" w:space="0"/>
              <w:right w:val="single" w:color="000000" w:sz="4" w:space="0"/>
            </w:tcBorders>
            <w:vAlign w:val="center"/>
          </w:tcPr>
          <w:p>
            <w:pPr>
              <w:pStyle w:val="63"/>
              <w:adjustRightInd w:val="0"/>
              <w:spacing w:beforeLines="50" w:line="360" w:lineRule="auto"/>
              <w:jc w:val="center"/>
              <w:rPr>
                <w:rFonts w:ascii="宋体" w:hAnsi="宋体" w:eastAsia="宋体" w:cs="宋体"/>
                <w:color w:val="auto"/>
                <w:sz w:val="21"/>
                <w:szCs w:val="21"/>
                <w:highlight w:val="none"/>
                <w:lang w:eastAsia="zh-CN"/>
              </w:rPr>
            </w:pPr>
          </w:p>
        </w:tc>
        <w:tc>
          <w:tcPr>
            <w:tcW w:w="2031" w:type="dxa"/>
            <w:tcBorders>
              <w:top w:val="single" w:color="auto" w:sz="4" w:space="0"/>
              <w:left w:val="single" w:color="000000" w:sz="4" w:space="0"/>
              <w:bottom w:val="single" w:color="auto" w:sz="4" w:space="0"/>
              <w:right w:val="single" w:color="000000" w:sz="4" w:space="0"/>
            </w:tcBorders>
            <w:vAlign w:val="center"/>
          </w:tcPr>
          <w:p>
            <w:pPr>
              <w:adjustRightInd w:val="0"/>
              <w:snapToGrid w:val="0"/>
              <w:jc w:val="center"/>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企业资信（</w:t>
            </w:r>
            <w:r>
              <w:rPr>
                <w:rFonts w:hint="eastAsia" w:ascii="宋体" w:hAnsi="宋体" w:eastAsia="宋体" w:cs="宋体"/>
                <w:color w:val="auto"/>
                <w:sz w:val="21"/>
                <w:szCs w:val="21"/>
                <w:highlight w:val="none"/>
                <w:lang w:val="en-US" w:eastAsia="zh-CN"/>
              </w:rPr>
              <w:t>15分</w:t>
            </w:r>
            <w:r>
              <w:rPr>
                <w:rFonts w:hint="eastAsia" w:ascii="宋体" w:hAnsi="宋体" w:eastAsia="宋体" w:cs="宋体"/>
                <w:color w:val="auto"/>
                <w:sz w:val="21"/>
                <w:szCs w:val="21"/>
                <w:highlight w:val="none"/>
                <w:lang w:val="zh-CN" w:eastAsia="zh-CN"/>
              </w:rPr>
              <w:t>）</w:t>
            </w:r>
          </w:p>
          <w:p>
            <w:pPr>
              <w:adjustRightInd w:val="0"/>
              <w:snapToGrid w:val="0"/>
              <w:jc w:val="center"/>
              <w:rPr>
                <w:rFonts w:ascii="宋体" w:hAnsi="宋体" w:eastAsia="宋体" w:cs="宋体"/>
                <w:color w:val="auto"/>
                <w:sz w:val="21"/>
                <w:szCs w:val="21"/>
                <w:highlight w:val="none"/>
                <w:lang w:val="zh-CN" w:eastAsia="zh-CN"/>
              </w:rPr>
            </w:pPr>
          </w:p>
          <w:p>
            <w:pPr>
              <w:adjustRightInd w:val="0"/>
              <w:snapToGrid w:val="0"/>
              <w:jc w:val="center"/>
              <w:rPr>
                <w:rFonts w:ascii="宋体" w:hAnsi="宋体" w:eastAsia="宋体" w:cs="宋体"/>
                <w:color w:val="auto"/>
                <w:sz w:val="21"/>
                <w:szCs w:val="21"/>
                <w:highlight w:val="none"/>
                <w:lang w:val="zh-CN"/>
              </w:rPr>
            </w:pPr>
          </w:p>
        </w:tc>
        <w:tc>
          <w:tcPr>
            <w:tcW w:w="5476" w:type="dxa"/>
            <w:tcBorders>
              <w:top w:val="single" w:color="auto" w:sz="4" w:space="0"/>
              <w:left w:val="single" w:color="000000" w:sz="4" w:space="0"/>
              <w:bottom w:val="single" w:color="auto" w:sz="4" w:space="0"/>
              <w:right w:val="single" w:color="000000" w:sz="4" w:space="0"/>
            </w:tcBorders>
            <w:vAlign w:val="center"/>
          </w:tcPr>
          <w:p>
            <w:pPr>
              <w:adjustRightInd w:val="0"/>
              <w:snapToGrid w:val="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1、管理体系认证：独立投标人或联合体</w:t>
            </w:r>
            <w:r>
              <w:rPr>
                <w:rFonts w:hint="eastAsia"/>
                <w:color w:val="auto"/>
                <w:highlight w:val="none"/>
                <w:lang w:val="en-US" w:eastAsia="zh-CN"/>
              </w:rPr>
              <w:t>主办方</w:t>
            </w:r>
            <w:r>
              <w:rPr>
                <w:rFonts w:hint="eastAsia" w:ascii="宋体" w:hAnsi="宋体" w:eastAsia="宋体" w:cs="宋体"/>
                <w:color w:val="auto"/>
                <w:sz w:val="21"/>
                <w:szCs w:val="21"/>
                <w:highlight w:val="none"/>
                <w:lang w:val="zh-CN" w:eastAsia="zh-CN"/>
              </w:rPr>
              <w:t>具有有效期内的质量管理体系升级版AAA认证的，得8分；升级版AA认证的，得5分；升级版A认证的，得2分，没有提供材料不得分。</w:t>
            </w:r>
          </w:p>
          <w:p>
            <w:pPr>
              <w:adjustRightInd w:val="0"/>
              <w:snapToGrid w:val="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2、诚信体系：独立投标人或联合体</w:t>
            </w:r>
            <w:r>
              <w:rPr>
                <w:rFonts w:hint="eastAsia"/>
                <w:color w:val="auto"/>
                <w:highlight w:val="none"/>
                <w:lang w:val="en-US" w:eastAsia="zh-CN"/>
              </w:rPr>
              <w:t>主办方</w:t>
            </w:r>
            <w:r>
              <w:rPr>
                <w:rFonts w:hint="eastAsia" w:ascii="宋体" w:hAnsi="宋体" w:eastAsia="宋体" w:cs="宋体"/>
                <w:color w:val="auto"/>
                <w:sz w:val="21"/>
                <w:szCs w:val="21"/>
                <w:highlight w:val="none"/>
                <w:lang w:val="zh-CN" w:eastAsia="zh-CN"/>
              </w:rPr>
              <w:t>获得省级或以上行业协会颁发的（勘察设计）诚信评价（或企业信用等级评价）AAAAA级证书连续3年以上的得7分，连续2年以上的得4分，获得1年的得1分，没有提供材料不得分。</w:t>
            </w:r>
          </w:p>
          <w:p>
            <w:pPr>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eastAsia="zh-CN"/>
              </w:rPr>
              <w:t>（注：以上须提供相关证明文件的复印件并加盖投标人公章作为评审依据，不提供不得分。）</w:t>
            </w:r>
          </w:p>
        </w:tc>
      </w:tr>
      <w:tr>
        <w:tblPrEx>
          <w:tblCellMar>
            <w:top w:w="0" w:type="dxa"/>
            <w:left w:w="0" w:type="dxa"/>
            <w:bottom w:w="0" w:type="dxa"/>
            <w:right w:w="0" w:type="dxa"/>
          </w:tblCellMar>
        </w:tblPrEx>
        <w:trPr>
          <w:trHeight w:val="1033" w:hRule="atLeast"/>
          <w:jc w:val="center"/>
        </w:trPr>
        <w:tc>
          <w:tcPr>
            <w:tcW w:w="625" w:type="dxa"/>
            <w:vMerge w:val="restart"/>
            <w:tcBorders>
              <w:top w:val="single" w:color="auto" w:sz="4" w:space="0"/>
              <w:left w:val="single" w:color="auto" w:sz="4" w:space="0"/>
              <w:bottom w:val="single" w:color="auto" w:sz="4" w:space="0"/>
              <w:right w:val="single" w:color="auto" w:sz="4" w:space="0"/>
            </w:tcBorders>
            <w:vAlign w:val="center"/>
          </w:tcPr>
          <w:p>
            <w:pPr>
              <w:pStyle w:val="63"/>
              <w:adjustRightInd w:val="0"/>
              <w:spacing w:beforeLines="50" w:line="360" w:lineRule="auto"/>
              <w:jc w:val="center"/>
              <w:rPr>
                <w:rFonts w:ascii="宋体" w:hAnsi="宋体" w:eastAsia="宋体" w:cs="宋体"/>
                <w:color w:val="auto"/>
                <w:sz w:val="21"/>
                <w:szCs w:val="21"/>
                <w:highlight w:val="none"/>
              </w:rPr>
            </w:pPr>
            <w:r>
              <w:rPr>
                <w:rFonts w:ascii="宋体" w:hAnsi="宋体" w:eastAsia="宋体"/>
                <w:color w:val="auto"/>
                <w:sz w:val="21"/>
                <w:szCs w:val="21"/>
                <w:highlight w:val="none"/>
              </w:rPr>
              <w:t>2.2.4</w:t>
            </w:r>
            <w:r>
              <w:rPr>
                <w:rFonts w:ascii="宋体" w:hAnsi="宋体" w:eastAsia="宋体" w:cs="宋体"/>
                <w:color w:val="auto"/>
                <w:sz w:val="21"/>
                <w:szCs w:val="21"/>
                <w:highlight w:val="none"/>
              </w:rPr>
              <w:t>（</w:t>
            </w:r>
            <w:r>
              <w:rPr>
                <w:rFonts w:ascii="宋体" w:hAnsi="宋体" w:eastAsia="宋体"/>
                <w:color w:val="auto"/>
                <w:sz w:val="21"/>
                <w:szCs w:val="21"/>
                <w:highlight w:val="none"/>
              </w:rPr>
              <w:t>2</w:t>
            </w:r>
            <w:r>
              <w:rPr>
                <w:rFonts w:ascii="宋体" w:hAnsi="宋体" w:eastAsia="宋体" w:cs="宋体"/>
                <w:color w:val="auto"/>
                <w:sz w:val="21"/>
                <w:szCs w:val="21"/>
                <w:highlight w:val="none"/>
              </w:rPr>
              <w:t>）</w:t>
            </w:r>
          </w:p>
        </w:tc>
        <w:tc>
          <w:tcPr>
            <w:tcW w:w="905" w:type="dxa"/>
            <w:vMerge w:val="restart"/>
            <w:tcBorders>
              <w:top w:val="single" w:color="auto" w:sz="4" w:space="0"/>
              <w:left w:val="single" w:color="auto" w:sz="4" w:space="0"/>
              <w:bottom w:val="single" w:color="auto" w:sz="4" w:space="0"/>
              <w:right w:val="single" w:color="auto" w:sz="4" w:space="0"/>
            </w:tcBorders>
            <w:vAlign w:val="center"/>
          </w:tcPr>
          <w:p>
            <w:pPr>
              <w:pStyle w:val="63"/>
              <w:adjustRightInd w:val="0"/>
              <w:spacing w:beforeLines="50" w:line="36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技术文</w:t>
            </w:r>
            <w:r>
              <w:rPr>
                <w:rFonts w:hint="eastAsia" w:ascii="宋体" w:hAnsi="宋体" w:eastAsia="宋体"/>
                <w:color w:val="auto"/>
                <w:sz w:val="21"/>
                <w:szCs w:val="21"/>
                <w:highlight w:val="none"/>
                <w:lang w:eastAsia="zh-CN"/>
              </w:rPr>
              <w:t>件（设计方案评分标准）（70分）</w:t>
            </w:r>
          </w:p>
        </w:tc>
        <w:tc>
          <w:tcPr>
            <w:tcW w:w="203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color w:val="auto"/>
                <w:sz w:val="21"/>
                <w:szCs w:val="21"/>
                <w:highlight w:val="none"/>
              </w:rPr>
            </w:pPr>
            <w:r>
              <w:rPr>
                <w:rFonts w:hint="eastAsia" w:ascii="宋体" w:hAnsi="宋体"/>
                <w:color w:val="auto"/>
                <w:highlight w:val="none"/>
              </w:rPr>
              <w:t>投标文件的符合性</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5分</w:t>
            </w:r>
            <w:r>
              <w:rPr>
                <w:rFonts w:hint="eastAsia" w:ascii="宋体" w:hAnsi="宋体" w:eastAsia="宋体"/>
                <w:color w:val="auto"/>
                <w:highlight w:val="none"/>
                <w:lang w:eastAsia="zh-CN"/>
              </w:rPr>
              <w:t>）</w:t>
            </w:r>
          </w:p>
        </w:tc>
        <w:tc>
          <w:tcPr>
            <w:tcW w:w="54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 xml:space="preserve">整个设计内容符合设计任务书要求，内容全面，设计总说明书文字表达清楚、思路清晰、重点和难点突出、图纸及文卷质量高。 </w:t>
            </w:r>
          </w:p>
          <w:p>
            <w:pPr>
              <w:adjustRightInd w:val="0"/>
              <w:snapToGrid w:val="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zh-CN" w:eastAsia="zh-CN"/>
              </w:rPr>
              <w:t>优：得5分，良：得4分，一般：得3分，无此内容得0分。</w:t>
            </w:r>
          </w:p>
        </w:tc>
      </w:tr>
      <w:tr>
        <w:tblPrEx>
          <w:tblCellMar>
            <w:top w:w="0" w:type="dxa"/>
            <w:left w:w="0" w:type="dxa"/>
            <w:bottom w:w="0" w:type="dxa"/>
            <w:right w:w="0" w:type="dxa"/>
          </w:tblCellMar>
        </w:tblPrEx>
        <w:trPr>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pStyle w:val="63"/>
              <w:adjustRightInd w:val="0"/>
              <w:spacing w:beforeLines="50" w:line="360" w:lineRule="auto"/>
              <w:jc w:val="center"/>
              <w:rPr>
                <w:rFonts w:ascii="宋体" w:hAnsi="宋体" w:eastAsia="宋体" w:cs="宋体"/>
                <w:color w:val="auto"/>
                <w:sz w:val="21"/>
                <w:szCs w:val="21"/>
                <w:highlight w:val="none"/>
                <w:lang w:eastAsia="zh-CN"/>
              </w:rPr>
            </w:pPr>
          </w:p>
        </w:tc>
        <w:tc>
          <w:tcPr>
            <w:tcW w:w="905" w:type="dxa"/>
            <w:vMerge w:val="continue"/>
            <w:tcBorders>
              <w:top w:val="single" w:color="auto" w:sz="4" w:space="0"/>
              <w:left w:val="single" w:color="auto" w:sz="4" w:space="0"/>
              <w:bottom w:val="single" w:color="auto" w:sz="4" w:space="0"/>
              <w:right w:val="single" w:color="auto" w:sz="4" w:space="0"/>
            </w:tcBorders>
            <w:vAlign w:val="center"/>
          </w:tcPr>
          <w:p>
            <w:pPr>
              <w:pStyle w:val="63"/>
              <w:adjustRightInd w:val="0"/>
              <w:spacing w:beforeLines="50" w:line="360" w:lineRule="auto"/>
              <w:jc w:val="center"/>
              <w:rPr>
                <w:rFonts w:ascii="宋体" w:hAnsi="宋体" w:eastAsia="宋体" w:cs="宋体"/>
                <w:color w:val="auto"/>
                <w:sz w:val="21"/>
                <w:szCs w:val="21"/>
                <w:highlight w:val="none"/>
                <w:lang w:eastAsia="zh-CN"/>
              </w:rPr>
            </w:pPr>
          </w:p>
        </w:tc>
        <w:tc>
          <w:tcPr>
            <w:tcW w:w="203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color w:val="auto"/>
                <w:sz w:val="21"/>
                <w:szCs w:val="21"/>
                <w:highlight w:val="none"/>
                <w:lang w:eastAsia="zh-CN"/>
              </w:rPr>
            </w:pPr>
            <w:r>
              <w:rPr>
                <w:rFonts w:hint="eastAsia" w:ascii="宋体" w:hAnsi="宋体"/>
                <w:color w:val="auto"/>
                <w:highlight w:val="none"/>
              </w:rPr>
              <w:t>总体规划</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15分</w:t>
            </w:r>
            <w:r>
              <w:rPr>
                <w:rFonts w:hint="eastAsia" w:ascii="宋体" w:hAnsi="宋体" w:eastAsia="宋体"/>
                <w:color w:val="auto"/>
                <w:highlight w:val="none"/>
                <w:lang w:eastAsia="zh-CN"/>
              </w:rPr>
              <w:t>）</w:t>
            </w:r>
          </w:p>
        </w:tc>
        <w:tc>
          <w:tcPr>
            <w:tcW w:w="5476"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olor w:val="auto"/>
                <w:highlight w:val="none"/>
              </w:rPr>
            </w:pPr>
            <w:r>
              <w:rPr>
                <w:rFonts w:hint="eastAsia" w:ascii="宋体" w:hAnsi="宋体"/>
                <w:color w:val="auto"/>
                <w:highlight w:val="none"/>
              </w:rPr>
              <w:t>符合规划设计条件，因地制宜、充分考虑地域环境条件，对周边文保及管线摸查清晰，充分考虑建筑与周边管线及文保单位关系，并提出可行的保护措施。</w:t>
            </w:r>
          </w:p>
          <w:p>
            <w:pPr>
              <w:adjustRightInd w:val="0"/>
              <w:snapToGrid w:val="0"/>
              <w:rPr>
                <w:rFonts w:ascii="宋体" w:hAnsi="宋体" w:eastAsia="宋体" w:cs="宋体"/>
                <w:color w:val="auto"/>
                <w:sz w:val="21"/>
                <w:szCs w:val="21"/>
                <w:highlight w:val="none"/>
                <w:lang w:eastAsia="zh-CN"/>
              </w:rPr>
            </w:pPr>
            <w:r>
              <w:rPr>
                <w:rFonts w:hint="eastAsia" w:ascii="宋体" w:hAnsi="宋体"/>
                <w:color w:val="auto"/>
                <w:highlight w:val="none"/>
              </w:rPr>
              <w:t>优：得15分，良：得14分，一般：得13分，无此内容得0分。</w:t>
            </w:r>
          </w:p>
        </w:tc>
      </w:tr>
      <w:tr>
        <w:tblPrEx>
          <w:tblCellMar>
            <w:top w:w="0" w:type="dxa"/>
            <w:left w:w="0" w:type="dxa"/>
            <w:bottom w:w="0" w:type="dxa"/>
            <w:right w:w="0" w:type="dxa"/>
          </w:tblCellMar>
        </w:tblPrEx>
        <w:trPr>
          <w:trHeight w:val="1122" w:hRule="atLeast"/>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905"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203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color w:val="auto"/>
                <w:sz w:val="21"/>
                <w:szCs w:val="21"/>
                <w:highlight w:val="none"/>
              </w:rPr>
            </w:pPr>
            <w:r>
              <w:rPr>
                <w:rFonts w:hint="eastAsia" w:ascii="宋体" w:hAnsi="宋体"/>
                <w:color w:val="auto"/>
                <w:highlight w:val="none"/>
              </w:rPr>
              <w:t>建筑外观</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10分</w:t>
            </w:r>
            <w:r>
              <w:rPr>
                <w:rFonts w:hint="eastAsia" w:ascii="宋体" w:hAnsi="宋体" w:eastAsia="宋体"/>
                <w:color w:val="auto"/>
                <w:highlight w:val="none"/>
                <w:lang w:eastAsia="zh-CN"/>
              </w:rPr>
              <w:t>）</w:t>
            </w:r>
          </w:p>
        </w:tc>
        <w:tc>
          <w:tcPr>
            <w:tcW w:w="54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color w:val="auto"/>
                <w:highlight w:val="none"/>
              </w:rPr>
            </w:pPr>
            <w:r>
              <w:rPr>
                <w:rFonts w:hint="eastAsia" w:ascii="宋体" w:hAnsi="宋体"/>
                <w:color w:val="auto"/>
                <w:highlight w:val="none"/>
              </w:rPr>
              <w:t>整体效果与周围环境相协调，充分考虑周边地块建筑物及高架影响；建筑立面设计简洁大方。</w:t>
            </w:r>
          </w:p>
          <w:p>
            <w:pPr>
              <w:adjustRightInd w:val="0"/>
              <w:snapToGrid w:val="0"/>
              <w:rPr>
                <w:rFonts w:ascii="宋体" w:hAnsi="宋体" w:eastAsia="宋体" w:cs="宋体"/>
                <w:color w:val="auto"/>
                <w:sz w:val="21"/>
                <w:szCs w:val="21"/>
                <w:highlight w:val="none"/>
                <w:lang w:eastAsia="zh-CN"/>
              </w:rPr>
            </w:pPr>
            <w:r>
              <w:rPr>
                <w:rFonts w:hint="eastAsia" w:ascii="宋体" w:hAnsi="宋体"/>
                <w:color w:val="auto"/>
                <w:highlight w:val="none"/>
              </w:rPr>
              <w:t>优：得10分，良：得9分，一般：得8分，无此内容得0分。</w:t>
            </w:r>
          </w:p>
        </w:tc>
      </w:tr>
      <w:tr>
        <w:tblPrEx>
          <w:tblCellMar>
            <w:top w:w="0" w:type="dxa"/>
            <w:left w:w="0" w:type="dxa"/>
            <w:bottom w:w="0" w:type="dxa"/>
            <w:right w:w="0" w:type="dxa"/>
          </w:tblCellMar>
        </w:tblPrEx>
        <w:trPr>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905"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203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color w:val="auto"/>
                <w:sz w:val="21"/>
                <w:szCs w:val="21"/>
                <w:highlight w:val="none"/>
                <w:lang w:val="zh-CN"/>
              </w:rPr>
            </w:pPr>
            <w:r>
              <w:rPr>
                <w:rFonts w:hint="eastAsia" w:ascii="宋体" w:hAnsi="宋体"/>
                <w:color w:val="auto"/>
                <w:highlight w:val="none"/>
              </w:rPr>
              <w:t>交通</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10分</w:t>
            </w:r>
            <w:r>
              <w:rPr>
                <w:rFonts w:hint="eastAsia" w:ascii="宋体" w:hAnsi="宋体" w:eastAsia="宋体"/>
                <w:color w:val="auto"/>
                <w:highlight w:val="none"/>
                <w:lang w:eastAsia="zh-CN"/>
              </w:rPr>
              <w:t>）</w:t>
            </w:r>
          </w:p>
        </w:tc>
        <w:tc>
          <w:tcPr>
            <w:tcW w:w="54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color w:val="auto"/>
                <w:highlight w:val="none"/>
              </w:rPr>
            </w:pPr>
            <w:r>
              <w:rPr>
                <w:rFonts w:hint="eastAsia" w:ascii="宋体" w:hAnsi="宋体"/>
                <w:color w:val="auto"/>
                <w:highlight w:val="none"/>
              </w:rPr>
              <w:t>建筑内外的人流组织及交通流线清晰，电梯的位置和数量合理，各功能流线组织合理。</w:t>
            </w:r>
          </w:p>
          <w:p>
            <w:pPr>
              <w:adjustRightInd w:val="0"/>
              <w:snapToGrid w:val="0"/>
              <w:rPr>
                <w:rFonts w:ascii="宋体" w:hAnsi="宋体" w:eastAsia="宋体" w:cs="宋体"/>
                <w:color w:val="auto"/>
                <w:sz w:val="21"/>
                <w:szCs w:val="21"/>
                <w:highlight w:val="none"/>
                <w:lang w:eastAsia="zh-CN"/>
              </w:rPr>
            </w:pPr>
            <w:r>
              <w:rPr>
                <w:rFonts w:hint="eastAsia" w:ascii="宋体" w:hAnsi="宋体"/>
                <w:color w:val="auto"/>
                <w:highlight w:val="none"/>
              </w:rPr>
              <w:t>优：得10分，良：得9分，一般：得8分，无此内容得0分。</w:t>
            </w:r>
          </w:p>
        </w:tc>
      </w:tr>
      <w:tr>
        <w:tblPrEx>
          <w:tblCellMar>
            <w:top w:w="0" w:type="dxa"/>
            <w:left w:w="0" w:type="dxa"/>
            <w:bottom w:w="0" w:type="dxa"/>
            <w:right w:w="0" w:type="dxa"/>
          </w:tblCellMar>
        </w:tblPrEx>
        <w:trPr>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905"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203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color w:val="auto"/>
                <w:sz w:val="21"/>
                <w:szCs w:val="21"/>
                <w:highlight w:val="none"/>
              </w:rPr>
            </w:pPr>
            <w:r>
              <w:rPr>
                <w:rFonts w:hint="eastAsia" w:ascii="宋体" w:hAnsi="宋体"/>
                <w:color w:val="auto"/>
                <w:highlight w:val="none"/>
              </w:rPr>
              <w:t>功能分区</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15分</w:t>
            </w:r>
            <w:r>
              <w:rPr>
                <w:rFonts w:hint="eastAsia" w:ascii="宋体" w:hAnsi="宋体" w:eastAsia="宋体"/>
                <w:color w:val="auto"/>
                <w:highlight w:val="none"/>
                <w:lang w:eastAsia="zh-CN"/>
              </w:rPr>
              <w:t>）</w:t>
            </w:r>
          </w:p>
        </w:tc>
        <w:tc>
          <w:tcPr>
            <w:tcW w:w="54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color w:val="auto"/>
                <w:highlight w:val="none"/>
              </w:rPr>
            </w:pPr>
            <w:r>
              <w:rPr>
                <w:rFonts w:hint="eastAsia" w:ascii="宋体" w:hAnsi="宋体"/>
                <w:color w:val="auto"/>
                <w:highlight w:val="none"/>
              </w:rPr>
              <w:t xml:space="preserve">功能分区明确，布局合理，具有预见性和适应性，满足开展日常管理、生产经营、抢修中心、救援备勤、技能培训等使用要求，并且相应工作流线合理。 </w:t>
            </w:r>
          </w:p>
          <w:p>
            <w:pPr>
              <w:adjustRightInd w:val="0"/>
              <w:snapToGrid w:val="0"/>
              <w:rPr>
                <w:rFonts w:ascii="宋体" w:hAnsi="宋体" w:eastAsia="宋体" w:cs="宋体"/>
                <w:color w:val="auto"/>
                <w:sz w:val="21"/>
                <w:szCs w:val="21"/>
                <w:highlight w:val="none"/>
                <w:lang w:eastAsia="zh-CN"/>
              </w:rPr>
            </w:pPr>
            <w:r>
              <w:rPr>
                <w:rFonts w:hint="eastAsia" w:ascii="宋体" w:hAnsi="宋体"/>
                <w:color w:val="auto"/>
                <w:highlight w:val="none"/>
              </w:rPr>
              <w:t>优：得15分，良：得14分，一般：得13分，无此内容得0分。</w:t>
            </w:r>
          </w:p>
        </w:tc>
      </w:tr>
      <w:tr>
        <w:tblPrEx>
          <w:tblCellMar>
            <w:top w:w="0" w:type="dxa"/>
            <w:left w:w="0" w:type="dxa"/>
            <w:bottom w:w="0" w:type="dxa"/>
            <w:right w:w="0" w:type="dxa"/>
          </w:tblCellMar>
        </w:tblPrEx>
        <w:trPr>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905"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203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color w:val="auto"/>
                <w:sz w:val="21"/>
                <w:szCs w:val="21"/>
                <w:highlight w:val="none"/>
              </w:rPr>
            </w:pPr>
            <w:r>
              <w:rPr>
                <w:rFonts w:hint="eastAsia" w:ascii="宋体" w:hAnsi="宋体" w:eastAsia="宋体"/>
                <w:color w:val="auto"/>
                <w:highlight w:val="none"/>
                <w:lang w:val="en-US" w:eastAsia="zh-CN"/>
              </w:rPr>
              <w:t>景观（10分）</w:t>
            </w:r>
          </w:p>
        </w:tc>
        <w:tc>
          <w:tcPr>
            <w:tcW w:w="54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color w:val="auto"/>
                <w:highlight w:val="none"/>
              </w:rPr>
            </w:pPr>
            <w:r>
              <w:rPr>
                <w:rFonts w:hint="eastAsia" w:ascii="宋体" w:hAnsi="宋体"/>
                <w:color w:val="auto"/>
                <w:highlight w:val="none"/>
              </w:rPr>
              <w:t xml:space="preserve">合理布置园林绿化，以人文景观和周边环境相结合。结合所在地形进行绿化景观设计。 </w:t>
            </w:r>
          </w:p>
          <w:p>
            <w:pPr>
              <w:adjustRightInd w:val="0"/>
              <w:snapToGrid w:val="0"/>
              <w:rPr>
                <w:rFonts w:ascii="宋体" w:hAnsi="宋体" w:eastAsia="宋体" w:cs="宋体"/>
                <w:color w:val="auto"/>
                <w:sz w:val="21"/>
                <w:szCs w:val="21"/>
                <w:highlight w:val="none"/>
                <w:lang w:eastAsia="zh-CN"/>
              </w:rPr>
            </w:pPr>
            <w:r>
              <w:rPr>
                <w:rFonts w:hint="eastAsia" w:ascii="宋体" w:hAnsi="宋体"/>
                <w:color w:val="auto"/>
                <w:highlight w:val="none"/>
              </w:rPr>
              <w:t>优：得10分，良：得9分，一般：得8分，无此内容得0分。</w:t>
            </w:r>
          </w:p>
        </w:tc>
      </w:tr>
      <w:tr>
        <w:tblPrEx>
          <w:tblCellMar>
            <w:top w:w="0" w:type="dxa"/>
            <w:left w:w="0" w:type="dxa"/>
            <w:bottom w:w="0" w:type="dxa"/>
            <w:right w:w="0" w:type="dxa"/>
          </w:tblCellMar>
        </w:tblPrEx>
        <w:trPr>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905"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beforeLines="50" w:line="360" w:lineRule="auto"/>
              <w:jc w:val="center"/>
              <w:rPr>
                <w:rFonts w:ascii="宋体" w:hAnsi="宋体" w:eastAsia="宋体"/>
                <w:color w:val="auto"/>
                <w:sz w:val="21"/>
                <w:szCs w:val="21"/>
                <w:highlight w:val="none"/>
                <w:lang w:eastAsia="zh-CN"/>
              </w:rPr>
            </w:pPr>
          </w:p>
        </w:tc>
        <w:tc>
          <w:tcPr>
            <w:tcW w:w="203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color w:val="auto"/>
                <w:sz w:val="21"/>
                <w:szCs w:val="21"/>
                <w:highlight w:val="none"/>
              </w:rPr>
            </w:pPr>
            <w:r>
              <w:rPr>
                <w:rFonts w:hint="eastAsia" w:ascii="宋体" w:hAnsi="宋体"/>
                <w:color w:val="auto"/>
                <w:highlight w:val="none"/>
              </w:rPr>
              <w:t>投资控制</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5分</w:t>
            </w:r>
            <w:r>
              <w:rPr>
                <w:rFonts w:hint="eastAsia" w:ascii="宋体" w:hAnsi="宋体" w:eastAsia="宋体"/>
                <w:color w:val="auto"/>
                <w:highlight w:val="none"/>
                <w:lang w:eastAsia="zh-CN"/>
              </w:rPr>
              <w:t>）</w:t>
            </w:r>
          </w:p>
        </w:tc>
        <w:tc>
          <w:tcPr>
            <w:tcW w:w="547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auto"/>
                <w:highlight w:val="none"/>
              </w:rPr>
            </w:pPr>
            <w:r>
              <w:rPr>
                <w:rFonts w:hint="eastAsia" w:ascii="宋体" w:hAnsi="宋体"/>
                <w:color w:val="auto"/>
                <w:highlight w:val="none"/>
              </w:rPr>
              <w:t>投资估算编制依据正确，经济性分析妥当，并提出可行的分期及限额措施。达到相应的深度要求，编制质量高。</w:t>
            </w:r>
          </w:p>
          <w:p>
            <w:pPr>
              <w:adjustRightInd w:val="0"/>
              <w:snapToGrid w:val="0"/>
              <w:rPr>
                <w:rFonts w:ascii="宋体" w:hAnsi="宋体" w:eastAsia="宋体" w:cs="宋体"/>
                <w:color w:val="auto"/>
                <w:sz w:val="21"/>
                <w:szCs w:val="21"/>
                <w:highlight w:val="none"/>
                <w:lang w:eastAsia="zh-CN"/>
              </w:rPr>
            </w:pPr>
            <w:r>
              <w:rPr>
                <w:rFonts w:hint="eastAsia" w:ascii="宋体" w:hAnsi="宋体"/>
                <w:color w:val="auto"/>
                <w:highlight w:val="none"/>
              </w:rPr>
              <w:t>优：得5分， 良：得4分，一般：得3分，无此内容得0分。</w:t>
            </w:r>
          </w:p>
        </w:tc>
      </w:tr>
    </w:tbl>
    <w:p>
      <w:pPr>
        <w:rPr>
          <w:rFonts w:ascii="宋体" w:hAnsi="宋体" w:eastAsia="宋体"/>
          <w:color w:val="auto"/>
          <w:sz w:val="21"/>
          <w:szCs w:val="21"/>
          <w:highlight w:val="none"/>
          <w:lang w:eastAsia="zh-CN"/>
        </w:rPr>
      </w:pPr>
    </w:p>
    <w:p>
      <w:pP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注：</w:t>
      </w:r>
    </w:p>
    <w:p>
      <w:pP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eastAsia="zh-CN"/>
        </w:rPr>
        <w:t>1、设计类似业绩是指达到招标公告第5.2条所述设计资质方能承接的房建类工程设计项目；勘察类似业绩是指达到招标公告第5.2条所述勘察资质方能承接的工程勘察项目。</w:t>
      </w:r>
    </w:p>
    <w:p>
      <w:pP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2、类似业绩须同时提供中标通知书或免招标的相关证明、设计合同（或勘察合同）关键页，勘察或设计类似业绩时间</w:t>
      </w:r>
      <w:r>
        <w:rPr>
          <w:rFonts w:hint="eastAsia" w:ascii="宋体" w:hAnsi="宋体" w:eastAsia="宋体" w:cs="宋体"/>
          <w:color w:val="auto"/>
          <w:sz w:val="21"/>
          <w:szCs w:val="21"/>
          <w:highlight w:val="none"/>
          <w:lang w:val="zh-CN" w:eastAsia="zh-CN"/>
        </w:rPr>
        <w:t>以合同签订时间为准</w:t>
      </w:r>
      <w:r>
        <w:rPr>
          <w:rFonts w:hint="eastAsia" w:ascii="宋体" w:hAnsi="宋体" w:eastAsia="宋体"/>
          <w:b/>
          <w:bCs/>
          <w:color w:val="auto"/>
          <w:sz w:val="21"/>
          <w:szCs w:val="21"/>
          <w:highlight w:val="none"/>
          <w:lang w:eastAsia="zh-CN"/>
        </w:rPr>
        <w:t>（同一项目含设计和勘察的只计算一次业绩得分）</w:t>
      </w:r>
      <w:r>
        <w:rPr>
          <w:rFonts w:hint="eastAsia" w:ascii="宋体" w:hAnsi="宋体" w:eastAsia="宋体"/>
          <w:color w:val="auto"/>
          <w:sz w:val="21"/>
          <w:szCs w:val="21"/>
          <w:highlight w:val="none"/>
          <w:lang w:eastAsia="zh-CN"/>
        </w:rPr>
        <w:t>。合同文本关键页应含：项目名称，甲、乙方单位名称，勘察设计工作内容、工作时间，甲、乙方单位签约人签名及单位公章等内容。</w:t>
      </w:r>
    </w:p>
    <w:p>
      <w:pP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3、以联合体方式投标的，除企业类似勘察业绩外，各项评分内容按联合体主办方的证明材料计算得分。</w:t>
      </w:r>
    </w:p>
    <w:p>
      <w:pP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lang w:eastAsia="zh-CN"/>
        </w:rPr>
        <w:t>、提供本表所列人员参保的社保证明（含分公司或分支机构社保缴纳记录），以提供投标截止期近一个月（2023年</w:t>
      </w: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lang w:eastAsia="zh-CN"/>
        </w:rPr>
        <w:t>月）（由招标公告发布当月往前推算）社保证明为准。（社保缴纳期限包含新冠病毒疫情期的，若当地政府部门允许企业在疫情期间缓缴社会保险费且投标人未缴纳的，投标人可提供当地政府部门允许缓缴社保的相关文件作为缴纳社保的证明）。</w:t>
      </w:r>
    </w:p>
    <w:p>
      <w:pPr>
        <w:pStyle w:val="2"/>
        <w:rPr>
          <w:rFonts w:hint="eastAsia" w:ascii="宋体" w:hAnsi="宋体" w:eastAsia="宋体" w:cs="Times New Roman"/>
          <w:color w:val="auto"/>
          <w:sz w:val="22"/>
          <w:szCs w:val="22"/>
          <w:highlight w:val="none"/>
          <w:lang w:val="en-US" w:eastAsia="zh-CN" w:bidi="ar-SA"/>
        </w:rPr>
      </w:pPr>
      <w:r>
        <w:rPr>
          <w:rFonts w:hint="eastAsia" w:ascii="宋体" w:hAnsi="宋体" w:eastAsia="宋体" w:cs="Times New Roman"/>
          <w:color w:val="auto"/>
          <w:sz w:val="22"/>
          <w:szCs w:val="22"/>
          <w:highlight w:val="none"/>
          <w:lang w:val="en-US" w:eastAsia="zh-CN" w:bidi="ar-SA"/>
        </w:rPr>
        <w:t>5、</w:t>
      </w:r>
      <w:r>
        <w:rPr>
          <w:rFonts w:hint="eastAsia" w:hAnsi="宋体" w:cs="Times New Roman"/>
          <w:color w:val="auto"/>
          <w:sz w:val="22"/>
          <w:szCs w:val="22"/>
          <w:highlight w:val="none"/>
          <w:lang w:val="en-US" w:eastAsia="zh-CN" w:bidi="ar-SA"/>
        </w:rPr>
        <w:t>各</w:t>
      </w:r>
      <w:r>
        <w:rPr>
          <w:rFonts w:hint="eastAsia" w:ascii="宋体" w:hAnsi="宋体" w:eastAsia="宋体" w:cs="Times New Roman"/>
          <w:color w:val="auto"/>
          <w:sz w:val="22"/>
          <w:szCs w:val="22"/>
          <w:highlight w:val="none"/>
          <w:lang w:val="en-US" w:eastAsia="zh-CN" w:bidi="ar-SA"/>
        </w:rPr>
        <w:t>评委评出商务文件（资信业绩评分标准）得分</w:t>
      </w:r>
      <w:r>
        <w:rPr>
          <w:rFonts w:hint="eastAsia" w:hAnsi="宋体" w:cs="Times New Roman"/>
          <w:color w:val="auto"/>
          <w:sz w:val="22"/>
          <w:szCs w:val="22"/>
          <w:highlight w:val="none"/>
          <w:lang w:val="en-US" w:eastAsia="zh-CN" w:bidi="ar-SA"/>
        </w:rPr>
        <w:t>的</w:t>
      </w:r>
      <w:r>
        <w:rPr>
          <w:rFonts w:hint="eastAsia" w:ascii="宋体" w:hAnsi="宋体" w:eastAsia="宋体" w:cs="Times New Roman"/>
          <w:color w:val="auto"/>
          <w:sz w:val="22"/>
          <w:szCs w:val="22"/>
          <w:highlight w:val="none"/>
          <w:lang w:val="en-US" w:eastAsia="zh-CN" w:bidi="ar-SA"/>
        </w:rPr>
        <w:t>算术平均值</w:t>
      </w:r>
      <w:r>
        <w:rPr>
          <w:rFonts w:hint="eastAsia" w:hAnsi="宋体" w:cs="Times New Roman"/>
          <w:color w:val="auto"/>
          <w:sz w:val="22"/>
          <w:szCs w:val="22"/>
          <w:highlight w:val="none"/>
          <w:lang w:val="en-US" w:eastAsia="zh-CN" w:bidi="ar-SA"/>
        </w:rPr>
        <w:t>，</w:t>
      </w:r>
      <w:r>
        <w:rPr>
          <w:rFonts w:hint="eastAsia" w:ascii="宋体" w:hAnsi="宋体" w:eastAsia="宋体" w:cs="Times New Roman"/>
          <w:color w:val="auto"/>
          <w:sz w:val="22"/>
          <w:szCs w:val="22"/>
          <w:highlight w:val="none"/>
          <w:lang w:val="en-US" w:eastAsia="zh-CN" w:bidi="ar-SA"/>
        </w:rPr>
        <w:t>作为该投标单位最后得分（评分如出现小数，则保留小数点后两位，第三位四舍五入）</w:t>
      </w:r>
      <w:r>
        <w:rPr>
          <w:rFonts w:hint="eastAsia" w:hAnsi="宋体" w:cs="Times New Roman"/>
          <w:color w:val="auto"/>
          <w:sz w:val="22"/>
          <w:szCs w:val="22"/>
          <w:highlight w:val="none"/>
          <w:lang w:val="en-US" w:eastAsia="zh-CN" w:bidi="ar-SA"/>
        </w:rPr>
        <w:t>。</w:t>
      </w:r>
    </w:p>
    <w:p>
      <w:pPr>
        <w:pStyle w:val="2"/>
        <w:rPr>
          <w:rFonts w:hint="eastAsia" w:hAnsi="宋体" w:cs="Times New Roman"/>
          <w:color w:val="auto"/>
          <w:sz w:val="22"/>
          <w:szCs w:val="22"/>
          <w:highlight w:val="none"/>
          <w:lang w:val="en-US" w:eastAsia="zh-CN" w:bidi="ar-SA"/>
        </w:rPr>
      </w:pPr>
      <w:r>
        <w:rPr>
          <w:rFonts w:hint="eastAsia" w:hAnsi="宋体" w:cs="Times New Roman"/>
          <w:color w:val="auto"/>
          <w:sz w:val="22"/>
          <w:szCs w:val="22"/>
          <w:highlight w:val="none"/>
          <w:lang w:val="en-US" w:eastAsia="zh-CN" w:bidi="ar-SA"/>
        </w:rPr>
        <w:t>6、各</w:t>
      </w:r>
      <w:r>
        <w:rPr>
          <w:rFonts w:hint="eastAsia" w:ascii="宋体" w:hAnsi="宋体" w:eastAsia="宋体" w:cs="Times New Roman"/>
          <w:color w:val="auto"/>
          <w:sz w:val="22"/>
          <w:szCs w:val="22"/>
          <w:highlight w:val="none"/>
          <w:lang w:val="en-US" w:eastAsia="zh-CN" w:bidi="ar-SA"/>
        </w:rPr>
        <w:t>评委评出</w:t>
      </w:r>
      <w:r>
        <w:rPr>
          <w:rFonts w:hint="eastAsia" w:ascii="宋体" w:hAnsi="宋体" w:eastAsia="宋体" w:cs="宋体"/>
          <w:color w:val="auto"/>
          <w:sz w:val="22"/>
          <w:szCs w:val="22"/>
          <w:highlight w:val="none"/>
          <w:lang w:eastAsia="zh-CN"/>
        </w:rPr>
        <w:t>技术文</w:t>
      </w:r>
      <w:r>
        <w:rPr>
          <w:rFonts w:hint="eastAsia" w:ascii="宋体" w:hAnsi="宋体" w:eastAsia="宋体"/>
          <w:color w:val="auto"/>
          <w:sz w:val="22"/>
          <w:szCs w:val="22"/>
          <w:highlight w:val="none"/>
          <w:lang w:eastAsia="zh-CN"/>
        </w:rPr>
        <w:t>件（设计方案评分标准）</w:t>
      </w:r>
      <w:r>
        <w:rPr>
          <w:rFonts w:hint="eastAsia" w:ascii="宋体" w:hAnsi="宋体" w:eastAsia="宋体" w:cs="Times New Roman"/>
          <w:color w:val="auto"/>
          <w:sz w:val="22"/>
          <w:szCs w:val="22"/>
          <w:highlight w:val="none"/>
          <w:lang w:val="en-US" w:eastAsia="zh-CN" w:bidi="ar-SA"/>
        </w:rPr>
        <w:t>得分</w:t>
      </w:r>
      <w:r>
        <w:rPr>
          <w:rFonts w:hint="eastAsia" w:hAnsi="宋体" w:cs="Times New Roman"/>
          <w:color w:val="auto"/>
          <w:sz w:val="22"/>
          <w:szCs w:val="22"/>
          <w:highlight w:val="none"/>
          <w:lang w:val="en-US" w:eastAsia="zh-CN" w:bidi="ar-SA"/>
        </w:rPr>
        <w:t>的</w:t>
      </w:r>
      <w:r>
        <w:rPr>
          <w:rFonts w:hint="eastAsia" w:ascii="宋体" w:hAnsi="宋体" w:eastAsia="宋体" w:cs="Times New Roman"/>
          <w:color w:val="auto"/>
          <w:sz w:val="22"/>
          <w:szCs w:val="22"/>
          <w:highlight w:val="none"/>
          <w:lang w:val="en-US" w:eastAsia="zh-CN" w:bidi="ar-SA"/>
        </w:rPr>
        <w:t>算术平均值作为该投标单位最后得分（评分如出现小数，则保留小数点后两位，第三位四舍五入）</w:t>
      </w:r>
      <w:bookmarkStart w:id="48" w:name="_Toc109809395"/>
      <w:bookmarkStart w:id="49" w:name="_Toc25137994"/>
      <w:bookmarkStart w:id="50" w:name="_Toc109809434"/>
      <w:r>
        <w:rPr>
          <w:rFonts w:hint="eastAsia" w:hAnsi="宋体" w:cs="Times New Roman"/>
          <w:color w:val="auto"/>
          <w:sz w:val="22"/>
          <w:szCs w:val="22"/>
          <w:highlight w:val="none"/>
          <w:lang w:val="en-US" w:eastAsia="zh-CN" w:bidi="ar-SA"/>
        </w:rPr>
        <w:t>。</w:t>
      </w:r>
    </w:p>
    <w:p>
      <w:pPr>
        <w:pStyle w:val="2"/>
        <w:rPr>
          <w:rFonts w:hint="eastAsia" w:hAnsi="宋体" w:cs="Times New Roman"/>
          <w:color w:val="auto"/>
          <w:sz w:val="22"/>
          <w:szCs w:val="22"/>
          <w:highlight w:val="none"/>
          <w:lang w:val="en-US" w:eastAsia="zh-CN" w:bidi="ar-SA"/>
        </w:rPr>
      </w:pPr>
    </w:p>
    <w:p>
      <w:pPr>
        <w:pStyle w:val="2"/>
        <w:rPr>
          <w:rFonts w:ascii="宋体" w:hAnsi="宋体" w:eastAsia="宋体"/>
          <w:color w:val="auto"/>
          <w:sz w:val="21"/>
          <w:szCs w:val="21"/>
          <w:highlight w:val="none"/>
          <w:lang w:eastAsia="zh-CN"/>
        </w:rPr>
      </w:pPr>
      <w:r>
        <w:rPr>
          <w:rFonts w:ascii="宋体" w:hAnsi="宋体" w:eastAsia="宋体" w:cs="Times New Roman"/>
          <w:b/>
          <w:bCs/>
          <w:color w:val="auto"/>
          <w:sz w:val="21"/>
          <w:szCs w:val="21"/>
          <w:highlight w:val="none"/>
          <w:lang w:val="en-US" w:eastAsia="zh-CN" w:bidi="ar-SA"/>
        </w:rPr>
        <w:t>1. 评标方法</w:t>
      </w:r>
      <w:bookmarkEnd w:id="48"/>
      <w:bookmarkEnd w:id="49"/>
      <w:bookmarkEnd w:id="50"/>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本次评标采用综合评估法。评标委员会对满足招标文件实质性要求的投标文件，按照本章第 2.2款规定的评分标准进行打分，并按得分由高到低顺序推荐中标候选人，或根据招标人授权直接确定中标人，但投标报价低于其成本的除外。综合评分相等时，以投标报价低的优先；投标报价也相等的，以设计方案得分高的优先；如果勘察设计方案得分也相等，按照评标办法前附表的规定确定中标候选人顺序。</w:t>
      </w:r>
    </w:p>
    <w:p>
      <w:pPr>
        <w:spacing w:line="360" w:lineRule="auto"/>
        <w:jc w:val="both"/>
        <w:rPr>
          <w:rFonts w:ascii="宋体" w:hAnsi="宋体" w:eastAsia="宋体"/>
          <w:color w:val="auto"/>
          <w:sz w:val="21"/>
          <w:szCs w:val="21"/>
          <w:highlight w:val="none"/>
          <w:lang w:eastAsia="zh-CN"/>
        </w:rPr>
      </w:pPr>
      <w:bookmarkStart w:id="51" w:name="_Toc25137995"/>
    </w:p>
    <w:p>
      <w:pPr>
        <w:pStyle w:val="6"/>
        <w:spacing w:line="443" w:lineRule="exact"/>
        <w:ind w:right="44"/>
        <w:jc w:val="both"/>
        <w:rPr>
          <w:rFonts w:ascii="宋体" w:hAnsi="宋体" w:eastAsia="宋体"/>
          <w:color w:val="auto"/>
          <w:sz w:val="21"/>
          <w:szCs w:val="21"/>
          <w:highlight w:val="none"/>
          <w:lang w:eastAsia="zh-CN"/>
        </w:rPr>
      </w:pPr>
      <w:bookmarkStart w:id="52" w:name="_Toc109809435"/>
      <w:bookmarkStart w:id="53" w:name="_Toc109809396"/>
      <w:r>
        <w:rPr>
          <w:rFonts w:ascii="宋体" w:hAnsi="宋体" w:eastAsia="宋体"/>
          <w:color w:val="auto"/>
          <w:sz w:val="21"/>
          <w:szCs w:val="21"/>
          <w:highlight w:val="none"/>
          <w:lang w:eastAsia="zh-CN"/>
        </w:rPr>
        <w:t>2. 评审标准</w:t>
      </w:r>
      <w:bookmarkEnd w:id="51"/>
      <w:bookmarkEnd w:id="52"/>
      <w:bookmarkEnd w:id="53"/>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2.1初步评审标准</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2.1.1形式评审标准：见评标办法前附表。</w:t>
      </w:r>
    </w:p>
    <w:p>
      <w:pPr>
        <w:pStyle w:val="12"/>
        <w:spacing w:line="360" w:lineRule="auto"/>
        <w:ind w:left="0" w:firstLine="420" w:firstLineChars="200"/>
        <w:jc w:val="both"/>
        <w:rPr>
          <w:color w:val="auto"/>
          <w:highlight w:val="none"/>
          <w:lang w:eastAsia="zh-CN"/>
        </w:rPr>
      </w:pPr>
      <w:r>
        <w:rPr>
          <w:color w:val="auto"/>
          <w:highlight w:val="none"/>
          <w:lang w:eastAsia="zh-CN"/>
        </w:rPr>
        <w:t>2.1.2资格评审标准：见评标办法前附表。</w:t>
      </w:r>
    </w:p>
    <w:p>
      <w:pPr>
        <w:pStyle w:val="12"/>
        <w:spacing w:line="360" w:lineRule="auto"/>
        <w:ind w:left="0" w:firstLine="420" w:firstLineChars="200"/>
        <w:jc w:val="both"/>
        <w:rPr>
          <w:color w:val="auto"/>
          <w:highlight w:val="none"/>
          <w:lang w:eastAsia="zh-CN"/>
        </w:rPr>
      </w:pPr>
      <w:r>
        <w:rPr>
          <w:color w:val="auto"/>
          <w:highlight w:val="none"/>
          <w:lang w:eastAsia="zh-CN"/>
        </w:rPr>
        <w:t>2.1.3响应性评审标准：见评标办法前附表。</w:t>
      </w:r>
    </w:p>
    <w:p>
      <w:pPr>
        <w:spacing w:line="360" w:lineRule="auto"/>
        <w:jc w:val="both"/>
        <w:rPr>
          <w:rFonts w:ascii="宋体" w:hAnsi="宋体" w:eastAsia="宋体"/>
          <w:color w:val="auto"/>
          <w:sz w:val="21"/>
          <w:szCs w:val="21"/>
          <w:highlight w:val="none"/>
          <w:lang w:eastAsia="zh-CN"/>
        </w:rPr>
      </w:pPr>
    </w:p>
    <w:p>
      <w:pPr>
        <w:pStyle w:val="7"/>
        <w:ind w:right="44"/>
        <w:jc w:val="both"/>
        <w:rPr>
          <w:color w:val="auto"/>
          <w:sz w:val="21"/>
          <w:szCs w:val="21"/>
          <w:highlight w:val="none"/>
          <w:lang w:eastAsia="zh-CN"/>
        </w:rPr>
      </w:pPr>
      <w:r>
        <w:rPr>
          <w:color w:val="auto"/>
          <w:sz w:val="21"/>
          <w:szCs w:val="21"/>
          <w:highlight w:val="none"/>
          <w:lang w:eastAsia="zh-CN"/>
        </w:rPr>
        <w:t>2.2分值构成与评分标准</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2.2.1 分值构成</w:t>
      </w:r>
    </w:p>
    <w:p>
      <w:pPr>
        <w:pStyle w:val="12"/>
        <w:spacing w:line="360" w:lineRule="auto"/>
        <w:ind w:left="0" w:firstLine="420" w:firstLineChars="200"/>
        <w:jc w:val="both"/>
        <w:rPr>
          <w:color w:val="auto"/>
          <w:highlight w:val="none"/>
          <w:lang w:eastAsia="zh-CN"/>
        </w:rPr>
      </w:pPr>
      <w:r>
        <w:rPr>
          <w:color w:val="auto"/>
          <w:highlight w:val="none"/>
          <w:lang w:eastAsia="zh-CN"/>
        </w:rPr>
        <w:t>（1）</w:t>
      </w:r>
      <w:r>
        <w:rPr>
          <w:rFonts w:hint="eastAsia"/>
          <w:color w:val="auto"/>
          <w:highlight w:val="none"/>
          <w:lang w:eastAsia="zh-CN"/>
        </w:rPr>
        <w:t>商务文件（资信业绩）</w:t>
      </w:r>
      <w:r>
        <w:rPr>
          <w:color w:val="auto"/>
          <w:highlight w:val="none"/>
          <w:lang w:eastAsia="zh-CN"/>
        </w:rPr>
        <w:t>部分：见评标办法前附表；</w:t>
      </w:r>
    </w:p>
    <w:p>
      <w:pPr>
        <w:pStyle w:val="12"/>
        <w:spacing w:line="360" w:lineRule="auto"/>
        <w:ind w:left="0" w:firstLine="420" w:firstLineChars="200"/>
        <w:jc w:val="both"/>
        <w:rPr>
          <w:color w:val="auto"/>
          <w:highlight w:val="none"/>
          <w:lang w:eastAsia="zh-CN"/>
        </w:rPr>
      </w:pPr>
      <w:r>
        <w:rPr>
          <w:color w:val="auto"/>
          <w:highlight w:val="none"/>
          <w:lang w:eastAsia="zh-CN"/>
        </w:rPr>
        <w:t>（2）</w:t>
      </w:r>
      <w:r>
        <w:rPr>
          <w:rFonts w:hint="eastAsia"/>
          <w:color w:val="auto"/>
          <w:highlight w:val="none"/>
          <w:u w:val="single"/>
          <w:lang w:eastAsia="zh-CN"/>
        </w:rPr>
        <w:t>技术文件（设计方案</w:t>
      </w:r>
      <w:r>
        <w:rPr>
          <w:color w:val="auto"/>
          <w:highlight w:val="none"/>
          <w:u w:val="single"/>
          <w:lang w:eastAsia="zh-CN"/>
        </w:rPr>
        <w:t>)</w:t>
      </w:r>
      <w:r>
        <w:rPr>
          <w:color w:val="auto"/>
          <w:highlight w:val="none"/>
          <w:lang w:eastAsia="zh-CN"/>
        </w:rPr>
        <w:t>部分：见评标办法前附表；</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（3）投标报价：见评标办法前附表；</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（4）其他评分因素：见评标办法前附表。</w:t>
      </w:r>
    </w:p>
    <w:p>
      <w:pPr>
        <w:pStyle w:val="12"/>
        <w:spacing w:line="360" w:lineRule="auto"/>
        <w:ind w:left="0" w:firstLine="420" w:firstLineChars="200"/>
        <w:jc w:val="both"/>
        <w:rPr>
          <w:strike/>
          <w:color w:val="auto"/>
          <w:highlight w:val="none"/>
          <w:u w:val="single"/>
          <w:lang w:eastAsia="zh-CN"/>
        </w:rPr>
      </w:pPr>
      <w:r>
        <w:rPr>
          <w:strike/>
          <w:color w:val="auto"/>
          <w:highlight w:val="none"/>
          <w:u w:val="single"/>
          <w:lang w:eastAsia="zh-CN"/>
        </w:rPr>
        <w:t>2.2.2评标基准价计算</w:t>
      </w:r>
    </w:p>
    <w:p>
      <w:pPr>
        <w:pStyle w:val="12"/>
        <w:spacing w:line="360" w:lineRule="auto"/>
        <w:ind w:left="0" w:firstLine="420" w:firstLineChars="200"/>
        <w:jc w:val="both"/>
        <w:rPr>
          <w:strike/>
          <w:color w:val="auto"/>
          <w:highlight w:val="none"/>
          <w:u w:val="single"/>
          <w:lang w:eastAsia="zh-CN"/>
        </w:rPr>
      </w:pPr>
      <w:r>
        <w:rPr>
          <w:strike/>
          <w:color w:val="auto"/>
          <w:highlight w:val="none"/>
          <w:u w:val="single"/>
          <w:lang w:eastAsia="zh-CN"/>
        </w:rPr>
        <w:t>评标基准价计算方法：见评标办法前附表。</w:t>
      </w:r>
    </w:p>
    <w:p>
      <w:pPr>
        <w:pStyle w:val="12"/>
        <w:spacing w:line="360" w:lineRule="auto"/>
        <w:ind w:left="0" w:firstLine="420" w:firstLineChars="200"/>
        <w:jc w:val="both"/>
        <w:rPr>
          <w:strike/>
          <w:color w:val="auto"/>
          <w:highlight w:val="none"/>
          <w:u w:val="single"/>
          <w:lang w:eastAsia="zh-CN"/>
        </w:rPr>
      </w:pPr>
      <w:r>
        <w:rPr>
          <w:strike/>
          <w:color w:val="auto"/>
          <w:highlight w:val="none"/>
          <w:u w:val="single"/>
          <w:lang w:eastAsia="zh-CN"/>
        </w:rPr>
        <w:t>2.2.3投标报价的偏差率计算</w:t>
      </w:r>
    </w:p>
    <w:p>
      <w:pPr>
        <w:pStyle w:val="12"/>
        <w:spacing w:line="360" w:lineRule="auto"/>
        <w:ind w:left="0" w:firstLine="420" w:firstLineChars="200"/>
        <w:jc w:val="both"/>
        <w:rPr>
          <w:color w:val="auto"/>
          <w:highlight w:val="none"/>
          <w:u w:val="single"/>
          <w:lang w:eastAsia="zh-CN"/>
        </w:rPr>
      </w:pPr>
      <w:r>
        <w:rPr>
          <w:strike/>
          <w:color w:val="auto"/>
          <w:highlight w:val="none"/>
          <w:u w:val="single"/>
          <w:lang w:eastAsia="zh-CN"/>
        </w:rPr>
        <w:t>投标报价的偏差率计算公式：见评标办法前附表。</w:t>
      </w:r>
    </w:p>
    <w:p>
      <w:pPr>
        <w:pStyle w:val="12"/>
        <w:spacing w:line="360" w:lineRule="auto"/>
        <w:ind w:left="0" w:firstLine="420" w:firstLineChars="200"/>
        <w:jc w:val="both"/>
        <w:rPr>
          <w:color w:val="auto"/>
          <w:highlight w:val="none"/>
          <w:lang w:eastAsia="zh-CN"/>
        </w:rPr>
      </w:pPr>
      <w:r>
        <w:rPr>
          <w:color w:val="auto"/>
          <w:highlight w:val="none"/>
          <w:lang w:eastAsia="zh-CN"/>
        </w:rPr>
        <w:t>2.2.4评分标准</w:t>
      </w:r>
    </w:p>
    <w:p>
      <w:pPr>
        <w:pStyle w:val="12"/>
        <w:spacing w:line="360" w:lineRule="auto"/>
        <w:ind w:left="0" w:firstLine="420" w:firstLineChars="200"/>
        <w:jc w:val="both"/>
        <w:rPr>
          <w:color w:val="auto"/>
          <w:highlight w:val="none"/>
          <w:lang w:eastAsia="zh-CN"/>
        </w:rPr>
      </w:pPr>
      <w:r>
        <w:rPr>
          <w:color w:val="auto"/>
          <w:highlight w:val="none"/>
          <w:lang w:eastAsia="zh-CN"/>
        </w:rPr>
        <w:t>（1）</w:t>
      </w:r>
      <w:r>
        <w:rPr>
          <w:rFonts w:hint="eastAsia"/>
          <w:color w:val="auto"/>
          <w:highlight w:val="none"/>
          <w:lang w:eastAsia="zh-CN"/>
        </w:rPr>
        <w:t>商务文件（资信业绩）</w:t>
      </w:r>
      <w:r>
        <w:rPr>
          <w:color w:val="auto"/>
          <w:highlight w:val="none"/>
          <w:lang w:eastAsia="zh-CN"/>
        </w:rPr>
        <w:t>评分标准：见评标办法前附表；</w:t>
      </w:r>
    </w:p>
    <w:p>
      <w:pPr>
        <w:pStyle w:val="12"/>
        <w:spacing w:line="360" w:lineRule="auto"/>
        <w:ind w:left="0" w:firstLine="420" w:firstLineChars="200"/>
        <w:jc w:val="both"/>
        <w:rPr>
          <w:color w:val="auto"/>
          <w:highlight w:val="none"/>
          <w:lang w:eastAsia="zh-CN"/>
        </w:rPr>
      </w:pPr>
      <w:r>
        <w:rPr>
          <w:color w:val="auto"/>
          <w:highlight w:val="none"/>
          <w:lang w:eastAsia="zh-CN"/>
        </w:rPr>
        <w:t>（2）</w:t>
      </w:r>
      <w:r>
        <w:rPr>
          <w:rFonts w:hint="eastAsia"/>
          <w:color w:val="auto"/>
          <w:highlight w:val="none"/>
          <w:u w:val="single"/>
          <w:lang w:eastAsia="zh-CN"/>
        </w:rPr>
        <w:t>技术文件（设计方案</w:t>
      </w:r>
      <w:r>
        <w:rPr>
          <w:color w:val="auto"/>
          <w:highlight w:val="none"/>
          <w:u w:val="single"/>
          <w:lang w:eastAsia="zh-CN"/>
        </w:rPr>
        <w:t>)</w:t>
      </w:r>
      <w:r>
        <w:rPr>
          <w:color w:val="auto"/>
          <w:highlight w:val="none"/>
          <w:lang w:eastAsia="zh-CN"/>
        </w:rPr>
        <w:t>评分标准：见评标办法前附表；</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（3）投标报价评分标准：见评标办法前附表；</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（4）其他因素评分标准：见评标办法前附表。</w:t>
      </w:r>
    </w:p>
    <w:p>
      <w:pPr>
        <w:spacing w:line="360" w:lineRule="auto"/>
        <w:jc w:val="both"/>
        <w:rPr>
          <w:rFonts w:ascii="宋体" w:hAnsi="宋体" w:eastAsia="宋体"/>
          <w:color w:val="auto"/>
          <w:sz w:val="21"/>
          <w:szCs w:val="21"/>
          <w:highlight w:val="none"/>
          <w:lang w:eastAsia="zh-CN"/>
        </w:rPr>
      </w:pPr>
      <w:bookmarkStart w:id="54" w:name="_Toc25137996"/>
    </w:p>
    <w:p>
      <w:pPr>
        <w:pStyle w:val="6"/>
        <w:spacing w:line="443" w:lineRule="exact"/>
        <w:ind w:right="44"/>
        <w:jc w:val="both"/>
        <w:rPr>
          <w:rFonts w:ascii="宋体" w:hAnsi="宋体" w:eastAsia="宋体"/>
          <w:color w:val="auto"/>
          <w:sz w:val="21"/>
          <w:szCs w:val="21"/>
          <w:highlight w:val="none"/>
          <w:lang w:eastAsia="zh-CN"/>
        </w:rPr>
      </w:pPr>
      <w:bookmarkStart w:id="55" w:name="_Toc109809436"/>
      <w:bookmarkStart w:id="56" w:name="_Toc109809397"/>
      <w:r>
        <w:rPr>
          <w:rFonts w:ascii="宋体" w:hAnsi="宋体" w:eastAsia="宋体"/>
          <w:color w:val="auto"/>
          <w:sz w:val="21"/>
          <w:szCs w:val="21"/>
          <w:highlight w:val="none"/>
          <w:lang w:eastAsia="zh-CN"/>
        </w:rPr>
        <w:t>3. 评标程序</w:t>
      </w:r>
      <w:bookmarkEnd w:id="54"/>
      <w:bookmarkEnd w:id="55"/>
      <w:bookmarkEnd w:id="56"/>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3.1 初步评审</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3.1.1评标委员会可以要求投标人提交第二章“投标人须知”规定的有关证明和证件的原件，以便核验。评标委员会依据本章第 2.1款规定的标准对投标文件进行初步评审。有一项不符合评审标准的，评标委员会应当否决其投标。</w:t>
      </w:r>
    </w:p>
    <w:p>
      <w:pPr>
        <w:pStyle w:val="12"/>
        <w:spacing w:line="360" w:lineRule="auto"/>
        <w:ind w:left="0" w:firstLine="420" w:firstLineChars="200"/>
        <w:jc w:val="both"/>
        <w:rPr>
          <w:color w:val="auto"/>
          <w:highlight w:val="none"/>
          <w:lang w:eastAsia="zh-CN"/>
        </w:rPr>
      </w:pPr>
      <w:r>
        <w:rPr>
          <w:color w:val="auto"/>
          <w:highlight w:val="none"/>
          <w:lang w:eastAsia="zh-CN"/>
        </w:rPr>
        <w:t>3.1.2投标人有以下情形之一的，评标委员会应当否决其投标：</w:t>
      </w:r>
    </w:p>
    <w:p>
      <w:pPr>
        <w:pStyle w:val="12"/>
        <w:spacing w:line="360" w:lineRule="auto"/>
        <w:ind w:left="0" w:firstLine="420" w:firstLineChars="200"/>
        <w:jc w:val="both"/>
        <w:rPr>
          <w:color w:val="auto"/>
          <w:highlight w:val="none"/>
          <w:lang w:eastAsia="zh-CN"/>
        </w:rPr>
      </w:pPr>
      <w:r>
        <w:rPr>
          <w:color w:val="auto"/>
          <w:highlight w:val="none"/>
          <w:lang w:eastAsia="zh-CN"/>
        </w:rPr>
        <w:t>（1）投标文件没有对招标文件的实质性要求和条件作出响应，或者对招标文件的偏差超出招标文件规定的偏差范围或最高项数；</w:t>
      </w:r>
    </w:p>
    <w:p>
      <w:pPr>
        <w:pStyle w:val="12"/>
        <w:spacing w:line="360" w:lineRule="auto"/>
        <w:ind w:left="0" w:firstLine="420" w:firstLineChars="200"/>
        <w:jc w:val="both"/>
        <w:rPr>
          <w:color w:val="auto"/>
          <w:highlight w:val="none"/>
          <w:lang w:eastAsia="zh-CN"/>
        </w:rPr>
      </w:pPr>
      <w:r>
        <w:rPr>
          <w:color w:val="auto"/>
          <w:highlight w:val="none"/>
          <w:lang w:eastAsia="zh-CN"/>
        </w:rPr>
        <w:t>（2）有串通投标、弄虚作假、行贿等违法行为。</w:t>
      </w:r>
    </w:p>
    <w:p>
      <w:pPr>
        <w:pStyle w:val="12"/>
        <w:spacing w:line="360" w:lineRule="auto"/>
        <w:ind w:left="0" w:firstLine="420" w:firstLineChars="200"/>
        <w:jc w:val="both"/>
        <w:rPr>
          <w:color w:val="auto"/>
          <w:highlight w:val="none"/>
          <w:lang w:eastAsia="zh-CN"/>
        </w:rPr>
      </w:pPr>
      <w:r>
        <w:rPr>
          <w:color w:val="auto"/>
          <w:highlight w:val="none"/>
          <w:lang w:eastAsia="zh-CN"/>
        </w:rPr>
        <w:t>3.1.3投标报价有算术错误及其他错误的，评标委员会按以下原则要求投标人对投标报价进行修正，并要求投标人书面澄清确认。投标人拒不澄清确认的，评标委员会应当否决其投标：</w:t>
      </w:r>
    </w:p>
    <w:p>
      <w:pPr>
        <w:pStyle w:val="12"/>
        <w:spacing w:line="360" w:lineRule="auto"/>
        <w:ind w:left="0" w:firstLine="420" w:firstLineChars="200"/>
        <w:jc w:val="both"/>
        <w:rPr>
          <w:color w:val="auto"/>
          <w:highlight w:val="none"/>
          <w:lang w:eastAsia="zh-CN"/>
        </w:rPr>
      </w:pPr>
      <w:r>
        <w:rPr>
          <w:color w:val="auto"/>
          <w:highlight w:val="none"/>
          <w:lang w:eastAsia="zh-CN"/>
        </w:rPr>
        <w:t>（1）投标文件中的大写金额与小写金额不一致的，以大写金额为准；</w:t>
      </w:r>
    </w:p>
    <w:p>
      <w:pPr>
        <w:pStyle w:val="12"/>
        <w:spacing w:line="360" w:lineRule="auto"/>
        <w:ind w:left="0" w:firstLine="420" w:firstLineChars="200"/>
        <w:jc w:val="both"/>
        <w:rPr>
          <w:color w:val="auto"/>
          <w:highlight w:val="none"/>
          <w:lang w:eastAsia="zh-CN"/>
        </w:rPr>
      </w:pPr>
      <w:r>
        <w:rPr>
          <w:color w:val="auto"/>
          <w:highlight w:val="none"/>
          <w:lang w:eastAsia="zh-CN"/>
        </w:rPr>
        <w:t>（2）总价金额与单价金额不一致的，以单价金额为准，但单价金额小数点有明显错误的除外。</w:t>
      </w:r>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3.2 详细评审</w:t>
      </w:r>
    </w:p>
    <w:p>
      <w:pPr>
        <w:spacing w:line="360" w:lineRule="auto"/>
        <w:jc w:val="both"/>
        <w:rPr>
          <w:rFonts w:ascii="宋体" w:hAnsi="宋体" w:eastAsia="宋体"/>
          <w:color w:val="auto"/>
          <w:sz w:val="21"/>
          <w:szCs w:val="21"/>
          <w:highlight w:val="none"/>
          <w:lang w:eastAsia="zh-CN"/>
        </w:rPr>
      </w:pPr>
    </w:p>
    <w:p>
      <w:pPr>
        <w:pStyle w:val="12"/>
        <w:spacing w:line="360" w:lineRule="auto"/>
        <w:ind w:firstLine="420" w:firstLineChars="200"/>
        <w:jc w:val="both"/>
        <w:rPr>
          <w:color w:val="auto"/>
          <w:highlight w:val="none"/>
          <w:u w:val="single"/>
          <w:lang w:eastAsia="zh-CN"/>
        </w:rPr>
      </w:pPr>
      <w:r>
        <w:rPr>
          <w:color w:val="auto"/>
          <w:highlight w:val="none"/>
          <w:u w:val="single"/>
          <w:lang w:eastAsia="zh-CN"/>
        </w:rPr>
        <w:t>3.2.1</w:t>
      </w:r>
      <w:r>
        <w:rPr>
          <w:rFonts w:hint="eastAsia" w:cs="宋体"/>
          <w:color w:val="auto"/>
          <w:highlight w:val="none"/>
          <w:u w:val="single"/>
          <w:lang w:eastAsia="zh-CN"/>
        </w:rPr>
        <w:t>评标委员会按本章第</w:t>
      </w:r>
      <w:r>
        <w:rPr>
          <w:color w:val="auto"/>
          <w:highlight w:val="none"/>
          <w:u w:val="single"/>
          <w:lang w:eastAsia="zh-CN"/>
        </w:rPr>
        <w:t xml:space="preserve"> 2.2</w:t>
      </w:r>
      <w:r>
        <w:rPr>
          <w:rFonts w:hint="eastAsia" w:cs="宋体"/>
          <w:color w:val="auto"/>
          <w:highlight w:val="none"/>
          <w:u w:val="single"/>
          <w:lang w:eastAsia="zh-CN"/>
        </w:rPr>
        <w:t>款规定的量化因素和分值进行打分，并计算出综合评估得分。</w:t>
      </w:r>
    </w:p>
    <w:p>
      <w:pPr>
        <w:pStyle w:val="12"/>
        <w:spacing w:line="360" w:lineRule="auto"/>
        <w:ind w:firstLine="420" w:firstLineChars="200"/>
        <w:jc w:val="both"/>
        <w:rPr>
          <w:color w:val="auto"/>
          <w:highlight w:val="none"/>
          <w:u w:val="single"/>
          <w:lang w:eastAsia="zh-CN"/>
        </w:rPr>
      </w:pPr>
      <w:r>
        <w:rPr>
          <w:rFonts w:hint="eastAsia" w:cs="宋体"/>
          <w:color w:val="auto"/>
          <w:highlight w:val="none"/>
          <w:u w:val="single"/>
          <w:lang w:eastAsia="zh-CN"/>
        </w:rPr>
        <w:t>（</w:t>
      </w:r>
      <w:r>
        <w:rPr>
          <w:color w:val="auto"/>
          <w:highlight w:val="none"/>
          <w:u w:val="single"/>
          <w:lang w:eastAsia="zh-CN"/>
        </w:rPr>
        <w:t>1</w:t>
      </w:r>
      <w:r>
        <w:rPr>
          <w:rFonts w:hint="eastAsia" w:cs="宋体"/>
          <w:color w:val="auto"/>
          <w:highlight w:val="none"/>
          <w:u w:val="single"/>
          <w:lang w:eastAsia="zh-CN"/>
        </w:rPr>
        <w:t>）按本章第</w:t>
      </w:r>
      <w:r>
        <w:rPr>
          <w:color w:val="auto"/>
          <w:highlight w:val="none"/>
          <w:u w:val="single"/>
          <w:lang w:eastAsia="zh-CN"/>
        </w:rPr>
        <w:t>2.2.4</w:t>
      </w:r>
      <w:r>
        <w:rPr>
          <w:rFonts w:hint="eastAsia" w:cs="宋体"/>
          <w:color w:val="auto"/>
          <w:highlight w:val="none"/>
          <w:u w:val="single"/>
          <w:lang w:eastAsia="zh-CN"/>
        </w:rPr>
        <w:t>（</w:t>
      </w:r>
      <w:r>
        <w:rPr>
          <w:color w:val="auto"/>
          <w:highlight w:val="none"/>
          <w:u w:val="single"/>
          <w:lang w:eastAsia="zh-CN"/>
        </w:rPr>
        <w:t>1</w:t>
      </w:r>
      <w:r>
        <w:rPr>
          <w:rFonts w:hint="eastAsia" w:cs="宋体"/>
          <w:color w:val="auto"/>
          <w:highlight w:val="none"/>
          <w:u w:val="single"/>
          <w:lang w:eastAsia="zh-CN"/>
        </w:rPr>
        <w:t>）目规定的评审因素和分值对商务文件（资信业绩）评分计算出得分</w:t>
      </w:r>
      <w:r>
        <w:rPr>
          <w:color w:val="auto"/>
          <w:highlight w:val="none"/>
          <w:u w:val="single"/>
          <w:lang w:eastAsia="zh-CN"/>
        </w:rPr>
        <w:t>A</w:t>
      </w:r>
      <w:r>
        <w:rPr>
          <w:rFonts w:hint="eastAsia" w:cs="宋体"/>
          <w:color w:val="auto"/>
          <w:highlight w:val="none"/>
          <w:u w:val="single"/>
          <w:lang w:eastAsia="zh-CN"/>
        </w:rPr>
        <w:t>；</w:t>
      </w:r>
    </w:p>
    <w:p>
      <w:pPr>
        <w:pStyle w:val="12"/>
        <w:spacing w:line="360" w:lineRule="auto"/>
        <w:ind w:firstLine="420" w:firstLineChars="200"/>
        <w:jc w:val="both"/>
        <w:rPr>
          <w:color w:val="auto"/>
          <w:highlight w:val="none"/>
          <w:u w:val="single"/>
          <w:lang w:eastAsia="zh-CN"/>
        </w:rPr>
      </w:pPr>
      <w:r>
        <w:rPr>
          <w:rFonts w:hint="eastAsia" w:cs="宋体"/>
          <w:color w:val="auto"/>
          <w:highlight w:val="none"/>
          <w:u w:val="single"/>
          <w:lang w:eastAsia="zh-CN"/>
        </w:rPr>
        <w:t>（</w:t>
      </w:r>
      <w:r>
        <w:rPr>
          <w:color w:val="auto"/>
          <w:highlight w:val="none"/>
          <w:u w:val="single"/>
          <w:lang w:eastAsia="zh-CN"/>
        </w:rPr>
        <w:t>2</w:t>
      </w:r>
      <w:r>
        <w:rPr>
          <w:rFonts w:hint="eastAsia" w:cs="宋体"/>
          <w:color w:val="auto"/>
          <w:highlight w:val="none"/>
          <w:u w:val="single"/>
          <w:lang w:eastAsia="zh-CN"/>
        </w:rPr>
        <w:t>）按照本章第</w:t>
      </w:r>
      <w:r>
        <w:rPr>
          <w:color w:val="auto"/>
          <w:highlight w:val="none"/>
          <w:u w:val="single"/>
          <w:lang w:eastAsia="zh-CN"/>
        </w:rPr>
        <w:t>2.1.3</w:t>
      </w:r>
      <w:r>
        <w:rPr>
          <w:rFonts w:hint="eastAsia" w:cs="宋体"/>
          <w:color w:val="auto"/>
          <w:highlight w:val="none"/>
          <w:u w:val="single"/>
          <w:lang w:eastAsia="zh-CN"/>
        </w:rPr>
        <w:t>目规定的标准对技术部分进行响应性（技术标暗标）评审；</w:t>
      </w:r>
    </w:p>
    <w:p>
      <w:pPr>
        <w:pStyle w:val="12"/>
        <w:spacing w:line="360" w:lineRule="auto"/>
        <w:ind w:firstLine="420" w:firstLineChars="200"/>
        <w:jc w:val="both"/>
        <w:rPr>
          <w:rFonts w:cs="宋体"/>
          <w:color w:val="auto"/>
          <w:highlight w:val="none"/>
          <w:u w:val="single"/>
          <w:lang w:eastAsia="zh-CN"/>
        </w:rPr>
      </w:pPr>
      <w:r>
        <w:rPr>
          <w:rFonts w:hint="eastAsia" w:cs="宋体"/>
          <w:color w:val="auto"/>
          <w:highlight w:val="none"/>
          <w:u w:val="single"/>
          <w:lang w:eastAsia="zh-CN"/>
        </w:rPr>
        <w:t>（</w:t>
      </w:r>
      <w:r>
        <w:rPr>
          <w:color w:val="auto"/>
          <w:highlight w:val="none"/>
          <w:u w:val="single"/>
          <w:lang w:eastAsia="zh-CN"/>
        </w:rPr>
        <w:t>3</w:t>
      </w:r>
      <w:r>
        <w:rPr>
          <w:rFonts w:hint="eastAsia" w:cs="宋体"/>
          <w:color w:val="auto"/>
          <w:highlight w:val="none"/>
          <w:u w:val="single"/>
          <w:lang w:eastAsia="zh-CN"/>
        </w:rPr>
        <w:t>）按本章第</w:t>
      </w:r>
      <w:r>
        <w:rPr>
          <w:color w:val="auto"/>
          <w:highlight w:val="none"/>
          <w:u w:val="single"/>
          <w:lang w:eastAsia="zh-CN"/>
        </w:rPr>
        <w:t>2.2.4</w:t>
      </w:r>
      <w:r>
        <w:rPr>
          <w:rFonts w:hint="eastAsia" w:cs="宋体"/>
          <w:color w:val="auto"/>
          <w:highlight w:val="none"/>
          <w:u w:val="single"/>
          <w:lang w:eastAsia="zh-CN"/>
        </w:rPr>
        <w:t>（</w:t>
      </w:r>
      <w:r>
        <w:rPr>
          <w:color w:val="auto"/>
          <w:highlight w:val="none"/>
          <w:u w:val="single"/>
          <w:lang w:eastAsia="zh-CN"/>
        </w:rPr>
        <w:t>2</w:t>
      </w:r>
      <w:r>
        <w:rPr>
          <w:rFonts w:hint="eastAsia" w:cs="宋体"/>
          <w:color w:val="auto"/>
          <w:highlight w:val="none"/>
          <w:u w:val="single"/>
          <w:lang w:eastAsia="zh-CN"/>
        </w:rPr>
        <w:t>）目规定的评审因素和分值对</w:t>
      </w:r>
      <w:r>
        <w:rPr>
          <w:rFonts w:hint="eastAsia"/>
          <w:color w:val="auto"/>
          <w:highlight w:val="none"/>
          <w:u w:val="single"/>
          <w:lang w:eastAsia="zh-CN"/>
        </w:rPr>
        <w:t>技术文件（设计方案</w:t>
      </w:r>
      <w:r>
        <w:rPr>
          <w:color w:val="auto"/>
          <w:highlight w:val="none"/>
          <w:u w:val="single"/>
          <w:lang w:eastAsia="zh-CN"/>
        </w:rPr>
        <w:t>)</w:t>
      </w:r>
      <w:r>
        <w:rPr>
          <w:rFonts w:hint="eastAsia" w:cs="宋体"/>
          <w:color w:val="auto"/>
          <w:highlight w:val="none"/>
          <w:u w:val="single"/>
          <w:lang w:eastAsia="zh-CN"/>
        </w:rPr>
        <w:t>评分计算出得分</w:t>
      </w:r>
      <w:r>
        <w:rPr>
          <w:color w:val="auto"/>
          <w:highlight w:val="none"/>
          <w:u w:val="single"/>
          <w:lang w:eastAsia="zh-CN"/>
        </w:rPr>
        <w:t>B</w:t>
      </w:r>
      <w:r>
        <w:rPr>
          <w:rFonts w:hint="eastAsia" w:cs="宋体"/>
          <w:color w:val="auto"/>
          <w:highlight w:val="none"/>
          <w:u w:val="single"/>
          <w:lang w:eastAsia="zh-CN"/>
        </w:rPr>
        <w:t>；</w:t>
      </w:r>
    </w:p>
    <w:p>
      <w:pPr>
        <w:pStyle w:val="12"/>
        <w:spacing w:line="360" w:lineRule="auto"/>
        <w:ind w:firstLine="420" w:firstLineChars="200"/>
        <w:jc w:val="both"/>
        <w:rPr>
          <w:color w:val="auto"/>
          <w:highlight w:val="none"/>
          <w:u w:val="single"/>
          <w:lang w:eastAsia="zh-CN"/>
        </w:rPr>
      </w:pPr>
      <w:r>
        <w:rPr>
          <w:rFonts w:hint="eastAsia"/>
          <w:color w:val="auto"/>
          <w:highlight w:val="none"/>
          <w:u w:val="single"/>
          <w:lang w:eastAsia="zh-CN"/>
        </w:rPr>
        <w:t>（</w:t>
      </w:r>
      <w:r>
        <w:rPr>
          <w:color w:val="auto"/>
          <w:highlight w:val="none"/>
          <w:u w:val="single"/>
          <w:lang w:eastAsia="zh-CN"/>
        </w:rPr>
        <w:t>4</w:t>
      </w:r>
      <w:r>
        <w:rPr>
          <w:rFonts w:hint="eastAsia"/>
          <w:color w:val="auto"/>
          <w:highlight w:val="none"/>
          <w:u w:val="single"/>
          <w:lang w:eastAsia="zh-CN"/>
        </w:rPr>
        <w:t>）</w:t>
      </w:r>
      <w:r>
        <w:rPr>
          <w:rFonts w:hint="eastAsia" w:cs="宋体"/>
          <w:color w:val="auto"/>
          <w:highlight w:val="none"/>
          <w:u w:val="single"/>
          <w:lang w:eastAsia="zh-CN"/>
        </w:rPr>
        <w:t>评标委员会揭晓投标人身份。</w:t>
      </w:r>
    </w:p>
    <w:p>
      <w:pPr>
        <w:pStyle w:val="12"/>
        <w:spacing w:line="360" w:lineRule="auto"/>
        <w:ind w:firstLine="420" w:firstLineChars="200"/>
        <w:jc w:val="both"/>
        <w:rPr>
          <w:color w:val="auto"/>
          <w:highlight w:val="none"/>
          <w:u w:val="single"/>
          <w:lang w:eastAsia="zh-CN"/>
        </w:rPr>
      </w:pPr>
      <w:r>
        <w:rPr>
          <w:color w:val="auto"/>
          <w:highlight w:val="none"/>
          <w:u w:val="single"/>
          <w:lang w:eastAsia="zh-CN"/>
        </w:rPr>
        <w:t>3.2.2</w:t>
      </w:r>
      <w:r>
        <w:rPr>
          <w:rFonts w:hint="eastAsia" w:cs="宋体"/>
          <w:color w:val="auto"/>
          <w:highlight w:val="none"/>
          <w:u w:val="single"/>
          <w:lang w:eastAsia="zh-CN"/>
        </w:rPr>
        <w:t>评分分值计算保留小数点后两位，小数点后第三位</w:t>
      </w:r>
      <w:r>
        <w:rPr>
          <w:rFonts w:cs="Calibri"/>
          <w:color w:val="auto"/>
          <w:highlight w:val="none"/>
          <w:u w:val="single"/>
          <w:lang w:eastAsia="zh-CN"/>
        </w:rPr>
        <w:t>“</w:t>
      </w:r>
      <w:r>
        <w:rPr>
          <w:rFonts w:hint="eastAsia" w:cs="宋体"/>
          <w:color w:val="auto"/>
          <w:highlight w:val="none"/>
          <w:u w:val="single"/>
          <w:lang w:eastAsia="zh-CN"/>
        </w:rPr>
        <w:t>四舍五入</w:t>
      </w:r>
      <w:r>
        <w:rPr>
          <w:rFonts w:cs="Calibri"/>
          <w:color w:val="auto"/>
          <w:highlight w:val="none"/>
          <w:u w:val="single"/>
          <w:lang w:eastAsia="zh-CN"/>
        </w:rPr>
        <w:t>”</w:t>
      </w:r>
      <w:r>
        <w:rPr>
          <w:rFonts w:hint="eastAsia" w:cs="宋体"/>
          <w:color w:val="auto"/>
          <w:highlight w:val="none"/>
          <w:u w:val="single"/>
          <w:lang w:eastAsia="zh-CN"/>
        </w:rPr>
        <w:t>。</w:t>
      </w:r>
    </w:p>
    <w:p>
      <w:pPr>
        <w:pStyle w:val="12"/>
        <w:spacing w:line="360" w:lineRule="auto"/>
        <w:ind w:firstLine="420" w:firstLineChars="200"/>
        <w:jc w:val="both"/>
        <w:rPr>
          <w:color w:val="auto"/>
          <w:highlight w:val="none"/>
          <w:u w:val="single"/>
          <w:lang w:eastAsia="zh-CN"/>
        </w:rPr>
      </w:pPr>
      <w:r>
        <w:rPr>
          <w:color w:val="auto"/>
          <w:highlight w:val="none"/>
          <w:u w:val="single"/>
          <w:lang w:eastAsia="zh-CN"/>
        </w:rPr>
        <w:t>3.2.3</w:t>
      </w:r>
      <w:r>
        <w:rPr>
          <w:rFonts w:hint="eastAsia"/>
          <w:color w:val="auto"/>
          <w:highlight w:val="none"/>
          <w:u w:val="single"/>
          <w:lang w:eastAsia="zh-CN"/>
        </w:rPr>
        <w:t>投标人的综合得分（满分</w:t>
      </w:r>
      <w:r>
        <w:rPr>
          <w:color w:val="auto"/>
          <w:highlight w:val="none"/>
          <w:u w:val="single"/>
          <w:lang w:eastAsia="zh-CN"/>
        </w:rPr>
        <w:t>100</w:t>
      </w:r>
      <w:r>
        <w:rPr>
          <w:rFonts w:hint="eastAsia"/>
          <w:color w:val="auto"/>
          <w:highlight w:val="none"/>
          <w:u w:val="single"/>
          <w:lang w:eastAsia="zh-CN"/>
        </w:rPr>
        <w:t>分）＝商务文件部分(30分)+技术文件（勘察设计方案部分）(70分)</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3.2.1评标委员会按本章第 2.2款规定的量化因素和分值进行打分，并计算出综合评估得分。</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（1）按本章第2.2.4（1）目规定的评审因素和分值对资信业绩部分计算出得分A；</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（2）按本章第2.2.4（2）目规定的评审因素和分值对勘察设计方案部分计算出得分B；</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（3）按本章第2.2.4（3）目规定的评审因素和分值对投标报价计算出得分C；</w:t>
      </w:r>
    </w:p>
    <w:p>
      <w:pPr>
        <w:pStyle w:val="12"/>
        <w:spacing w:line="360" w:lineRule="auto"/>
        <w:ind w:left="1" w:firstLine="420" w:firstLineChars="200"/>
        <w:jc w:val="both"/>
        <w:rPr>
          <w:strike/>
          <w:color w:val="auto"/>
          <w:highlight w:val="none"/>
          <w:lang w:eastAsia="zh-CN"/>
        </w:rPr>
      </w:pPr>
      <w:r>
        <w:rPr>
          <w:strike/>
          <w:color w:val="auto"/>
          <w:highlight w:val="none"/>
          <w:lang w:eastAsia="zh-CN"/>
        </w:rPr>
        <w:t>（4）按本章第2.2.4（4）目规定的评审因素和分值对其他部分计算出得分D。</w:t>
      </w:r>
    </w:p>
    <w:p>
      <w:pPr>
        <w:pStyle w:val="12"/>
        <w:spacing w:line="360" w:lineRule="auto"/>
        <w:ind w:left="1" w:firstLine="420" w:firstLineChars="200"/>
        <w:jc w:val="both"/>
        <w:rPr>
          <w:strike/>
          <w:color w:val="auto"/>
          <w:highlight w:val="none"/>
          <w:lang w:eastAsia="zh-CN"/>
        </w:rPr>
      </w:pPr>
      <w:r>
        <w:rPr>
          <w:strike/>
          <w:color w:val="auto"/>
          <w:highlight w:val="none"/>
          <w:lang w:eastAsia="zh-CN"/>
        </w:rPr>
        <w:t>3.2.2评分分值计算保留小数点后两位，小数点后第三位“四舍五入”。</w:t>
      </w:r>
    </w:p>
    <w:p>
      <w:pPr>
        <w:pStyle w:val="12"/>
        <w:spacing w:line="360" w:lineRule="auto"/>
        <w:ind w:left="0" w:firstLine="420" w:firstLineChars="200"/>
        <w:jc w:val="both"/>
        <w:rPr>
          <w:color w:val="auto"/>
          <w:highlight w:val="none"/>
          <w:lang w:eastAsia="zh-CN"/>
        </w:rPr>
      </w:pPr>
      <w:r>
        <w:rPr>
          <w:strike/>
          <w:color w:val="auto"/>
          <w:highlight w:val="none"/>
          <w:lang w:eastAsia="zh-CN"/>
        </w:rPr>
        <w:t>3.2.3投标人得分=A+B+C+D。</w:t>
      </w:r>
    </w:p>
    <w:p>
      <w:pPr>
        <w:pStyle w:val="12"/>
        <w:spacing w:line="360" w:lineRule="auto"/>
        <w:ind w:left="0" w:firstLine="420" w:firstLineChars="200"/>
        <w:jc w:val="both"/>
        <w:rPr>
          <w:color w:val="auto"/>
          <w:highlight w:val="none"/>
          <w:lang w:eastAsia="zh-CN"/>
        </w:rPr>
      </w:pPr>
      <w:r>
        <w:rPr>
          <w:color w:val="auto"/>
          <w:highlight w:val="none"/>
          <w:lang w:eastAsia="zh-CN"/>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3.3  投标文件的澄清</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pStyle w:val="12"/>
        <w:spacing w:line="360" w:lineRule="auto"/>
        <w:ind w:left="0" w:firstLine="420" w:firstLineChars="200"/>
        <w:jc w:val="both"/>
        <w:rPr>
          <w:color w:val="auto"/>
          <w:highlight w:val="none"/>
          <w:lang w:eastAsia="zh-CN"/>
        </w:rPr>
      </w:pPr>
      <w:r>
        <w:rPr>
          <w:color w:val="auto"/>
          <w:highlight w:val="none"/>
          <w:lang w:eastAsia="zh-CN"/>
        </w:rPr>
        <w:t>3.3.2澄清、说明或补正不得超出投标文件的范围且不得改变投标文件的实质性内容，并构成投标文件的组成部分。</w:t>
      </w:r>
    </w:p>
    <w:p>
      <w:pPr>
        <w:pStyle w:val="12"/>
        <w:spacing w:line="360" w:lineRule="auto"/>
        <w:ind w:left="0" w:firstLine="420" w:firstLineChars="200"/>
        <w:jc w:val="both"/>
        <w:rPr>
          <w:color w:val="auto"/>
          <w:highlight w:val="none"/>
          <w:lang w:eastAsia="zh-CN"/>
        </w:rPr>
      </w:pPr>
      <w:r>
        <w:rPr>
          <w:color w:val="auto"/>
          <w:highlight w:val="none"/>
          <w:lang w:eastAsia="zh-CN"/>
        </w:rPr>
        <w:t>3.3.3评标委员会对投标人提交的澄清、说明或补正有疑问的，可以要求投标人进一步澄清、说明或补正，直至满足评标委员会的要求。</w:t>
      </w:r>
    </w:p>
    <w:p>
      <w:pPr>
        <w:spacing w:line="360" w:lineRule="auto"/>
        <w:jc w:val="both"/>
        <w:rPr>
          <w:rFonts w:ascii="宋体" w:hAnsi="宋体" w:eastAsia="宋体"/>
          <w:color w:val="auto"/>
          <w:sz w:val="21"/>
          <w:szCs w:val="21"/>
          <w:highlight w:val="none"/>
          <w:lang w:eastAsia="zh-CN"/>
        </w:rPr>
      </w:pPr>
    </w:p>
    <w:p>
      <w:pPr>
        <w:pStyle w:val="7"/>
        <w:ind w:right="44"/>
        <w:jc w:val="both"/>
        <w:rPr>
          <w:b/>
          <w:bCs/>
          <w:color w:val="auto"/>
          <w:sz w:val="21"/>
          <w:szCs w:val="21"/>
          <w:highlight w:val="none"/>
          <w:lang w:eastAsia="zh-CN"/>
        </w:rPr>
      </w:pPr>
      <w:r>
        <w:rPr>
          <w:b/>
          <w:bCs/>
          <w:color w:val="auto"/>
          <w:sz w:val="21"/>
          <w:szCs w:val="21"/>
          <w:highlight w:val="none"/>
          <w:lang w:eastAsia="zh-CN"/>
        </w:rPr>
        <w:t>3.4 评标结果</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3.4.1除第二章“投标人须知”前附表授权直接确定中标人外，评标委员会按照得分由高到低的顺序推荐中标候选人，并标明排序。</w:t>
      </w:r>
    </w:p>
    <w:p>
      <w:pPr>
        <w:pStyle w:val="12"/>
        <w:spacing w:line="360" w:lineRule="auto"/>
        <w:ind w:left="0" w:firstLine="420" w:firstLineChars="200"/>
        <w:jc w:val="both"/>
        <w:rPr>
          <w:color w:val="auto"/>
          <w:highlight w:val="none"/>
          <w:lang w:eastAsia="zh-CN"/>
        </w:rPr>
      </w:pPr>
      <w:r>
        <w:rPr>
          <w:color w:val="auto"/>
          <w:highlight w:val="none"/>
          <w:lang w:eastAsia="zh-CN"/>
        </w:rPr>
        <w:t>3.4.2评标委员会完成评标后，应当向招标人提交书面评标报告和中标候选人名单。</w:t>
      </w:r>
      <w:bookmarkStart w:id="57" w:name="_Toc25137997"/>
    </w:p>
    <w:p>
      <w:pPr>
        <w:pStyle w:val="4"/>
        <w:jc w:val="center"/>
        <w:rPr>
          <w:rFonts w:ascii="宋体" w:hAnsi="宋体" w:eastAsia="宋体"/>
          <w:color w:val="auto"/>
          <w:highlight w:val="none"/>
          <w:lang w:eastAsia="zh-CN"/>
        </w:rPr>
      </w:pPr>
      <w:r>
        <w:rPr>
          <w:rFonts w:ascii="宋体" w:hAnsi="宋体" w:eastAsia="宋体"/>
          <w:color w:val="auto"/>
          <w:highlight w:val="none"/>
          <w:lang w:eastAsia="zh-CN"/>
        </w:rPr>
        <w:br w:type="page"/>
      </w:r>
      <w:bookmarkStart w:id="58" w:name="_Toc109809398"/>
      <w:bookmarkStart w:id="59" w:name="_Toc109809437"/>
      <w:r>
        <w:rPr>
          <w:rFonts w:ascii="宋体" w:hAnsi="宋体" w:eastAsia="宋体"/>
          <w:color w:val="auto"/>
          <w:highlight w:val="none"/>
          <w:lang w:eastAsia="zh-CN"/>
        </w:rPr>
        <w:t>第四章</w:t>
      </w:r>
      <w:r>
        <w:rPr>
          <w:rFonts w:hint="eastAsia" w:ascii="宋体" w:hAnsi="宋体" w:eastAsia="宋体"/>
          <w:color w:val="auto"/>
          <w:highlight w:val="none"/>
          <w:lang w:eastAsia="zh-CN"/>
        </w:rPr>
        <w:t xml:space="preserve">  </w:t>
      </w:r>
      <w:r>
        <w:rPr>
          <w:rFonts w:ascii="宋体" w:hAnsi="宋体" w:eastAsia="宋体"/>
          <w:color w:val="auto"/>
          <w:highlight w:val="none"/>
          <w:lang w:eastAsia="zh-CN"/>
        </w:rPr>
        <w:t>合同条款及格式</w:t>
      </w:r>
      <w:bookmarkEnd w:id="57"/>
      <w:bookmarkEnd w:id="58"/>
      <w:bookmarkEnd w:id="59"/>
    </w:p>
    <w:p>
      <w:pPr>
        <w:pStyle w:val="12"/>
        <w:ind w:left="0"/>
        <w:jc w:val="center"/>
        <w:rPr>
          <w:color w:val="auto"/>
          <w:spacing w:val="-1"/>
          <w:highlight w:val="none"/>
          <w:lang w:eastAsia="zh-CN"/>
        </w:rPr>
      </w:pPr>
    </w:p>
    <w:p>
      <w:pPr>
        <w:pStyle w:val="12"/>
        <w:ind w:left="0"/>
        <w:jc w:val="center"/>
        <w:rPr>
          <w:color w:val="auto"/>
          <w:highlight w:val="none"/>
          <w:lang w:eastAsia="zh-CN"/>
        </w:rPr>
      </w:pPr>
      <w:r>
        <w:rPr>
          <w:rFonts w:hint="eastAsia"/>
          <w:color w:val="auto"/>
          <w:spacing w:val="-1"/>
          <w:highlight w:val="none"/>
          <w:lang w:eastAsia="zh-CN"/>
        </w:rPr>
        <w:t>（另册）</w:t>
      </w:r>
    </w:p>
    <w:p>
      <w:pPr>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br w:type="page"/>
      </w:r>
    </w:p>
    <w:p>
      <w:pPr>
        <w:rPr>
          <w:rFonts w:ascii="宋体" w:hAnsi="宋体" w:eastAsia="宋体" w:cs="宋体"/>
          <w:color w:val="auto"/>
          <w:sz w:val="20"/>
          <w:szCs w:val="20"/>
          <w:highlight w:val="none"/>
          <w:lang w:eastAsia="zh-CN"/>
        </w:rPr>
      </w:pPr>
    </w:p>
    <w:p>
      <w:pPr>
        <w:rPr>
          <w:rFonts w:ascii="宋体" w:hAnsi="宋体" w:eastAsia="宋体" w:cs="宋体"/>
          <w:color w:val="auto"/>
          <w:sz w:val="20"/>
          <w:szCs w:val="20"/>
          <w:highlight w:val="none"/>
          <w:lang w:eastAsia="zh-CN"/>
        </w:rPr>
      </w:pPr>
    </w:p>
    <w:p>
      <w:pPr>
        <w:rPr>
          <w:rFonts w:ascii="宋体" w:hAnsi="宋体" w:eastAsia="宋体" w:cs="宋体"/>
          <w:color w:val="auto"/>
          <w:sz w:val="20"/>
          <w:szCs w:val="20"/>
          <w:highlight w:val="none"/>
          <w:lang w:eastAsia="zh-CN"/>
        </w:rPr>
      </w:pPr>
    </w:p>
    <w:p>
      <w:pPr>
        <w:rPr>
          <w:rFonts w:ascii="宋体" w:hAnsi="宋体" w:eastAsia="宋体" w:cs="宋体"/>
          <w:color w:val="auto"/>
          <w:sz w:val="20"/>
          <w:szCs w:val="20"/>
          <w:highlight w:val="none"/>
          <w:lang w:eastAsia="zh-CN"/>
        </w:rPr>
      </w:pPr>
    </w:p>
    <w:p>
      <w:pPr>
        <w:pStyle w:val="4"/>
        <w:spacing w:line="738" w:lineRule="exact"/>
        <w:ind w:right="3"/>
        <w:jc w:val="center"/>
        <w:rPr>
          <w:rFonts w:ascii="宋体" w:hAnsi="宋体" w:eastAsia="宋体"/>
          <w:b w:val="0"/>
          <w:bCs w:val="0"/>
          <w:color w:val="auto"/>
          <w:highlight w:val="none"/>
          <w:lang w:eastAsia="zh-CN"/>
        </w:rPr>
      </w:pPr>
      <w:bookmarkStart w:id="60" w:name="_Toc109809399"/>
      <w:bookmarkStart w:id="61" w:name="_Toc25138016"/>
      <w:bookmarkStart w:id="62" w:name="_Toc109809438"/>
      <w:r>
        <w:rPr>
          <w:rFonts w:ascii="宋体" w:hAnsi="宋体" w:eastAsia="宋体"/>
          <w:color w:val="auto"/>
          <w:highlight w:val="none"/>
          <w:lang w:eastAsia="zh-CN"/>
        </w:rPr>
        <w:t>第二卷</w:t>
      </w:r>
      <w:bookmarkEnd w:id="60"/>
      <w:bookmarkEnd w:id="61"/>
      <w:bookmarkEnd w:id="62"/>
    </w:p>
    <w:p>
      <w:pPr>
        <w:spacing w:line="738" w:lineRule="exact"/>
        <w:jc w:val="center"/>
        <w:rPr>
          <w:rFonts w:ascii="宋体" w:hAnsi="宋体" w:eastAsia="宋体"/>
          <w:color w:val="auto"/>
          <w:highlight w:val="none"/>
          <w:lang w:eastAsia="zh-CN"/>
        </w:rPr>
        <w:sectPr>
          <w:footerReference r:id="rId5" w:type="default"/>
          <w:pgSz w:w="11907" w:h="16839"/>
          <w:pgMar w:top="1440" w:right="1440" w:bottom="1440" w:left="1440" w:header="0" w:footer="921" w:gutter="0"/>
          <w:cols w:space="720" w:num="1"/>
        </w:sectPr>
      </w:pPr>
    </w:p>
    <w:p>
      <w:pPr>
        <w:spacing w:before="3"/>
        <w:rPr>
          <w:rFonts w:ascii="宋体" w:hAnsi="宋体" w:eastAsia="宋体" w:cs="Microsoft JhengHei"/>
          <w:b/>
          <w:bCs/>
          <w:color w:val="auto"/>
          <w:sz w:val="18"/>
          <w:szCs w:val="18"/>
          <w:highlight w:val="none"/>
          <w:lang w:eastAsia="zh-CN"/>
        </w:rPr>
      </w:pPr>
    </w:p>
    <w:p>
      <w:pPr>
        <w:pStyle w:val="4"/>
        <w:numPr>
          <w:ilvl w:val="0"/>
          <w:numId w:val="3"/>
        </w:numPr>
        <w:jc w:val="center"/>
        <w:rPr>
          <w:rFonts w:ascii="宋体" w:hAnsi="宋体" w:eastAsia="宋体"/>
          <w:color w:val="auto"/>
          <w:highlight w:val="none"/>
          <w:lang w:eastAsia="zh-CN"/>
        </w:rPr>
      </w:pPr>
      <w:bookmarkStart w:id="63" w:name="_Toc25138017"/>
      <w:r>
        <w:rPr>
          <w:rFonts w:hint="eastAsia" w:ascii="宋体" w:hAnsi="宋体" w:eastAsia="宋体"/>
          <w:color w:val="auto"/>
          <w:highlight w:val="none"/>
          <w:lang w:eastAsia="zh-CN"/>
        </w:rPr>
        <w:t xml:space="preserve"> </w:t>
      </w:r>
      <w:bookmarkEnd w:id="63"/>
      <w:r>
        <w:rPr>
          <w:rFonts w:hint="eastAsia" w:ascii="宋体" w:hAnsi="宋体" w:eastAsia="宋体"/>
          <w:color w:val="auto"/>
          <w:highlight w:val="none"/>
          <w:lang w:eastAsia="zh-CN"/>
        </w:rPr>
        <w:t>勘察、设计任务书</w:t>
      </w:r>
    </w:p>
    <w:p>
      <w:pPr>
        <w:pStyle w:val="9"/>
        <w:rPr>
          <w:rFonts w:ascii="宋体" w:hAnsi="宋体"/>
          <w:color w:val="auto"/>
          <w:sz w:val="24"/>
          <w:szCs w:val="24"/>
          <w:highlight w:val="none"/>
        </w:rPr>
      </w:pPr>
    </w:p>
    <w:p>
      <w:pPr>
        <w:pStyle w:val="9"/>
        <w:rPr>
          <w:rFonts w:ascii="宋体" w:hAnsi="宋体"/>
          <w:color w:val="auto"/>
          <w:sz w:val="24"/>
          <w:szCs w:val="24"/>
          <w:highlight w:val="none"/>
        </w:rPr>
      </w:pPr>
    </w:p>
    <w:p>
      <w:pPr>
        <w:pStyle w:val="9"/>
        <w:jc w:val="center"/>
        <w:rPr>
          <w:rFonts w:ascii="宋体" w:hAnsi="宋体"/>
          <w:color w:val="auto"/>
          <w:sz w:val="28"/>
          <w:szCs w:val="28"/>
          <w:highlight w:val="none"/>
        </w:rPr>
      </w:pPr>
      <w:r>
        <w:rPr>
          <w:rFonts w:ascii="宋体" w:hAnsi="宋体"/>
          <w:color w:val="auto"/>
          <w:sz w:val="28"/>
          <w:szCs w:val="28"/>
          <w:highlight w:val="none"/>
        </w:rPr>
        <w:t>（另册）</w:t>
      </w:r>
    </w:p>
    <w:p>
      <w:pPr>
        <w:pStyle w:val="9"/>
        <w:jc w:val="center"/>
        <w:rPr>
          <w:rFonts w:ascii="宋体" w:hAnsi="宋体"/>
          <w:color w:val="auto"/>
          <w:sz w:val="28"/>
          <w:szCs w:val="28"/>
          <w:highlight w:val="none"/>
        </w:rPr>
      </w:pPr>
    </w:p>
    <w:p>
      <w:pPr>
        <w:pStyle w:val="9"/>
        <w:jc w:val="center"/>
        <w:rPr>
          <w:rFonts w:ascii="宋体" w:hAnsi="宋体"/>
          <w:color w:val="auto"/>
          <w:sz w:val="28"/>
          <w:szCs w:val="28"/>
          <w:highlight w:val="none"/>
        </w:rPr>
      </w:pPr>
    </w:p>
    <w:p>
      <w:pPr>
        <w:pStyle w:val="9"/>
        <w:jc w:val="center"/>
        <w:rPr>
          <w:rFonts w:ascii="宋体" w:hAnsi="宋体"/>
          <w:color w:val="auto"/>
          <w:sz w:val="28"/>
          <w:szCs w:val="28"/>
          <w:highlight w:val="none"/>
        </w:rPr>
      </w:pPr>
    </w:p>
    <w:p>
      <w:pPr>
        <w:pStyle w:val="9"/>
        <w:rPr>
          <w:rFonts w:ascii="宋体" w:hAnsi="宋体"/>
          <w:color w:val="auto"/>
          <w:sz w:val="24"/>
          <w:szCs w:val="24"/>
          <w:highlight w:val="none"/>
        </w:rPr>
      </w:pPr>
    </w:p>
    <w:p>
      <w:pPr>
        <w:pStyle w:val="9"/>
        <w:rPr>
          <w:rFonts w:ascii="宋体" w:hAnsi="宋体"/>
          <w:color w:val="auto"/>
          <w:sz w:val="24"/>
          <w:szCs w:val="24"/>
          <w:highlight w:val="none"/>
        </w:rPr>
      </w:pPr>
    </w:p>
    <w:p>
      <w:pPr>
        <w:pStyle w:val="9"/>
        <w:rPr>
          <w:rFonts w:ascii="宋体" w:hAnsi="宋体"/>
          <w:color w:val="auto"/>
          <w:sz w:val="24"/>
          <w:szCs w:val="24"/>
          <w:highlight w:val="none"/>
        </w:rPr>
      </w:pPr>
    </w:p>
    <w:p>
      <w:pPr>
        <w:pStyle w:val="9"/>
        <w:rPr>
          <w:rFonts w:ascii="宋体" w:hAnsi="宋体"/>
          <w:color w:val="auto"/>
          <w:sz w:val="24"/>
          <w:szCs w:val="24"/>
          <w:highlight w:val="none"/>
        </w:rPr>
      </w:pPr>
    </w:p>
    <w:p>
      <w:pPr>
        <w:pStyle w:val="9"/>
        <w:rPr>
          <w:rFonts w:ascii="宋体" w:hAnsi="宋体"/>
          <w:color w:val="auto"/>
          <w:sz w:val="24"/>
          <w:szCs w:val="24"/>
          <w:highlight w:val="none"/>
        </w:rPr>
      </w:pPr>
    </w:p>
    <w:p>
      <w:pPr>
        <w:pStyle w:val="9"/>
        <w:rPr>
          <w:rFonts w:ascii="宋体" w:hAnsi="宋体"/>
          <w:color w:val="auto"/>
          <w:sz w:val="24"/>
          <w:szCs w:val="24"/>
          <w:highlight w:val="none"/>
        </w:rPr>
      </w:pPr>
    </w:p>
    <w:p>
      <w:pPr>
        <w:pStyle w:val="9"/>
        <w:rPr>
          <w:rFonts w:ascii="宋体" w:hAnsi="宋体"/>
          <w:color w:val="auto"/>
          <w:sz w:val="24"/>
          <w:szCs w:val="24"/>
          <w:highlight w:val="none"/>
        </w:rPr>
      </w:pPr>
    </w:p>
    <w:p>
      <w:pPr>
        <w:pStyle w:val="9"/>
        <w:ind w:firstLine="0"/>
        <w:rPr>
          <w:rFonts w:ascii="宋体" w:hAnsi="宋体"/>
          <w:color w:val="auto"/>
          <w:sz w:val="26"/>
          <w:szCs w:val="26"/>
          <w:highlight w:val="none"/>
        </w:rPr>
      </w:pPr>
      <w:r>
        <w:rPr>
          <w:rFonts w:ascii="宋体" w:hAnsi="宋体"/>
          <w:color w:val="auto"/>
          <w:sz w:val="24"/>
          <w:szCs w:val="24"/>
          <w:highlight w:val="none"/>
        </w:rPr>
        <w:br w:type="page"/>
      </w:r>
    </w:p>
    <w:p>
      <w:pPr>
        <w:pStyle w:val="4"/>
        <w:spacing w:line="589" w:lineRule="exact"/>
        <w:ind w:right="3"/>
        <w:jc w:val="center"/>
        <w:rPr>
          <w:rFonts w:ascii="宋体" w:hAnsi="宋体" w:eastAsia="宋体"/>
          <w:b w:val="0"/>
          <w:bCs w:val="0"/>
          <w:color w:val="auto"/>
          <w:highlight w:val="none"/>
          <w:lang w:eastAsia="zh-CN"/>
        </w:rPr>
      </w:pPr>
      <w:bookmarkStart w:id="64" w:name="_Toc25138019"/>
      <w:bookmarkStart w:id="65" w:name="_Toc109809440"/>
      <w:bookmarkStart w:id="66" w:name="_Toc109809401"/>
      <w:r>
        <w:rPr>
          <w:rFonts w:ascii="宋体" w:hAnsi="宋体" w:eastAsia="宋体"/>
          <w:color w:val="auto"/>
          <w:highlight w:val="none"/>
          <w:lang w:eastAsia="zh-CN"/>
        </w:rPr>
        <w:t>第三卷</w:t>
      </w:r>
      <w:bookmarkEnd w:id="64"/>
      <w:bookmarkEnd w:id="65"/>
      <w:bookmarkEnd w:id="66"/>
    </w:p>
    <w:p>
      <w:pPr>
        <w:spacing w:line="589" w:lineRule="exact"/>
        <w:jc w:val="center"/>
        <w:rPr>
          <w:rFonts w:ascii="宋体" w:hAnsi="宋体" w:eastAsia="宋体"/>
          <w:color w:val="auto"/>
          <w:highlight w:val="none"/>
          <w:lang w:eastAsia="zh-CN"/>
        </w:rPr>
        <w:sectPr>
          <w:footerReference r:id="rId7" w:type="first"/>
          <w:footerReference r:id="rId6" w:type="default"/>
          <w:pgSz w:w="11907" w:h="16839"/>
          <w:pgMar w:top="1440" w:right="1440" w:bottom="1440" w:left="1440" w:header="0" w:footer="921" w:gutter="0"/>
          <w:cols w:space="720" w:num="1"/>
          <w:titlePg/>
          <w:docGrid w:linePitch="299" w:charSpace="0"/>
        </w:sectPr>
      </w:pPr>
    </w:p>
    <w:p>
      <w:pPr>
        <w:pStyle w:val="4"/>
        <w:jc w:val="center"/>
        <w:rPr>
          <w:rFonts w:ascii="宋体" w:hAnsi="宋体" w:eastAsia="宋体"/>
          <w:color w:val="auto"/>
          <w:highlight w:val="none"/>
          <w:lang w:eastAsia="zh-CN"/>
        </w:rPr>
      </w:pPr>
      <w:bookmarkStart w:id="67" w:name="_Toc25138020"/>
      <w:bookmarkStart w:id="68" w:name="_Toc109809402"/>
      <w:bookmarkStart w:id="69" w:name="_Toc109809441"/>
      <w:r>
        <w:rPr>
          <w:rFonts w:ascii="宋体" w:hAnsi="宋体" w:eastAsia="宋体"/>
          <w:color w:val="auto"/>
          <w:highlight w:val="none"/>
          <w:lang w:eastAsia="zh-CN"/>
        </w:rPr>
        <w:t>第六章</w:t>
      </w:r>
      <w:r>
        <w:rPr>
          <w:rFonts w:hint="eastAsia" w:ascii="宋体" w:hAnsi="宋体" w:eastAsia="宋体"/>
          <w:color w:val="auto"/>
          <w:highlight w:val="none"/>
          <w:lang w:eastAsia="zh-CN"/>
        </w:rPr>
        <w:t xml:space="preserve">  </w:t>
      </w:r>
      <w:r>
        <w:rPr>
          <w:rFonts w:ascii="宋体" w:hAnsi="宋体" w:eastAsia="宋体"/>
          <w:color w:val="auto"/>
          <w:highlight w:val="none"/>
          <w:lang w:eastAsia="zh-CN"/>
        </w:rPr>
        <w:t>投标文件格式</w:t>
      </w:r>
      <w:bookmarkEnd w:id="67"/>
      <w:bookmarkEnd w:id="68"/>
      <w:bookmarkEnd w:id="69"/>
    </w:p>
    <w:p>
      <w:pPr>
        <w:rPr>
          <w:rFonts w:eastAsia="宋体"/>
          <w:color w:val="auto"/>
          <w:highlight w:val="none"/>
          <w:lang w:eastAsia="zh-CN"/>
        </w:rPr>
      </w:pPr>
    </w:p>
    <w:p>
      <w:pPr>
        <w:pStyle w:val="4"/>
        <w:jc w:val="center"/>
        <w:rPr>
          <w:rFonts w:ascii="宋体" w:hAnsi="宋体" w:eastAsia="宋体"/>
          <w:color w:val="auto"/>
          <w:highlight w:val="none"/>
          <w:lang w:eastAsia="zh-CN"/>
        </w:rPr>
        <w:sectPr>
          <w:pgSz w:w="11907" w:h="16839"/>
          <w:pgMar w:top="1440" w:right="1440" w:bottom="1440" w:left="1440" w:header="0" w:footer="921" w:gutter="0"/>
          <w:cols w:space="720" w:num="1"/>
        </w:sectPr>
      </w:pPr>
    </w:p>
    <w:p>
      <w:pPr>
        <w:pStyle w:val="6"/>
        <w:jc w:val="center"/>
        <w:rPr>
          <w:rFonts w:ascii="宋体" w:hAnsi="宋体" w:eastAsia="宋体" w:cs="宋体"/>
          <w:color w:val="auto"/>
          <w:highlight w:val="none"/>
          <w:lang w:eastAsia="zh-CN"/>
        </w:rPr>
      </w:pPr>
      <w:bookmarkStart w:id="70" w:name="_Toc109809442"/>
      <w:bookmarkStart w:id="71" w:name="_Toc109809403"/>
      <w:bookmarkStart w:id="72" w:name="_Toc25072139"/>
      <w:bookmarkStart w:id="73" w:name="_Toc25152753"/>
      <w:bookmarkStart w:id="74" w:name="_Toc25151932"/>
      <w:bookmarkStart w:id="75" w:name="_Toc25138022"/>
      <w:r>
        <w:rPr>
          <w:rFonts w:hint="eastAsia" w:ascii="宋体" w:hAnsi="宋体" w:eastAsia="宋体"/>
          <w:color w:val="auto"/>
          <w:highlight w:val="none"/>
          <w:lang w:eastAsia="zh-CN"/>
        </w:rPr>
        <w:t>设计投标文件编制要求</w:t>
      </w:r>
      <w:bookmarkEnd w:id="70"/>
      <w:bookmarkEnd w:id="71"/>
    </w:p>
    <w:p>
      <w:pPr>
        <w:adjustRightInd w:val="0"/>
        <w:spacing w:line="360" w:lineRule="auto"/>
        <w:ind w:firstLine="422" w:firstLineChars="200"/>
        <w:jc w:val="both"/>
        <w:rPr>
          <w:rFonts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1、投标文件</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1.1  投标文件由商务文件（含资格审查部分、资信业绩部分）、技术文件（含设计方案部分）两个部分组成。各部分投标文件应分别编制。资信文件（含资格审查文件）和设计方案文件两部分组成的总页数不限，设计方案电子文档（上传系统文件）大小不超</w:t>
      </w:r>
      <w:r>
        <w:rPr>
          <w:rFonts w:ascii="宋体" w:hAnsi="宋体" w:eastAsia="宋体"/>
          <w:color w:val="auto"/>
          <w:sz w:val="21"/>
          <w:szCs w:val="21"/>
          <w:highlight w:val="none"/>
          <w:lang w:eastAsia="zh-CN"/>
        </w:rPr>
        <w:t>1000M</w:t>
      </w:r>
      <w:r>
        <w:rPr>
          <w:rFonts w:hint="eastAsia" w:ascii="宋体" w:hAnsi="宋体" w:eastAsia="宋体"/>
          <w:color w:val="auto"/>
          <w:sz w:val="21"/>
          <w:szCs w:val="21"/>
          <w:highlight w:val="none"/>
          <w:lang w:eastAsia="zh-CN"/>
        </w:rPr>
        <w:t>。</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1.2  投标文件应做到清晰、完整，文本、图纸规格应当尽量统一。除非另有规定，否则投标文件的计量单位宜采用国际标准计量单位，尺寸齐全、准确，所有文字说明和文字标注以中文为准，报价均为人民币，时间均为北京时间。</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1.3  每个投标人报送一个投标方案，投标文件应达到招标文件规定的深度，满足评审需要。不响应招标文件要求的投标文件可能被拒绝，责任由投标人自负。</w:t>
      </w:r>
    </w:p>
    <w:p>
      <w:pPr>
        <w:adjustRightInd w:val="0"/>
        <w:spacing w:line="360" w:lineRule="auto"/>
        <w:ind w:firstLine="422" w:firstLineChars="200"/>
        <w:jc w:val="both"/>
        <w:rPr>
          <w:rFonts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2、商务文件（含资格审查部分、资信业绩部分）编制要求</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2.1  商务文件（含资格审查部分、资信业绩部分）由下列资料组成（</w:t>
      </w:r>
      <w:r>
        <w:rPr>
          <w:rFonts w:hint="eastAsia" w:ascii="宋体" w:hAnsi="宋体" w:eastAsia="宋体"/>
          <w:color w:val="auto"/>
          <w:sz w:val="21"/>
          <w:szCs w:val="21"/>
          <w:highlight w:val="none"/>
          <w:lang w:val="en-US" w:eastAsia="zh-CN"/>
        </w:rPr>
        <w:t>以下目录为招标人建议，投标人可以根据招标文件实际自行增加或调整排版顺序及相应内容</w:t>
      </w:r>
      <w:r>
        <w:rPr>
          <w:rFonts w:hint="eastAsia" w:ascii="宋体" w:hAnsi="宋体" w:eastAsia="宋体"/>
          <w:color w:val="auto"/>
          <w:sz w:val="21"/>
          <w:szCs w:val="21"/>
          <w:highlight w:val="none"/>
          <w:lang w:eastAsia="zh-CN"/>
        </w:rPr>
        <w:t>）：</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1</w:t>
      </w:r>
      <w:r>
        <w:rPr>
          <w:rFonts w:hint="eastAsia" w:ascii="宋体" w:hAnsi="宋体" w:eastAsia="宋体"/>
          <w:color w:val="auto"/>
          <w:sz w:val="21"/>
          <w:szCs w:val="21"/>
          <w:highlight w:val="none"/>
          <w:lang w:eastAsia="zh-CN"/>
        </w:rPr>
        <w:t>）封面：写明项目名称、商务文件（含资格审查部分、资信业绩部分）、投标人单位及年月日；加盖投标人公章。</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2</w:t>
      </w:r>
      <w:r>
        <w:rPr>
          <w:rFonts w:hint="eastAsia" w:ascii="宋体" w:hAnsi="宋体" w:eastAsia="宋体"/>
          <w:color w:val="auto"/>
          <w:sz w:val="21"/>
          <w:szCs w:val="21"/>
          <w:highlight w:val="none"/>
          <w:lang w:eastAsia="zh-CN"/>
        </w:rPr>
        <w:t>）目录。</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3</w:t>
      </w:r>
      <w:r>
        <w:rPr>
          <w:rFonts w:hint="eastAsia" w:ascii="宋体" w:hAnsi="宋体" w:eastAsia="宋体"/>
          <w:color w:val="auto"/>
          <w:sz w:val="21"/>
          <w:szCs w:val="21"/>
          <w:highlight w:val="none"/>
          <w:lang w:eastAsia="zh-CN"/>
        </w:rPr>
        <w:t>）填妥并签字盖章的《投标书》（格式见格式一）。</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4</w:t>
      </w:r>
      <w:r>
        <w:rPr>
          <w:rFonts w:hint="eastAsia" w:ascii="宋体" w:hAnsi="宋体" w:eastAsia="宋体"/>
          <w:color w:val="auto"/>
          <w:sz w:val="21"/>
          <w:szCs w:val="21"/>
          <w:highlight w:val="none"/>
          <w:lang w:eastAsia="zh-CN"/>
        </w:rPr>
        <w:t>）填妥并签字盖章的《法人代表身份证明》和《授权委托书》（格式见格式二）。</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5</w:t>
      </w:r>
      <w:r>
        <w:rPr>
          <w:rFonts w:hint="eastAsia" w:ascii="宋体" w:hAnsi="宋体" w:eastAsia="宋体"/>
          <w:color w:val="auto"/>
          <w:sz w:val="21"/>
          <w:szCs w:val="21"/>
          <w:highlight w:val="none"/>
          <w:lang w:eastAsia="zh-CN"/>
        </w:rPr>
        <w:t>）填妥并签字盖章的《投标</w:t>
      </w:r>
      <w:r>
        <w:rPr>
          <w:rFonts w:hint="eastAsia" w:ascii="宋体" w:hAnsi="宋体" w:eastAsia="宋体"/>
          <w:color w:val="auto"/>
          <w:sz w:val="21"/>
          <w:szCs w:val="21"/>
          <w:highlight w:val="none"/>
          <w:lang w:val="en-US" w:eastAsia="zh-CN"/>
        </w:rPr>
        <w:t>申请</w:t>
      </w:r>
      <w:r>
        <w:rPr>
          <w:rFonts w:hint="eastAsia" w:ascii="宋体" w:hAnsi="宋体" w:eastAsia="宋体"/>
          <w:color w:val="auto"/>
          <w:sz w:val="21"/>
          <w:szCs w:val="21"/>
          <w:highlight w:val="none"/>
          <w:lang w:eastAsia="zh-CN"/>
        </w:rPr>
        <w:t>人声明》（格式见格式四）</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6</w:t>
      </w:r>
      <w:r>
        <w:rPr>
          <w:rFonts w:hint="eastAsia" w:ascii="宋体" w:hAnsi="宋体" w:eastAsia="宋体"/>
          <w:color w:val="auto"/>
          <w:sz w:val="21"/>
          <w:szCs w:val="21"/>
          <w:highlight w:val="none"/>
          <w:lang w:eastAsia="zh-CN"/>
        </w:rPr>
        <w:t>）填妥并签字盖章的《合作设计协议》（外国或香港、澳门、台湾的设计企业提供）（格式见格式三）</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7</w:t>
      </w:r>
      <w:r>
        <w:rPr>
          <w:rFonts w:hint="eastAsia" w:ascii="宋体" w:hAnsi="宋体" w:eastAsia="宋体"/>
          <w:color w:val="auto"/>
          <w:sz w:val="21"/>
          <w:szCs w:val="21"/>
          <w:highlight w:val="none"/>
          <w:lang w:eastAsia="zh-CN"/>
        </w:rPr>
        <w:t>）投标人资质证书扫描件</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8</w:t>
      </w:r>
      <w:r>
        <w:rPr>
          <w:rFonts w:hint="eastAsia" w:ascii="宋体" w:hAnsi="宋体" w:eastAsia="宋体"/>
          <w:color w:val="auto"/>
          <w:sz w:val="21"/>
          <w:szCs w:val="21"/>
          <w:highlight w:val="none"/>
          <w:lang w:eastAsia="zh-CN"/>
        </w:rPr>
        <w:t>）企业营业执照副本扫描件</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9</w:t>
      </w:r>
      <w:r>
        <w:rPr>
          <w:rFonts w:hint="eastAsia" w:ascii="宋体" w:hAnsi="宋体" w:eastAsia="宋体"/>
          <w:color w:val="auto"/>
          <w:sz w:val="21"/>
          <w:szCs w:val="21"/>
          <w:highlight w:val="none"/>
          <w:lang w:eastAsia="zh-CN"/>
        </w:rPr>
        <w:t>）投标人及项目负责人已在广州公共资源交易中心已办理企业信息登记的证明材料</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10</w:t>
      </w:r>
      <w:r>
        <w:rPr>
          <w:rFonts w:hint="eastAsia" w:ascii="宋体" w:hAnsi="宋体" w:eastAsia="宋体"/>
          <w:color w:val="auto"/>
          <w:sz w:val="21"/>
          <w:szCs w:val="21"/>
          <w:highlight w:val="none"/>
          <w:lang w:eastAsia="zh-CN"/>
        </w:rPr>
        <w:t>）拟派项目负责人资格证书扫描件</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11</w:t>
      </w:r>
      <w:r>
        <w:rPr>
          <w:rFonts w:hint="eastAsia" w:ascii="宋体" w:hAnsi="宋体" w:eastAsia="宋体"/>
          <w:color w:val="auto"/>
          <w:sz w:val="21"/>
          <w:szCs w:val="21"/>
          <w:highlight w:val="none"/>
          <w:lang w:eastAsia="zh-CN"/>
        </w:rPr>
        <w:t>）投标人认为有必要提供的其他资格要求证明资料扫描件</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12</w:t>
      </w:r>
      <w:r>
        <w:rPr>
          <w:rFonts w:hint="eastAsia" w:ascii="宋体" w:hAnsi="宋体" w:eastAsia="宋体"/>
          <w:color w:val="auto"/>
          <w:sz w:val="21"/>
          <w:szCs w:val="21"/>
          <w:highlight w:val="none"/>
          <w:lang w:eastAsia="zh-CN"/>
        </w:rPr>
        <w:t>）填妥并签字盖章的《</w:t>
      </w:r>
      <w:r>
        <w:rPr>
          <w:rFonts w:hint="eastAsia" w:ascii="宋体" w:hAnsi="宋体" w:eastAsia="宋体"/>
          <w:color w:val="auto"/>
          <w:sz w:val="21"/>
          <w:szCs w:val="21"/>
          <w:highlight w:val="none"/>
          <w:lang w:val="en-US" w:eastAsia="zh-CN"/>
        </w:rPr>
        <w:t>勘察</w:t>
      </w:r>
      <w:r>
        <w:rPr>
          <w:rFonts w:hint="eastAsia" w:ascii="宋体" w:hAnsi="宋体" w:eastAsia="宋体"/>
          <w:color w:val="auto"/>
          <w:sz w:val="21"/>
          <w:szCs w:val="21"/>
          <w:highlight w:val="none"/>
          <w:lang w:eastAsia="zh-CN"/>
        </w:rPr>
        <w:t>设计费报价汇总表》（格式见格式五）</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13</w:t>
      </w:r>
      <w:r>
        <w:rPr>
          <w:rFonts w:hint="eastAsia" w:ascii="宋体" w:hAnsi="宋体" w:eastAsia="宋体"/>
          <w:color w:val="auto"/>
          <w:sz w:val="21"/>
          <w:szCs w:val="21"/>
          <w:highlight w:val="none"/>
          <w:lang w:eastAsia="zh-CN"/>
        </w:rPr>
        <w:t>）企业类似业绩证明资料扫描件（格式见格式七）</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14</w:t>
      </w:r>
      <w:r>
        <w:rPr>
          <w:rFonts w:hint="eastAsia" w:ascii="宋体" w:hAnsi="宋体" w:eastAsia="宋体"/>
          <w:color w:val="auto"/>
          <w:sz w:val="21"/>
          <w:szCs w:val="21"/>
          <w:highlight w:val="none"/>
          <w:lang w:eastAsia="zh-CN"/>
        </w:rPr>
        <w:t>）企业业绩获奖证明资料扫描件</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1</w:t>
      </w:r>
      <w:r>
        <w:rPr>
          <w:rFonts w:hint="eastAsia" w:ascii="宋体" w:hAnsi="宋体" w:eastAsia="宋体"/>
          <w:color w:val="auto"/>
          <w:sz w:val="21"/>
          <w:szCs w:val="21"/>
          <w:highlight w:val="none"/>
          <w:lang w:eastAsia="zh-CN"/>
        </w:rPr>
        <w:t>5）项目负责人设计经历及业务能力证明材料扫描件</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1</w:t>
      </w:r>
      <w:r>
        <w:rPr>
          <w:rFonts w:hint="eastAsia" w:ascii="宋体" w:hAnsi="宋体" w:eastAsia="宋体"/>
          <w:color w:val="auto"/>
          <w:sz w:val="21"/>
          <w:szCs w:val="21"/>
          <w:highlight w:val="none"/>
          <w:lang w:eastAsia="zh-CN"/>
        </w:rPr>
        <w:t>6）为本项目拟投入的技术力量。主要包括各专业负责人的职称、执业资格等证明材料，并能保证材料的真实性。（格式见格式六）</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1</w:t>
      </w:r>
      <w:r>
        <w:rPr>
          <w:rFonts w:hint="eastAsia" w:ascii="宋体" w:hAnsi="宋体" w:eastAsia="宋体"/>
          <w:color w:val="auto"/>
          <w:sz w:val="21"/>
          <w:szCs w:val="21"/>
          <w:highlight w:val="none"/>
          <w:lang w:eastAsia="zh-CN"/>
        </w:rPr>
        <w:t>7）信誉证明材料扫描件</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w:t>
      </w:r>
      <w:r>
        <w:rPr>
          <w:rFonts w:ascii="宋体" w:hAnsi="宋体" w:eastAsia="宋体"/>
          <w:color w:val="auto"/>
          <w:sz w:val="21"/>
          <w:szCs w:val="21"/>
          <w:highlight w:val="none"/>
          <w:lang w:eastAsia="zh-CN"/>
        </w:rPr>
        <w:t>8</w:t>
      </w:r>
      <w:r>
        <w:rPr>
          <w:rFonts w:hint="eastAsia" w:ascii="宋体" w:hAnsi="宋体" w:eastAsia="宋体"/>
          <w:color w:val="auto"/>
          <w:sz w:val="21"/>
          <w:szCs w:val="21"/>
          <w:highlight w:val="none"/>
          <w:lang w:eastAsia="zh-CN"/>
        </w:rPr>
        <w:t>）投标人认为有必要提供的其他资料。</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投标人在评标过程中作出的符合法律法规和招标文件规定的澄清确认，构成投标文件的组成部分。</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2.2  接收投标文件备用光盘时，如果包封上没有按规定密封并加写标志，招标人将不承担投标文件错放或提前开封的责任，由此造成的提前开封的投标文件，招标人予以拒绝，并退还给投标人。</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2.3  签署要求：按格式要求签字盖章。</w:t>
      </w:r>
    </w:p>
    <w:p>
      <w:pPr>
        <w:adjustRightInd w:val="0"/>
        <w:spacing w:line="360" w:lineRule="auto"/>
        <w:ind w:firstLine="422" w:firstLineChars="200"/>
        <w:jc w:val="both"/>
        <w:rPr>
          <w:rFonts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3、技术文件（含设计方案部分）编制要求（暗标，不得标注名称、印章、商标、图形等记认符号，使人辨认出投标人或其专业技术人员的身份，上传系统，电子文档上传不超</w:t>
      </w:r>
      <w:r>
        <w:rPr>
          <w:rFonts w:ascii="宋体" w:hAnsi="宋体" w:eastAsia="宋体"/>
          <w:b/>
          <w:color w:val="auto"/>
          <w:sz w:val="21"/>
          <w:szCs w:val="21"/>
          <w:highlight w:val="none"/>
          <w:lang w:eastAsia="zh-CN"/>
        </w:rPr>
        <w:t>1000M</w:t>
      </w:r>
      <w:r>
        <w:rPr>
          <w:rFonts w:hint="eastAsia" w:ascii="宋体" w:hAnsi="宋体" w:eastAsia="宋体"/>
          <w:b/>
          <w:color w:val="auto"/>
          <w:sz w:val="21"/>
          <w:szCs w:val="21"/>
          <w:highlight w:val="none"/>
          <w:lang w:eastAsia="zh-CN"/>
        </w:rPr>
        <w:t>）</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3.1  技术文件（含设计方案部分）由下列资料组成：（</w:t>
      </w:r>
      <w:r>
        <w:rPr>
          <w:rFonts w:hint="eastAsia" w:ascii="宋体" w:hAnsi="宋体" w:eastAsia="宋体"/>
          <w:color w:val="auto"/>
          <w:sz w:val="21"/>
          <w:szCs w:val="21"/>
          <w:highlight w:val="none"/>
          <w:lang w:val="en-US" w:eastAsia="zh-CN"/>
        </w:rPr>
        <w:t>以下目录为招标人建议，投标人可以根据招标文件实际自行增加或调整排版顺序及相应内容</w:t>
      </w:r>
      <w:r>
        <w:rPr>
          <w:rFonts w:hint="eastAsia" w:ascii="宋体" w:hAnsi="宋体" w:eastAsia="宋体"/>
          <w:color w:val="auto"/>
          <w:sz w:val="21"/>
          <w:szCs w:val="21"/>
          <w:highlight w:val="none"/>
          <w:lang w:eastAsia="zh-CN"/>
        </w:rPr>
        <w:t>）</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1</w:t>
      </w:r>
      <w:r>
        <w:rPr>
          <w:rFonts w:hint="eastAsia" w:ascii="宋体" w:hAnsi="宋体" w:eastAsia="宋体"/>
          <w:color w:val="auto"/>
          <w:sz w:val="21"/>
          <w:szCs w:val="21"/>
          <w:highlight w:val="none"/>
          <w:lang w:eastAsia="zh-CN"/>
        </w:rPr>
        <w:t>）首页：写明项目名称、设计作品主题（不宜超过</w:t>
      </w:r>
      <w:r>
        <w:rPr>
          <w:rFonts w:ascii="宋体" w:hAnsi="宋体" w:eastAsia="宋体"/>
          <w:color w:val="auto"/>
          <w:sz w:val="21"/>
          <w:szCs w:val="21"/>
          <w:highlight w:val="none"/>
          <w:lang w:eastAsia="zh-CN"/>
        </w:rPr>
        <w:t>20</w:t>
      </w:r>
      <w:r>
        <w:rPr>
          <w:rFonts w:hint="eastAsia" w:ascii="宋体" w:hAnsi="宋体" w:eastAsia="宋体"/>
          <w:color w:val="auto"/>
          <w:sz w:val="21"/>
          <w:szCs w:val="21"/>
          <w:highlight w:val="none"/>
          <w:lang w:eastAsia="zh-CN"/>
        </w:rPr>
        <w:t>个字）、编制年月；</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2</w:t>
      </w:r>
      <w:r>
        <w:rPr>
          <w:rFonts w:hint="eastAsia" w:ascii="宋体" w:hAnsi="宋体" w:eastAsia="宋体"/>
          <w:color w:val="auto"/>
          <w:sz w:val="21"/>
          <w:szCs w:val="21"/>
          <w:highlight w:val="none"/>
          <w:lang w:eastAsia="zh-CN"/>
        </w:rPr>
        <w:t>）目录；</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3</w:t>
      </w:r>
      <w:r>
        <w:rPr>
          <w:rFonts w:hint="eastAsia" w:ascii="宋体" w:hAnsi="宋体" w:eastAsia="宋体"/>
          <w:color w:val="auto"/>
          <w:sz w:val="21"/>
          <w:szCs w:val="21"/>
          <w:highlight w:val="none"/>
          <w:lang w:eastAsia="zh-CN"/>
        </w:rPr>
        <w:t>）设计说明书；</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4</w:t>
      </w:r>
      <w:r>
        <w:rPr>
          <w:rFonts w:hint="eastAsia" w:ascii="宋体" w:hAnsi="宋体" w:eastAsia="宋体"/>
          <w:color w:val="auto"/>
          <w:sz w:val="21"/>
          <w:szCs w:val="21"/>
          <w:highlight w:val="none"/>
          <w:lang w:eastAsia="zh-CN"/>
        </w:rPr>
        <w:t>）设计</w:t>
      </w:r>
      <w:r>
        <w:rPr>
          <w:rFonts w:hint="eastAsia" w:ascii="宋体" w:hAnsi="宋体" w:eastAsia="宋体"/>
          <w:color w:val="auto"/>
          <w:sz w:val="21"/>
          <w:szCs w:val="21"/>
          <w:highlight w:val="none"/>
          <w:lang w:val="en-US" w:eastAsia="zh-CN"/>
        </w:rPr>
        <w:t>方案</w:t>
      </w:r>
      <w:r>
        <w:rPr>
          <w:rFonts w:hint="eastAsia" w:ascii="宋体" w:hAnsi="宋体" w:eastAsia="宋体"/>
          <w:color w:val="auto"/>
          <w:sz w:val="21"/>
          <w:szCs w:val="21"/>
          <w:highlight w:val="none"/>
          <w:lang w:eastAsia="zh-CN"/>
        </w:rPr>
        <w:t>图纸（需包括表现图、分析示意图、总平面图、各层平面图、剖面图、立面图、效果图等，可以水平或垂直展示）；</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5</w:t>
      </w:r>
      <w:r>
        <w:rPr>
          <w:rFonts w:hint="eastAsia" w:ascii="宋体" w:hAnsi="宋体" w:eastAsia="宋体"/>
          <w:color w:val="auto"/>
          <w:sz w:val="21"/>
          <w:szCs w:val="21"/>
          <w:highlight w:val="none"/>
          <w:lang w:eastAsia="zh-CN"/>
        </w:rPr>
        <w:t>）《工期计划表》（初步设计、施工图设计的总工时和工期）；</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6</w:t>
      </w:r>
      <w:r>
        <w:rPr>
          <w:rFonts w:hint="eastAsia" w:ascii="宋体" w:hAnsi="宋体" w:eastAsia="宋体"/>
          <w:color w:val="auto"/>
          <w:sz w:val="21"/>
          <w:szCs w:val="21"/>
          <w:highlight w:val="none"/>
          <w:lang w:eastAsia="zh-CN"/>
        </w:rPr>
        <w:t>）投标人提出的建议、工程创新和替代方案（如果有）；</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7</w:t>
      </w:r>
      <w:r>
        <w:rPr>
          <w:rFonts w:hint="eastAsia" w:ascii="宋体" w:hAnsi="宋体" w:eastAsia="宋体"/>
          <w:color w:val="auto"/>
          <w:sz w:val="21"/>
          <w:szCs w:val="21"/>
          <w:highlight w:val="none"/>
          <w:lang w:eastAsia="zh-CN"/>
        </w:rPr>
        <w:t>）完成本项目的难点，保障工期、质量的主要措施；</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8</w:t>
      </w:r>
      <w:r>
        <w:rPr>
          <w:rFonts w:hint="eastAsia" w:ascii="宋体" w:hAnsi="宋体" w:eastAsia="宋体"/>
          <w:color w:val="auto"/>
          <w:sz w:val="21"/>
          <w:szCs w:val="21"/>
          <w:highlight w:val="none"/>
          <w:lang w:eastAsia="zh-CN"/>
        </w:rPr>
        <w:t>）投标人认为有必要提供的其他资料。</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注：技术文件（含设计方案部分）为暗标。技术标中不能辨认出投标人或其专业技术人员的身份。不在设计方案上标注或做任何可以辨认投标人及专业技术人员身份的名称、印章、商标、图形等记认符号。</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投标人在评标过程中作出的符合法律法规和招标文件规定的澄清确认，构成投标文件的组成部分。</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3.2  技术文件（含设计方案部分）必须隐匿投标人及专业技术人员的名称，投标人不得在设计方案文件的设计方案、计算机文件、展示图纸上标注或做任何可以辨认投标人及专业技术人员身份的名称、印章、商标、图形等记认符号。</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3.3  技术文件备用光盘（暗标，不得标注名称、印章、商标、图形等记认符号，使人辨认出投标人或其专业技术人员的身份）及保密信封（此部分为纸质资料，与投标文件光盘（备用）一起提交）。</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3.4  保密信封</w:t>
      </w:r>
      <w:r>
        <w:rPr>
          <w:rFonts w:hint="eastAsia" w:ascii="宋体" w:hAnsi="宋体" w:eastAsia="宋体"/>
          <w:b/>
          <w:color w:val="auto"/>
          <w:sz w:val="21"/>
          <w:szCs w:val="21"/>
          <w:highlight w:val="none"/>
          <w:lang w:eastAsia="zh-CN"/>
        </w:rPr>
        <w:t>（此部分为纸质资料，与投标文件光盘（备用）一起提交）</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（1）设计投标保密信封，内附</w:t>
      </w:r>
      <w:r>
        <w:rPr>
          <w:rFonts w:ascii="宋体" w:hAnsi="宋体" w:eastAsia="宋体"/>
          <w:color w:val="auto"/>
          <w:sz w:val="21"/>
          <w:szCs w:val="21"/>
          <w:highlight w:val="none"/>
          <w:lang w:eastAsia="zh-CN"/>
        </w:rPr>
        <w:t>A3</w:t>
      </w:r>
      <w:r>
        <w:rPr>
          <w:rFonts w:hint="eastAsia" w:ascii="宋体" w:hAnsi="宋体" w:eastAsia="宋体"/>
          <w:color w:val="auto"/>
          <w:sz w:val="21"/>
          <w:szCs w:val="21"/>
          <w:highlight w:val="none"/>
          <w:lang w:eastAsia="zh-CN"/>
        </w:rPr>
        <w:t>规格制作的表现图</w:t>
      </w:r>
      <w:r>
        <w:rPr>
          <w:rFonts w:ascii="宋体" w:hAnsi="宋体" w:eastAsia="宋体"/>
          <w:color w:val="auto"/>
          <w:sz w:val="21"/>
          <w:szCs w:val="21"/>
          <w:highlight w:val="none"/>
          <w:lang w:eastAsia="zh-CN"/>
        </w:rPr>
        <w:t>1</w:t>
      </w:r>
      <w:r>
        <w:rPr>
          <w:rFonts w:hint="eastAsia" w:ascii="宋体" w:hAnsi="宋体" w:eastAsia="宋体"/>
          <w:color w:val="auto"/>
          <w:sz w:val="21"/>
          <w:szCs w:val="21"/>
          <w:highlight w:val="none"/>
          <w:lang w:eastAsia="zh-CN"/>
        </w:rPr>
        <w:t>张，加盖投标人公章，项目负责人署名。表现图内容应与设计方案一致（并注明表现图在设计方案中的页码或图号），用于分辨投标文件对应的投标人身份。</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（2）保密信封用不透明信封独立密封。</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3.5  备用光盘</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w:t>
      </w:r>
      <w:r>
        <w:rPr>
          <w:rFonts w:hint="eastAsia" w:ascii="宋体" w:hAnsi="宋体" w:eastAsia="宋体"/>
          <w:color w:val="auto"/>
          <w:sz w:val="21"/>
          <w:szCs w:val="21"/>
          <w:highlight w:val="none"/>
          <w:u w:val="single"/>
          <w:lang w:eastAsia="zh-CN"/>
        </w:rPr>
        <w:t>投标人可制作非加密的</w:t>
      </w:r>
      <w:r>
        <w:rPr>
          <w:rFonts w:hint="eastAsia" w:ascii="宋体" w:hAnsi="宋体" w:eastAsia="宋体"/>
          <w:color w:val="auto"/>
          <w:spacing w:val="-2"/>
          <w:sz w:val="21"/>
          <w:szCs w:val="21"/>
          <w:highlight w:val="none"/>
          <w:u w:val="single"/>
          <w:lang w:eastAsia="zh-CN"/>
        </w:rPr>
        <w:t>商务文件光盘、技术文件光盘各1个</w:t>
      </w:r>
      <w:r>
        <w:rPr>
          <w:rFonts w:hint="eastAsia" w:ascii="宋体" w:hAnsi="宋体" w:eastAsia="宋体"/>
          <w:color w:val="auto"/>
          <w:sz w:val="21"/>
          <w:szCs w:val="21"/>
          <w:highlight w:val="none"/>
          <w:u w:val="single"/>
          <w:lang w:eastAsia="zh-CN"/>
        </w:rPr>
        <w:t>及制作保密信封（1个），在招标公告规定的时间、地点提交备用。</w:t>
      </w:r>
      <w:r>
        <w:rPr>
          <w:rFonts w:hint="eastAsia" w:ascii="宋体" w:hAnsi="宋体" w:eastAsia="宋体"/>
          <w:b/>
          <w:color w:val="auto"/>
          <w:sz w:val="21"/>
          <w:szCs w:val="21"/>
          <w:highlight w:val="none"/>
          <w:u w:val="single"/>
          <w:lang w:eastAsia="zh-CN"/>
        </w:rPr>
        <w:t>刻录好的投标文件光盘及保密信封密封在密封袋中。密封袋上应写明项目名称和招标人名称。</w:t>
      </w:r>
      <w:r>
        <w:rPr>
          <w:rFonts w:hint="eastAsia" w:ascii="宋体" w:hAnsi="宋体" w:eastAsia="宋体"/>
          <w:color w:val="auto"/>
          <w:sz w:val="21"/>
          <w:szCs w:val="21"/>
          <w:highlight w:val="none"/>
          <w:u w:val="single"/>
          <w:lang w:eastAsia="zh-CN"/>
        </w:rPr>
        <w:t>递交的投标文件光盘（备用）不得加密。备用光盘无法读取或导入的，则视为未提交投标文件光盘（备用）。投标人也可不提交投标文件光盘（备用）及保密信封（备用）。</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（2）按招标公告要求需要提交投标文件光盘（备用），备用光盘不得加密。如使用投标文件光盘（备用）时无法读取或导入的，则视为未提交投标文件。</w:t>
      </w:r>
    </w:p>
    <w:p>
      <w:pPr>
        <w:adjustRightInd w:val="0"/>
        <w:spacing w:line="360" w:lineRule="auto"/>
        <w:ind w:firstLine="422" w:firstLineChars="200"/>
        <w:jc w:val="both"/>
        <w:rPr>
          <w:rFonts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4、接收投标文件备用光盘时，如果包封上没有按规定密封并加写标志，招标人将不承担投标文件错放或提前开封的责任，由此造成的提前开封的投标文件，招标人予以拒绝，并退还给投标人。</w:t>
      </w:r>
    </w:p>
    <w:p>
      <w:pPr>
        <w:adjustRightInd w:val="0"/>
        <w:spacing w:line="360" w:lineRule="auto"/>
        <w:ind w:firstLine="422" w:firstLineChars="200"/>
        <w:jc w:val="both"/>
        <w:rPr>
          <w:rFonts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5、深度要求</w:t>
      </w:r>
    </w:p>
    <w:p>
      <w:pPr>
        <w:adjustRightInd w:val="0"/>
        <w:spacing w:line="360" w:lineRule="auto"/>
        <w:ind w:firstLine="422" w:firstLineChars="200"/>
        <w:jc w:val="both"/>
        <w:rPr>
          <w:rFonts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w:t>
      </w:r>
      <w:r>
        <w:rPr>
          <w:rFonts w:ascii="宋体" w:hAnsi="宋体" w:eastAsia="宋体"/>
          <w:b/>
          <w:color w:val="auto"/>
          <w:sz w:val="21"/>
          <w:szCs w:val="21"/>
          <w:highlight w:val="none"/>
          <w:lang w:eastAsia="zh-CN"/>
        </w:rPr>
        <w:t>a</w:t>
      </w:r>
      <w:r>
        <w:rPr>
          <w:rFonts w:hint="eastAsia" w:ascii="宋体" w:hAnsi="宋体" w:eastAsia="宋体"/>
          <w:b/>
          <w:color w:val="auto"/>
          <w:sz w:val="21"/>
          <w:szCs w:val="21"/>
          <w:highlight w:val="none"/>
          <w:lang w:eastAsia="zh-CN"/>
        </w:rPr>
        <w:t>）投标文件宜达到建设部《建筑工程设计文件编制深度规定》（</w:t>
      </w:r>
      <w:r>
        <w:rPr>
          <w:rFonts w:ascii="宋体" w:hAnsi="宋体" w:eastAsia="宋体"/>
          <w:b/>
          <w:color w:val="auto"/>
          <w:sz w:val="21"/>
          <w:szCs w:val="21"/>
          <w:highlight w:val="none"/>
          <w:lang w:eastAsia="zh-CN"/>
        </w:rPr>
        <w:t>2016</w:t>
      </w:r>
      <w:r>
        <w:rPr>
          <w:rFonts w:hint="eastAsia" w:ascii="宋体" w:hAnsi="宋体" w:eastAsia="宋体"/>
          <w:b/>
          <w:color w:val="auto"/>
          <w:sz w:val="21"/>
          <w:szCs w:val="21"/>
          <w:highlight w:val="none"/>
          <w:lang w:eastAsia="zh-CN"/>
        </w:rPr>
        <w:t>年版）、《市政公用工程设计文件编制深度的规定</w:t>
      </w:r>
      <w:r>
        <w:rPr>
          <w:rFonts w:ascii="宋体" w:hAnsi="宋体" w:eastAsia="宋体"/>
          <w:b/>
          <w:color w:val="auto"/>
          <w:sz w:val="21"/>
          <w:szCs w:val="21"/>
          <w:highlight w:val="none"/>
          <w:lang w:eastAsia="zh-CN"/>
        </w:rPr>
        <w:t>(2013</w:t>
      </w:r>
      <w:r>
        <w:rPr>
          <w:rFonts w:hint="eastAsia" w:ascii="宋体" w:hAnsi="宋体" w:eastAsia="宋体"/>
          <w:b/>
          <w:color w:val="auto"/>
          <w:sz w:val="21"/>
          <w:szCs w:val="21"/>
          <w:highlight w:val="none"/>
          <w:lang w:eastAsia="zh-CN"/>
        </w:rPr>
        <w:t>年版</w:t>
      </w:r>
      <w:r>
        <w:rPr>
          <w:rFonts w:ascii="宋体" w:hAnsi="宋体" w:eastAsia="宋体"/>
          <w:b/>
          <w:color w:val="auto"/>
          <w:sz w:val="21"/>
          <w:szCs w:val="21"/>
          <w:highlight w:val="none"/>
          <w:lang w:eastAsia="zh-CN"/>
        </w:rPr>
        <w:t>)</w:t>
      </w:r>
      <w:r>
        <w:rPr>
          <w:rFonts w:hint="eastAsia" w:ascii="宋体" w:hAnsi="宋体" w:eastAsia="宋体"/>
          <w:b/>
          <w:color w:val="auto"/>
          <w:sz w:val="21"/>
          <w:szCs w:val="21"/>
          <w:highlight w:val="none"/>
          <w:lang w:eastAsia="zh-CN"/>
        </w:rPr>
        <w:t>等相应设计阶段的要求。</w:t>
      </w:r>
    </w:p>
    <w:p>
      <w:pPr>
        <w:adjustRightInd w:val="0"/>
        <w:spacing w:line="360" w:lineRule="auto"/>
        <w:ind w:firstLine="422" w:firstLineChars="200"/>
        <w:jc w:val="both"/>
        <w:rPr>
          <w:rFonts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w:t>
      </w:r>
      <w:r>
        <w:rPr>
          <w:rFonts w:ascii="宋体" w:hAnsi="宋体" w:eastAsia="宋体"/>
          <w:b/>
          <w:color w:val="auto"/>
          <w:sz w:val="21"/>
          <w:szCs w:val="21"/>
          <w:highlight w:val="none"/>
          <w:lang w:eastAsia="zh-CN"/>
        </w:rPr>
        <w:t>b</w:t>
      </w:r>
      <w:r>
        <w:rPr>
          <w:rFonts w:hint="eastAsia" w:ascii="宋体" w:hAnsi="宋体" w:eastAsia="宋体"/>
          <w:b/>
          <w:color w:val="auto"/>
          <w:sz w:val="21"/>
          <w:szCs w:val="21"/>
          <w:highlight w:val="none"/>
          <w:lang w:eastAsia="zh-CN"/>
        </w:rPr>
        <w:t>）设计独特具有独创性的节点位置，应该提供示意图。</w:t>
      </w:r>
    </w:p>
    <w:p>
      <w:pPr>
        <w:spacing w:line="360" w:lineRule="auto"/>
        <w:ind w:firstLine="480" w:firstLineChars="200"/>
        <w:rPr>
          <w:rFonts w:ascii="宋体" w:hAnsi="宋体" w:eastAsia="宋体"/>
          <w:color w:val="auto"/>
          <w:sz w:val="24"/>
          <w:szCs w:val="24"/>
          <w:highlight w:val="none"/>
          <w:lang w:eastAsia="zh-CN"/>
        </w:rPr>
      </w:pPr>
    </w:p>
    <w:p>
      <w:pPr>
        <w:pStyle w:val="6"/>
        <w:spacing w:line="360" w:lineRule="auto"/>
        <w:ind w:left="0"/>
        <w:rPr>
          <w:rFonts w:ascii="宋体" w:hAnsi="宋体" w:eastAsia="宋体"/>
          <w:color w:val="auto"/>
          <w:sz w:val="21"/>
          <w:szCs w:val="21"/>
          <w:highlight w:val="none"/>
          <w:lang w:eastAsia="zh-CN"/>
        </w:rPr>
      </w:pPr>
      <w:r>
        <w:rPr>
          <w:rFonts w:ascii="宋体" w:hAnsi="宋体" w:eastAsia="宋体"/>
          <w:color w:val="auto"/>
          <w:highlight w:val="none"/>
          <w:lang w:eastAsia="zh-CN"/>
        </w:rPr>
        <w:br w:type="page"/>
      </w:r>
      <w:bookmarkStart w:id="76" w:name="_Toc109809443"/>
      <w:bookmarkStart w:id="77" w:name="_Toc109809404"/>
      <w:r>
        <w:rPr>
          <w:rFonts w:hint="eastAsia" w:ascii="宋体" w:hAnsi="宋体" w:eastAsia="宋体"/>
          <w:color w:val="auto"/>
          <w:sz w:val="21"/>
          <w:szCs w:val="21"/>
          <w:highlight w:val="none"/>
          <w:lang w:eastAsia="zh-CN"/>
        </w:rPr>
        <w:t xml:space="preserve">格式一  </w:t>
      </w:r>
      <w:r>
        <w:rPr>
          <w:rFonts w:hint="eastAsia" w:ascii="宋体" w:hAnsi="宋体" w:eastAsia="宋体" w:cs="宋体"/>
          <w:color w:val="auto"/>
          <w:sz w:val="21"/>
          <w:szCs w:val="21"/>
          <w:highlight w:val="none"/>
          <w:lang w:eastAsia="zh-CN"/>
        </w:rPr>
        <w:t>投标书</w:t>
      </w:r>
      <w:bookmarkEnd w:id="72"/>
      <w:bookmarkEnd w:id="76"/>
      <w:bookmarkEnd w:id="77"/>
    </w:p>
    <w:p>
      <w:pPr>
        <w:jc w:val="center"/>
        <w:rPr>
          <w:rFonts w:ascii="宋体" w:hAnsi="宋体" w:eastAsia="宋体"/>
          <w:b/>
          <w:bCs/>
          <w:color w:val="auto"/>
          <w:sz w:val="32"/>
          <w:szCs w:val="32"/>
          <w:highlight w:val="none"/>
          <w:lang w:eastAsia="zh-CN"/>
        </w:rPr>
      </w:pPr>
      <w:r>
        <w:rPr>
          <w:rFonts w:hint="eastAsia" w:ascii="宋体" w:hAnsi="宋体" w:eastAsia="宋体"/>
          <w:b/>
          <w:bCs/>
          <w:color w:val="auto"/>
          <w:sz w:val="32"/>
          <w:szCs w:val="32"/>
          <w:highlight w:val="none"/>
          <w:lang w:eastAsia="zh-CN"/>
        </w:rPr>
        <w:t>投标书</w:t>
      </w:r>
    </w:p>
    <w:p>
      <w:pPr>
        <w:rPr>
          <w:rFonts w:ascii="宋体" w:hAnsi="宋体" w:eastAsia="宋体"/>
          <w:color w:val="auto"/>
          <w:sz w:val="21"/>
          <w:szCs w:val="21"/>
          <w:highlight w:val="none"/>
          <w:lang w:eastAsia="zh-CN"/>
        </w:rPr>
      </w:pP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项目名称：</w:t>
      </w:r>
      <w:r>
        <w:rPr>
          <w:rFonts w:hint="eastAsia" w:ascii="宋体" w:hAnsi="宋体" w:eastAsia="宋体"/>
          <w:color w:val="auto"/>
          <w:kern w:val="2"/>
          <w:sz w:val="21"/>
          <w:szCs w:val="21"/>
          <w:highlight w:val="none"/>
          <w:u w:val="single"/>
          <w:lang w:eastAsia="zh-CN"/>
        </w:rPr>
        <w:t xml:space="preserve">                                           </w:t>
      </w:r>
    </w:p>
    <w:p>
      <w:pPr>
        <w:pStyle w:val="15"/>
        <w:spacing w:line="360" w:lineRule="auto"/>
        <w:rPr>
          <w:rFonts w:hAnsi="宋体"/>
          <w:color w:val="auto"/>
          <w:szCs w:val="21"/>
          <w:highlight w:val="none"/>
          <w:lang w:eastAsia="zh-CN"/>
        </w:rPr>
      </w:pPr>
      <w:r>
        <w:rPr>
          <w:rFonts w:hint="eastAsia" w:hAnsi="宋体"/>
          <w:color w:val="auto"/>
          <w:szCs w:val="21"/>
          <w:highlight w:val="none"/>
          <w:lang w:eastAsia="zh-CN"/>
        </w:rPr>
        <w:t>致：</w:t>
      </w:r>
      <w:r>
        <w:rPr>
          <w:rFonts w:hint="eastAsia" w:hAnsi="宋体"/>
          <w:color w:val="auto"/>
          <w:szCs w:val="21"/>
          <w:highlight w:val="none"/>
          <w:u w:val="single"/>
          <w:lang w:eastAsia="zh-CN"/>
        </w:rPr>
        <w:t xml:space="preserve">                                           </w:t>
      </w:r>
      <w:r>
        <w:rPr>
          <w:rFonts w:hint="eastAsia" w:hAnsi="宋体"/>
          <w:color w:val="auto"/>
          <w:szCs w:val="21"/>
          <w:highlight w:val="none"/>
          <w:lang w:eastAsia="zh-CN"/>
        </w:rPr>
        <w:t>（招标人名称）</w:t>
      </w:r>
    </w:p>
    <w:p>
      <w:pPr>
        <w:pStyle w:val="15"/>
        <w:spacing w:line="360" w:lineRule="auto"/>
        <w:ind w:firstLine="420" w:firstLineChars="200"/>
        <w:rPr>
          <w:rFonts w:hint="eastAsia" w:hAnsi="宋体"/>
          <w:color w:val="auto"/>
          <w:szCs w:val="21"/>
          <w:highlight w:val="none"/>
          <w:lang w:eastAsia="zh-CN"/>
        </w:rPr>
      </w:pPr>
      <w:r>
        <w:rPr>
          <w:rFonts w:hint="eastAsia" w:hAnsi="宋体"/>
          <w:color w:val="auto"/>
          <w:szCs w:val="21"/>
          <w:highlight w:val="none"/>
          <w:lang w:eastAsia="zh-CN"/>
        </w:rPr>
        <w:t>我方</w:t>
      </w:r>
      <w:r>
        <w:rPr>
          <w:rFonts w:hint="eastAsia" w:hAnsi="宋体"/>
          <w:color w:val="auto"/>
          <w:szCs w:val="21"/>
          <w:highlight w:val="none"/>
          <w:u w:val="single"/>
          <w:lang w:val="en-US" w:eastAsia="zh-CN"/>
        </w:rPr>
        <w:t xml:space="preserve">      </w:t>
      </w:r>
      <w:r>
        <w:rPr>
          <w:rFonts w:hint="eastAsia" w:hAnsi="宋体"/>
          <w:color w:val="auto"/>
          <w:szCs w:val="21"/>
          <w:highlight w:val="none"/>
          <w:u w:val="single"/>
          <w:lang w:eastAsia="zh-CN"/>
        </w:rPr>
        <w:t>（投标人的简称）</w:t>
      </w:r>
      <w:r>
        <w:rPr>
          <w:rFonts w:hint="eastAsia" w:hAnsi="宋体"/>
          <w:color w:val="auto"/>
          <w:szCs w:val="21"/>
          <w:highlight w:val="none"/>
          <w:u w:val="single"/>
          <w:lang w:val="en-US" w:eastAsia="zh-CN"/>
        </w:rPr>
        <w:t xml:space="preserve">      </w:t>
      </w:r>
      <w:r>
        <w:rPr>
          <w:rFonts w:hint="eastAsia" w:hAnsi="宋体"/>
          <w:color w:val="auto"/>
          <w:szCs w:val="21"/>
          <w:highlight w:val="none"/>
          <w:lang w:eastAsia="zh-CN"/>
        </w:rPr>
        <w:t>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我方愿以《勘察设计费报价</w:t>
      </w:r>
      <w:r>
        <w:rPr>
          <w:rFonts w:hint="eastAsia" w:hAnsi="宋体"/>
          <w:color w:val="auto"/>
          <w:szCs w:val="21"/>
          <w:highlight w:val="none"/>
          <w:lang w:val="en-US" w:eastAsia="zh-CN"/>
        </w:rPr>
        <w:t>汇总</w:t>
      </w:r>
      <w:r>
        <w:rPr>
          <w:rFonts w:hint="eastAsia" w:hAnsi="宋体"/>
          <w:color w:val="auto"/>
          <w:szCs w:val="21"/>
          <w:highlight w:val="none"/>
          <w:lang w:eastAsia="zh-CN"/>
        </w:rPr>
        <w:t>表》的投标总报价，承包本次招标所包含的工作，并承担质量缺陷责任。我方项目负责人为网上投标登记时选择的项目负责人。如我司成为本项目中标候选人，我司同意并授权招标人将我司投标文件商务部分进行公开。</w:t>
      </w:r>
    </w:p>
    <w:p>
      <w:pPr>
        <w:pStyle w:val="15"/>
        <w:spacing w:line="360" w:lineRule="auto"/>
        <w:ind w:firstLine="420" w:firstLineChars="200"/>
        <w:rPr>
          <w:rFonts w:hAnsi="宋体"/>
          <w:color w:val="auto"/>
          <w:szCs w:val="21"/>
          <w:highlight w:val="none"/>
          <w:lang w:eastAsia="zh-CN"/>
        </w:rPr>
      </w:pPr>
      <w:r>
        <w:rPr>
          <w:rFonts w:hint="eastAsia" w:hAnsi="宋体"/>
          <w:color w:val="auto"/>
          <w:szCs w:val="21"/>
          <w:highlight w:val="none"/>
          <w:lang w:eastAsia="zh-CN"/>
        </w:rPr>
        <w:t>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pPr>
        <w:pStyle w:val="15"/>
        <w:spacing w:line="360" w:lineRule="auto"/>
        <w:ind w:firstLine="420" w:firstLineChars="200"/>
        <w:rPr>
          <w:rFonts w:hAnsi="宋体"/>
          <w:color w:val="auto"/>
          <w:szCs w:val="21"/>
          <w:highlight w:val="none"/>
          <w:lang w:eastAsia="zh-CN"/>
        </w:rPr>
      </w:pPr>
      <w:r>
        <w:rPr>
          <w:rFonts w:hint="eastAsia" w:hAnsi="宋体"/>
          <w:color w:val="auto"/>
          <w:szCs w:val="21"/>
          <w:highlight w:val="none"/>
          <w:lang w:eastAsia="zh-CN"/>
        </w:rPr>
        <w:t>我方认同招标文件规定的评审规则，遵守评标委员会的裁决结果，并且不会采取妨碍项目进展的行为。我方理解你方没有必须接受你方可能收到的最低标或任何投标的义务。</w:t>
      </w:r>
    </w:p>
    <w:p>
      <w:pPr>
        <w:pStyle w:val="15"/>
        <w:spacing w:line="360" w:lineRule="auto"/>
        <w:ind w:firstLine="420" w:firstLineChars="200"/>
        <w:rPr>
          <w:rFonts w:hAnsi="宋体"/>
          <w:color w:val="auto"/>
          <w:szCs w:val="21"/>
          <w:highlight w:val="none"/>
          <w:lang w:eastAsia="zh-CN"/>
        </w:rPr>
      </w:pPr>
      <w:r>
        <w:rPr>
          <w:rFonts w:hint="eastAsia" w:hAnsi="宋体"/>
          <w:color w:val="auto"/>
          <w:szCs w:val="21"/>
          <w:highlight w:val="none"/>
          <w:lang w:eastAsia="zh-CN"/>
        </w:rPr>
        <w:t>如果我方中标，我方将提供规定的履约担保，将在合同规定的日期开工，并在竣工时间内，按照上述文件完成项目。</w:t>
      </w:r>
    </w:p>
    <w:p>
      <w:pPr>
        <w:pStyle w:val="15"/>
        <w:spacing w:line="360" w:lineRule="auto"/>
        <w:ind w:firstLine="420" w:firstLineChars="200"/>
        <w:rPr>
          <w:rFonts w:hAnsi="宋体"/>
          <w:color w:val="auto"/>
          <w:szCs w:val="21"/>
          <w:highlight w:val="none"/>
          <w:lang w:eastAsia="zh-CN"/>
        </w:rPr>
      </w:pPr>
      <w:r>
        <w:rPr>
          <w:rFonts w:hint="eastAsia" w:hAnsi="宋体"/>
          <w:color w:val="auto"/>
          <w:szCs w:val="21"/>
          <w:highlight w:val="none"/>
          <w:lang w:eastAsia="zh-CN"/>
        </w:rPr>
        <w:t>除非制订正式合同协议书并生效，本投标书以及你方中标通知书，应构成你我双方间具有约束力的合同。</w:t>
      </w:r>
    </w:p>
    <w:p>
      <w:pPr>
        <w:spacing w:line="360" w:lineRule="auto"/>
        <w:ind w:firstLine="420" w:firstLineChars="200"/>
        <w:rPr>
          <w:rFonts w:ascii="宋体" w:hAnsi="宋体" w:eastAsia="宋体"/>
          <w:color w:val="auto"/>
          <w:sz w:val="21"/>
          <w:szCs w:val="21"/>
          <w:highlight w:val="none"/>
          <w:lang w:eastAsia="zh-CN"/>
        </w:rPr>
      </w:pPr>
    </w:p>
    <w:p>
      <w:pPr>
        <w:pStyle w:val="15"/>
        <w:spacing w:line="360" w:lineRule="auto"/>
        <w:ind w:firstLine="420" w:firstLineChars="200"/>
        <w:rPr>
          <w:rFonts w:hAnsi="宋体"/>
          <w:color w:val="auto"/>
          <w:szCs w:val="21"/>
          <w:highlight w:val="none"/>
          <w:lang w:eastAsia="zh-CN"/>
        </w:rPr>
      </w:pPr>
      <w:r>
        <w:rPr>
          <w:rFonts w:hint="eastAsia" w:hAnsi="宋体"/>
          <w:color w:val="auto"/>
          <w:szCs w:val="21"/>
          <w:highlight w:val="none"/>
          <w:lang w:eastAsia="zh-CN"/>
        </w:rPr>
        <w:t>投标人：（盖章）</w:t>
      </w:r>
    </w:p>
    <w:p>
      <w:pPr>
        <w:pStyle w:val="15"/>
        <w:spacing w:line="360" w:lineRule="auto"/>
        <w:ind w:firstLine="420" w:firstLineChars="200"/>
        <w:rPr>
          <w:rFonts w:hAnsi="宋体"/>
          <w:color w:val="auto"/>
          <w:szCs w:val="21"/>
          <w:highlight w:val="none"/>
          <w:lang w:eastAsia="zh-CN"/>
        </w:rPr>
      </w:pPr>
      <w:r>
        <w:rPr>
          <w:rFonts w:hint="eastAsia" w:hAnsi="宋体"/>
          <w:color w:val="auto"/>
          <w:szCs w:val="21"/>
          <w:highlight w:val="none"/>
          <w:lang w:eastAsia="zh-CN"/>
        </w:rPr>
        <w:t>法定代表人：（签字或盖章）</w:t>
      </w:r>
    </w:p>
    <w:p>
      <w:pPr>
        <w:pStyle w:val="15"/>
        <w:spacing w:line="360" w:lineRule="auto"/>
        <w:ind w:firstLine="420" w:firstLineChars="200"/>
        <w:rPr>
          <w:rFonts w:hAnsi="宋体"/>
          <w:color w:val="auto"/>
          <w:szCs w:val="21"/>
          <w:highlight w:val="none"/>
          <w:lang w:eastAsia="zh-CN"/>
        </w:rPr>
      </w:pPr>
      <w:r>
        <w:rPr>
          <w:rFonts w:hint="eastAsia" w:hAnsi="宋体"/>
          <w:color w:val="auto"/>
          <w:szCs w:val="21"/>
          <w:highlight w:val="none"/>
          <w:lang w:eastAsia="zh-CN"/>
        </w:rPr>
        <w:t>委托代理人：（签字或盖章）</w:t>
      </w:r>
    </w:p>
    <w:p>
      <w:pPr>
        <w:pStyle w:val="15"/>
        <w:spacing w:line="360" w:lineRule="auto"/>
        <w:ind w:firstLine="420" w:firstLineChars="200"/>
        <w:rPr>
          <w:rFonts w:hAnsi="宋体"/>
          <w:color w:val="auto"/>
          <w:szCs w:val="21"/>
          <w:highlight w:val="none"/>
          <w:lang w:eastAsia="zh-CN"/>
        </w:rPr>
      </w:pPr>
      <w:r>
        <w:rPr>
          <w:rFonts w:hint="eastAsia" w:hAnsi="宋体"/>
          <w:color w:val="auto"/>
          <w:szCs w:val="21"/>
          <w:highlight w:val="none"/>
          <w:lang w:eastAsia="zh-CN"/>
        </w:rPr>
        <w:t>项目负责人：（签字或盖章）</w:t>
      </w:r>
    </w:p>
    <w:p>
      <w:pPr>
        <w:pStyle w:val="15"/>
        <w:spacing w:line="360" w:lineRule="auto"/>
        <w:ind w:firstLine="420" w:firstLineChars="200"/>
        <w:rPr>
          <w:rFonts w:hAnsi="宋体"/>
          <w:color w:val="auto"/>
          <w:szCs w:val="21"/>
          <w:highlight w:val="none"/>
          <w:lang w:eastAsia="zh-CN"/>
        </w:rPr>
      </w:pPr>
      <w:r>
        <w:rPr>
          <w:rFonts w:hint="eastAsia" w:hAnsi="宋体"/>
          <w:color w:val="auto"/>
          <w:szCs w:val="21"/>
          <w:highlight w:val="none"/>
          <w:lang w:eastAsia="zh-CN"/>
        </w:rPr>
        <w:t>地址：</w:t>
      </w:r>
    </w:p>
    <w:p>
      <w:pPr>
        <w:pStyle w:val="15"/>
        <w:spacing w:line="360" w:lineRule="auto"/>
        <w:ind w:firstLine="420" w:firstLineChars="200"/>
        <w:rPr>
          <w:rFonts w:hAnsi="宋体"/>
          <w:color w:val="auto"/>
          <w:szCs w:val="21"/>
          <w:highlight w:val="none"/>
          <w:lang w:eastAsia="zh-CN"/>
        </w:rPr>
      </w:pPr>
      <w:r>
        <w:rPr>
          <w:rFonts w:hint="eastAsia" w:hAnsi="宋体"/>
          <w:color w:val="auto"/>
          <w:szCs w:val="21"/>
          <w:highlight w:val="none"/>
          <w:lang w:eastAsia="zh-CN"/>
        </w:rPr>
        <w:t>邮政编码：</w:t>
      </w:r>
    </w:p>
    <w:p>
      <w:pPr>
        <w:pStyle w:val="15"/>
        <w:spacing w:line="360" w:lineRule="auto"/>
        <w:ind w:firstLine="420" w:firstLineChars="200"/>
        <w:rPr>
          <w:rFonts w:hAnsi="宋体"/>
          <w:color w:val="auto"/>
          <w:szCs w:val="21"/>
          <w:highlight w:val="none"/>
          <w:lang w:eastAsia="zh-CN"/>
        </w:rPr>
      </w:pPr>
      <w:r>
        <w:rPr>
          <w:rFonts w:hint="eastAsia" w:hAnsi="宋体"/>
          <w:color w:val="auto"/>
          <w:szCs w:val="21"/>
          <w:highlight w:val="none"/>
          <w:lang w:eastAsia="zh-CN"/>
        </w:rPr>
        <w:t>电话/传真：</w:t>
      </w:r>
      <w:r>
        <w:rPr>
          <w:rFonts w:hint="eastAsia" w:hAnsi="宋体"/>
          <w:color w:val="auto"/>
          <w:szCs w:val="21"/>
          <w:highlight w:val="none"/>
          <w:u w:val="single"/>
          <w:lang w:eastAsia="zh-CN"/>
        </w:rPr>
        <w:t xml:space="preserve">                    /FAX              </w:t>
      </w:r>
    </w:p>
    <w:p>
      <w:pPr>
        <w:pStyle w:val="15"/>
        <w:spacing w:line="360" w:lineRule="auto"/>
        <w:ind w:firstLine="420" w:firstLineChars="200"/>
        <w:rPr>
          <w:rFonts w:hAnsi="宋体"/>
          <w:color w:val="auto"/>
          <w:szCs w:val="21"/>
          <w:highlight w:val="none"/>
          <w:lang w:eastAsia="zh-CN"/>
        </w:rPr>
      </w:pPr>
      <w:r>
        <w:rPr>
          <w:rFonts w:hint="eastAsia" w:hAnsi="宋体"/>
          <w:color w:val="auto"/>
          <w:szCs w:val="21"/>
          <w:highlight w:val="none"/>
          <w:lang w:eastAsia="zh-CN"/>
        </w:rPr>
        <w:t>电子邮箱：</w:t>
      </w:r>
    </w:p>
    <w:p>
      <w:pPr>
        <w:pStyle w:val="15"/>
        <w:spacing w:line="360" w:lineRule="auto"/>
        <w:ind w:firstLine="420" w:firstLineChars="200"/>
        <w:rPr>
          <w:rFonts w:hAnsi="宋体"/>
          <w:color w:val="auto"/>
          <w:szCs w:val="21"/>
          <w:highlight w:val="none"/>
          <w:lang w:eastAsia="zh-CN"/>
        </w:rPr>
      </w:pPr>
      <w:r>
        <w:rPr>
          <w:rFonts w:hint="eastAsia" w:hAnsi="宋体"/>
          <w:color w:val="auto"/>
          <w:szCs w:val="21"/>
          <w:highlight w:val="none"/>
          <w:lang w:eastAsia="zh-CN"/>
        </w:rPr>
        <w:t>开户银行名称、帐号：</w:t>
      </w:r>
    </w:p>
    <w:p>
      <w:pPr>
        <w:pStyle w:val="15"/>
        <w:spacing w:line="360" w:lineRule="auto"/>
        <w:ind w:firstLine="420" w:firstLineChars="200"/>
        <w:rPr>
          <w:rFonts w:hAnsi="宋体"/>
          <w:color w:val="auto"/>
          <w:szCs w:val="21"/>
          <w:highlight w:val="none"/>
          <w:lang w:eastAsia="zh-CN"/>
        </w:rPr>
      </w:pPr>
      <w:r>
        <w:rPr>
          <w:rFonts w:hint="eastAsia" w:hAnsi="宋体"/>
          <w:color w:val="auto"/>
          <w:szCs w:val="21"/>
          <w:highlight w:val="none"/>
          <w:lang w:eastAsia="zh-CN"/>
        </w:rPr>
        <w:t>开户行地址/电话：</w:t>
      </w:r>
    </w:p>
    <w:p>
      <w:pPr>
        <w:spacing w:line="360" w:lineRule="auto"/>
        <w:ind w:firstLine="420" w:firstLineChars="20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 xml:space="preserve">                                     日期：       年    月    日</w:t>
      </w:r>
    </w:p>
    <w:p>
      <w:pPr>
        <w:jc w:val="center"/>
        <w:rPr>
          <w:rFonts w:ascii="宋体" w:hAnsi="宋体" w:eastAsia="宋体"/>
          <w:b/>
          <w:bCs/>
          <w:color w:val="auto"/>
          <w:sz w:val="32"/>
          <w:szCs w:val="32"/>
          <w:highlight w:val="none"/>
        </w:rPr>
      </w:pPr>
      <w:r>
        <w:rPr>
          <w:rFonts w:hint="eastAsia" w:ascii="宋体" w:hAnsi="宋体" w:eastAsia="宋体"/>
          <w:b/>
          <w:bCs/>
          <w:color w:val="auto"/>
          <w:sz w:val="32"/>
          <w:szCs w:val="32"/>
          <w:highlight w:val="none"/>
        </w:rPr>
        <w:t>投标书附录</w:t>
      </w:r>
    </w:p>
    <w:p>
      <w:pPr>
        <w:pStyle w:val="12"/>
        <w:kinsoku w:val="0"/>
        <w:overflowPunct w:val="0"/>
        <w:spacing w:before="3" w:line="360" w:lineRule="auto"/>
        <w:ind w:left="102"/>
        <w:rPr>
          <w:color w:val="auto"/>
          <w:sz w:val="23"/>
          <w:szCs w:val="23"/>
          <w:highlight w:val="none"/>
        </w:rPr>
      </w:pPr>
    </w:p>
    <w:tbl>
      <w:tblPr>
        <w:tblStyle w:val="29"/>
        <w:tblW w:w="5000" w:type="pct"/>
        <w:tblInd w:w="-5" w:type="dxa"/>
        <w:tblLayout w:type="autofit"/>
        <w:tblCellMar>
          <w:top w:w="0" w:type="dxa"/>
          <w:left w:w="0" w:type="dxa"/>
          <w:bottom w:w="0" w:type="dxa"/>
          <w:right w:w="0" w:type="dxa"/>
        </w:tblCellMar>
      </w:tblPr>
      <w:tblGrid>
        <w:gridCol w:w="1305"/>
        <w:gridCol w:w="2957"/>
        <w:gridCol w:w="2865"/>
        <w:gridCol w:w="1910"/>
      </w:tblGrid>
      <w:tr>
        <w:tblPrEx>
          <w:tblCellMar>
            <w:top w:w="0" w:type="dxa"/>
            <w:left w:w="0" w:type="dxa"/>
            <w:bottom w:w="0" w:type="dxa"/>
            <w:right w:w="0" w:type="dxa"/>
          </w:tblCellMar>
        </w:tblPrEx>
        <w:trPr>
          <w:trHeight w:val="538" w:hRule="atLeast"/>
        </w:trPr>
        <w:tc>
          <w:tcPr>
            <w:tcW w:w="722" w:type="pct"/>
            <w:tcBorders>
              <w:top w:val="single" w:color="000000" w:sz="4" w:space="0"/>
              <w:left w:val="single" w:color="000000" w:sz="4" w:space="0"/>
              <w:bottom w:val="single" w:color="000000" w:sz="4" w:space="0"/>
              <w:right w:val="single" w:color="000000" w:sz="4" w:space="0"/>
            </w:tcBorders>
            <w:noWrap/>
            <w:vAlign w:val="center"/>
          </w:tcPr>
          <w:p>
            <w:pPr>
              <w:pStyle w:val="63"/>
              <w:kinsoku w:val="0"/>
              <w:overflowPunct w:val="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1636" w:type="pct"/>
            <w:tcBorders>
              <w:top w:val="single" w:color="000000" w:sz="4" w:space="0"/>
              <w:left w:val="nil"/>
              <w:bottom w:val="single" w:color="000000" w:sz="4" w:space="0"/>
              <w:right w:val="single" w:color="000000" w:sz="4" w:space="0"/>
            </w:tcBorders>
            <w:noWrap/>
            <w:vAlign w:val="center"/>
          </w:tcPr>
          <w:p>
            <w:pPr>
              <w:pStyle w:val="63"/>
              <w:kinsoku w:val="0"/>
              <w:overflowPunct w:val="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条款名称</w:t>
            </w:r>
          </w:p>
        </w:tc>
        <w:tc>
          <w:tcPr>
            <w:tcW w:w="1585" w:type="pct"/>
            <w:tcBorders>
              <w:top w:val="single" w:color="000000" w:sz="4" w:space="0"/>
              <w:left w:val="nil"/>
              <w:bottom w:val="single" w:color="000000" w:sz="4" w:space="0"/>
              <w:right w:val="single" w:color="000000" w:sz="4" w:space="0"/>
            </w:tcBorders>
            <w:noWrap/>
            <w:vAlign w:val="center"/>
          </w:tcPr>
          <w:p>
            <w:pPr>
              <w:pStyle w:val="63"/>
              <w:kinsoku w:val="0"/>
              <w:overflowPunct w:val="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约定内容</w:t>
            </w:r>
          </w:p>
        </w:tc>
        <w:tc>
          <w:tcPr>
            <w:tcW w:w="1057" w:type="pct"/>
            <w:tcBorders>
              <w:top w:val="single" w:color="000000" w:sz="4" w:space="0"/>
              <w:left w:val="nil"/>
              <w:bottom w:val="single" w:color="000000" w:sz="4" w:space="0"/>
              <w:right w:val="single" w:color="000000" w:sz="4" w:space="0"/>
            </w:tcBorders>
            <w:noWrap/>
            <w:vAlign w:val="center"/>
          </w:tcPr>
          <w:p>
            <w:pPr>
              <w:pStyle w:val="63"/>
              <w:kinsoku w:val="0"/>
              <w:overflowPunct w:val="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备注</w:t>
            </w:r>
          </w:p>
        </w:tc>
      </w:tr>
      <w:tr>
        <w:tblPrEx>
          <w:tblCellMar>
            <w:top w:w="0" w:type="dxa"/>
            <w:left w:w="0" w:type="dxa"/>
            <w:bottom w:w="0" w:type="dxa"/>
            <w:right w:w="0" w:type="dxa"/>
          </w:tblCellMar>
        </w:tblPrEx>
        <w:trPr>
          <w:trHeight w:val="451" w:hRule="atLeast"/>
        </w:trPr>
        <w:tc>
          <w:tcPr>
            <w:tcW w:w="722" w:type="pct"/>
            <w:tcBorders>
              <w:top w:val="single" w:color="000000" w:sz="4" w:space="0"/>
              <w:left w:val="single" w:color="000000" w:sz="4" w:space="0"/>
              <w:bottom w:val="single" w:color="000000" w:sz="4" w:space="0"/>
              <w:right w:val="single" w:color="000000" w:sz="4" w:space="0"/>
            </w:tcBorders>
            <w:noWrap/>
            <w:vAlign w:val="center"/>
          </w:tcPr>
          <w:p>
            <w:pPr>
              <w:pStyle w:val="63"/>
              <w:kinsoku w:val="0"/>
              <w:overflowPunct w:val="0"/>
              <w:jc w:val="center"/>
              <w:rPr>
                <w:rFonts w:ascii="宋体" w:hAnsi="宋体" w:eastAsia="宋体"/>
                <w:color w:val="auto"/>
                <w:sz w:val="21"/>
                <w:szCs w:val="21"/>
                <w:highlight w:val="none"/>
              </w:rPr>
            </w:pPr>
            <w:r>
              <w:rPr>
                <w:rFonts w:ascii="宋体" w:hAnsi="宋体" w:eastAsia="宋体"/>
                <w:color w:val="auto"/>
                <w:sz w:val="21"/>
                <w:szCs w:val="21"/>
                <w:highlight w:val="none"/>
              </w:rPr>
              <w:t>1</w:t>
            </w:r>
          </w:p>
        </w:tc>
        <w:tc>
          <w:tcPr>
            <w:tcW w:w="1636" w:type="pct"/>
            <w:tcBorders>
              <w:top w:val="single" w:color="000000" w:sz="4" w:space="0"/>
              <w:left w:val="nil"/>
              <w:bottom w:val="single" w:color="000000" w:sz="4" w:space="0"/>
              <w:right w:val="single" w:color="000000" w:sz="4" w:space="0"/>
            </w:tcBorders>
            <w:noWrap/>
            <w:vAlign w:val="center"/>
          </w:tcPr>
          <w:p>
            <w:pPr>
              <w:pStyle w:val="63"/>
              <w:kinsoku w:val="0"/>
              <w:overflowPunct w:val="0"/>
              <w:ind w:left="110" w:leftChars="50"/>
              <w:jc w:val="both"/>
              <w:rPr>
                <w:rFonts w:ascii="宋体" w:hAnsi="宋体" w:eastAsia="宋体"/>
                <w:color w:val="auto"/>
                <w:sz w:val="21"/>
                <w:szCs w:val="21"/>
                <w:highlight w:val="none"/>
              </w:rPr>
            </w:pPr>
            <w:r>
              <w:rPr>
                <w:rFonts w:hint="eastAsia" w:ascii="宋体" w:hAnsi="宋体" w:eastAsia="宋体"/>
                <w:color w:val="auto"/>
                <w:spacing w:val="-1"/>
                <w:sz w:val="21"/>
                <w:szCs w:val="21"/>
                <w:highlight w:val="none"/>
              </w:rPr>
              <w:t>项目负责人</w:t>
            </w:r>
          </w:p>
        </w:tc>
        <w:tc>
          <w:tcPr>
            <w:tcW w:w="1585" w:type="pct"/>
            <w:tcBorders>
              <w:top w:val="single" w:color="000000" w:sz="4" w:space="0"/>
              <w:left w:val="nil"/>
              <w:bottom w:val="single" w:color="000000" w:sz="4" w:space="0"/>
              <w:right w:val="single" w:color="000000" w:sz="4" w:space="0"/>
            </w:tcBorders>
            <w:noWrap/>
            <w:vAlign w:val="center"/>
          </w:tcPr>
          <w:p>
            <w:pPr>
              <w:pStyle w:val="63"/>
              <w:kinsoku w:val="0"/>
              <w:overflowPunct w:val="0"/>
              <w:ind w:left="110" w:leftChars="50"/>
              <w:jc w:val="both"/>
              <w:rPr>
                <w:rFonts w:ascii="宋体" w:hAnsi="宋体" w:eastAsia="宋体"/>
                <w:color w:val="auto"/>
                <w:sz w:val="21"/>
                <w:szCs w:val="21"/>
                <w:highlight w:val="none"/>
              </w:rPr>
            </w:pPr>
            <w:r>
              <w:rPr>
                <w:rFonts w:hint="eastAsia" w:ascii="宋体" w:hAnsi="宋体" w:eastAsia="宋体"/>
                <w:color w:val="auto"/>
                <w:sz w:val="21"/>
                <w:szCs w:val="21"/>
                <w:highlight w:val="none"/>
              </w:rPr>
              <w:t>姓名：</w:t>
            </w:r>
          </w:p>
        </w:tc>
        <w:tc>
          <w:tcPr>
            <w:tcW w:w="1057" w:type="pct"/>
            <w:tcBorders>
              <w:top w:val="single" w:color="000000" w:sz="4" w:space="0"/>
              <w:left w:val="nil"/>
              <w:bottom w:val="single" w:color="000000" w:sz="4" w:space="0"/>
              <w:right w:val="single" w:color="000000" w:sz="4" w:space="0"/>
            </w:tcBorders>
            <w:noWrap/>
            <w:vAlign w:val="center"/>
          </w:tcPr>
          <w:p>
            <w:pPr>
              <w:jc w:val="both"/>
              <w:rPr>
                <w:rFonts w:ascii="宋体" w:hAnsi="宋体" w:eastAsia="宋体"/>
                <w:color w:val="auto"/>
                <w:sz w:val="21"/>
                <w:szCs w:val="21"/>
                <w:highlight w:val="none"/>
              </w:rPr>
            </w:pPr>
          </w:p>
        </w:tc>
      </w:tr>
      <w:tr>
        <w:trPr>
          <w:trHeight w:val="449" w:hRule="atLeast"/>
        </w:trPr>
        <w:tc>
          <w:tcPr>
            <w:tcW w:w="722" w:type="pct"/>
            <w:tcBorders>
              <w:top w:val="single" w:color="000000" w:sz="4" w:space="0"/>
              <w:left w:val="single" w:color="000000" w:sz="4" w:space="0"/>
              <w:bottom w:val="single" w:color="000000" w:sz="4" w:space="0"/>
              <w:right w:val="single" w:color="000000" w:sz="4" w:space="0"/>
            </w:tcBorders>
            <w:noWrap/>
            <w:vAlign w:val="center"/>
          </w:tcPr>
          <w:p>
            <w:pPr>
              <w:pStyle w:val="63"/>
              <w:kinsoku w:val="0"/>
              <w:overflowPunct w:val="0"/>
              <w:jc w:val="center"/>
              <w:rPr>
                <w:rFonts w:ascii="宋体" w:hAnsi="宋体" w:eastAsia="宋体"/>
                <w:color w:val="auto"/>
                <w:sz w:val="21"/>
                <w:szCs w:val="21"/>
                <w:highlight w:val="none"/>
              </w:rPr>
            </w:pPr>
            <w:r>
              <w:rPr>
                <w:rFonts w:ascii="宋体" w:hAnsi="宋体" w:eastAsia="宋体"/>
                <w:color w:val="auto"/>
                <w:sz w:val="21"/>
                <w:szCs w:val="21"/>
                <w:highlight w:val="none"/>
              </w:rPr>
              <w:t>2</w:t>
            </w:r>
          </w:p>
        </w:tc>
        <w:tc>
          <w:tcPr>
            <w:tcW w:w="1636" w:type="pct"/>
            <w:tcBorders>
              <w:top w:val="single" w:color="000000" w:sz="4" w:space="0"/>
              <w:left w:val="nil"/>
              <w:bottom w:val="single" w:color="000000" w:sz="4" w:space="0"/>
              <w:right w:val="single" w:color="000000" w:sz="4" w:space="0"/>
            </w:tcBorders>
            <w:noWrap/>
            <w:vAlign w:val="center"/>
          </w:tcPr>
          <w:p>
            <w:pPr>
              <w:pStyle w:val="63"/>
              <w:kinsoku w:val="0"/>
              <w:overflowPunct w:val="0"/>
              <w:ind w:left="110" w:leftChars="50"/>
              <w:jc w:val="both"/>
              <w:rPr>
                <w:rFonts w:ascii="宋体" w:hAnsi="宋体" w:eastAsia="宋体"/>
                <w:color w:val="auto"/>
                <w:spacing w:val="-1"/>
                <w:sz w:val="21"/>
                <w:szCs w:val="21"/>
                <w:highlight w:val="none"/>
              </w:rPr>
            </w:pPr>
            <w:r>
              <w:rPr>
                <w:rFonts w:hint="eastAsia" w:ascii="宋体" w:hAnsi="宋体" w:eastAsia="宋体"/>
                <w:color w:val="auto"/>
                <w:spacing w:val="-1"/>
                <w:sz w:val="21"/>
                <w:szCs w:val="21"/>
                <w:highlight w:val="none"/>
              </w:rPr>
              <w:t>投标内容</w:t>
            </w:r>
          </w:p>
        </w:tc>
        <w:tc>
          <w:tcPr>
            <w:tcW w:w="1585" w:type="pct"/>
            <w:tcBorders>
              <w:top w:val="single" w:color="000000" w:sz="4" w:space="0"/>
              <w:left w:val="nil"/>
              <w:bottom w:val="single" w:color="000000" w:sz="4" w:space="0"/>
              <w:right w:val="single" w:color="000000" w:sz="4" w:space="0"/>
            </w:tcBorders>
            <w:noWrap/>
            <w:vAlign w:val="center"/>
          </w:tcPr>
          <w:p>
            <w:pPr>
              <w:pStyle w:val="63"/>
              <w:kinsoku w:val="0"/>
              <w:overflowPunct w:val="0"/>
              <w:ind w:left="110" w:leftChars="50"/>
              <w:jc w:val="both"/>
              <w:rPr>
                <w:rFonts w:ascii="宋体" w:hAnsi="宋体" w:eastAsia="宋体"/>
                <w:color w:val="auto"/>
                <w:spacing w:val="-1"/>
                <w:sz w:val="21"/>
                <w:szCs w:val="21"/>
                <w:highlight w:val="none"/>
              </w:rPr>
            </w:pPr>
            <w:r>
              <w:rPr>
                <w:rFonts w:hint="eastAsia" w:ascii="宋体" w:hAnsi="宋体" w:eastAsia="宋体"/>
                <w:color w:val="auto"/>
                <w:spacing w:val="-1"/>
                <w:sz w:val="21"/>
                <w:szCs w:val="21"/>
                <w:highlight w:val="none"/>
              </w:rPr>
              <w:t>按招标文件要求</w:t>
            </w:r>
          </w:p>
        </w:tc>
        <w:tc>
          <w:tcPr>
            <w:tcW w:w="1057" w:type="pct"/>
            <w:tcBorders>
              <w:top w:val="single" w:color="000000" w:sz="4" w:space="0"/>
              <w:left w:val="nil"/>
              <w:bottom w:val="single" w:color="000000" w:sz="4" w:space="0"/>
              <w:right w:val="single" w:color="000000" w:sz="4" w:space="0"/>
            </w:tcBorders>
            <w:noWrap/>
            <w:vAlign w:val="center"/>
          </w:tcPr>
          <w:p>
            <w:pPr>
              <w:jc w:val="both"/>
              <w:rPr>
                <w:rFonts w:ascii="宋体" w:hAnsi="宋体" w:eastAsia="宋体"/>
                <w:color w:val="auto"/>
                <w:sz w:val="21"/>
                <w:szCs w:val="21"/>
                <w:highlight w:val="none"/>
              </w:rPr>
            </w:pPr>
          </w:p>
        </w:tc>
      </w:tr>
      <w:tr>
        <w:tblPrEx>
          <w:tblCellMar>
            <w:top w:w="0" w:type="dxa"/>
            <w:left w:w="0" w:type="dxa"/>
            <w:bottom w:w="0" w:type="dxa"/>
            <w:right w:w="0" w:type="dxa"/>
          </w:tblCellMar>
        </w:tblPrEx>
        <w:trPr>
          <w:trHeight w:val="451" w:hRule="atLeast"/>
        </w:trPr>
        <w:tc>
          <w:tcPr>
            <w:tcW w:w="722" w:type="pct"/>
            <w:tcBorders>
              <w:top w:val="single" w:color="000000" w:sz="4" w:space="0"/>
              <w:left w:val="single" w:color="000000" w:sz="4" w:space="0"/>
              <w:bottom w:val="single" w:color="000000" w:sz="4" w:space="0"/>
              <w:right w:val="single" w:color="000000" w:sz="4" w:space="0"/>
            </w:tcBorders>
            <w:noWrap/>
            <w:vAlign w:val="center"/>
          </w:tcPr>
          <w:p>
            <w:pPr>
              <w:pStyle w:val="63"/>
              <w:kinsoku w:val="0"/>
              <w:overflowPunct w:val="0"/>
              <w:jc w:val="center"/>
              <w:rPr>
                <w:rFonts w:ascii="宋体" w:hAnsi="宋体" w:eastAsia="宋体"/>
                <w:color w:val="auto"/>
                <w:sz w:val="21"/>
                <w:szCs w:val="21"/>
                <w:highlight w:val="none"/>
              </w:rPr>
            </w:pPr>
            <w:r>
              <w:rPr>
                <w:rFonts w:ascii="宋体" w:hAnsi="宋体" w:eastAsia="宋体"/>
                <w:color w:val="auto"/>
                <w:sz w:val="21"/>
                <w:szCs w:val="21"/>
                <w:highlight w:val="none"/>
              </w:rPr>
              <w:t>3</w:t>
            </w:r>
          </w:p>
        </w:tc>
        <w:tc>
          <w:tcPr>
            <w:tcW w:w="1636" w:type="pct"/>
            <w:tcBorders>
              <w:top w:val="single" w:color="000000" w:sz="4" w:space="0"/>
              <w:left w:val="nil"/>
              <w:bottom w:val="single" w:color="000000" w:sz="4" w:space="0"/>
              <w:right w:val="single" w:color="000000" w:sz="4" w:space="0"/>
            </w:tcBorders>
            <w:noWrap/>
            <w:vAlign w:val="center"/>
          </w:tcPr>
          <w:p>
            <w:pPr>
              <w:pStyle w:val="63"/>
              <w:kinsoku w:val="0"/>
              <w:overflowPunct w:val="0"/>
              <w:ind w:left="110" w:leftChars="50"/>
              <w:jc w:val="both"/>
              <w:rPr>
                <w:rFonts w:ascii="宋体" w:hAnsi="宋体" w:eastAsia="宋体"/>
                <w:color w:val="auto"/>
                <w:spacing w:val="-1"/>
                <w:sz w:val="21"/>
                <w:szCs w:val="21"/>
                <w:highlight w:val="none"/>
              </w:rPr>
            </w:pPr>
            <w:r>
              <w:rPr>
                <w:rFonts w:hint="eastAsia" w:ascii="宋体" w:hAnsi="宋体" w:eastAsia="宋体"/>
                <w:color w:val="auto"/>
                <w:spacing w:val="-1"/>
                <w:sz w:val="21"/>
                <w:szCs w:val="21"/>
                <w:highlight w:val="none"/>
              </w:rPr>
              <w:t>设计服务期限</w:t>
            </w:r>
          </w:p>
        </w:tc>
        <w:tc>
          <w:tcPr>
            <w:tcW w:w="1585" w:type="pct"/>
            <w:tcBorders>
              <w:top w:val="single" w:color="000000" w:sz="4" w:space="0"/>
              <w:left w:val="nil"/>
              <w:bottom w:val="single" w:color="000000" w:sz="4" w:space="0"/>
              <w:right w:val="single" w:color="000000" w:sz="4" w:space="0"/>
            </w:tcBorders>
            <w:noWrap/>
            <w:vAlign w:val="center"/>
          </w:tcPr>
          <w:p>
            <w:pPr>
              <w:ind w:left="110" w:leftChars="50"/>
              <w:jc w:val="both"/>
              <w:rPr>
                <w:rFonts w:ascii="宋体" w:hAnsi="宋体" w:eastAsia="宋体"/>
                <w:color w:val="auto"/>
                <w:spacing w:val="-1"/>
                <w:sz w:val="21"/>
                <w:szCs w:val="21"/>
                <w:highlight w:val="none"/>
              </w:rPr>
            </w:pPr>
            <w:r>
              <w:rPr>
                <w:rFonts w:hint="eastAsia" w:ascii="宋体" w:hAnsi="宋体" w:eastAsia="宋体"/>
                <w:color w:val="auto"/>
                <w:spacing w:val="-1"/>
                <w:sz w:val="21"/>
                <w:szCs w:val="21"/>
                <w:highlight w:val="none"/>
              </w:rPr>
              <w:t>按招标文件要求</w:t>
            </w:r>
          </w:p>
        </w:tc>
        <w:tc>
          <w:tcPr>
            <w:tcW w:w="1057" w:type="pct"/>
            <w:tcBorders>
              <w:top w:val="single" w:color="000000" w:sz="4" w:space="0"/>
              <w:left w:val="nil"/>
              <w:bottom w:val="single" w:color="000000" w:sz="4" w:space="0"/>
              <w:right w:val="single" w:color="000000" w:sz="4" w:space="0"/>
            </w:tcBorders>
            <w:noWrap/>
            <w:vAlign w:val="center"/>
          </w:tcPr>
          <w:p>
            <w:pPr>
              <w:jc w:val="both"/>
              <w:rPr>
                <w:rFonts w:ascii="宋体" w:hAnsi="宋体" w:eastAsia="宋体"/>
                <w:color w:val="auto"/>
                <w:sz w:val="21"/>
                <w:szCs w:val="21"/>
                <w:highlight w:val="none"/>
              </w:rPr>
            </w:pPr>
          </w:p>
        </w:tc>
      </w:tr>
      <w:tr>
        <w:tblPrEx>
          <w:tblCellMar>
            <w:top w:w="0" w:type="dxa"/>
            <w:left w:w="0" w:type="dxa"/>
            <w:bottom w:w="0" w:type="dxa"/>
            <w:right w:w="0" w:type="dxa"/>
          </w:tblCellMar>
        </w:tblPrEx>
        <w:trPr>
          <w:trHeight w:val="449" w:hRule="atLeast"/>
        </w:trPr>
        <w:tc>
          <w:tcPr>
            <w:tcW w:w="722" w:type="pct"/>
            <w:tcBorders>
              <w:top w:val="single" w:color="000000" w:sz="4" w:space="0"/>
              <w:left w:val="single" w:color="000000" w:sz="4" w:space="0"/>
              <w:bottom w:val="single" w:color="000000" w:sz="4" w:space="0"/>
              <w:right w:val="single" w:color="000000" w:sz="4" w:space="0"/>
            </w:tcBorders>
            <w:noWrap/>
            <w:vAlign w:val="center"/>
          </w:tcPr>
          <w:p>
            <w:pPr>
              <w:pStyle w:val="63"/>
              <w:kinsoku w:val="0"/>
              <w:overflowPunct w:val="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4</w:t>
            </w:r>
          </w:p>
        </w:tc>
        <w:tc>
          <w:tcPr>
            <w:tcW w:w="1636" w:type="pct"/>
            <w:tcBorders>
              <w:top w:val="single" w:color="000000" w:sz="4" w:space="0"/>
              <w:left w:val="nil"/>
              <w:bottom w:val="single" w:color="000000" w:sz="4" w:space="0"/>
              <w:right w:val="single" w:color="000000" w:sz="4" w:space="0"/>
            </w:tcBorders>
            <w:noWrap/>
            <w:vAlign w:val="center"/>
          </w:tcPr>
          <w:p>
            <w:pPr>
              <w:pStyle w:val="63"/>
              <w:kinsoku w:val="0"/>
              <w:overflowPunct w:val="0"/>
              <w:ind w:left="110" w:leftChars="50"/>
              <w:jc w:val="both"/>
              <w:rPr>
                <w:rFonts w:ascii="宋体" w:hAnsi="宋体" w:eastAsia="宋体"/>
                <w:color w:val="auto"/>
                <w:spacing w:val="-1"/>
                <w:sz w:val="21"/>
                <w:szCs w:val="21"/>
                <w:highlight w:val="none"/>
              </w:rPr>
            </w:pPr>
            <w:r>
              <w:rPr>
                <w:rFonts w:hint="eastAsia" w:ascii="宋体" w:hAnsi="宋体" w:eastAsia="宋体"/>
                <w:color w:val="auto"/>
                <w:spacing w:val="-1"/>
                <w:sz w:val="21"/>
                <w:szCs w:val="21"/>
                <w:highlight w:val="none"/>
              </w:rPr>
              <w:t>质量标准</w:t>
            </w:r>
          </w:p>
        </w:tc>
        <w:tc>
          <w:tcPr>
            <w:tcW w:w="1585" w:type="pct"/>
            <w:tcBorders>
              <w:top w:val="single" w:color="000000" w:sz="4" w:space="0"/>
              <w:left w:val="nil"/>
              <w:bottom w:val="single" w:color="000000" w:sz="4" w:space="0"/>
              <w:right w:val="single" w:color="000000" w:sz="4" w:space="0"/>
            </w:tcBorders>
            <w:noWrap/>
            <w:vAlign w:val="center"/>
          </w:tcPr>
          <w:p>
            <w:pPr>
              <w:ind w:left="110" w:leftChars="50"/>
              <w:jc w:val="both"/>
              <w:rPr>
                <w:rFonts w:ascii="宋体" w:hAnsi="宋体" w:eastAsia="宋体"/>
                <w:color w:val="auto"/>
                <w:spacing w:val="-1"/>
                <w:sz w:val="21"/>
                <w:szCs w:val="21"/>
                <w:highlight w:val="none"/>
              </w:rPr>
            </w:pPr>
            <w:r>
              <w:rPr>
                <w:rFonts w:hint="eastAsia" w:ascii="宋体" w:hAnsi="宋体" w:eastAsia="宋体"/>
                <w:color w:val="auto"/>
                <w:spacing w:val="-1"/>
                <w:sz w:val="21"/>
                <w:szCs w:val="21"/>
                <w:highlight w:val="none"/>
              </w:rPr>
              <w:t>按招标文件要求</w:t>
            </w:r>
          </w:p>
        </w:tc>
        <w:tc>
          <w:tcPr>
            <w:tcW w:w="1057" w:type="pct"/>
            <w:tcBorders>
              <w:top w:val="single" w:color="000000" w:sz="4" w:space="0"/>
              <w:left w:val="nil"/>
              <w:bottom w:val="single" w:color="000000" w:sz="4" w:space="0"/>
              <w:right w:val="single" w:color="000000" w:sz="4" w:space="0"/>
            </w:tcBorders>
            <w:noWrap/>
            <w:vAlign w:val="center"/>
          </w:tcPr>
          <w:p>
            <w:pPr>
              <w:jc w:val="both"/>
              <w:rPr>
                <w:rFonts w:ascii="宋体" w:hAnsi="宋体" w:eastAsia="宋体"/>
                <w:color w:val="auto"/>
                <w:sz w:val="21"/>
                <w:szCs w:val="21"/>
                <w:highlight w:val="none"/>
              </w:rPr>
            </w:pPr>
          </w:p>
        </w:tc>
      </w:tr>
      <w:tr>
        <w:tblPrEx>
          <w:tblCellMar>
            <w:top w:w="0" w:type="dxa"/>
            <w:left w:w="0" w:type="dxa"/>
            <w:bottom w:w="0" w:type="dxa"/>
            <w:right w:w="0" w:type="dxa"/>
          </w:tblCellMar>
        </w:tblPrEx>
        <w:trPr>
          <w:trHeight w:val="451" w:hRule="atLeast"/>
        </w:trPr>
        <w:tc>
          <w:tcPr>
            <w:tcW w:w="722" w:type="pct"/>
            <w:tcBorders>
              <w:top w:val="single" w:color="000000" w:sz="4" w:space="0"/>
              <w:left w:val="single" w:color="000000" w:sz="4" w:space="0"/>
              <w:bottom w:val="single" w:color="000000" w:sz="4" w:space="0"/>
              <w:right w:val="single" w:color="000000" w:sz="4" w:space="0"/>
            </w:tcBorders>
            <w:noWrap/>
            <w:vAlign w:val="center"/>
          </w:tcPr>
          <w:p>
            <w:pPr>
              <w:pStyle w:val="63"/>
              <w:kinsoku w:val="0"/>
              <w:overflowPunct w:val="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5</w:t>
            </w:r>
          </w:p>
        </w:tc>
        <w:tc>
          <w:tcPr>
            <w:tcW w:w="1636" w:type="pct"/>
            <w:tcBorders>
              <w:top w:val="single" w:color="000000" w:sz="4" w:space="0"/>
              <w:left w:val="nil"/>
              <w:bottom w:val="single" w:color="000000" w:sz="4" w:space="0"/>
              <w:right w:val="single" w:color="000000" w:sz="4" w:space="0"/>
            </w:tcBorders>
            <w:noWrap/>
            <w:vAlign w:val="center"/>
          </w:tcPr>
          <w:p>
            <w:pPr>
              <w:pStyle w:val="63"/>
              <w:kinsoku w:val="0"/>
              <w:overflowPunct w:val="0"/>
              <w:ind w:left="110" w:leftChars="50"/>
              <w:jc w:val="both"/>
              <w:rPr>
                <w:rFonts w:ascii="宋体" w:hAnsi="宋体" w:eastAsia="宋体"/>
                <w:color w:val="auto"/>
                <w:spacing w:val="-1"/>
                <w:sz w:val="21"/>
                <w:szCs w:val="21"/>
                <w:highlight w:val="none"/>
              </w:rPr>
            </w:pPr>
            <w:r>
              <w:rPr>
                <w:rFonts w:hint="eastAsia" w:ascii="宋体" w:hAnsi="宋体" w:eastAsia="宋体"/>
                <w:color w:val="auto"/>
                <w:spacing w:val="-1"/>
                <w:sz w:val="21"/>
                <w:szCs w:val="21"/>
                <w:highlight w:val="none"/>
              </w:rPr>
              <w:t>投标有效期</w:t>
            </w:r>
          </w:p>
        </w:tc>
        <w:tc>
          <w:tcPr>
            <w:tcW w:w="1585" w:type="pct"/>
            <w:tcBorders>
              <w:top w:val="single" w:color="000000" w:sz="4" w:space="0"/>
              <w:left w:val="nil"/>
              <w:bottom w:val="single" w:color="000000" w:sz="4" w:space="0"/>
              <w:right w:val="single" w:color="000000" w:sz="4" w:space="0"/>
            </w:tcBorders>
            <w:noWrap/>
            <w:vAlign w:val="center"/>
          </w:tcPr>
          <w:p>
            <w:pPr>
              <w:ind w:left="110" w:leftChars="50"/>
              <w:jc w:val="both"/>
              <w:rPr>
                <w:rFonts w:ascii="宋体" w:hAnsi="宋体" w:eastAsia="宋体"/>
                <w:color w:val="auto"/>
                <w:spacing w:val="-1"/>
                <w:sz w:val="21"/>
                <w:szCs w:val="21"/>
                <w:highlight w:val="none"/>
              </w:rPr>
            </w:pPr>
            <w:r>
              <w:rPr>
                <w:rFonts w:hint="eastAsia" w:ascii="宋体" w:hAnsi="宋体" w:eastAsia="宋体"/>
                <w:color w:val="auto"/>
                <w:spacing w:val="-1"/>
                <w:sz w:val="21"/>
                <w:szCs w:val="21"/>
                <w:highlight w:val="none"/>
              </w:rPr>
              <w:t>按招标文件要求</w:t>
            </w:r>
          </w:p>
        </w:tc>
        <w:tc>
          <w:tcPr>
            <w:tcW w:w="1057" w:type="pct"/>
            <w:tcBorders>
              <w:top w:val="single" w:color="000000" w:sz="4" w:space="0"/>
              <w:left w:val="nil"/>
              <w:bottom w:val="single" w:color="000000" w:sz="4" w:space="0"/>
              <w:right w:val="single" w:color="000000" w:sz="4" w:space="0"/>
            </w:tcBorders>
            <w:noWrap/>
            <w:vAlign w:val="center"/>
          </w:tcPr>
          <w:p>
            <w:pPr>
              <w:jc w:val="both"/>
              <w:rPr>
                <w:rFonts w:ascii="宋体" w:hAnsi="宋体" w:eastAsia="宋体"/>
                <w:color w:val="auto"/>
                <w:sz w:val="21"/>
                <w:szCs w:val="21"/>
                <w:highlight w:val="none"/>
              </w:rPr>
            </w:pPr>
          </w:p>
        </w:tc>
      </w:tr>
    </w:tbl>
    <w:p>
      <w:pPr>
        <w:pStyle w:val="12"/>
        <w:kinsoku w:val="0"/>
        <w:overflowPunct w:val="0"/>
        <w:rPr>
          <w:color w:val="auto"/>
          <w:sz w:val="20"/>
          <w:szCs w:val="20"/>
          <w:highlight w:val="none"/>
        </w:rPr>
      </w:pPr>
    </w:p>
    <w:p>
      <w:pPr>
        <w:pStyle w:val="12"/>
        <w:kinsoku w:val="0"/>
        <w:overflowPunct w:val="0"/>
        <w:spacing w:line="360" w:lineRule="auto"/>
        <w:ind w:left="0" w:firstLine="2100" w:firstLineChars="1000"/>
        <w:rPr>
          <w:color w:val="auto"/>
          <w:highlight w:val="none"/>
          <w:lang w:eastAsia="zh-CN"/>
        </w:rPr>
      </w:pPr>
      <w:r>
        <w:rPr>
          <w:rFonts w:hint="eastAsia"/>
          <w:color w:val="auto"/>
          <w:highlight w:val="none"/>
          <w:lang w:eastAsia="zh-CN"/>
        </w:rPr>
        <w:t>投标</w:t>
      </w:r>
      <w:r>
        <w:rPr>
          <w:rFonts w:hint="eastAsia"/>
          <w:color w:val="auto"/>
          <w:spacing w:val="-2"/>
          <w:highlight w:val="none"/>
          <w:lang w:eastAsia="zh-CN"/>
        </w:rPr>
        <w:t>人：</w:t>
      </w:r>
      <w:r>
        <w:rPr>
          <w:rFonts w:hint="eastAsia"/>
          <w:color w:val="auto"/>
          <w:spacing w:val="-2"/>
          <w:highlight w:val="none"/>
          <w:u w:val="single"/>
          <w:lang w:eastAsia="zh-CN"/>
        </w:rPr>
        <w:t xml:space="preserve">      </w:t>
      </w:r>
      <w:r>
        <w:rPr>
          <w:rFonts w:hint="eastAsia"/>
          <w:color w:val="auto"/>
          <w:spacing w:val="-1"/>
          <w:highlight w:val="none"/>
          <w:lang w:eastAsia="zh-CN"/>
        </w:rPr>
        <w:t>（盖单位章）</w:t>
      </w:r>
    </w:p>
    <w:p>
      <w:pPr>
        <w:spacing w:line="360" w:lineRule="auto"/>
        <w:ind w:firstLine="2100" w:firstLineChars="1000"/>
        <w:rPr>
          <w:rFonts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法定代表人或其委托代理人：</w:t>
      </w:r>
      <w:r>
        <w:rPr>
          <w:rFonts w:hint="eastAsia" w:ascii="宋体" w:hAnsi="宋体" w:eastAsia="宋体"/>
          <w:bCs/>
          <w:color w:val="auto"/>
          <w:sz w:val="21"/>
          <w:szCs w:val="21"/>
          <w:highlight w:val="none"/>
          <w:u w:val="single"/>
          <w:lang w:eastAsia="zh-CN"/>
        </w:rPr>
        <w:t xml:space="preserve">     </w:t>
      </w:r>
      <w:r>
        <w:rPr>
          <w:rFonts w:hint="eastAsia" w:ascii="宋体" w:hAnsi="宋体" w:eastAsia="宋体"/>
          <w:bCs/>
          <w:color w:val="auto"/>
          <w:sz w:val="21"/>
          <w:szCs w:val="21"/>
          <w:highlight w:val="none"/>
          <w:lang w:eastAsia="zh-CN"/>
        </w:rPr>
        <w:t>（签字或盖章）</w:t>
      </w:r>
    </w:p>
    <w:p>
      <w:pPr>
        <w:spacing w:line="360" w:lineRule="auto"/>
        <w:ind w:firstLine="2100" w:firstLineChars="1000"/>
        <w:jc w:val="righ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u w:val="single"/>
          <w:lang w:eastAsia="zh-CN"/>
        </w:rPr>
        <w:t xml:space="preserve"> </w:t>
      </w:r>
      <w:r>
        <w:rPr>
          <w:rFonts w:ascii="宋体" w:hAnsi="宋体" w:eastAsia="宋体"/>
          <w:color w:val="auto"/>
          <w:sz w:val="21"/>
          <w:szCs w:val="21"/>
          <w:highlight w:val="none"/>
          <w:u w:val="single"/>
          <w:lang w:eastAsia="zh-CN"/>
        </w:rPr>
        <w:t xml:space="preserve">  </w:t>
      </w:r>
      <w:r>
        <w:rPr>
          <w:rFonts w:hint="eastAsia" w:ascii="宋体" w:hAnsi="宋体" w:eastAsia="宋体"/>
          <w:color w:val="auto"/>
          <w:sz w:val="21"/>
          <w:szCs w:val="21"/>
          <w:highlight w:val="none"/>
          <w:lang w:eastAsia="zh-CN"/>
        </w:rPr>
        <w:t>年</w:t>
      </w:r>
      <w:r>
        <w:rPr>
          <w:rFonts w:ascii="宋体" w:hAnsi="宋体" w:eastAsia="宋体"/>
          <w:color w:val="auto"/>
          <w:sz w:val="21"/>
          <w:szCs w:val="21"/>
          <w:highlight w:val="none"/>
          <w:u w:val="single"/>
          <w:lang w:eastAsia="zh-CN"/>
        </w:rPr>
        <w:tab/>
      </w:r>
      <w:r>
        <w:rPr>
          <w:rFonts w:hint="eastAsia" w:ascii="宋体" w:hAnsi="宋体" w:eastAsia="宋体"/>
          <w:color w:val="auto"/>
          <w:sz w:val="21"/>
          <w:szCs w:val="21"/>
          <w:highlight w:val="none"/>
          <w:lang w:eastAsia="zh-CN"/>
        </w:rPr>
        <w:t>月</w:t>
      </w:r>
      <w:r>
        <w:rPr>
          <w:rFonts w:hint="eastAsia" w:ascii="宋体" w:hAnsi="宋体" w:eastAsia="宋体"/>
          <w:color w:val="auto"/>
          <w:sz w:val="21"/>
          <w:szCs w:val="21"/>
          <w:highlight w:val="none"/>
          <w:u w:val="single"/>
          <w:lang w:eastAsia="zh-CN"/>
        </w:rPr>
        <w:t xml:space="preserve"> </w:t>
      </w:r>
      <w:r>
        <w:rPr>
          <w:rFonts w:ascii="宋体" w:hAnsi="宋体" w:eastAsia="宋体"/>
          <w:color w:val="auto"/>
          <w:sz w:val="21"/>
          <w:szCs w:val="21"/>
          <w:highlight w:val="none"/>
          <w:u w:val="single"/>
          <w:lang w:eastAsia="zh-CN"/>
        </w:rPr>
        <w:t xml:space="preserve"> </w:t>
      </w:r>
      <w:r>
        <w:rPr>
          <w:rFonts w:hint="eastAsia" w:ascii="宋体" w:hAnsi="宋体" w:eastAsia="宋体"/>
          <w:color w:val="auto"/>
          <w:sz w:val="21"/>
          <w:szCs w:val="21"/>
          <w:highlight w:val="none"/>
          <w:lang w:eastAsia="zh-CN"/>
        </w:rPr>
        <w:t>日</w:t>
      </w:r>
    </w:p>
    <w:p>
      <w:pPr>
        <w:spacing w:line="360" w:lineRule="auto"/>
        <w:rPr>
          <w:rFonts w:ascii="宋体" w:hAnsi="宋体" w:eastAsia="宋体"/>
          <w:color w:val="auto"/>
          <w:highlight w:val="none"/>
          <w:lang w:eastAsia="zh-CN"/>
        </w:rPr>
      </w:pPr>
    </w:p>
    <w:p>
      <w:pPr>
        <w:pStyle w:val="6"/>
        <w:rPr>
          <w:rFonts w:ascii="宋体" w:hAnsi="宋体" w:eastAsia="宋体"/>
          <w:color w:val="auto"/>
          <w:sz w:val="21"/>
          <w:szCs w:val="21"/>
          <w:highlight w:val="none"/>
          <w:lang w:eastAsia="zh-CN"/>
        </w:rPr>
      </w:pPr>
      <w:r>
        <w:rPr>
          <w:rFonts w:hint="eastAsia" w:ascii="宋体" w:hAnsi="宋体" w:eastAsia="宋体"/>
          <w:b w:val="0"/>
          <w:color w:val="auto"/>
          <w:sz w:val="21"/>
          <w:szCs w:val="21"/>
          <w:highlight w:val="none"/>
          <w:lang w:eastAsia="zh-CN"/>
        </w:rPr>
        <w:t>（注：如联合体投标的，由联合体主办方出具即可。）</w:t>
      </w:r>
      <w:r>
        <w:rPr>
          <w:rFonts w:hint="eastAsia" w:ascii="宋体" w:hAnsi="宋体" w:eastAsia="宋体"/>
          <w:b w:val="0"/>
          <w:color w:val="auto"/>
          <w:sz w:val="21"/>
          <w:szCs w:val="21"/>
          <w:highlight w:val="none"/>
          <w:lang w:eastAsia="zh-CN"/>
        </w:rPr>
        <w:br w:type="page"/>
      </w:r>
      <w:bookmarkStart w:id="78" w:name="_Toc109809444"/>
      <w:bookmarkStart w:id="79" w:name="_Toc25072140"/>
      <w:bookmarkStart w:id="80" w:name="_Toc109809405"/>
      <w:r>
        <w:rPr>
          <w:rFonts w:hint="eastAsia" w:ascii="宋体" w:hAnsi="宋体" w:eastAsia="宋体"/>
          <w:color w:val="auto"/>
          <w:sz w:val="21"/>
          <w:szCs w:val="21"/>
          <w:highlight w:val="none"/>
          <w:lang w:eastAsia="zh-CN"/>
        </w:rPr>
        <w:t>格式二  法定代表人身份证明、授权委托书</w:t>
      </w:r>
      <w:bookmarkEnd w:id="78"/>
      <w:bookmarkEnd w:id="79"/>
      <w:bookmarkEnd w:id="80"/>
    </w:p>
    <w:p>
      <w:pPr>
        <w:spacing w:line="360" w:lineRule="auto"/>
        <w:rPr>
          <w:rFonts w:ascii="宋体" w:hAnsi="宋体" w:eastAsia="宋体"/>
          <w:color w:val="auto"/>
          <w:position w:val="-1"/>
          <w:sz w:val="32"/>
          <w:szCs w:val="32"/>
          <w:highlight w:val="none"/>
          <w:lang w:eastAsia="zh-CN"/>
        </w:rPr>
      </w:pPr>
    </w:p>
    <w:p>
      <w:pPr>
        <w:jc w:val="center"/>
        <w:rPr>
          <w:rFonts w:ascii="宋体" w:hAnsi="宋体" w:eastAsia="宋体"/>
          <w:b/>
          <w:color w:val="auto"/>
          <w:sz w:val="32"/>
          <w:szCs w:val="36"/>
          <w:highlight w:val="none"/>
          <w:lang w:eastAsia="zh-CN"/>
        </w:rPr>
      </w:pPr>
      <w:r>
        <w:rPr>
          <w:rFonts w:hint="eastAsia" w:ascii="宋体" w:hAnsi="宋体" w:eastAsia="宋体"/>
          <w:b/>
          <w:color w:val="auto"/>
          <w:sz w:val="32"/>
          <w:szCs w:val="36"/>
          <w:highlight w:val="none"/>
          <w:lang w:eastAsia="zh-CN"/>
        </w:rPr>
        <w:t>法定代表人身份证明</w:t>
      </w:r>
    </w:p>
    <w:p>
      <w:pPr>
        <w:spacing w:line="360" w:lineRule="auto"/>
        <w:rPr>
          <w:rFonts w:ascii="宋体" w:hAnsi="宋体" w:eastAsia="宋体"/>
          <w:color w:val="auto"/>
          <w:sz w:val="21"/>
          <w:szCs w:val="21"/>
          <w:highlight w:val="none"/>
          <w:lang w:eastAsia="zh-CN"/>
        </w:rPr>
      </w:pPr>
    </w:p>
    <w:p>
      <w:pPr>
        <w:spacing w:line="360" w:lineRule="auto"/>
        <w:rPr>
          <w:rFonts w:ascii="宋体" w:hAnsi="宋体" w:eastAsia="宋体"/>
          <w:color w:val="auto"/>
          <w:sz w:val="21"/>
          <w:szCs w:val="21"/>
          <w:highlight w:val="none"/>
          <w:u w:val="single"/>
          <w:lang w:eastAsia="zh-CN"/>
        </w:rPr>
      </w:pPr>
      <w:r>
        <w:rPr>
          <w:rFonts w:ascii="宋体" w:hAnsi="宋体" w:eastAsia="宋体"/>
          <w:color w:val="auto"/>
          <w:sz w:val="21"/>
          <w:szCs w:val="21"/>
          <w:highlight w:val="none"/>
          <w:lang w:eastAsia="zh-CN"/>
        </w:rPr>
        <w:t>投标人名称：</w:t>
      </w:r>
      <w:r>
        <w:rPr>
          <w:rFonts w:hint="eastAsia" w:ascii="宋体" w:hAnsi="宋体" w:eastAsia="宋体"/>
          <w:color w:val="auto"/>
          <w:sz w:val="21"/>
          <w:szCs w:val="21"/>
          <w:highlight w:val="none"/>
          <w:u w:val="single"/>
          <w:lang w:eastAsia="zh-CN"/>
        </w:rPr>
        <w:t xml:space="preserve">                             </w:t>
      </w:r>
    </w:p>
    <w:p>
      <w:pPr>
        <w:spacing w:line="360" w:lineRule="auto"/>
        <w:rPr>
          <w:rFonts w:ascii="宋体" w:hAnsi="宋体" w:eastAsia="宋体"/>
          <w:color w:val="auto"/>
          <w:sz w:val="21"/>
          <w:szCs w:val="21"/>
          <w:highlight w:val="none"/>
          <w:lang w:eastAsia="zh-CN"/>
        </w:rPr>
      </w:pPr>
      <w:r>
        <w:rPr>
          <w:rFonts w:ascii="宋体" w:hAnsi="宋体" w:eastAsia="宋体"/>
          <w:color w:val="auto"/>
          <w:sz w:val="21"/>
          <w:szCs w:val="21"/>
          <w:highlight w:val="none"/>
          <w:lang w:eastAsia="zh-CN"/>
        </w:rPr>
        <w:t>姓名：</w:t>
      </w:r>
      <w:r>
        <w:rPr>
          <w:rFonts w:hint="eastAsia" w:ascii="宋体" w:hAnsi="宋体" w:eastAsia="宋体"/>
          <w:color w:val="auto"/>
          <w:sz w:val="21"/>
          <w:szCs w:val="21"/>
          <w:highlight w:val="none"/>
          <w:u w:val="single"/>
          <w:lang w:eastAsia="zh-CN"/>
        </w:rPr>
        <w:t xml:space="preserve">               </w:t>
      </w:r>
      <w:r>
        <w:rPr>
          <w:rFonts w:ascii="宋体" w:hAnsi="宋体" w:eastAsia="宋体"/>
          <w:color w:val="auto"/>
          <w:sz w:val="21"/>
          <w:szCs w:val="21"/>
          <w:highlight w:val="none"/>
          <w:lang w:eastAsia="zh-CN"/>
        </w:rPr>
        <w:t>性别：</w:t>
      </w:r>
      <w:r>
        <w:rPr>
          <w:rFonts w:hint="eastAsia" w:ascii="宋体" w:hAnsi="宋体" w:eastAsia="宋体"/>
          <w:color w:val="auto"/>
          <w:sz w:val="21"/>
          <w:szCs w:val="21"/>
          <w:highlight w:val="none"/>
          <w:u w:val="single"/>
          <w:lang w:eastAsia="zh-CN"/>
        </w:rPr>
        <w:t xml:space="preserve">        </w:t>
      </w:r>
      <w:r>
        <w:rPr>
          <w:rFonts w:ascii="宋体" w:hAnsi="宋体" w:eastAsia="宋体"/>
          <w:color w:val="auto"/>
          <w:sz w:val="21"/>
          <w:szCs w:val="21"/>
          <w:highlight w:val="none"/>
          <w:lang w:eastAsia="zh-CN"/>
        </w:rPr>
        <w:t>年龄：</w:t>
      </w:r>
      <w:r>
        <w:rPr>
          <w:rFonts w:hint="eastAsia" w:ascii="宋体" w:hAnsi="宋体" w:eastAsia="宋体"/>
          <w:color w:val="auto"/>
          <w:sz w:val="21"/>
          <w:szCs w:val="21"/>
          <w:highlight w:val="none"/>
          <w:u w:val="single"/>
          <w:lang w:eastAsia="zh-CN"/>
        </w:rPr>
        <w:t xml:space="preserve">       </w:t>
      </w:r>
      <w:r>
        <w:rPr>
          <w:rFonts w:ascii="宋体" w:hAnsi="宋体" w:eastAsia="宋体"/>
          <w:color w:val="auto"/>
          <w:sz w:val="21"/>
          <w:szCs w:val="21"/>
          <w:highlight w:val="none"/>
          <w:lang w:eastAsia="zh-CN"/>
        </w:rPr>
        <w:t>职务：</w:t>
      </w:r>
      <w:r>
        <w:rPr>
          <w:rFonts w:hint="eastAsia" w:ascii="宋体" w:hAnsi="宋体" w:eastAsia="宋体"/>
          <w:color w:val="auto"/>
          <w:sz w:val="21"/>
          <w:szCs w:val="21"/>
          <w:highlight w:val="none"/>
          <w:u w:val="single"/>
          <w:lang w:eastAsia="zh-CN"/>
        </w:rPr>
        <w:t xml:space="preserve">        </w:t>
      </w:r>
    </w:p>
    <w:p>
      <w:pPr>
        <w:spacing w:line="360" w:lineRule="auto"/>
        <w:rPr>
          <w:rFonts w:ascii="宋体" w:hAnsi="宋体" w:eastAsia="宋体"/>
          <w:color w:val="auto"/>
          <w:sz w:val="21"/>
          <w:szCs w:val="21"/>
          <w:highlight w:val="none"/>
          <w:lang w:eastAsia="zh-CN"/>
        </w:rPr>
      </w:pPr>
    </w:p>
    <w:p>
      <w:pPr>
        <w:tabs>
          <w:tab w:val="left" w:pos="3080"/>
        </w:tabs>
        <w:spacing w:line="360" w:lineRule="auto"/>
        <w:rPr>
          <w:rFonts w:ascii="宋体" w:hAnsi="宋体" w:eastAsia="宋体"/>
          <w:color w:val="auto"/>
          <w:sz w:val="21"/>
          <w:szCs w:val="21"/>
          <w:highlight w:val="none"/>
          <w:lang w:eastAsia="zh-CN"/>
        </w:rPr>
      </w:pPr>
      <w:r>
        <w:rPr>
          <w:rFonts w:ascii="宋体" w:hAnsi="宋体" w:eastAsia="宋体"/>
          <w:color w:val="auto"/>
          <w:sz w:val="21"/>
          <w:szCs w:val="21"/>
          <w:highlight w:val="none"/>
          <w:lang w:eastAsia="zh-CN"/>
        </w:rPr>
        <w:t>系</w:t>
      </w:r>
      <w:r>
        <w:rPr>
          <w:rFonts w:hint="eastAsia" w:ascii="宋体" w:hAnsi="宋体" w:eastAsia="宋体"/>
          <w:color w:val="auto"/>
          <w:sz w:val="21"/>
          <w:szCs w:val="21"/>
          <w:highlight w:val="none"/>
          <w:u w:val="single"/>
          <w:lang w:eastAsia="zh-CN"/>
        </w:rPr>
        <w:t xml:space="preserve">     </w:t>
      </w:r>
      <w:r>
        <w:rPr>
          <w:rFonts w:ascii="宋体" w:hAnsi="宋体" w:eastAsia="宋体"/>
          <w:color w:val="auto"/>
          <w:sz w:val="21"/>
          <w:szCs w:val="21"/>
          <w:highlight w:val="none"/>
          <w:u w:val="single"/>
          <w:lang w:eastAsia="zh-CN"/>
        </w:rPr>
        <w:t>（投标人名称）</w:t>
      </w:r>
      <w:r>
        <w:rPr>
          <w:rFonts w:hint="eastAsia" w:ascii="宋体" w:hAnsi="宋体" w:eastAsia="宋体"/>
          <w:color w:val="auto"/>
          <w:sz w:val="21"/>
          <w:szCs w:val="21"/>
          <w:highlight w:val="none"/>
          <w:u w:val="single"/>
          <w:lang w:eastAsia="zh-CN"/>
        </w:rPr>
        <w:t xml:space="preserve">       </w:t>
      </w:r>
      <w:r>
        <w:rPr>
          <w:rFonts w:ascii="宋体" w:hAnsi="宋体" w:eastAsia="宋体"/>
          <w:color w:val="auto"/>
          <w:sz w:val="21"/>
          <w:szCs w:val="21"/>
          <w:highlight w:val="none"/>
          <w:lang w:eastAsia="zh-CN"/>
        </w:rPr>
        <w:t>的法定代表人。</w:t>
      </w:r>
    </w:p>
    <w:p>
      <w:pPr>
        <w:spacing w:line="360" w:lineRule="auto"/>
        <w:rPr>
          <w:rFonts w:ascii="宋体" w:hAnsi="宋体" w:eastAsia="宋体"/>
          <w:color w:val="auto"/>
          <w:sz w:val="21"/>
          <w:szCs w:val="21"/>
          <w:highlight w:val="none"/>
          <w:lang w:eastAsia="zh-CN"/>
        </w:rPr>
      </w:pPr>
    </w:p>
    <w:p>
      <w:pPr>
        <w:spacing w:line="360" w:lineRule="auto"/>
        <w:rPr>
          <w:rFonts w:ascii="宋体" w:hAnsi="宋体" w:eastAsia="宋体"/>
          <w:color w:val="auto"/>
          <w:sz w:val="21"/>
          <w:szCs w:val="21"/>
          <w:highlight w:val="none"/>
          <w:lang w:eastAsia="zh-CN"/>
        </w:rPr>
      </w:pPr>
      <w:r>
        <w:rPr>
          <w:rFonts w:ascii="宋体" w:hAnsi="宋体" w:eastAsia="宋体"/>
          <w:color w:val="auto"/>
          <w:sz w:val="21"/>
          <w:szCs w:val="21"/>
          <w:highlight w:val="none"/>
          <w:lang w:eastAsia="zh-CN"/>
        </w:rPr>
        <w:t>特此证明。</w:t>
      </w:r>
    </w:p>
    <w:p>
      <w:pPr>
        <w:spacing w:line="360" w:lineRule="auto"/>
        <w:rPr>
          <w:rFonts w:ascii="宋体" w:hAnsi="宋体" w:eastAsia="宋体"/>
          <w:color w:val="auto"/>
          <w:sz w:val="21"/>
          <w:szCs w:val="21"/>
          <w:highlight w:val="none"/>
          <w:lang w:eastAsia="zh-CN"/>
        </w:rPr>
      </w:pPr>
    </w:p>
    <w:p>
      <w:pPr>
        <w:spacing w:line="360" w:lineRule="auto"/>
        <w:rPr>
          <w:rFonts w:ascii="宋体" w:hAnsi="宋体" w:eastAsia="宋体"/>
          <w:color w:val="auto"/>
          <w:sz w:val="21"/>
          <w:szCs w:val="21"/>
          <w:highlight w:val="none"/>
          <w:lang w:eastAsia="zh-CN"/>
        </w:rPr>
      </w:pPr>
      <w:r>
        <w:rPr>
          <w:rFonts w:ascii="宋体" w:hAnsi="宋体" w:eastAsia="宋体"/>
          <w:color w:val="auto"/>
          <w:sz w:val="21"/>
          <w:szCs w:val="21"/>
          <w:highlight w:val="none"/>
          <w:lang w:eastAsia="zh-CN"/>
        </w:rPr>
        <w:t>附：法定代表人身份证</w:t>
      </w:r>
      <w:r>
        <w:rPr>
          <w:rFonts w:hint="eastAsia" w:ascii="宋体" w:hAnsi="宋体" w:eastAsia="宋体" w:cs="宋体"/>
          <w:bCs/>
          <w:color w:val="auto"/>
          <w:sz w:val="21"/>
          <w:szCs w:val="21"/>
          <w:highlight w:val="none"/>
          <w:lang w:eastAsia="zh-CN"/>
        </w:rPr>
        <w:t>扫描</w:t>
      </w:r>
      <w:r>
        <w:rPr>
          <w:rFonts w:ascii="宋体" w:hAnsi="宋体" w:eastAsia="宋体"/>
          <w:color w:val="auto"/>
          <w:sz w:val="21"/>
          <w:szCs w:val="21"/>
          <w:highlight w:val="none"/>
          <w:lang w:eastAsia="zh-CN"/>
        </w:rPr>
        <w:t>件。</w:t>
      </w:r>
    </w:p>
    <w:p>
      <w:pPr>
        <w:spacing w:line="360" w:lineRule="auto"/>
        <w:rPr>
          <w:rFonts w:ascii="宋体" w:hAnsi="宋体" w:eastAsia="宋体"/>
          <w:color w:val="auto"/>
          <w:sz w:val="21"/>
          <w:szCs w:val="21"/>
          <w:highlight w:val="none"/>
          <w:lang w:eastAsia="zh-CN"/>
        </w:rPr>
      </w:pPr>
      <w:r>
        <w:rPr>
          <w:rFonts w:ascii="宋体" w:hAnsi="宋体" w:eastAsia="宋体"/>
          <w:color w:val="auto"/>
          <w:sz w:val="21"/>
          <w:szCs w:val="21"/>
          <w:highlight w:val="none"/>
          <w:lang w:eastAsia="zh-CN"/>
        </w:rPr>
        <w:t>注：本身份证明需由投标人加盖单位公章。</w:t>
      </w:r>
    </w:p>
    <w:p>
      <w:pPr>
        <w:spacing w:line="360" w:lineRule="auto"/>
        <w:rPr>
          <w:rFonts w:ascii="宋体" w:hAnsi="宋体" w:eastAsia="宋体"/>
          <w:color w:val="auto"/>
          <w:sz w:val="21"/>
          <w:szCs w:val="21"/>
          <w:highlight w:val="none"/>
          <w:lang w:eastAsia="zh-CN"/>
        </w:rPr>
      </w:pPr>
    </w:p>
    <w:p>
      <w:pPr>
        <w:tabs>
          <w:tab w:val="left" w:pos="6760"/>
        </w:tabs>
        <w:spacing w:line="360" w:lineRule="auto"/>
        <w:jc w:val="right"/>
        <w:rPr>
          <w:rFonts w:ascii="宋体" w:hAnsi="宋体" w:eastAsia="宋体"/>
          <w:color w:val="auto"/>
          <w:sz w:val="21"/>
          <w:szCs w:val="21"/>
          <w:highlight w:val="none"/>
          <w:lang w:eastAsia="zh-CN"/>
        </w:rPr>
      </w:pPr>
      <w:r>
        <w:rPr>
          <w:rFonts w:ascii="宋体" w:hAnsi="宋体" w:eastAsia="宋体"/>
          <w:color w:val="auto"/>
          <w:sz w:val="21"/>
          <w:szCs w:val="21"/>
          <w:highlight w:val="none"/>
          <w:lang w:eastAsia="zh-CN"/>
        </w:rPr>
        <w:t>投标人：</w:t>
      </w:r>
      <w:r>
        <w:rPr>
          <w:rFonts w:hint="eastAsia" w:ascii="宋体" w:hAnsi="宋体" w:eastAsia="宋体"/>
          <w:color w:val="auto"/>
          <w:sz w:val="21"/>
          <w:szCs w:val="21"/>
          <w:highlight w:val="none"/>
          <w:u w:val="single"/>
          <w:lang w:eastAsia="zh-CN"/>
        </w:rPr>
        <w:t xml:space="preserve">           </w:t>
      </w:r>
      <w:r>
        <w:rPr>
          <w:rFonts w:ascii="宋体" w:hAnsi="宋体" w:eastAsia="宋体"/>
          <w:color w:val="auto"/>
          <w:sz w:val="21"/>
          <w:szCs w:val="21"/>
          <w:highlight w:val="none"/>
          <w:lang w:eastAsia="zh-CN"/>
        </w:rPr>
        <w:t>（盖单位章）</w:t>
      </w:r>
    </w:p>
    <w:p>
      <w:pPr>
        <w:tabs>
          <w:tab w:val="left" w:pos="6440"/>
          <w:tab w:val="left" w:pos="7280"/>
        </w:tabs>
        <w:spacing w:line="360" w:lineRule="auto"/>
        <w:ind w:firstLine="420" w:firstLineChars="200"/>
        <w:jc w:val="righ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u w:val="single"/>
          <w:lang w:eastAsia="zh-CN"/>
        </w:rPr>
        <w:t xml:space="preserve"> </w:t>
      </w:r>
      <w:r>
        <w:rPr>
          <w:rFonts w:ascii="宋体" w:hAnsi="宋体" w:eastAsia="宋体"/>
          <w:color w:val="auto"/>
          <w:sz w:val="21"/>
          <w:szCs w:val="21"/>
          <w:highlight w:val="none"/>
          <w:u w:val="single"/>
          <w:lang w:eastAsia="zh-CN"/>
        </w:rPr>
        <w:t xml:space="preserve">  </w:t>
      </w:r>
      <w:r>
        <w:rPr>
          <w:rFonts w:ascii="宋体" w:hAnsi="宋体" w:eastAsia="宋体"/>
          <w:color w:val="auto"/>
          <w:sz w:val="21"/>
          <w:szCs w:val="21"/>
          <w:highlight w:val="none"/>
          <w:lang w:eastAsia="zh-CN"/>
        </w:rPr>
        <w:t>年</w:t>
      </w:r>
      <w:r>
        <w:rPr>
          <w:rFonts w:ascii="宋体" w:hAnsi="宋体" w:eastAsia="宋体"/>
          <w:color w:val="auto"/>
          <w:sz w:val="21"/>
          <w:szCs w:val="21"/>
          <w:highlight w:val="none"/>
          <w:u w:val="single"/>
          <w:lang w:eastAsia="zh-CN"/>
        </w:rPr>
        <w:t xml:space="preserve">   </w:t>
      </w:r>
      <w:r>
        <w:rPr>
          <w:rFonts w:ascii="宋体" w:hAnsi="宋体" w:eastAsia="宋体"/>
          <w:color w:val="auto"/>
          <w:sz w:val="21"/>
          <w:szCs w:val="21"/>
          <w:highlight w:val="none"/>
          <w:lang w:eastAsia="zh-CN"/>
        </w:rPr>
        <w:t>月</w:t>
      </w:r>
      <w:r>
        <w:rPr>
          <w:rFonts w:hint="eastAsia" w:ascii="宋体" w:hAnsi="宋体" w:eastAsia="宋体"/>
          <w:color w:val="auto"/>
          <w:sz w:val="21"/>
          <w:szCs w:val="21"/>
          <w:highlight w:val="none"/>
          <w:u w:val="single"/>
          <w:lang w:eastAsia="zh-CN"/>
        </w:rPr>
        <w:t xml:space="preserve"> </w:t>
      </w:r>
      <w:r>
        <w:rPr>
          <w:rFonts w:ascii="宋体" w:hAnsi="宋体" w:eastAsia="宋体"/>
          <w:color w:val="auto"/>
          <w:sz w:val="21"/>
          <w:szCs w:val="21"/>
          <w:highlight w:val="none"/>
          <w:u w:val="single"/>
          <w:lang w:eastAsia="zh-CN"/>
        </w:rPr>
        <w:t xml:space="preserve">  </w:t>
      </w:r>
      <w:r>
        <w:rPr>
          <w:rFonts w:ascii="宋体" w:hAnsi="宋体" w:eastAsia="宋体"/>
          <w:color w:val="auto"/>
          <w:sz w:val="21"/>
          <w:szCs w:val="21"/>
          <w:highlight w:val="none"/>
          <w:lang w:eastAsia="zh-CN"/>
        </w:rPr>
        <w:t>日</w:t>
      </w:r>
    </w:p>
    <w:p>
      <w:pPr>
        <w:jc w:val="center"/>
        <w:rPr>
          <w:rFonts w:ascii="宋体" w:hAnsi="宋体" w:eastAsia="宋体"/>
          <w:b/>
          <w:color w:val="auto"/>
          <w:sz w:val="32"/>
          <w:szCs w:val="36"/>
          <w:highlight w:val="none"/>
          <w:lang w:eastAsia="zh-CN"/>
        </w:rPr>
      </w:pPr>
      <w:r>
        <w:rPr>
          <w:rFonts w:ascii="宋体" w:hAnsi="宋体" w:eastAsia="宋体"/>
          <w:color w:val="auto"/>
          <w:sz w:val="24"/>
          <w:szCs w:val="24"/>
          <w:highlight w:val="none"/>
          <w:lang w:eastAsia="zh-CN"/>
        </w:rPr>
        <w:br w:type="page"/>
      </w:r>
      <w:r>
        <w:rPr>
          <w:rFonts w:hint="eastAsia" w:ascii="宋体" w:hAnsi="宋体" w:eastAsia="宋体"/>
          <w:b/>
          <w:color w:val="auto"/>
          <w:sz w:val="32"/>
          <w:szCs w:val="36"/>
          <w:highlight w:val="none"/>
          <w:lang w:eastAsia="zh-CN"/>
        </w:rPr>
        <w:t>授权委托书</w:t>
      </w:r>
    </w:p>
    <w:p>
      <w:pPr>
        <w:autoSpaceDE w:val="0"/>
        <w:autoSpaceDN w:val="0"/>
        <w:adjustRightInd w:val="0"/>
        <w:spacing w:before="18" w:line="240" w:lineRule="exact"/>
        <w:rPr>
          <w:rFonts w:ascii="宋体" w:hAnsi="宋体" w:eastAsia="宋体"/>
          <w:color w:val="auto"/>
          <w:sz w:val="24"/>
          <w:highlight w:val="none"/>
          <w:lang w:eastAsia="zh-CN"/>
        </w:rPr>
      </w:pPr>
    </w:p>
    <w:p>
      <w:pPr>
        <w:autoSpaceDE w:val="0"/>
        <w:autoSpaceDN w:val="0"/>
        <w:adjustRightInd w:val="0"/>
        <w:spacing w:line="360" w:lineRule="auto"/>
        <w:ind w:firstLine="420" w:firstLineChars="200"/>
        <w:rPr>
          <w:rFonts w:ascii="宋体" w:hAnsi="宋体" w:eastAsia="宋体"/>
          <w:color w:val="auto"/>
          <w:sz w:val="21"/>
          <w:szCs w:val="21"/>
          <w:highlight w:val="none"/>
          <w:lang w:eastAsia="zh-CN"/>
        </w:rPr>
      </w:pPr>
      <w:r>
        <w:rPr>
          <w:rFonts w:hint="eastAsia" w:ascii="宋体" w:hAnsi="宋体" w:eastAsia="宋体"/>
          <w:color w:val="auto"/>
          <w:position w:val="-4"/>
          <w:sz w:val="21"/>
          <w:szCs w:val="21"/>
          <w:highlight w:val="none"/>
          <w:lang w:eastAsia="zh-CN"/>
        </w:rPr>
        <w:t>本人</w:t>
      </w:r>
      <w:r>
        <w:rPr>
          <w:rFonts w:hint="eastAsia" w:ascii="宋体" w:hAnsi="宋体" w:eastAsia="宋体"/>
          <w:color w:val="auto"/>
          <w:position w:val="-4"/>
          <w:sz w:val="21"/>
          <w:szCs w:val="21"/>
          <w:highlight w:val="none"/>
          <w:u w:val="single"/>
          <w:lang w:eastAsia="zh-CN"/>
        </w:rPr>
        <w:t xml:space="preserve">    （</w:t>
      </w:r>
      <w:r>
        <w:rPr>
          <w:rFonts w:hint="eastAsia" w:ascii="宋体" w:hAnsi="宋体" w:eastAsia="宋体"/>
          <w:color w:val="auto"/>
          <w:spacing w:val="-2"/>
          <w:position w:val="-4"/>
          <w:sz w:val="21"/>
          <w:szCs w:val="21"/>
          <w:highlight w:val="none"/>
          <w:u w:val="single"/>
          <w:lang w:eastAsia="zh-CN"/>
        </w:rPr>
        <w:t>姓</w:t>
      </w:r>
      <w:r>
        <w:rPr>
          <w:rFonts w:hint="eastAsia" w:ascii="宋体" w:hAnsi="宋体" w:eastAsia="宋体"/>
          <w:color w:val="auto"/>
          <w:position w:val="-4"/>
          <w:sz w:val="21"/>
          <w:szCs w:val="21"/>
          <w:highlight w:val="none"/>
          <w:u w:val="single"/>
          <w:lang w:eastAsia="zh-CN"/>
        </w:rPr>
        <w:t xml:space="preserve">名）    </w:t>
      </w:r>
      <w:r>
        <w:rPr>
          <w:rFonts w:hint="eastAsia" w:ascii="宋体" w:hAnsi="宋体" w:eastAsia="宋体"/>
          <w:color w:val="auto"/>
          <w:position w:val="-4"/>
          <w:sz w:val="21"/>
          <w:szCs w:val="21"/>
          <w:highlight w:val="none"/>
          <w:lang w:eastAsia="zh-CN"/>
        </w:rPr>
        <w:t>系</w:t>
      </w:r>
      <w:r>
        <w:rPr>
          <w:rFonts w:hint="eastAsia" w:ascii="宋体" w:hAnsi="宋体" w:eastAsia="宋体"/>
          <w:color w:val="auto"/>
          <w:position w:val="-4"/>
          <w:sz w:val="21"/>
          <w:szCs w:val="21"/>
          <w:highlight w:val="none"/>
          <w:u w:val="single"/>
          <w:lang w:eastAsia="zh-CN"/>
        </w:rPr>
        <w:t xml:space="preserve">   （投标人</w:t>
      </w:r>
      <w:r>
        <w:rPr>
          <w:rFonts w:hint="eastAsia" w:ascii="宋体" w:hAnsi="宋体" w:eastAsia="宋体"/>
          <w:color w:val="auto"/>
          <w:spacing w:val="-2"/>
          <w:position w:val="-4"/>
          <w:sz w:val="21"/>
          <w:szCs w:val="21"/>
          <w:highlight w:val="none"/>
          <w:u w:val="single"/>
          <w:lang w:eastAsia="zh-CN"/>
        </w:rPr>
        <w:t>名</w:t>
      </w:r>
      <w:r>
        <w:rPr>
          <w:rFonts w:hint="eastAsia" w:ascii="宋体" w:hAnsi="宋体" w:eastAsia="宋体"/>
          <w:color w:val="auto"/>
          <w:position w:val="-4"/>
          <w:sz w:val="21"/>
          <w:szCs w:val="21"/>
          <w:highlight w:val="none"/>
          <w:u w:val="single"/>
          <w:lang w:eastAsia="zh-CN"/>
        </w:rPr>
        <w:t xml:space="preserve">称）    </w:t>
      </w:r>
      <w:r>
        <w:rPr>
          <w:rFonts w:hint="eastAsia" w:ascii="宋体" w:hAnsi="宋体" w:eastAsia="宋体"/>
          <w:color w:val="auto"/>
          <w:position w:val="-4"/>
          <w:sz w:val="21"/>
          <w:szCs w:val="21"/>
          <w:highlight w:val="none"/>
          <w:lang w:eastAsia="zh-CN"/>
        </w:rPr>
        <w:t>的</w:t>
      </w:r>
      <w:r>
        <w:rPr>
          <w:rFonts w:hint="eastAsia" w:ascii="宋体" w:hAnsi="宋体" w:eastAsia="宋体"/>
          <w:color w:val="auto"/>
          <w:spacing w:val="-2"/>
          <w:position w:val="-4"/>
          <w:sz w:val="21"/>
          <w:szCs w:val="21"/>
          <w:highlight w:val="none"/>
          <w:lang w:eastAsia="zh-CN"/>
        </w:rPr>
        <w:t>法定</w:t>
      </w:r>
      <w:r>
        <w:rPr>
          <w:rFonts w:hint="eastAsia" w:ascii="宋体" w:hAnsi="宋体" w:eastAsia="宋体"/>
          <w:color w:val="auto"/>
          <w:position w:val="-4"/>
          <w:sz w:val="21"/>
          <w:szCs w:val="21"/>
          <w:highlight w:val="none"/>
          <w:lang w:eastAsia="zh-CN"/>
        </w:rPr>
        <w:t>代表人</w:t>
      </w:r>
      <w:r>
        <w:rPr>
          <w:rFonts w:hint="eastAsia" w:ascii="宋体" w:hAnsi="宋体" w:eastAsia="宋体"/>
          <w:color w:val="auto"/>
          <w:spacing w:val="-2"/>
          <w:position w:val="-4"/>
          <w:sz w:val="21"/>
          <w:szCs w:val="21"/>
          <w:highlight w:val="none"/>
          <w:lang w:eastAsia="zh-CN"/>
        </w:rPr>
        <w:t>，</w:t>
      </w:r>
      <w:r>
        <w:rPr>
          <w:rFonts w:hint="eastAsia" w:ascii="宋体" w:hAnsi="宋体" w:eastAsia="宋体"/>
          <w:color w:val="auto"/>
          <w:position w:val="-4"/>
          <w:sz w:val="21"/>
          <w:szCs w:val="21"/>
          <w:highlight w:val="none"/>
          <w:lang w:eastAsia="zh-CN"/>
        </w:rPr>
        <w:t>现</w:t>
      </w:r>
      <w:r>
        <w:rPr>
          <w:rFonts w:hint="eastAsia" w:ascii="宋体" w:hAnsi="宋体" w:eastAsia="宋体"/>
          <w:color w:val="auto"/>
          <w:position w:val="-2"/>
          <w:sz w:val="21"/>
          <w:szCs w:val="21"/>
          <w:highlight w:val="none"/>
          <w:lang w:eastAsia="zh-CN"/>
        </w:rPr>
        <w:t>委托</w:t>
      </w:r>
      <w:r>
        <w:rPr>
          <w:rFonts w:hint="eastAsia" w:ascii="宋体" w:hAnsi="宋体" w:eastAsia="宋体"/>
          <w:color w:val="auto"/>
          <w:position w:val="-2"/>
          <w:sz w:val="21"/>
          <w:szCs w:val="21"/>
          <w:highlight w:val="none"/>
          <w:u w:val="single"/>
          <w:lang w:eastAsia="zh-CN"/>
        </w:rPr>
        <w:t xml:space="preserve">   （姓</w:t>
      </w:r>
      <w:r>
        <w:rPr>
          <w:rFonts w:hint="eastAsia" w:ascii="宋体" w:hAnsi="宋体" w:eastAsia="宋体"/>
          <w:color w:val="auto"/>
          <w:spacing w:val="-2"/>
          <w:position w:val="-2"/>
          <w:sz w:val="21"/>
          <w:szCs w:val="21"/>
          <w:highlight w:val="none"/>
          <w:u w:val="single"/>
          <w:lang w:eastAsia="zh-CN"/>
        </w:rPr>
        <w:t>名</w:t>
      </w:r>
      <w:r>
        <w:rPr>
          <w:rFonts w:hint="eastAsia" w:ascii="宋体" w:hAnsi="宋体" w:eastAsia="宋体"/>
          <w:color w:val="auto"/>
          <w:position w:val="-2"/>
          <w:sz w:val="21"/>
          <w:szCs w:val="21"/>
          <w:highlight w:val="none"/>
          <w:u w:val="single"/>
          <w:lang w:eastAsia="zh-CN"/>
        </w:rPr>
        <w:t xml:space="preserve">）  </w:t>
      </w:r>
      <w:r>
        <w:rPr>
          <w:rFonts w:hint="eastAsia" w:ascii="宋体" w:hAnsi="宋体" w:eastAsia="宋体"/>
          <w:color w:val="auto"/>
          <w:position w:val="-2"/>
          <w:sz w:val="21"/>
          <w:szCs w:val="21"/>
          <w:highlight w:val="none"/>
          <w:lang w:eastAsia="zh-CN"/>
        </w:rPr>
        <w:t>为我方代</w:t>
      </w:r>
      <w:r>
        <w:rPr>
          <w:rFonts w:hint="eastAsia" w:ascii="宋体" w:hAnsi="宋体" w:eastAsia="宋体"/>
          <w:color w:val="auto"/>
          <w:spacing w:val="-2"/>
          <w:position w:val="-2"/>
          <w:sz w:val="21"/>
          <w:szCs w:val="21"/>
          <w:highlight w:val="none"/>
          <w:lang w:eastAsia="zh-CN"/>
        </w:rPr>
        <w:t>理</w:t>
      </w:r>
      <w:r>
        <w:rPr>
          <w:rFonts w:hint="eastAsia" w:ascii="宋体" w:hAnsi="宋体" w:eastAsia="宋体"/>
          <w:color w:val="auto"/>
          <w:position w:val="-2"/>
          <w:sz w:val="21"/>
          <w:szCs w:val="21"/>
          <w:highlight w:val="none"/>
          <w:lang w:eastAsia="zh-CN"/>
        </w:rPr>
        <w:t>人。代理</w:t>
      </w:r>
      <w:r>
        <w:rPr>
          <w:rFonts w:hint="eastAsia" w:ascii="宋体" w:hAnsi="宋体" w:eastAsia="宋体"/>
          <w:color w:val="auto"/>
          <w:spacing w:val="-2"/>
          <w:position w:val="-2"/>
          <w:sz w:val="21"/>
          <w:szCs w:val="21"/>
          <w:highlight w:val="none"/>
          <w:lang w:eastAsia="zh-CN"/>
        </w:rPr>
        <w:t>人</w:t>
      </w:r>
      <w:r>
        <w:rPr>
          <w:rFonts w:hint="eastAsia" w:ascii="宋体" w:hAnsi="宋体" w:eastAsia="宋体"/>
          <w:color w:val="auto"/>
          <w:position w:val="-2"/>
          <w:sz w:val="21"/>
          <w:szCs w:val="21"/>
          <w:highlight w:val="none"/>
          <w:lang w:eastAsia="zh-CN"/>
        </w:rPr>
        <w:t>根据授权，</w:t>
      </w:r>
      <w:r>
        <w:rPr>
          <w:rFonts w:hint="eastAsia" w:ascii="宋体" w:hAnsi="宋体" w:eastAsia="宋体"/>
          <w:color w:val="auto"/>
          <w:spacing w:val="-2"/>
          <w:position w:val="-2"/>
          <w:sz w:val="21"/>
          <w:szCs w:val="21"/>
          <w:highlight w:val="none"/>
          <w:lang w:eastAsia="zh-CN"/>
        </w:rPr>
        <w:t>以</w:t>
      </w:r>
      <w:r>
        <w:rPr>
          <w:rFonts w:hint="eastAsia" w:ascii="宋体" w:hAnsi="宋体" w:eastAsia="宋体"/>
          <w:color w:val="auto"/>
          <w:position w:val="-2"/>
          <w:sz w:val="21"/>
          <w:szCs w:val="21"/>
          <w:highlight w:val="none"/>
          <w:lang w:eastAsia="zh-CN"/>
        </w:rPr>
        <w:t>我方名义</w:t>
      </w:r>
      <w:r>
        <w:rPr>
          <w:rFonts w:hint="eastAsia" w:ascii="宋体" w:hAnsi="宋体" w:eastAsia="宋体"/>
          <w:color w:val="auto"/>
          <w:spacing w:val="-2"/>
          <w:position w:val="-2"/>
          <w:sz w:val="21"/>
          <w:szCs w:val="21"/>
          <w:highlight w:val="none"/>
          <w:lang w:eastAsia="zh-CN"/>
        </w:rPr>
        <w:t>签</w:t>
      </w:r>
      <w:r>
        <w:rPr>
          <w:rFonts w:hint="eastAsia" w:ascii="宋体" w:hAnsi="宋体" w:eastAsia="宋体"/>
          <w:color w:val="auto"/>
          <w:position w:val="-2"/>
          <w:sz w:val="21"/>
          <w:szCs w:val="21"/>
          <w:highlight w:val="none"/>
          <w:lang w:eastAsia="zh-CN"/>
        </w:rPr>
        <w:t>署、澄清确</w:t>
      </w:r>
      <w:r>
        <w:rPr>
          <w:rFonts w:hint="eastAsia" w:ascii="宋体" w:hAnsi="宋体" w:eastAsia="宋体"/>
          <w:color w:val="auto"/>
          <w:spacing w:val="-2"/>
          <w:position w:val="-2"/>
          <w:sz w:val="21"/>
          <w:szCs w:val="21"/>
          <w:highlight w:val="none"/>
          <w:lang w:eastAsia="zh-CN"/>
        </w:rPr>
        <w:t>认</w:t>
      </w:r>
      <w:r>
        <w:rPr>
          <w:rFonts w:hint="eastAsia" w:ascii="宋体" w:hAnsi="宋体" w:eastAsia="宋体"/>
          <w:color w:val="auto"/>
          <w:position w:val="-2"/>
          <w:sz w:val="21"/>
          <w:szCs w:val="21"/>
          <w:highlight w:val="none"/>
          <w:lang w:eastAsia="zh-CN"/>
        </w:rPr>
        <w:t>、递</w:t>
      </w:r>
      <w:r>
        <w:rPr>
          <w:rFonts w:hint="eastAsia" w:ascii="宋体" w:hAnsi="宋体" w:eastAsia="宋体"/>
          <w:color w:val="auto"/>
          <w:sz w:val="21"/>
          <w:szCs w:val="21"/>
          <w:highlight w:val="none"/>
          <w:lang w:eastAsia="zh-CN"/>
        </w:rPr>
        <w:t>交、</w:t>
      </w:r>
      <w:r>
        <w:rPr>
          <w:rFonts w:hint="eastAsia" w:ascii="宋体" w:hAnsi="宋体" w:eastAsia="宋体"/>
          <w:color w:val="auto"/>
          <w:spacing w:val="-2"/>
          <w:sz w:val="21"/>
          <w:szCs w:val="21"/>
          <w:highlight w:val="none"/>
          <w:lang w:eastAsia="zh-CN"/>
        </w:rPr>
        <w:t>撤</w:t>
      </w:r>
      <w:r>
        <w:rPr>
          <w:rFonts w:hint="eastAsia" w:ascii="宋体" w:hAnsi="宋体" w:eastAsia="宋体"/>
          <w:color w:val="auto"/>
          <w:sz w:val="21"/>
          <w:szCs w:val="21"/>
          <w:highlight w:val="none"/>
          <w:lang w:eastAsia="zh-CN"/>
        </w:rPr>
        <w:t>回</w:t>
      </w:r>
      <w:r>
        <w:rPr>
          <w:rFonts w:hint="eastAsia" w:ascii="宋体" w:hAnsi="宋体" w:eastAsia="宋体"/>
          <w:color w:val="auto"/>
          <w:spacing w:val="-2"/>
          <w:sz w:val="21"/>
          <w:szCs w:val="21"/>
          <w:highlight w:val="none"/>
          <w:lang w:eastAsia="zh-CN"/>
        </w:rPr>
        <w:t>、</w:t>
      </w:r>
      <w:r>
        <w:rPr>
          <w:rFonts w:hint="eastAsia" w:ascii="宋体" w:hAnsi="宋体" w:eastAsia="宋体"/>
          <w:color w:val="auto"/>
          <w:sz w:val="21"/>
          <w:szCs w:val="21"/>
          <w:highlight w:val="none"/>
          <w:lang w:eastAsia="zh-CN"/>
        </w:rPr>
        <w:t>修</w:t>
      </w:r>
      <w:r>
        <w:rPr>
          <w:rFonts w:hint="eastAsia" w:ascii="宋体" w:hAnsi="宋体" w:eastAsia="宋体"/>
          <w:color w:val="auto"/>
          <w:spacing w:val="-3"/>
          <w:sz w:val="21"/>
          <w:szCs w:val="21"/>
          <w:highlight w:val="none"/>
          <w:lang w:eastAsia="zh-CN"/>
        </w:rPr>
        <w:t>改</w:t>
      </w:r>
      <w:r>
        <w:rPr>
          <w:rFonts w:hint="eastAsia" w:ascii="宋体" w:hAnsi="宋体" w:eastAsia="宋体"/>
          <w:color w:val="auto"/>
          <w:spacing w:val="-2"/>
          <w:sz w:val="21"/>
          <w:szCs w:val="21"/>
          <w:highlight w:val="none"/>
          <w:lang w:eastAsia="zh-CN"/>
        </w:rPr>
        <w:t>投</w:t>
      </w:r>
      <w:r>
        <w:rPr>
          <w:rFonts w:hint="eastAsia" w:ascii="宋体" w:hAnsi="宋体" w:eastAsia="宋体"/>
          <w:color w:val="auto"/>
          <w:sz w:val="21"/>
          <w:szCs w:val="21"/>
          <w:highlight w:val="none"/>
          <w:lang w:eastAsia="zh-CN"/>
        </w:rPr>
        <w:t>标</w:t>
      </w:r>
      <w:r>
        <w:rPr>
          <w:rFonts w:hint="eastAsia" w:ascii="宋体" w:hAnsi="宋体" w:eastAsia="宋体"/>
          <w:color w:val="auto"/>
          <w:spacing w:val="-2"/>
          <w:sz w:val="21"/>
          <w:szCs w:val="21"/>
          <w:highlight w:val="none"/>
          <w:lang w:eastAsia="zh-CN"/>
        </w:rPr>
        <w:t>文</w:t>
      </w:r>
      <w:r>
        <w:rPr>
          <w:rFonts w:hint="eastAsia" w:ascii="宋体" w:hAnsi="宋体" w:eastAsia="宋体"/>
          <w:color w:val="auto"/>
          <w:sz w:val="21"/>
          <w:szCs w:val="21"/>
          <w:highlight w:val="none"/>
          <w:lang w:eastAsia="zh-CN"/>
        </w:rPr>
        <w:t>件</w:t>
      </w:r>
      <w:r>
        <w:rPr>
          <w:rFonts w:hint="eastAsia" w:ascii="宋体" w:hAnsi="宋体" w:eastAsia="宋体"/>
          <w:color w:val="auto"/>
          <w:spacing w:val="-2"/>
          <w:sz w:val="21"/>
          <w:szCs w:val="21"/>
          <w:highlight w:val="none"/>
          <w:lang w:eastAsia="zh-CN"/>
        </w:rPr>
        <w:t>、</w:t>
      </w:r>
      <w:r>
        <w:rPr>
          <w:rFonts w:hint="eastAsia" w:ascii="宋体" w:hAnsi="宋体" w:eastAsia="宋体"/>
          <w:color w:val="auto"/>
          <w:sz w:val="21"/>
          <w:szCs w:val="21"/>
          <w:highlight w:val="none"/>
          <w:lang w:eastAsia="zh-CN"/>
        </w:rPr>
        <w:t>签</w:t>
      </w:r>
      <w:r>
        <w:rPr>
          <w:rFonts w:hint="eastAsia" w:ascii="宋体" w:hAnsi="宋体" w:eastAsia="宋体"/>
          <w:color w:val="auto"/>
          <w:spacing w:val="-2"/>
          <w:sz w:val="21"/>
          <w:szCs w:val="21"/>
          <w:highlight w:val="none"/>
          <w:lang w:eastAsia="zh-CN"/>
        </w:rPr>
        <w:t>订</w:t>
      </w:r>
      <w:r>
        <w:rPr>
          <w:rFonts w:hint="eastAsia" w:ascii="宋体" w:hAnsi="宋体" w:eastAsia="宋体"/>
          <w:color w:val="auto"/>
          <w:sz w:val="21"/>
          <w:szCs w:val="21"/>
          <w:highlight w:val="none"/>
          <w:lang w:eastAsia="zh-CN"/>
        </w:rPr>
        <w:t>合</w:t>
      </w:r>
      <w:r>
        <w:rPr>
          <w:rFonts w:hint="eastAsia" w:ascii="宋体" w:hAnsi="宋体" w:eastAsia="宋体"/>
          <w:color w:val="auto"/>
          <w:spacing w:val="-2"/>
          <w:sz w:val="21"/>
          <w:szCs w:val="21"/>
          <w:highlight w:val="none"/>
          <w:lang w:eastAsia="zh-CN"/>
        </w:rPr>
        <w:t>同</w:t>
      </w:r>
      <w:r>
        <w:rPr>
          <w:rFonts w:hint="eastAsia" w:ascii="宋体" w:hAnsi="宋体" w:eastAsia="宋体"/>
          <w:color w:val="auto"/>
          <w:sz w:val="21"/>
          <w:szCs w:val="21"/>
          <w:highlight w:val="none"/>
          <w:lang w:eastAsia="zh-CN"/>
        </w:rPr>
        <w:t>和处</w:t>
      </w:r>
      <w:r>
        <w:rPr>
          <w:rFonts w:hint="eastAsia" w:ascii="宋体" w:hAnsi="宋体" w:eastAsia="宋体"/>
          <w:color w:val="auto"/>
          <w:spacing w:val="-2"/>
          <w:sz w:val="21"/>
          <w:szCs w:val="21"/>
          <w:highlight w:val="none"/>
          <w:lang w:eastAsia="zh-CN"/>
        </w:rPr>
        <w:t>理</w:t>
      </w:r>
      <w:r>
        <w:rPr>
          <w:rFonts w:hint="eastAsia" w:ascii="宋体" w:hAnsi="宋体" w:eastAsia="宋体"/>
          <w:color w:val="auto"/>
          <w:sz w:val="21"/>
          <w:szCs w:val="21"/>
          <w:highlight w:val="none"/>
          <w:lang w:eastAsia="zh-CN"/>
        </w:rPr>
        <w:t>有</w:t>
      </w:r>
      <w:r>
        <w:rPr>
          <w:rFonts w:hint="eastAsia" w:ascii="宋体" w:hAnsi="宋体" w:eastAsia="宋体"/>
          <w:color w:val="auto"/>
          <w:spacing w:val="-2"/>
          <w:sz w:val="21"/>
          <w:szCs w:val="21"/>
          <w:highlight w:val="none"/>
          <w:lang w:eastAsia="zh-CN"/>
        </w:rPr>
        <w:t>关</w:t>
      </w:r>
      <w:r>
        <w:rPr>
          <w:rFonts w:hint="eastAsia" w:ascii="宋体" w:hAnsi="宋体" w:eastAsia="宋体"/>
          <w:color w:val="auto"/>
          <w:sz w:val="21"/>
          <w:szCs w:val="21"/>
          <w:highlight w:val="none"/>
          <w:lang w:eastAsia="zh-CN"/>
        </w:rPr>
        <w:t>事</w:t>
      </w:r>
      <w:r>
        <w:rPr>
          <w:rFonts w:hint="eastAsia" w:ascii="宋体" w:hAnsi="宋体" w:eastAsia="宋体"/>
          <w:color w:val="auto"/>
          <w:spacing w:val="-2"/>
          <w:sz w:val="21"/>
          <w:szCs w:val="21"/>
          <w:highlight w:val="none"/>
          <w:lang w:eastAsia="zh-CN"/>
        </w:rPr>
        <w:t>宜</w:t>
      </w:r>
      <w:r>
        <w:rPr>
          <w:rFonts w:hint="eastAsia" w:ascii="宋体" w:hAnsi="宋体" w:eastAsia="宋体"/>
          <w:color w:val="auto"/>
          <w:sz w:val="21"/>
          <w:szCs w:val="21"/>
          <w:highlight w:val="none"/>
          <w:lang w:eastAsia="zh-CN"/>
        </w:rPr>
        <w:t>，</w:t>
      </w:r>
      <w:r>
        <w:rPr>
          <w:rFonts w:hint="eastAsia" w:ascii="宋体" w:hAnsi="宋体" w:eastAsia="宋体"/>
          <w:color w:val="auto"/>
          <w:spacing w:val="-2"/>
          <w:sz w:val="21"/>
          <w:szCs w:val="21"/>
          <w:highlight w:val="none"/>
          <w:lang w:eastAsia="zh-CN"/>
        </w:rPr>
        <w:t>其</w:t>
      </w:r>
      <w:r>
        <w:rPr>
          <w:rFonts w:hint="eastAsia" w:ascii="宋体" w:hAnsi="宋体" w:eastAsia="宋体"/>
          <w:color w:val="auto"/>
          <w:sz w:val="21"/>
          <w:szCs w:val="21"/>
          <w:highlight w:val="none"/>
          <w:lang w:eastAsia="zh-CN"/>
        </w:rPr>
        <w:t>法</w:t>
      </w:r>
      <w:r>
        <w:rPr>
          <w:rFonts w:hint="eastAsia" w:ascii="宋体" w:hAnsi="宋体" w:eastAsia="宋体"/>
          <w:color w:val="auto"/>
          <w:spacing w:val="-2"/>
          <w:sz w:val="21"/>
          <w:szCs w:val="21"/>
          <w:highlight w:val="none"/>
          <w:lang w:eastAsia="zh-CN"/>
        </w:rPr>
        <w:t>律</w:t>
      </w:r>
      <w:r>
        <w:rPr>
          <w:rFonts w:hint="eastAsia" w:ascii="宋体" w:hAnsi="宋体" w:eastAsia="宋体"/>
          <w:color w:val="auto"/>
          <w:sz w:val="21"/>
          <w:szCs w:val="21"/>
          <w:highlight w:val="none"/>
          <w:lang w:eastAsia="zh-CN"/>
        </w:rPr>
        <w:t>后果</w:t>
      </w:r>
      <w:r>
        <w:rPr>
          <w:rFonts w:hint="eastAsia" w:ascii="宋体" w:hAnsi="宋体" w:eastAsia="宋体"/>
          <w:color w:val="auto"/>
          <w:spacing w:val="-2"/>
          <w:sz w:val="21"/>
          <w:szCs w:val="21"/>
          <w:highlight w:val="none"/>
          <w:lang w:eastAsia="zh-CN"/>
        </w:rPr>
        <w:t>由</w:t>
      </w:r>
      <w:r>
        <w:rPr>
          <w:rFonts w:hint="eastAsia" w:ascii="宋体" w:hAnsi="宋体" w:eastAsia="宋体"/>
          <w:color w:val="auto"/>
          <w:sz w:val="21"/>
          <w:szCs w:val="21"/>
          <w:highlight w:val="none"/>
          <w:lang w:eastAsia="zh-CN"/>
        </w:rPr>
        <w:t>我</w:t>
      </w:r>
      <w:r>
        <w:rPr>
          <w:rFonts w:hint="eastAsia" w:ascii="宋体" w:hAnsi="宋体" w:eastAsia="宋体"/>
          <w:color w:val="auto"/>
          <w:spacing w:val="-2"/>
          <w:sz w:val="21"/>
          <w:szCs w:val="21"/>
          <w:highlight w:val="none"/>
          <w:lang w:eastAsia="zh-CN"/>
        </w:rPr>
        <w:t>方</w:t>
      </w:r>
      <w:r>
        <w:rPr>
          <w:rFonts w:hint="eastAsia" w:ascii="宋体" w:hAnsi="宋体" w:eastAsia="宋体"/>
          <w:color w:val="auto"/>
          <w:sz w:val="21"/>
          <w:szCs w:val="21"/>
          <w:highlight w:val="none"/>
          <w:lang w:eastAsia="zh-CN"/>
        </w:rPr>
        <w:t>承</w:t>
      </w:r>
      <w:r>
        <w:rPr>
          <w:rFonts w:hint="eastAsia" w:ascii="宋体" w:hAnsi="宋体" w:eastAsia="宋体"/>
          <w:color w:val="auto"/>
          <w:spacing w:val="-2"/>
          <w:sz w:val="21"/>
          <w:szCs w:val="21"/>
          <w:highlight w:val="none"/>
          <w:lang w:eastAsia="zh-CN"/>
        </w:rPr>
        <w:t>担</w:t>
      </w:r>
      <w:r>
        <w:rPr>
          <w:rFonts w:hint="eastAsia" w:ascii="宋体" w:hAnsi="宋体" w:eastAsia="宋体"/>
          <w:color w:val="auto"/>
          <w:sz w:val="21"/>
          <w:szCs w:val="21"/>
          <w:highlight w:val="none"/>
          <w:lang w:eastAsia="zh-CN"/>
        </w:rPr>
        <w:t>。</w:t>
      </w:r>
    </w:p>
    <w:p>
      <w:pPr>
        <w:autoSpaceDE w:val="0"/>
        <w:autoSpaceDN w:val="0"/>
        <w:adjustRightInd w:val="0"/>
        <w:spacing w:line="360" w:lineRule="auto"/>
        <w:rPr>
          <w:rFonts w:ascii="宋体" w:hAnsi="宋体" w:eastAsia="宋体"/>
          <w:color w:val="auto"/>
          <w:sz w:val="21"/>
          <w:szCs w:val="21"/>
          <w:highlight w:val="none"/>
          <w:lang w:eastAsia="zh-CN"/>
        </w:rPr>
      </w:pPr>
      <w:r>
        <w:rPr>
          <w:rFonts w:hint="eastAsia" w:ascii="宋体" w:hAnsi="宋体" w:eastAsia="宋体"/>
          <w:color w:val="auto"/>
          <w:position w:val="-4"/>
          <w:sz w:val="21"/>
          <w:szCs w:val="21"/>
          <w:highlight w:val="none"/>
          <w:lang w:eastAsia="zh-CN"/>
        </w:rPr>
        <w:t>委托</w:t>
      </w:r>
      <w:r>
        <w:rPr>
          <w:rFonts w:hint="eastAsia" w:ascii="宋体" w:hAnsi="宋体" w:eastAsia="宋体"/>
          <w:color w:val="auto"/>
          <w:spacing w:val="-2"/>
          <w:position w:val="-4"/>
          <w:sz w:val="21"/>
          <w:szCs w:val="21"/>
          <w:highlight w:val="none"/>
          <w:lang w:eastAsia="zh-CN"/>
        </w:rPr>
        <w:t>期</w:t>
      </w:r>
      <w:r>
        <w:rPr>
          <w:rFonts w:hint="eastAsia" w:ascii="宋体" w:hAnsi="宋体" w:eastAsia="宋体"/>
          <w:color w:val="auto"/>
          <w:position w:val="-4"/>
          <w:sz w:val="21"/>
          <w:szCs w:val="21"/>
          <w:highlight w:val="none"/>
          <w:lang w:eastAsia="zh-CN"/>
        </w:rPr>
        <w:t>限</w:t>
      </w:r>
      <w:r>
        <w:rPr>
          <w:rFonts w:hint="eastAsia" w:ascii="宋体" w:hAnsi="宋体" w:eastAsia="宋体"/>
          <w:color w:val="auto"/>
          <w:spacing w:val="-3"/>
          <w:position w:val="-4"/>
          <w:sz w:val="21"/>
          <w:szCs w:val="21"/>
          <w:highlight w:val="none"/>
          <w:lang w:eastAsia="zh-CN"/>
        </w:rPr>
        <w:t>：</w:t>
      </w:r>
      <w:r>
        <w:rPr>
          <w:rFonts w:hint="eastAsia" w:ascii="宋体" w:hAnsi="宋体" w:eastAsia="宋体"/>
          <w:color w:val="auto"/>
          <w:position w:val="-4"/>
          <w:sz w:val="21"/>
          <w:szCs w:val="21"/>
          <w:highlight w:val="none"/>
          <w:u w:val="single"/>
          <w:lang w:eastAsia="zh-CN"/>
        </w:rPr>
        <w:t xml:space="preserve">                      </w:t>
      </w:r>
      <w:r>
        <w:rPr>
          <w:rFonts w:hint="eastAsia" w:ascii="宋体" w:hAnsi="宋体" w:eastAsia="宋体"/>
          <w:color w:val="auto"/>
          <w:position w:val="-4"/>
          <w:sz w:val="21"/>
          <w:szCs w:val="21"/>
          <w:highlight w:val="none"/>
          <w:lang w:eastAsia="zh-CN"/>
        </w:rPr>
        <w:t>。</w:t>
      </w:r>
    </w:p>
    <w:p>
      <w:pPr>
        <w:autoSpaceDE w:val="0"/>
        <w:autoSpaceDN w:val="0"/>
        <w:adjustRightInd w:val="0"/>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代理</w:t>
      </w:r>
      <w:r>
        <w:rPr>
          <w:rFonts w:hint="eastAsia" w:ascii="宋体" w:hAnsi="宋体" w:eastAsia="宋体"/>
          <w:color w:val="auto"/>
          <w:spacing w:val="-2"/>
          <w:sz w:val="21"/>
          <w:szCs w:val="21"/>
          <w:highlight w:val="none"/>
          <w:lang w:eastAsia="zh-CN"/>
        </w:rPr>
        <w:t>人</w:t>
      </w:r>
      <w:r>
        <w:rPr>
          <w:rFonts w:hint="eastAsia" w:ascii="宋体" w:hAnsi="宋体" w:eastAsia="宋体"/>
          <w:color w:val="auto"/>
          <w:sz w:val="21"/>
          <w:szCs w:val="21"/>
          <w:highlight w:val="none"/>
          <w:lang w:eastAsia="zh-CN"/>
        </w:rPr>
        <w:t>无</w:t>
      </w:r>
      <w:r>
        <w:rPr>
          <w:rFonts w:hint="eastAsia" w:ascii="宋体" w:hAnsi="宋体" w:eastAsia="宋体"/>
          <w:color w:val="auto"/>
          <w:spacing w:val="-2"/>
          <w:sz w:val="21"/>
          <w:szCs w:val="21"/>
          <w:highlight w:val="none"/>
          <w:lang w:eastAsia="zh-CN"/>
        </w:rPr>
        <w:t>转</w:t>
      </w:r>
      <w:r>
        <w:rPr>
          <w:rFonts w:hint="eastAsia" w:ascii="宋体" w:hAnsi="宋体" w:eastAsia="宋体"/>
          <w:color w:val="auto"/>
          <w:sz w:val="21"/>
          <w:szCs w:val="21"/>
          <w:highlight w:val="none"/>
          <w:lang w:eastAsia="zh-CN"/>
        </w:rPr>
        <w:t>委</w:t>
      </w:r>
      <w:r>
        <w:rPr>
          <w:rFonts w:hint="eastAsia" w:ascii="宋体" w:hAnsi="宋体" w:eastAsia="宋体"/>
          <w:color w:val="auto"/>
          <w:spacing w:val="-2"/>
          <w:sz w:val="21"/>
          <w:szCs w:val="21"/>
          <w:highlight w:val="none"/>
          <w:lang w:eastAsia="zh-CN"/>
        </w:rPr>
        <w:t>托</w:t>
      </w:r>
      <w:r>
        <w:rPr>
          <w:rFonts w:hint="eastAsia" w:ascii="宋体" w:hAnsi="宋体" w:eastAsia="宋体"/>
          <w:color w:val="auto"/>
          <w:sz w:val="21"/>
          <w:szCs w:val="21"/>
          <w:highlight w:val="none"/>
          <w:lang w:eastAsia="zh-CN"/>
        </w:rPr>
        <w:t>权。</w:t>
      </w:r>
    </w:p>
    <w:p>
      <w:pPr>
        <w:autoSpaceDE w:val="0"/>
        <w:autoSpaceDN w:val="0"/>
        <w:adjustRightInd w:val="0"/>
        <w:spacing w:line="360" w:lineRule="auto"/>
        <w:rPr>
          <w:rFonts w:ascii="宋体" w:hAnsi="宋体" w:eastAsia="宋体"/>
          <w:color w:val="auto"/>
          <w:sz w:val="21"/>
          <w:szCs w:val="21"/>
          <w:highlight w:val="none"/>
          <w:lang w:eastAsia="zh-CN"/>
        </w:rPr>
      </w:pPr>
    </w:p>
    <w:p>
      <w:pPr>
        <w:autoSpaceDE w:val="0"/>
        <w:autoSpaceDN w:val="0"/>
        <w:adjustRightInd w:val="0"/>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附：</w:t>
      </w:r>
      <w:r>
        <w:rPr>
          <w:rFonts w:hint="eastAsia" w:ascii="宋体" w:hAnsi="宋体" w:eastAsia="宋体"/>
          <w:color w:val="auto"/>
          <w:spacing w:val="-2"/>
          <w:sz w:val="21"/>
          <w:szCs w:val="21"/>
          <w:highlight w:val="none"/>
          <w:lang w:eastAsia="zh-CN"/>
        </w:rPr>
        <w:t>法</w:t>
      </w:r>
      <w:r>
        <w:rPr>
          <w:rFonts w:hint="eastAsia" w:ascii="宋体" w:hAnsi="宋体" w:eastAsia="宋体"/>
          <w:color w:val="auto"/>
          <w:sz w:val="21"/>
          <w:szCs w:val="21"/>
          <w:highlight w:val="none"/>
          <w:lang w:eastAsia="zh-CN"/>
        </w:rPr>
        <w:t>定</w:t>
      </w:r>
      <w:r>
        <w:rPr>
          <w:rFonts w:hint="eastAsia" w:ascii="宋体" w:hAnsi="宋体" w:eastAsia="宋体"/>
          <w:color w:val="auto"/>
          <w:spacing w:val="-2"/>
          <w:sz w:val="21"/>
          <w:szCs w:val="21"/>
          <w:highlight w:val="none"/>
          <w:lang w:eastAsia="zh-CN"/>
        </w:rPr>
        <w:t>代</w:t>
      </w:r>
      <w:r>
        <w:rPr>
          <w:rFonts w:hint="eastAsia" w:ascii="宋体" w:hAnsi="宋体" w:eastAsia="宋体"/>
          <w:color w:val="auto"/>
          <w:sz w:val="21"/>
          <w:szCs w:val="21"/>
          <w:highlight w:val="none"/>
          <w:lang w:eastAsia="zh-CN"/>
        </w:rPr>
        <w:t>表</w:t>
      </w:r>
      <w:r>
        <w:rPr>
          <w:rFonts w:hint="eastAsia" w:ascii="宋体" w:hAnsi="宋体" w:eastAsia="宋体"/>
          <w:color w:val="auto"/>
          <w:spacing w:val="-2"/>
          <w:sz w:val="21"/>
          <w:szCs w:val="21"/>
          <w:highlight w:val="none"/>
          <w:lang w:eastAsia="zh-CN"/>
        </w:rPr>
        <w:t>人</w:t>
      </w:r>
      <w:r>
        <w:rPr>
          <w:rFonts w:hint="eastAsia" w:ascii="宋体" w:hAnsi="宋体" w:eastAsia="宋体"/>
          <w:color w:val="auto"/>
          <w:sz w:val="21"/>
          <w:szCs w:val="21"/>
          <w:highlight w:val="none"/>
          <w:lang w:eastAsia="zh-CN"/>
        </w:rPr>
        <w:t>身</w:t>
      </w:r>
      <w:r>
        <w:rPr>
          <w:rFonts w:hint="eastAsia" w:ascii="宋体" w:hAnsi="宋体" w:eastAsia="宋体"/>
          <w:color w:val="auto"/>
          <w:spacing w:val="-2"/>
          <w:sz w:val="21"/>
          <w:szCs w:val="21"/>
          <w:highlight w:val="none"/>
          <w:lang w:eastAsia="zh-CN"/>
        </w:rPr>
        <w:t>份</w:t>
      </w:r>
      <w:r>
        <w:rPr>
          <w:rFonts w:hint="eastAsia" w:ascii="宋体" w:hAnsi="宋体" w:eastAsia="宋体"/>
          <w:color w:val="auto"/>
          <w:sz w:val="21"/>
          <w:szCs w:val="21"/>
          <w:highlight w:val="none"/>
          <w:lang w:eastAsia="zh-CN"/>
        </w:rPr>
        <w:t>证</w:t>
      </w:r>
      <w:r>
        <w:rPr>
          <w:rFonts w:hint="eastAsia" w:ascii="宋体" w:hAnsi="宋体" w:eastAsia="宋体" w:cs="宋体"/>
          <w:bCs/>
          <w:color w:val="auto"/>
          <w:sz w:val="21"/>
          <w:szCs w:val="21"/>
          <w:highlight w:val="none"/>
          <w:lang w:eastAsia="zh-CN"/>
        </w:rPr>
        <w:t>扫描</w:t>
      </w:r>
      <w:r>
        <w:rPr>
          <w:rFonts w:hint="eastAsia" w:ascii="宋体" w:hAnsi="宋体" w:eastAsia="宋体"/>
          <w:color w:val="auto"/>
          <w:sz w:val="21"/>
          <w:szCs w:val="21"/>
          <w:highlight w:val="none"/>
          <w:lang w:eastAsia="zh-CN"/>
        </w:rPr>
        <w:t>件</w:t>
      </w:r>
      <w:r>
        <w:rPr>
          <w:rFonts w:hint="eastAsia" w:ascii="宋体" w:hAnsi="宋体" w:eastAsia="宋体"/>
          <w:color w:val="auto"/>
          <w:spacing w:val="-2"/>
          <w:sz w:val="21"/>
          <w:szCs w:val="21"/>
          <w:highlight w:val="none"/>
          <w:lang w:eastAsia="zh-CN"/>
        </w:rPr>
        <w:t>及</w:t>
      </w:r>
      <w:r>
        <w:rPr>
          <w:rFonts w:hint="eastAsia" w:ascii="宋体" w:hAnsi="宋体" w:eastAsia="宋体"/>
          <w:color w:val="auto"/>
          <w:sz w:val="21"/>
          <w:szCs w:val="21"/>
          <w:highlight w:val="none"/>
          <w:lang w:eastAsia="zh-CN"/>
        </w:rPr>
        <w:t>委</w:t>
      </w:r>
      <w:r>
        <w:rPr>
          <w:rFonts w:hint="eastAsia" w:ascii="宋体" w:hAnsi="宋体" w:eastAsia="宋体"/>
          <w:color w:val="auto"/>
          <w:spacing w:val="-2"/>
          <w:sz w:val="21"/>
          <w:szCs w:val="21"/>
          <w:highlight w:val="none"/>
          <w:lang w:eastAsia="zh-CN"/>
        </w:rPr>
        <w:t>托</w:t>
      </w:r>
      <w:r>
        <w:rPr>
          <w:rFonts w:hint="eastAsia" w:ascii="宋体" w:hAnsi="宋体" w:eastAsia="宋体"/>
          <w:color w:val="auto"/>
          <w:sz w:val="21"/>
          <w:szCs w:val="21"/>
          <w:highlight w:val="none"/>
          <w:lang w:eastAsia="zh-CN"/>
        </w:rPr>
        <w:t>代</w:t>
      </w:r>
      <w:r>
        <w:rPr>
          <w:rFonts w:hint="eastAsia" w:ascii="宋体" w:hAnsi="宋体" w:eastAsia="宋体"/>
          <w:color w:val="auto"/>
          <w:spacing w:val="-2"/>
          <w:sz w:val="21"/>
          <w:szCs w:val="21"/>
          <w:highlight w:val="none"/>
          <w:lang w:eastAsia="zh-CN"/>
        </w:rPr>
        <w:t>理</w:t>
      </w:r>
      <w:r>
        <w:rPr>
          <w:rFonts w:hint="eastAsia" w:ascii="宋体" w:hAnsi="宋体" w:eastAsia="宋体"/>
          <w:color w:val="auto"/>
          <w:sz w:val="21"/>
          <w:szCs w:val="21"/>
          <w:highlight w:val="none"/>
          <w:lang w:eastAsia="zh-CN"/>
        </w:rPr>
        <w:t>人</w:t>
      </w:r>
      <w:r>
        <w:rPr>
          <w:rFonts w:hint="eastAsia" w:ascii="宋体" w:hAnsi="宋体" w:eastAsia="宋体"/>
          <w:color w:val="auto"/>
          <w:spacing w:val="-2"/>
          <w:sz w:val="21"/>
          <w:szCs w:val="21"/>
          <w:highlight w:val="none"/>
          <w:lang w:eastAsia="zh-CN"/>
        </w:rPr>
        <w:t>身</w:t>
      </w:r>
      <w:r>
        <w:rPr>
          <w:rFonts w:hint="eastAsia" w:ascii="宋体" w:hAnsi="宋体" w:eastAsia="宋体"/>
          <w:color w:val="auto"/>
          <w:sz w:val="21"/>
          <w:szCs w:val="21"/>
          <w:highlight w:val="none"/>
          <w:lang w:eastAsia="zh-CN"/>
        </w:rPr>
        <w:t>份</w:t>
      </w:r>
      <w:r>
        <w:rPr>
          <w:rFonts w:hint="eastAsia" w:ascii="宋体" w:hAnsi="宋体" w:eastAsia="宋体"/>
          <w:color w:val="auto"/>
          <w:spacing w:val="-2"/>
          <w:sz w:val="21"/>
          <w:szCs w:val="21"/>
          <w:highlight w:val="none"/>
          <w:lang w:eastAsia="zh-CN"/>
        </w:rPr>
        <w:t>证</w:t>
      </w:r>
      <w:r>
        <w:rPr>
          <w:rFonts w:hint="eastAsia" w:ascii="宋体" w:hAnsi="宋体" w:eastAsia="宋体" w:cs="宋体"/>
          <w:bCs/>
          <w:color w:val="auto"/>
          <w:sz w:val="21"/>
          <w:szCs w:val="21"/>
          <w:highlight w:val="none"/>
          <w:lang w:eastAsia="zh-CN"/>
        </w:rPr>
        <w:t>扫描</w:t>
      </w:r>
      <w:r>
        <w:rPr>
          <w:rFonts w:hint="eastAsia" w:ascii="宋体" w:hAnsi="宋体" w:eastAsia="宋体"/>
          <w:color w:val="auto"/>
          <w:sz w:val="21"/>
          <w:szCs w:val="21"/>
          <w:highlight w:val="none"/>
          <w:lang w:eastAsia="zh-CN"/>
        </w:rPr>
        <w:t xml:space="preserve">件 </w:t>
      </w:r>
    </w:p>
    <w:p>
      <w:pPr>
        <w:autoSpaceDE w:val="0"/>
        <w:autoSpaceDN w:val="0"/>
        <w:adjustRightInd w:val="0"/>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注：</w:t>
      </w:r>
      <w:r>
        <w:rPr>
          <w:rFonts w:hint="eastAsia" w:ascii="宋体" w:hAnsi="宋体" w:eastAsia="宋体"/>
          <w:color w:val="auto"/>
          <w:spacing w:val="-2"/>
          <w:sz w:val="21"/>
          <w:szCs w:val="21"/>
          <w:highlight w:val="none"/>
          <w:lang w:eastAsia="zh-CN"/>
        </w:rPr>
        <w:t>本</w:t>
      </w:r>
      <w:r>
        <w:rPr>
          <w:rFonts w:hint="eastAsia" w:ascii="宋体" w:hAnsi="宋体" w:eastAsia="宋体"/>
          <w:color w:val="auto"/>
          <w:sz w:val="21"/>
          <w:szCs w:val="21"/>
          <w:highlight w:val="none"/>
          <w:lang w:eastAsia="zh-CN"/>
        </w:rPr>
        <w:t>授</w:t>
      </w:r>
      <w:r>
        <w:rPr>
          <w:rFonts w:hint="eastAsia" w:ascii="宋体" w:hAnsi="宋体" w:eastAsia="宋体"/>
          <w:color w:val="auto"/>
          <w:spacing w:val="-2"/>
          <w:sz w:val="21"/>
          <w:szCs w:val="21"/>
          <w:highlight w:val="none"/>
          <w:lang w:eastAsia="zh-CN"/>
        </w:rPr>
        <w:t>权</w:t>
      </w:r>
      <w:r>
        <w:rPr>
          <w:rFonts w:hint="eastAsia" w:ascii="宋体" w:hAnsi="宋体" w:eastAsia="宋体"/>
          <w:color w:val="auto"/>
          <w:sz w:val="21"/>
          <w:szCs w:val="21"/>
          <w:highlight w:val="none"/>
          <w:lang w:eastAsia="zh-CN"/>
        </w:rPr>
        <w:t>委</w:t>
      </w:r>
      <w:r>
        <w:rPr>
          <w:rFonts w:hint="eastAsia" w:ascii="宋体" w:hAnsi="宋体" w:eastAsia="宋体"/>
          <w:color w:val="auto"/>
          <w:spacing w:val="-2"/>
          <w:sz w:val="21"/>
          <w:szCs w:val="21"/>
          <w:highlight w:val="none"/>
          <w:lang w:eastAsia="zh-CN"/>
        </w:rPr>
        <w:t>托</w:t>
      </w:r>
      <w:r>
        <w:rPr>
          <w:rFonts w:hint="eastAsia" w:ascii="宋体" w:hAnsi="宋体" w:eastAsia="宋体"/>
          <w:color w:val="auto"/>
          <w:sz w:val="21"/>
          <w:szCs w:val="21"/>
          <w:highlight w:val="none"/>
          <w:lang w:eastAsia="zh-CN"/>
        </w:rPr>
        <w:t>书</w:t>
      </w:r>
      <w:r>
        <w:rPr>
          <w:rFonts w:hint="eastAsia" w:ascii="宋体" w:hAnsi="宋体" w:eastAsia="宋体"/>
          <w:color w:val="auto"/>
          <w:spacing w:val="-2"/>
          <w:sz w:val="21"/>
          <w:szCs w:val="21"/>
          <w:highlight w:val="none"/>
          <w:lang w:eastAsia="zh-CN"/>
        </w:rPr>
        <w:t>需</w:t>
      </w:r>
      <w:r>
        <w:rPr>
          <w:rFonts w:hint="eastAsia" w:ascii="宋体" w:hAnsi="宋体" w:eastAsia="宋体"/>
          <w:color w:val="auto"/>
          <w:sz w:val="21"/>
          <w:szCs w:val="21"/>
          <w:highlight w:val="none"/>
          <w:lang w:eastAsia="zh-CN"/>
        </w:rPr>
        <w:t>由</w:t>
      </w:r>
      <w:r>
        <w:rPr>
          <w:rFonts w:hint="eastAsia" w:ascii="宋体" w:hAnsi="宋体" w:eastAsia="宋体"/>
          <w:color w:val="auto"/>
          <w:spacing w:val="-2"/>
          <w:sz w:val="21"/>
          <w:szCs w:val="21"/>
          <w:highlight w:val="none"/>
          <w:lang w:eastAsia="zh-CN"/>
        </w:rPr>
        <w:t>投</w:t>
      </w:r>
      <w:r>
        <w:rPr>
          <w:rFonts w:hint="eastAsia" w:ascii="宋体" w:hAnsi="宋体" w:eastAsia="宋体"/>
          <w:color w:val="auto"/>
          <w:sz w:val="21"/>
          <w:szCs w:val="21"/>
          <w:highlight w:val="none"/>
          <w:lang w:eastAsia="zh-CN"/>
        </w:rPr>
        <w:t>标人</w:t>
      </w:r>
      <w:r>
        <w:rPr>
          <w:rFonts w:hint="eastAsia" w:ascii="宋体" w:hAnsi="宋体" w:eastAsia="宋体"/>
          <w:color w:val="auto"/>
          <w:spacing w:val="-2"/>
          <w:sz w:val="21"/>
          <w:szCs w:val="21"/>
          <w:highlight w:val="none"/>
          <w:lang w:eastAsia="zh-CN"/>
        </w:rPr>
        <w:t>加</w:t>
      </w:r>
      <w:r>
        <w:rPr>
          <w:rFonts w:hint="eastAsia" w:ascii="宋体" w:hAnsi="宋体" w:eastAsia="宋体"/>
          <w:color w:val="auto"/>
          <w:sz w:val="21"/>
          <w:szCs w:val="21"/>
          <w:highlight w:val="none"/>
          <w:lang w:eastAsia="zh-CN"/>
        </w:rPr>
        <w:t>盖</w:t>
      </w:r>
      <w:r>
        <w:rPr>
          <w:rFonts w:hint="eastAsia" w:ascii="宋体" w:hAnsi="宋体" w:eastAsia="宋体"/>
          <w:color w:val="auto"/>
          <w:spacing w:val="-2"/>
          <w:sz w:val="21"/>
          <w:szCs w:val="21"/>
          <w:highlight w:val="none"/>
          <w:lang w:eastAsia="zh-CN"/>
        </w:rPr>
        <w:t>单</w:t>
      </w:r>
      <w:r>
        <w:rPr>
          <w:rFonts w:hint="eastAsia" w:ascii="宋体" w:hAnsi="宋体" w:eastAsia="宋体"/>
          <w:color w:val="auto"/>
          <w:sz w:val="21"/>
          <w:szCs w:val="21"/>
          <w:highlight w:val="none"/>
          <w:lang w:eastAsia="zh-CN"/>
        </w:rPr>
        <w:t>位</w:t>
      </w:r>
      <w:r>
        <w:rPr>
          <w:rFonts w:hint="eastAsia" w:ascii="宋体" w:hAnsi="宋体" w:eastAsia="宋体"/>
          <w:color w:val="auto"/>
          <w:spacing w:val="-2"/>
          <w:sz w:val="21"/>
          <w:szCs w:val="21"/>
          <w:highlight w:val="none"/>
          <w:lang w:eastAsia="zh-CN"/>
        </w:rPr>
        <w:t>公</w:t>
      </w:r>
      <w:r>
        <w:rPr>
          <w:rFonts w:hint="eastAsia" w:ascii="宋体" w:hAnsi="宋体" w:eastAsia="宋体"/>
          <w:color w:val="auto"/>
          <w:sz w:val="21"/>
          <w:szCs w:val="21"/>
          <w:highlight w:val="none"/>
          <w:lang w:eastAsia="zh-CN"/>
        </w:rPr>
        <w:t>章</w:t>
      </w:r>
      <w:r>
        <w:rPr>
          <w:rFonts w:hint="eastAsia" w:ascii="宋体" w:hAnsi="宋体" w:eastAsia="宋体"/>
          <w:color w:val="auto"/>
          <w:spacing w:val="-2"/>
          <w:sz w:val="21"/>
          <w:szCs w:val="21"/>
          <w:highlight w:val="none"/>
          <w:lang w:eastAsia="zh-CN"/>
        </w:rPr>
        <w:t>并</w:t>
      </w:r>
      <w:r>
        <w:rPr>
          <w:rFonts w:hint="eastAsia" w:ascii="宋体" w:hAnsi="宋体" w:eastAsia="宋体"/>
          <w:color w:val="auto"/>
          <w:sz w:val="21"/>
          <w:szCs w:val="21"/>
          <w:highlight w:val="none"/>
          <w:lang w:eastAsia="zh-CN"/>
        </w:rPr>
        <w:t>由</w:t>
      </w:r>
      <w:r>
        <w:rPr>
          <w:rFonts w:hint="eastAsia" w:ascii="宋体" w:hAnsi="宋体" w:eastAsia="宋体"/>
          <w:color w:val="auto"/>
          <w:spacing w:val="-2"/>
          <w:sz w:val="21"/>
          <w:szCs w:val="21"/>
          <w:highlight w:val="none"/>
          <w:lang w:eastAsia="zh-CN"/>
        </w:rPr>
        <w:t>其</w:t>
      </w:r>
      <w:r>
        <w:rPr>
          <w:rFonts w:hint="eastAsia" w:ascii="宋体" w:hAnsi="宋体" w:eastAsia="宋体"/>
          <w:color w:val="auto"/>
          <w:sz w:val="21"/>
          <w:szCs w:val="21"/>
          <w:highlight w:val="none"/>
          <w:lang w:eastAsia="zh-CN"/>
        </w:rPr>
        <w:t>法定</w:t>
      </w:r>
      <w:r>
        <w:rPr>
          <w:rFonts w:hint="eastAsia" w:ascii="宋体" w:hAnsi="宋体" w:eastAsia="宋体"/>
          <w:color w:val="auto"/>
          <w:spacing w:val="-2"/>
          <w:sz w:val="21"/>
          <w:szCs w:val="21"/>
          <w:highlight w:val="none"/>
          <w:lang w:eastAsia="zh-CN"/>
        </w:rPr>
        <w:t>代</w:t>
      </w:r>
      <w:r>
        <w:rPr>
          <w:rFonts w:hint="eastAsia" w:ascii="宋体" w:hAnsi="宋体" w:eastAsia="宋体"/>
          <w:color w:val="auto"/>
          <w:sz w:val="21"/>
          <w:szCs w:val="21"/>
          <w:highlight w:val="none"/>
          <w:lang w:eastAsia="zh-CN"/>
        </w:rPr>
        <w:t>表</w:t>
      </w:r>
      <w:r>
        <w:rPr>
          <w:rFonts w:hint="eastAsia" w:ascii="宋体" w:hAnsi="宋体" w:eastAsia="宋体"/>
          <w:color w:val="auto"/>
          <w:spacing w:val="-2"/>
          <w:sz w:val="21"/>
          <w:szCs w:val="21"/>
          <w:highlight w:val="none"/>
          <w:lang w:eastAsia="zh-CN"/>
        </w:rPr>
        <w:t>人</w:t>
      </w:r>
      <w:r>
        <w:rPr>
          <w:rFonts w:hint="eastAsia" w:ascii="宋体" w:hAnsi="宋体" w:eastAsia="宋体"/>
          <w:color w:val="auto"/>
          <w:sz w:val="21"/>
          <w:szCs w:val="21"/>
          <w:highlight w:val="none"/>
          <w:lang w:eastAsia="zh-CN"/>
        </w:rPr>
        <w:t>和</w:t>
      </w:r>
      <w:r>
        <w:rPr>
          <w:rFonts w:hint="eastAsia" w:ascii="宋体" w:hAnsi="宋体" w:eastAsia="宋体"/>
          <w:color w:val="auto"/>
          <w:spacing w:val="-2"/>
          <w:sz w:val="21"/>
          <w:szCs w:val="21"/>
          <w:highlight w:val="none"/>
          <w:lang w:eastAsia="zh-CN"/>
        </w:rPr>
        <w:t>委</w:t>
      </w:r>
      <w:r>
        <w:rPr>
          <w:rFonts w:hint="eastAsia" w:ascii="宋体" w:hAnsi="宋体" w:eastAsia="宋体"/>
          <w:color w:val="auto"/>
          <w:sz w:val="21"/>
          <w:szCs w:val="21"/>
          <w:highlight w:val="none"/>
          <w:lang w:eastAsia="zh-CN"/>
        </w:rPr>
        <w:t>托</w:t>
      </w:r>
      <w:r>
        <w:rPr>
          <w:rFonts w:hint="eastAsia" w:ascii="宋体" w:hAnsi="宋体" w:eastAsia="宋体"/>
          <w:color w:val="auto"/>
          <w:spacing w:val="-2"/>
          <w:sz w:val="21"/>
          <w:szCs w:val="21"/>
          <w:highlight w:val="none"/>
          <w:lang w:eastAsia="zh-CN"/>
        </w:rPr>
        <w:t>代</w:t>
      </w:r>
      <w:r>
        <w:rPr>
          <w:rFonts w:hint="eastAsia" w:ascii="宋体" w:hAnsi="宋体" w:eastAsia="宋体"/>
          <w:color w:val="auto"/>
          <w:sz w:val="21"/>
          <w:szCs w:val="21"/>
          <w:highlight w:val="none"/>
          <w:lang w:eastAsia="zh-CN"/>
        </w:rPr>
        <w:t>理</w:t>
      </w:r>
      <w:r>
        <w:rPr>
          <w:rFonts w:hint="eastAsia" w:ascii="宋体" w:hAnsi="宋体" w:eastAsia="宋体"/>
          <w:color w:val="auto"/>
          <w:spacing w:val="-2"/>
          <w:sz w:val="21"/>
          <w:szCs w:val="21"/>
          <w:highlight w:val="none"/>
          <w:lang w:eastAsia="zh-CN"/>
        </w:rPr>
        <w:t>人</w:t>
      </w:r>
      <w:r>
        <w:rPr>
          <w:rFonts w:hint="eastAsia" w:ascii="宋体" w:hAnsi="宋体" w:eastAsia="宋体"/>
          <w:color w:val="auto"/>
          <w:sz w:val="21"/>
          <w:szCs w:val="21"/>
          <w:highlight w:val="none"/>
          <w:lang w:eastAsia="zh-CN"/>
        </w:rPr>
        <w:t>签字</w:t>
      </w:r>
      <w:r>
        <w:rPr>
          <w:rFonts w:hint="eastAsia" w:ascii="宋体" w:hAnsi="宋体" w:eastAsia="宋体"/>
          <w:color w:val="auto"/>
          <w:spacing w:val="-2"/>
          <w:position w:val="-2"/>
          <w:sz w:val="21"/>
          <w:szCs w:val="21"/>
          <w:highlight w:val="none"/>
          <w:lang w:eastAsia="zh-CN"/>
        </w:rPr>
        <w:t>或盖章</w:t>
      </w:r>
      <w:r>
        <w:rPr>
          <w:rFonts w:hint="eastAsia" w:ascii="宋体" w:hAnsi="宋体" w:eastAsia="宋体"/>
          <w:color w:val="auto"/>
          <w:sz w:val="21"/>
          <w:szCs w:val="21"/>
          <w:highlight w:val="none"/>
          <w:lang w:eastAsia="zh-CN"/>
        </w:rPr>
        <w:t>。</w:t>
      </w:r>
    </w:p>
    <w:p>
      <w:pPr>
        <w:autoSpaceDE w:val="0"/>
        <w:autoSpaceDN w:val="0"/>
        <w:adjustRightInd w:val="0"/>
        <w:spacing w:line="360" w:lineRule="auto"/>
        <w:rPr>
          <w:rFonts w:ascii="宋体" w:hAnsi="宋体" w:eastAsia="宋体"/>
          <w:color w:val="auto"/>
          <w:sz w:val="21"/>
          <w:szCs w:val="21"/>
          <w:highlight w:val="none"/>
          <w:lang w:eastAsia="zh-CN"/>
        </w:rPr>
      </w:pPr>
    </w:p>
    <w:p>
      <w:pPr>
        <w:autoSpaceDE w:val="0"/>
        <w:autoSpaceDN w:val="0"/>
        <w:adjustRightInd w:val="0"/>
        <w:spacing w:line="360" w:lineRule="auto"/>
        <w:rPr>
          <w:rFonts w:ascii="宋体" w:hAnsi="宋体" w:eastAsia="宋体"/>
          <w:color w:val="auto"/>
          <w:sz w:val="21"/>
          <w:szCs w:val="21"/>
          <w:highlight w:val="none"/>
          <w:lang w:eastAsia="zh-CN"/>
        </w:rPr>
      </w:pPr>
      <w:r>
        <w:rPr>
          <w:rFonts w:hint="eastAsia" w:ascii="宋体" w:hAnsi="宋体" w:eastAsia="宋体"/>
          <w:color w:val="auto"/>
          <w:position w:val="-4"/>
          <w:sz w:val="21"/>
          <w:szCs w:val="21"/>
          <w:highlight w:val="none"/>
          <w:lang w:eastAsia="zh-CN"/>
        </w:rPr>
        <w:t>投标</w:t>
      </w:r>
      <w:r>
        <w:rPr>
          <w:rFonts w:hint="eastAsia" w:ascii="宋体" w:hAnsi="宋体" w:eastAsia="宋体"/>
          <w:color w:val="auto"/>
          <w:spacing w:val="-2"/>
          <w:position w:val="-4"/>
          <w:sz w:val="21"/>
          <w:szCs w:val="21"/>
          <w:highlight w:val="none"/>
          <w:lang w:eastAsia="zh-CN"/>
        </w:rPr>
        <w:t>人：</w:t>
      </w:r>
      <w:r>
        <w:rPr>
          <w:rFonts w:hint="eastAsia" w:ascii="宋体" w:hAnsi="宋体" w:eastAsia="宋体"/>
          <w:color w:val="auto"/>
          <w:position w:val="-4"/>
          <w:sz w:val="21"/>
          <w:szCs w:val="21"/>
          <w:highlight w:val="none"/>
          <w:u w:val="single"/>
          <w:lang w:eastAsia="zh-CN"/>
        </w:rPr>
        <w:t xml:space="preserve">           </w:t>
      </w:r>
      <w:r>
        <w:rPr>
          <w:rFonts w:hint="eastAsia" w:ascii="宋体" w:hAnsi="宋体" w:eastAsia="宋体"/>
          <w:color w:val="auto"/>
          <w:position w:val="-4"/>
          <w:sz w:val="21"/>
          <w:szCs w:val="21"/>
          <w:highlight w:val="none"/>
          <w:lang w:eastAsia="zh-CN"/>
        </w:rPr>
        <w:t>（盖</w:t>
      </w:r>
      <w:r>
        <w:rPr>
          <w:rFonts w:hint="eastAsia" w:ascii="宋体" w:hAnsi="宋体" w:eastAsia="宋体"/>
          <w:color w:val="auto"/>
          <w:spacing w:val="-2"/>
          <w:position w:val="-4"/>
          <w:sz w:val="21"/>
          <w:szCs w:val="21"/>
          <w:highlight w:val="none"/>
          <w:lang w:eastAsia="zh-CN"/>
        </w:rPr>
        <w:t>单</w:t>
      </w:r>
      <w:r>
        <w:rPr>
          <w:rFonts w:hint="eastAsia" w:ascii="宋体" w:hAnsi="宋体" w:eastAsia="宋体"/>
          <w:color w:val="auto"/>
          <w:spacing w:val="1"/>
          <w:position w:val="-4"/>
          <w:sz w:val="21"/>
          <w:szCs w:val="21"/>
          <w:highlight w:val="none"/>
          <w:lang w:eastAsia="zh-CN"/>
        </w:rPr>
        <w:t>位</w:t>
      </w:r>
      <w:r>
        <w:rPr>
          <w:rFonts w:hint="eastAsia" w:ascii="宋体" w:hAnsi="宋体" w:eastAsia="宋体"/>
          <w:color w:val="auto"/>
          <w:spacing w:val="-2"/>
          <w:position w:val="-4"/>
          <w:sz w:val="21"/>
          <w:szCs w:val="21"/>
          <w:highlight w:val="none"/>
          <w:lang w:eastAsia="zh-CN"/>
        </w:rPr>
        <w:t>章</w:t>
      </w:r>
      <w:r>
        <w:rPr>
          <w:rFonts w:hint="eastAsia" w:ascii="宋体" w:hAnsi="宋体" w:eastAsia="宋体"/>
          <w:color w:val="auto"/>
          <w:position w:val="-4"/>
          <w:sz w:val="21"/>
          <w:szCs w:val="21"/>
          <w:highlight w:val="none"/>
          <w:lang w:eastAsia="zh-CN"/>
        </w:rPr>
        <w:t>）</w:t>
      </w:r>
    </w:p>
    <w:p>
      <w:pPr>
        <w:autoSpaceDE w:val="0"/>
        <w:autoSpaceDN w:val="0"/>
        <w:adjustRightInd w:val="0"/>
        <w:spacing w:line="360" w:lineRule="auto"/>
        <w:rPr>
          <w:rFonts w:ascii="宋体" w:hAnsi="宋体" w:eastAsia="宋体"/>
          <w:color w:val="auto"/>
          <w:sz w:val="21"/>
          <w:szCs w:val="21"/>
          <w:highlight w:val="none"/>
          <w:lang w:eastAsia="zh-CN"/>
        </w:rPr>
      </w:pPr>
      <w:r>
        <w:rPr>
          <w:rFonts w:hint="eastAsia" w:ascii="宋体" w:hAnsi="宋体" w:eastAsia="宋体"/>
          <w:color w:val="auto"/>
          <w:position w:val="-2"/>
          <w:sz w:val="21"/>
          <w:szCs w:val="21"/>
          <w:highlight w:val="none"/>
          <w:lang w:eastAsia="zh-CN"/>
        </w:rPr>
        <w:t>法定</w:t>
      </w:r>
      <w:r>
        <w:rPr>
          <w:rFonts w:hint="eastAsia" w:ascii="宋体" w:hAnsi="宋体" w:eastAsia="宋体"/>
          <w:color w:val="auto"/>
          <w:spacing w:val="-2"/>
          <w:position w:val="-2"/>
          <w:sz w:val="21"/>
          <w:szCs w:val="21"/>
          <w:highlight w:val="none"/>
          <w:lang w:eastAsia="zh-CN"/>
        </w:rPr>
        <w:t>代</w:t>
      </w:r>
      <w:r>
        <w:rPr>
          <w:rFonts w:hint="eastAsia" w:ascii="宋体" w:hAnsi="宋体" w:eastAsia="宋体"/>
          <w:color w:val="auto"/>
          <w:position w:val="-2"/>
          <w:sz w:val="21"/>
          <w:szCs w:val="21"/>
          <w:highlight w:val="none"/>
          <w:lang w:eastAsia="zh-CN"/>
        </w:rPr>
        <w:t>表</w:t>
      </w:r>
      <w:r>
        <w:rPr>
          <w:rFonts w:hint="eastAsia" w:ascii="宋体" w:hAnsi="宋体" w:eastAsia="宋体"/>
          <w:color w:val="auto"/>
          <w:spacing w:val="-2"/>
          <w:position w:val="-2"/>
          <w:sz w:val="21"/>
          <w:szCs w:val="21"/>
          <w:highlight w:val="none"/>
          <w:lang w:eastAsia="zh-CN"/>
        </w:rPr>
        <w:t>人</w:t>
      </w:r>
      <w:r>
        <w:rPr>
          <w:rFonts w:hint="eastAsia" w:ascii="宋体" w:hAnsi="宋体" w:eastAsia="宋体"/>
          <w:color w:val="auto"/>
          <w:spacing w:val="-3"/>
          <w:position w:val="-2"/>
          <w:sz w:val="21"/>
          <w:szCs w:val="21"/>
          <w:highlight w:val="none"/>
          <w:lang w:eastAsia="zh-CN"/>
        </w:rPr>
        <w:t>：</w:t>
      </w:r>
      <w:r>
        <w:rPr>
          <w:rFonts w:hint="eastAsia" w:ascii="宋体" w:hAnsi="宋体" w:eastAsia="宋体"/>
          <w:color w:val="auto"/>
          <w:position w:val="-4"/>
          <w:sz w:val="21"/>
          <w:szCs w:val="21"/>
          <w:highlight w:val="none"/>
          <w:u w:val="single"/>
          <w:lang w:eastAsia="zh-CN"/>
        </w:rPr>
        <w:t xml:space="preserve">           </w:t>
      </w:r>
      <w:r>
        <w:rPr>
          <w:rFonts w:hint="eastAsia" w:ascii="宋体" w:hAnsi="宋体" w:eastAsia="宋体"/>
          <w:color w:val="auto"/>
          <w:position w:val="-2"/>
          <w:sz w:val="21"/>
          <w:szCs w:val="21"/>
          <w:highlight w:val="none"/>
          <w:lang w:eastAsia="zh-CN"/>
        </w:rPr>
        <w:t>（签</w:t>
      </w:r>
      <w:r>
        <w:rPr>
          <w:rFonts w:hint="eastAsia" w:ascii="宋体" w:hAnsi="宋体" w:eastAsia="宋体"/>
          <w:color w:val="auto"/>
          <w:spacing w:val="-2"/>
          <w:position w:val="-2"/>
          <w:sz w:val="21"/>
          <w:szCs w:val="21"/>
          <w:highlight w:val="none"/>
          <w:lang w:eastAsia="zh-CN"/>
        </w:rPr>
        <w:t>字或盖章</w:t>
      </w:r>
      <w:r>
        <w:rPr>
          <w:rFonts w:hint="eastAsia" w:ascii="宋体" w:hAnsi="宋体" w:eastAsia="宋体"/>
          <w:color w:val="auto"/>
          <w:position w:val="-2"/>
          <w:sz w:val="21"/>
          <w:szCs w:val="21"/>
          <w:highlight w:val="none"/>
          <w:lang w:eastAsia="zh-CN"/>
        </w:rPr>
        <w:t>）</w:t>
      </w:r>
    </w:p>
    <w:p>
      <w:pPr>
        <w:autoSpaceDE w:val="0"/>
        <w:autoSpaceDN w:val="0"/>
        <w:adjustRightInd w:val="0"/>
        <w:spacing w:line="360" w:lineRule="auto"/>
        <w:rPr>
          <w:rFonts w:ascii="宋体" w:hAnsi="宋体" w:eastAsia="宋体"/>
          <w:color w:val="auto"/>
          <w:sz w:val="21"/>
          <w:szCs w:val="21"/>
          <w:highlight w:val="none"/>
          <w:lang w:eastAsia="zh-CN"/>
        </w:rPr>
      </w:pPr>
      <w:r>
        <w:rPr>
          <w:rFonts w:hint="eastAsia" w:ascii="宋体" w:hAnsi="宋体" w:eastAsia="宋体"/>
          <w:color w:val="auto"/>
          <w:position w:val="-2"/>
          <w:sz w:val="21"/>
          <w:szCs w:val="21"/>
          <w:highlight w:val="none"/>
          <w:lang w:eastAsia="zh-CN"/>
        </w:rPr>
        <w:t>身份</w:t>
      </w:r>
      <w:r>
        <w:rPr>
          <w:rFonts w:hint="eastAsia" w:ascii="宋体" w:hAnsi="宋体" w:eastAsia="宋体"/>
          <w:color w:val="auto"/>
          <w:spacing w:val="-2"/>
          <w:position w:val="-2"/>
          <w:sz w:val="21"/>
          <w:szCs w:val="21"/>
          <w:highlight w:val="none"/>
          <w:lang w:eastAsia="zh-CN"/>
        </w:rPr>
        <w:t>证</w:t>
      </w:r>
      <w:r>
        <w:rPr>
          <w:rFonts w:hint="eastAsia" w:ascii="宋体" w:hAnsi="宋体" w:eastAsia="宋体"/>
          <w:color w:val="auto"/>
          <w:position w:val="-2"/>
          <w:sz w:val="21"/>
          <w:szCs w:val="21"/>
          <w:highlight w:val="none"/>
          <w:lang w:eastAsia="zh-CN"/>
        </w:rPr>
        <w:t>号</w:t>
      </w:r>
      <w:r>
        <w:rPr>
          <w:rFonts w:hint="eastAsia" w:ascii="宋体" w:hAnsi="宋体" w:eastAsia="宋体"/>
          <w:color w:val="auto"/>
          <w:spacing w:val="-2"/>
          <w:position w:val="-2"/>
          <w:sz w:val="21"/>
          <w:szCs w:val="21"/>
          <w:highlight w:val="none"/>
          <w:lang w:eastAsia="zh-CN"/>
        </w:rPr>
        <w:t>码</w:t>
      </w:r>
      <w:r>
        <w:rPr>
          <w:rFonts w:hint="eastAsia" w:ascii="宋体" w:hAnsi="宋体" w:eastAsia="宋体"/>
          <w:color w:val="auto"/>
          <w:spacing w:val="-3"/>
          <w:position w:val="-2"/>
          <w:sz w:val="21"/>
          <w:szCs w:val="21"/>
          <w:highlight w:val="none"/>
          <w:lang w:eastAsia="zh-CN"/>
        </w:rPr>
        <w:t>：</w:t>
      </w:r>
      <w:r>
        <w:rPr>
          <w:rFonts w:hint="eastAsia" w:ascii="宋体" w:hAnsi="宋体" w:eastAsia="宋体"/>
          <w:color w:val="auto"/>
          <w:position w:val="-4"/>
          <w:sz w:val="21"/>
          <w:szCs w:val="21"/>
          <w:highlight w:val="none"/>
          <w:u w:val="single"/>
          <w:lang w:eastAsia="zh-CN"/>
        </w:rPr>
        <w:t xml:space="preserve">           </w:t>
      </w:r>
    </w:p>
    <w:p>
      <w:pPr>
        <w:autoSpaceDE w:val="0"/>
        <w:autoSpaceDN w:val="0"/>
        <w:adjustRightInd w:val="0"/>
        <w:spacing w:line="360" w:lineRule="auto"/>
        <w:rPr>
          <w:rFonts w:ascii="宋体" w:hAnsi="宋体" w:eastAsia="宋体"/>
          <w:color w:val="auto"/>
          <w:sz w:val="21"/>
          <w:szCs w:val="21"/>
          <w:highlight w:val="none"/>
          <w:lang w:eastAsia="zh-CN"/>
        </w:rPr>
      </w:pPr>
      <w:r>
        <w:rPr>
          <w:rFonts w:hint="eastAsia" w:ascii="宋体" w:hAnsi="宋体" w:eastAsia="宋体"/>
          <w:color w:val="auto"/>
          <w:position w:val="-2"/>
          <w:sz w:val="21"/>
          <w:szCs w:val="21"/>
          <w:highlight w:val="none"/>
          <w:lang w:eastAsia="zh-CN"/>
        </w:rPr>
        <w:t>委托</w:t>
      </w:r>
      <w:r>
        <w:rPr>
          <w:rFonts w:hint="eastAsia" w:ascii="宋体" w:hAnsi="宋体" w:eastAsia="宋体"/>
          <w:color w:val="auto"/>
          <w:spacing w:val="-2"/>
          <w:position w:val="-2"/>
          <w:sz w:val="21"/>
          <w:szCs w:val="21"/>
          <w:highlight w:val="none"/>
          <w:lang w:eastAsia="zh-CN"/>
        </w:rPr>
        <w:t>代</w:t>
      </w:r>
      <w:r>
        <w:rPr>
          <w:rFonts w:hint="eastAsia" w:ascii="宋体" w:hAnsi="宋体" w:eastAsia="宋体"/>
          <w:color w:val="auto"/>
          <w:position w:val="-2"/>
          <w:sz w:val="21"/>
          <w:szCs w:val="21"/>
          <w:highlight w:val="none"/>
          <w:lang w:eastAsia="zh-CN"/>
        </w:rPr>
        <w:t>理</w:t>
      </w:r>
      <w:r>
        <w:rPr>
          <w:rFonts w:hint="eastAsia" w:ascii="宋体" w:hAnsi="宋体" w:eastAsia="宋体"/>
          <w:color w:val="auto"/>
          <w:spacing w:val="-2"/>
          <w:position w:val="-2"/>
          <w:sz w:val="21"/>
          <w:szCs w:val="21"/>
          <w:highlight w:val="none"/>
          <w:lang w:eastAsia="zh-CN"/>
        </w:rPr>
        <w:t>人</w:t>
      </w:r>
      <w:r>
        <w:rPr>
          <w:rFonts w:hint="eastAsia" w:ascii="宋体" w:hAnsi="宋体" w:eastAsia="宋体"/>
          <w:color w:val="auto"/>
          <w:spacing w:val="-3"/>
          <w:position w:val="-2"/>
          <w:sz w:val="21"/>
          <w:szCs w:val="21"/>
          <w:highlight w:val="none"/>
          <w:lang w:eastAsia="zh-CN"/>
        </w:rPr>
        <w:t>：</w:t>
      </w:r>
      <w:r>
        <w:rPr>
          <w:rFonts w:hint="eastAsia" w:ascii="宋体" w:hAnsi="宋体" w:eastAsia="宋体"/>
          <w:color w:val="auto"/>
          <w:position w:val="-4"/>
          <w:sz w:val="21"/>
          <w:szCs w:val="21"/>
          <w:highlight w:val="none"/>
          <w:u w:val="single"/>
          <w:lang w:eastAsia="zh-CN"/>
        </w:rPr>
        <w:t xml:space="preserve">           </w:t>
      </w:r>
      <w:r>
        <w:rPr>
          <w:rFonts w:hint="eastAsia" w:ascii="宋体" w:hAnsi="宋体" w:eastAsia="宋体"/>
          <w:color w:val="auto"/>
          <w:position w:val="-2"/>
          <w:sz w:val="21"/>
          <w:szCs w:val="21"/>
          <w:highlight w:val="none"/>
          <w:lang w:eastAsia="zh-CN"/>
        </w:rPr>
        <w:t>（签</w:t>
      </w:r>
      <w:r>
        <w:rPr>
          <w:rFonts w:hint="eastAsia" w:ascii="宋体" w:hAnsi="宋体" w:eastAsia="宋体"/>
          <w:color w:val="auto"/>
          <w:spacing w:val="-2"/>
          <w:position w:val="-2"/>
          <w:sz w:val="21"/>
          <w:szCs w:val="21"/>
          <w:highlight w:val="none"/>
          <w:lang w:eastAsia="zh-CN"/>
        </w:rPr>
        <w:t>字或盖章</w:t>
      </w:r>
      <w:r>
        <w:rPr>
          <w:rFonts w:hint="eastAsia" w:ascii="宋体" w:hAnsi="宋体" w:eastAsia="宋体"/>
          <w:color w:val="auto"/>
          <w:position w:val="-2"/>
          <w:sz w:val="21"/>
          <w:szCs w:val="21"/>
          <w:highlight w:val="none"/>
          <w:lang w:eastAsia="zh-CN"/>
        </w:rPr>
        <w:t>）</w:t>
      </w:r>
    </w:p>
    <w:p>
      <w:pPr>
        <w:autoSpaceDE w:val="0"/>
        <w:autoSpaceDN w:val="0"/>
        <w:adjustRightInd w:val="0"/>
        <w:spacing w:line="360" w:lineRule="auto"/>
        <w:rPr>
          <w:rFonts w:ascii="宋体" w:hAnsi="宋体" w:eastAsia="宋体"/>
          <w:color w:val="auto"/>
          <w:sz w:val="21"/>
          <w:szCs w:val="21"/>
          <w:highlight w:val="none"/>
          <w:lang w:eastAsia="zh-CN"/>
        </w:rPr>
      </w:pPr>
      <w:r>
        <w:rPr>
          <w:rFonts w:hint="eastAsia" w:ascii="宋体" w:hAnsi="宋体" w:eastAsia="宋体"/>
          <w:color w:val="auto"/>
          <w:position w:val="-2"/>
          <w:sz w:val="21"/>
          <w:szCs w:val="21"/>
          <w:highlight w:val="none"/>
          <w:lang w:eastAsia="zh-CN"/>
        </w:rPr>
        <w:t>身份</w:t>
      </w:r>
      <w:r>
        <w:rPr>
          <w:rFonts w:hint="eastAsia" w:ascii="宋体" w:hAnsi="宋体" w:eastAsia="宋体"/>
          <w:color w:val="auto"/>
          <w:spacing w:val="-2"/>
          <w:position w:val="-2"/>
          <w:sz w:val="21"/>
          <w:szCs w:val="21"/>
          <w:highlight w:val="none"/>
          <w:lang w:eastAsia="zh-CN"/>
        </w:rPr>
        <w:t>证</w:t>
      </w:r>
      <w:r>
        <w:rPr>
          <w:rFonts w:hint="eastAsia" w:ascii="宋体" w:hAnsi="宋体" w:eastAsia="宋体"/>
          <w:color w:val="auto"/>
          <w:position w:val="-2"/>
          <w:sz w:val="21"/>
          <w:szCs w:val="21"/>
          <w:highlight w:val="none"/>
          <w:lang w:eastAsia="zh-CN"/>
        </w:rPr>
        <w:t>号</w:t>
      </w:r>
      <w:r>
        <w:rPr>
          <w:rFonts w:hint="eastAsia" w:ascii="宋体" w:hAnsi="宋体" w:eastAsia="宋体"/>
          <w:color w:val="auto"/>
          <w:spacing w:val="-2"/>
          <w:position w:val="-2"/>
          <w:sz w:val="21"/>
          <w:szCs w:val="21"/>
          <w:highlight w:val="none"/>
          <w:lang w:eastAsia="zh-CN"/>
        </w:rPr>
        <w:t>码</w:t>
      </w:r>
      <w:r>
        <w:rPr>
          <w:rFonts w:hint="eastAsia" w:ascii="宋体" w:hAnsi="宋体" w:eastAsia="宋体"/>
          <w:color w:val="auto"/>
          <w:spacing w:val="-3"/>
          <w:position w:val="-2"/>
          <w:sz w:val="21"/>
          <w:szCs w:val="21"/>
          <w:highlight w:val="none"/>
          <w:lang w:eastAsia="zh-CN"/>
        </w:rPr>
        <w:t>：</w:t>
      </w:r>
      <w:r>
        <w:rPr>
          <w:rFonts w:hint="eastAsia" w:ascii="宋体" w:hAnsi="宋体" w:eastAsia="宋体"/>
          <w:color w:val="auto"/>
          <w:position w:val="-4"/>
          <w:sz w:val="21"/>
          <w:szCs w:val="21"/>
          <w:highlight w:val="none"/>
          <w:u w:val="single"/>
          <w:lang w:eastAsia="zh-CN"/>
        </w:rPr>
        <w:t xml:space="preserve">           </w:t>
      </w:r>
    </w:p>
    <w:p>
      <w:pPr>
        <w:autoSpaceDE w:val="0"/>
        <w:autoSpaceDN w:val="0"/>
        <w:adjustRightInd w:val="0"/>
        <w:spacing w:line="360" w:lineRule="auto"/>
        <w:rPr>
          <w:rFonts w:ascii="宋体" w:hAnsi="宋体" w:eastAsia="宋体"/>
          <w:color w:val="auto"/>
          <w:sz w:val="21"/>
          <w:szCs w:val="21"/>
          <w:highlight w:val="none"/>
          <w:lang w:eastAsia="zh-CN"/>
        </w:rPr>
      </w:pPr>
    </w:p>
    <w:p>
      <w:pPr>
        <w:wordWrap w:val="0"/>
        <w:autoSpaceDE w:val="0"/>
        <w:autoSpaceDN w:val="0"/>
        <w:adjustRightInd w:val="0"/>
        <w:spacing w:line="360" w:lineRule="auto"/>
        <w:jc w:val="righ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u w:val="single"/>
          <w:lang w:eastAsia="zh-CN"/>
        </w:rPr>
        <w:t xml:space="preserve">      </w:t>
      </w:r>
      <w:r>
        <w:rPr>
          <w:rFonts w:hint="eastAsia" w:ascii="宋体" w:hAnsi="宋体" w:eastAsia="宋体"/>
          <w:color w:val="auto"/>
          <w:sz w:val="21"/>
          <w:szCs w:val="21"/>
          <w:highlight w:val="none"/>
          <w:lang w:eastAsia="zh-CN"/>
        </w:rPr>
        <w:t>年</w:t>
      </w:r>
      <w:r>
        <w:rPr>
          <w:rFonts w:hint="eastAsia" w:ascii="宋体" w:hAnsi="宋体" w:eastAsia="宋体"/>
          <w:color w:val="auto"/>
          <w:sz w:val="21"/>
          <w:szCs w:val="21"/>
          <w:highlight w:val="none"/>
          <w:u w:val="single"/>
          <w:lang w:eastAsia="zh-CN"/>
        </w:rPr>
        <w:t xml:space="preserve">      </w:t>
      </w:r>
      <w:r>
        <w:rPr>
          <w:rFonts w:hint="eastAsia" w:ascii="宋体" w:hAnsi="宋体" w:eastAsia="宋体"/>
          <w:color w:val="auto"/>
          <w:spacing w:val="-2"/>
          <w:sz w:val="21"/>
          <w:szCs w:val="21"/>
          <w:highlight w:val="none"/>
          <w:lang w:eastAsia="zh-CN"/>
        </w:rPr>
        <w:t>月</w:t>
      </w:r>
      <w:r>
        <w:rPr>
          <w:rFonts w:hint="eastAsia" w:ascii="宋体" w:hAnsi="宋体" w:eastAsia="宋体"/>
          <w:color w:val="auto"/>
          <w:sz w:val="21"/>
          <w:szCs w:val="21"/>
          <w:highlight w:val="none"/>
          <w:u w:val="single"/>
          <w:lang w:eastAsia="zh-CN"/>
        </w:rPr>
        <w:t xml:space="preserve">     </w:t>
      </w:r>
      <w:r>
        <w:rPr>
          <w:rFonts w:hint="eastAsia" w:ascii="宋体" w:hAnsi="宋体" w:eastAsia="宋体"/>
          <w:color w:val="auto"/>
          <w:sz w:val="21"/>
          <w:szCs w:val="21"/>
          <w:highlight w:val="none"/>
          <w:lang w:eastAsia="zh-CN"/>
        </w:rPr>
        <w:t>日</w:t>
      </w:r>
    </w:p>
    <w:p>
      <w:pPr>
        <w:widowControl/>
        <w:spacing w:line="360" w:lineRule="auto"/>
        <w:rPr>
          <w:rFonts w:ascii="宋体" w:hAnsi="宋体" w:eastAsia="宋体" w:cs="宋体"/>
          <w:color w:val="auto"/>
          <w:spacing w:val="2"/>
          <w:position w:val="-1"/>
          <w:sz w:val="24"/>
          <w:szCs w:val="24"/>
          <w:highlight w:val="none"/>
          <w:lang w:eastAsia="zh-CN"/>
        </w:rPr>
        <w:sectPr>
          <w:pgSz w:w="11907" w:h="16839"/>
          <w:pgMar w:top="1440" w:right="1440" w:bottom="1440" w:left="1440" w:header="720" w:footer="720" w:gutter="0"/>
          <w:cols w:space="720" w:num="1"/>
        </w:sectPr>
      </w:pPr>
    </w:p>
    <w:p>
      <w:pPr>
        <w:pStyle w:val="6"/>
        <w:rPr>
          <w:rFonts w:ascii="宋体" w:hAnsi="宋体" w:eastAsia="宋体"/>
          <w:color w:val="auto"/>
          <w:spacing w:val="2"/>
          <w:position w:val="-1"/>
          <w:sz w:val="21"/>
          <w:szCs w:val="21"/>
          <w:highlight w:val="none"/>
          <w:lang w:eastAsia="zh-CN"/>
        </w:rPr>
      </w:pPr>
      <w:bookmarkStart w:id="81" w:name="_Toc63065955"/>
      <w:bookmarkStart w:id="82" w:name="_Toc109809445"/>
      <w:bookmarkStart w:id="83" w:name="_Toc50480839"/>
      <w:bookmarkStart w:id="84" w:name="_Toc109809406"/>
      <w:bookmarkStart w:id="85" w:name="_Toc25072143"/>
      <w:r>
        <w:rPr>
          <w:rFonts w:hint="eastAsia" w:ascii="宋体" w:hAnsi="宋体" w:eastAsia="宋体"/>
          <w:color w:val="auto"/>
          <w:spacing w:val="2"/>
          <w:position w:val="-1"/>
          <w:sz w:val="21"/>
          <w:szCs w:val="21"/>
          <w:highlight w:val="none"/>
          <w:lang w:eastAsia="zh-CN"/>
        </w:rPr>
        <w:t>格式三：合作设计协议书参考格式（格式仅供参考，适用于合作设计，否则可不提供）</w:t>
      </w:r>
      <w:bookmarkEnd w:id="81"/>
      <w:bookmarkEnd w:id="82"/>
      <w:bookmarkEnd w:id="83"/>
      <w:bookmarkEnd w:id="84"/>
    </w:p>
    <w:p>
      <w:pPr>
        <w:jc w:val="center"/>
        <w:rPr>
          <w:rFonts w:ascii="宋体" w:hAnsi="宋体" w:eastAsia="宋体"/>
          <w:b/>
          <w:bCs/>
          <w:color w:val="auto"/>
          <w:sz w:val="32"/>
          <w:szCs w:val="32"/>
          <w:highlight w:val="none"/>
          <w:lang w:eastAsia="zh-CN"/>
        </w:rPr>
      </w:pPr>
    </w:p>
    <w:p>
      <w:pPr>
        <w:jc w:val="center"/>
        <w:rPr>
          <w:rFonts w:ascii="宋体" w:hAnsi="宋体" w:eastAsia="宋体"/>
          <w:b/>
          <w:bCs/>
          <w:color w:val="auto"/>
          <w:sz w:val="32"/>
          <w:szCs w:val="32"/>
          <w:highlight w:val="none"/>
          <w:lang w:eastAsia="zh-CN"/>
        </w:rPr>
      </w:pPr>
      <w:r>
        <w:rPr>
          <w:rFonts w:hint="eastAsia" w:ascii="宋体" w:hAnsi="宋体" w:eastAsia="宋体"/>
          <w:b/>
          <w:bCs/>
          <w:color w:val="auto"/>
          <w:sz w:val="32"/>
          <w:szCs w:val="32"/>
          <w:highlight w:val="none"/>
          <w:lang w:eastAsia="zh-CN"/>
        </w:rPr>
        <w:t>合作设计协议书</w:t>
      </w:r>
    </w:p>
    <w:p>
      <w:pPr>
        <w:rPr>
          <w:rFonts w:ascii="宋体" w:hAnsi="宋体" w:eastAsia="宋体"/>
          <w:color w:val="auto"/>
          <w:sz w:val="21"/>
          <w:szCs w:val="21"/>
          <w:highlight w:val="none"/>
          <w:lang w:eastAsia="zh-CN"/>
        </w:rPr>
      </w:pP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投标项目名称：</w:t>
      </w:r>
      <w:r>
        <w:rPr>
          <w:rFonts w:hint="eastAsia" w:ascii="宋体" w:hAnsi="宋体" w:eastAsia="宋体"/>
          <w:color w:val="auto"/>
          <w:sz w:val="21"/>
          <w:szCs w:val="21"/>
          <w:highlight w:val="none"/>
          <w:u w:val="single"/>
          <w:lang w:eastAsia="zh-CN"/>
        </w:rPr>
        <w:t xml:space="preserve">                                           </w:t>
      </w:r>
      <w:r>
        <w:rPr>
          <w:rFonts w:hint="eastAsia" w:ascii="宋体" w:hAnsi="宋体" w:eastAsia="宋体"/>
          <w:color w:val="auto"/>
          <w:sz w:val="21"/>
          <w:szCs w:val="21"/>
          <w:highlight w:val="none"/>
          <w:lang w:eastAsia="zh-CN"/>
        </w:rPr>
        <w:t>。</w:t>
      </w: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致：</w:t>
      </w:r>
      <w:r>
        <w:rPr>
          <w:rFonts w:hint="eastAsia" w:ascii="宋体" w:hAnsi="宋体" w:eastAsia="宋体"/>
          <w:color w:val="auto"/>
          <w:sz w:val="21"/>
          <w:szCs w:val="21"/>
          <w:highlight w:val="none"/>
          <w:u w:val="single"/>
          <w:lang w:eastAsia="zh-CN"/>
        </w:rPr>
        <w:t xml:space="preserve">                                    </w:t>
      </w:r>
      <w:r>
        <w:rPr>
          <w:rFonts w:hint="eastAsia" w:ascii="宋体" w:hAnsi="宋体" w:eastAsia="宋体"/>
          <w:color w:val="auto"/>
          <w:sz w:val="21"/>
          <w:szCs w:val="21"/>
          <w:highlight w:val="none"/>
          <w:lang w:eastAsia="zh-CN"/>
        </w:rPr>
        <w:t>（招标人）</w:t>
      </w:r>
    </w:p>
    <w:p>
      <w:pPr>
        <w:spacing w:line="360" w:lineRule="auto"/>
        <w:ind w:firstLine="420" w:firstLineChars="20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按照招标公告的规定，</w:t>
      </w:r>
      <w:r>
        <w:rPr>
          <w:rFonts w:hint="eastAsia" w:ascii="宋体" w:hAnsi="宋体" w:eastAsia="宋体"/>
          <w:color w:val="auto"/>
          <w:sz w:val="21"/>
          <w:szCs w:val="21"/>
          <w:highlight w:val="none"/>
          <w:u w:val="single"/>
          <w:lang w:eastAsia="zh-CN"/>
        </w:rPr>
        <w:t xml:space="preserve">                         </w:t>
      </w:r>
      <w:r>
        <w:rPr>
          <w:rFonts w:hint="eastAsia" w:ascii="宋体" w:hAnsi="宋体" w:eastAsia="宋体"/>
          <w:color w:val="auto"/>
          <w:sz w:val="21"/>
          <w:szCs w:val="21"/>
          <w:highlight w:val="none"/>
          <w:lang w:eastAsia="zh-CN"/>
        </w:rPr>
        <w:t>（</w:t>
      </w:r>
      <w:r>
        <w:rPr>
          <w:rFonts w:hint="eastAsia" w:ascii="宋体" w:hAnsi="宋体" w:eastAsia="宋体" w:cs="宋体"/>
          <w:color w:val="auto"/>
          <w:sz w:val="21"/>
          <w:szCs w:val="21"/>
          <w:highlight w:val="none"/>
          <w:shd w:val="clear" w:color="auto" w:fill="FFFFFF"/>
          <w:lang w:eastAsia="zh-CN"/>
        </w:rPr>
        <w:t>外国或澳门、台湾的设计企业</w:t>
      </w:r>
      <w:r>
        <w:rPr>
          <w:rFonts w:hint="eastAsia" w:ascii="宋体" w:hAnsi="宋体" w:eastAsia="宋体" w:cs="宋体"/>
          <w:b/>
          <w:color w:val="auto"/>
          <w:sz w:val="21"/>
          <w:szCs w:val="21"/>
          <w:highlight w:val="none"/>
          <w:u w:val="single"/>
          <w:shd w:val="clear" w:color="auto" w:fill="FFFFFF"/>
          <w:lang w:eastAsia="zh-CN"/>
        </w:rPr>
        <w:t>和香港不单独参加投标的设计企业</w:t>
      </w:r>
      <w:r>
        <w:rPr>
          <w:rFonts w:hint="eastAsia" w:ascii="宋体" w:hAnsi="宋体" w:eastAsia="宋体" w:cs="宋体"/>
          <w:color w:val="auto"/>
          <w:sz w:val="21"/>
          <w:szCs w:val="21"/>
          <w:highlight w:val="none"/>
          <w:lang w:eastAsia="zh-CN"/>
        </w:rPr>
        <w:t>）作为投标人（即“申请人”，下同）</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（符合招标公告第</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条资质条件的企业）的合作设计方，参与本项目进行合作设计。若中标，各成员向招标人承担连带责任。合作设计方授权委托</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olor w:val="auto"/>
          <w:sz w:val="21"/>
          <w:szCs w:val="21"/>
          <w:highlight w:val="none"/>
          <w:u w:val="single"/>
          <w:lang w:eastAsia="zh-CN"/>
        </w:rPr>
        <w:t xml:space="preserve">             </w:t>
      </w:r>
      <w:r>
        <w:rPr>
          <w:rFonts w:hint="eastAsia" w:ascii="宋体" w:hAnsi="宋体" w:eastAsia="宋体"/>
          <w:color w:val="auto"/>
          <w:sz w:val="21"/>
          <w:szCs w:val="21"/>
          <w:highlight w:val="none"/>
          <w:lang w:eastAsia="zh-CN"/>
        </w:rPr>
        <w:t>（符合招标公告第</w:t>
      </w: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lang w:eastAsia="zh-CN"/>
        </w:rPr>
        <w:t>条资质条件的企业）代表所有合作成员参加投标、提交投标文件，以及与招标人签订合同，负责整个合同实施阶段的协调工作。</w:t>
      </w:r>
    </w:p>
    <w:p>
      <w:pPr>
        <w:rPr>
          <w:rFonts w:ascii="宋体" w:hAnsi="宋体" w:eastAsia="宋体"/>
          <w:color w:val="auto"/>
          <w:sz w:val="21"/>
          <w:szCs w:val="21"/>
          <w:highlight w:val="none"/>
          <w:lang w:eastAsia="zh-CN"/>
        </w:rPr>
      </w:pPr>
    </w:p>
    <w:p>
      <w:pPr>
        <w:rPr>
          <w:rFonts w:ascii="宋体" w:hAnsi="宋体" w:eastAsia="宋体"/>
          <w:color w:val="auto"/>
          <w:sz w:val="21"/>
          <w:szCs w:val="21"/>
          <w:highlight w:val="none"/>
          <w:lang w:eastAsia="zh-CN"/>
        </w:rPr>
      </w:pP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合作设计方：（盖章）</w:t>
      </w:r>
      <w:r>
        <w:rPr>
          <w:rFonts w:hint="eastAsia" w:ascii="宋体" w:hAnsi="宋体" w:eastAsia="宋体"/>
          <w:color w:val="auto"/>
          <w:sz w:val="21"/>
          <w:szCs w:val="21"/>
          <w:highlight w:val="none"/>
          <w:u w:val="single"/>
          <w:lang w:eastAsia="zh-CN"/>
        </w:rPr>
        <w:t xml:space="preserve">                                         </w:t>
      </w:r>
    </w:p>
    <w:p>
      <w:pPr>
        <w:spacing w:line="360" w:lineRule="auto"/>
        <w:rPr>
          <w:rFonts w:ascii="宋体" w:hAnsi="宋体" w:eastAsia="宋体"/>
          <w:color w:val="auto"/>
          <w:sz w:val="21"/>
          <w:szCs w:val="21"/>
          <w:highlight w:val="none"/>
          <w:u w:val="single"/>
          <w:lang w:eastAsia="zh-CN"/>
        </w:rPr>
      </w:pPr>
      <w:r>
        <w:rPr>
          <w:rFonts w:hint="eastAsia" w:ascii="宋体" w:hAnsi="宋体" w:eastAsia="宋体"/>
          <w:color w:val="auto"/>
          <w:sz w:val="21"/>
          <w:szCs w:val="21"/>
          <w:highlight w:val="none"/>
          <w:lang w:eastAsia="zh-CN"/>
        </w:rPr>
        <w:t>代表人：（签字或盖章）</w:t>
      </w:r>
      <w:r>
        <w:rPr>
          <w:rFonts w:hint="eastAsia" w:ascii="宋体" w:hAnsi="宋体" w:eastAsia="宋体"/>
          <w:color w:val="auto"/>
          <w:sz w:val="21"/>
          <w:szCs w:val="21"/>
          <w:highlight w:val="none"/>
          <w:u w:val="single"/>
          <w:lang w:eastAsia="zh-CN"/>
        </w:rPr>
        <w:t xml:space="preserve">                                       </w:t>
      </w: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分工内容：</w:t>
      </w:r>
      <w:r>
        <w:rPr>
          <w:rFonts w:hint="eastAsia" w:ascii="宋体" w:hAnsi="宋体" w:eastAsia="宋体"/>
          <w:color w:val="auto"/>
          <w:sz w:val="21"/>
          <w:szCs w:val="21"/>
          <w:highlight w:val="none"/>
          <w:u w:val="single"/>
          <w:lang w:eastAsia="zh-CN"/>
        </w:rPr>
        <w:t xml:space="preserve">                                                  </w:t>
      </w:r>
    </w:p>
    <w:p>
      <w:pPr>
        <w:spacing w:line="360" w:lineRule="auto"/>
        <w:rPr>
          <w:rFonts w:ascii="宋体" w:hAnsi="宋体" w:eastAsia="宋体"/>
          <w:color w:val="auto"/>
          <w:sz w:val="21"/>
          <w:szCs w:val="21"/>
          <w:highlight w:val="none"/>
          <w:lang w:eastAsia="zh-CN"/>
        </w:rPr>
      </w:pP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投标人：（盖章）</w:t>
      </w:r>
      <w:r>
        <w:rPr>
          <w:rFonts w:hint="eastAsia" w:ascii="宋体" w:hAnsi="宋体" w:eastAsia="宋体"/>
          <w:color w:val="auto"/>
          <w:sz w:val="21"/>
          <w:szCs w:val="21"/>
          <w:highlight w:val="none"/>
          <w:u w:val="single"/>
          <w:lang w:eastAsia="zh-CN"/>
        </w:rPr>
        <w:t xml:space="preserve">                                             </w:t>
      </w:r>
    </w:p>
    <w:p>
      <w:pPr>
        <w:spacing w:line="360" w:lineRule="auto"/>
        <w:rPr>
          <w:rFonts w:ascii="宋体" w:hAnsi="宋体" w:eastAsia="宋体"/>
          <w:color w:val="auto"/>
          <w:sz w:val="21"/>
          <w:szCs w:val="21"/>
          <w:highlight w:val="none"/>
          <w:u w:val="single"/>
          <w:lang w:eastAsia="zh-CN"/>
        </w:rPr>
      </w:pPr>
      <w:r>
        <w:rPr>
          <w:rFonts w:hint="eastAsia" w:ascii="宋体" w:hAnsi="宋体" w:eastAsia="宋体"/>
          <w:color w:val="auto"/>
          <w:sz w:val="21"/>
          <w:szCs w:val="21"/>
          <w:highlight w:val="none"/>
          <w:lang w:eastAsia="zh-CN"/>
        </w:rPr>
        <w:t>法定代表人：（签字或盖章）</w:t>
      </w:r>
      <w:r>
        <w:rPr>
          <w:rFonts w:hint="eastAsia" w:ascii="宋体" w:hAnsi="宋体" w:eastAsia="宋体"/>
          <w:color w:val="auto"/>
          <w:sz w:val="21"/>
          <w:szCs w:val="21"/>
          <w:highlight w:val="none"/>
          <w:u w:val="single"/>
          <w:lang w:eastAsia="zh-CN"/>
        </w:rPr>
        <w:t xml:space="preserve">                                   </w:t>
      </w: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分工内容：</w:t>
      </w:r>
      <w:r>
        <w:rPr>
          <w:rFonts w:hint="eastAsia" w:ascii="宋体" w:hAnsi="宋体" w:eastAsia="宋体"/>
          <w:color w:val="auto"/>
          <w:sz w:val="21"/>
          <w:szCs w:val="21"/>
          <w:highlight w:val="none"/>
          <w:u w:val="single"/>
          <w:lang w:eastAsia="zh-CN"/>
        </w:rPr>
        <w:t xml:space="preserve">                                                  </w:t>
      </w:r>
    </w:p>
    <w:p>
      <w:pPr>
        <w:pStyle w:val="6"/>
        <w:rPr>
          <w:rFonts w:ascii="宋体" w:hAnsi="宋体" w:eastAsia="宋体"/>
          <w:color w:val="auto"/>
          <w:spacing w:val="2"/>
          <w:position w:val="-1"/>
          <w:sz w:val="21"/>
          <w:szCs w:val="21"/>
          <w:highlight w:val="none"/>
          <w:lang w:eastAsia="zh-CN"/>
        </w:rPr>
      </w:pPr>
      <w:r>
        <w:rPr>
          <w:rFonts w:ascii="宋体" w:hAnsi="宋体" w:eastAsia="宋体"/>
          <w:color w:val="auto"/>
          <w:spacing w:val="2"/>
          <w:position w:val="-1"/>
          <w:highlight w:val="none"/>
          <w:lang w:eastAsia="zh-CN"/>
        </w:rPr>
        <w:br w:type="page"/>
      </w:r>
      <w:bookmarkStart w:id="86" w:name="_Toc109809446"/>
      <w:bookmarkStart w:id="87" w:name="_Toc109809407"/>
      <w:r>
        <w:rPr>
          <w:rFonts w:hint="eastAsia" w:ascii="宋体" w:hAnsi="宋体" w:eastAsia="宋体"/>
          <w:color w:val="auto"/>
          <w:spacing w:val="2"/>
          <w:position w:val="-1"/>
          <w:sz w:val="21"/>
          <w:szCs w:val="21"/>
          <w:highlight w:val="none"/>
          <w:lang w:eastAsia="zh-CN"/>
        </w:rPr>
        <w:t xml:space="preserve">格式四  </w:t>
      </w:r>
      <w:r>
        <w:rPr>
          <w:rFonts w:hint="eastAsia" w:ascii="宋体" w:hAnsi="宋体" w:eastAsia="宋体"/>
          <w:color w:val="auto"/>
          <w:sz w:val="21"/>
          <w:szCs w:val="21"/>
          <w:highlight w:val="none"/>
          <w:lang w:eastAsia="zh-CN"/>
        </w:rPr>
        <w:t>投标</w:t>
      </w:r>
      <w:r>
        <w:rPr>
          <w:rFonts w:hint="eastAsia" w:ascii="宋体" w:hAnsi="宋体" w:eastAsia="宋体"/>
          <w:color w:val="auto"/>
          <w:sz w:val="21"/>
          <w:szCs w:val="21"/>
          <w:highlight w:val="none"/>
          <w:lang w:val="en-US" w:eastAsia="zh-CN"/>
        </w:rPr>
        <w:t>申请</w:t>
      </w:r>
      <w:r>
        <w:rPr>
          <w:rFonts w:hint="eastAsia" w:ascii="宋体" w:hAnsi="宋体" w:eastAsia="宋体"/>
          <w:color w:val="auto"/>
          <w:sz w:val="21"/>
          <w:szCs w:val="21"/>
          <w:highlight w:val="none"/>
          <w:lang w:eastAsia="zh-CN"/>
        </w:rPr>
        <w:t>人声明</w:t>
      </w:r>
      <w:bookmarkEnd w:id="85"/>
      <w:bookmarkEnd w:id="86"/>
      <w:bookmarkEnd w:id="87"/>
    </w:p>
    <w:p>
      <w:pPr>
        <w:autoSpaceDE w:val="0"/>
        <w:autoSpaceDN w:val="0"/>
        <w:adjustRightInd w:val="0"/>
        <w:spacing w:beforeLines="50" w:afterLines="50"/>
        <w:jc w:val="center"/>
        <w:rPr>
          <w:rFonts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（格式详见招标公告附件一）</w:t>
      </w:r>
    </w:p>
    <w:p>
      <w:pPr>
        <w:pStyle w:val="9"/>
        <w:rPr>
          <w:color w:val="auto"/>
          <w:highlight w:val="none"/>
        </w:rPr>
      </w:pPr>
    </w:p>
    <w:p>
      <w:pPr>
        <w:pStyle w:val="9"/>
        <w:rPr>
          <w:color w:val="auto"/>
          <w:highlight w:val="none"/>
        </w:rPr>
      </w:pPr>
    </w:p>
    <w:p>
      <w:pPr>
        <w:pStyle w:val="9"/>
        <w:rPr>
          <w:color w:val="auto"/>
          <w:highlight w:val="none"/>
        </w:rPr>
      </w:pPr>
    </w:p>
    <w:p>
      <w:pPr>
        <w:pStyle w:val="6"/>
        <w:rPr>
          <w:rFonts w:ascii="宋体" w:hAnsi="宋体" w:eastAsia="宋体"/>
          <w:b w:val="0"/>
          <w:color w:val="auto"/>
          <w:sz w:val="21"/>
          <w:szCs w:val="21"/>
          <w:highlight w:val="none"/>
          <w:lang w:eastAsia="zh-CN"/>
        </w:rPr>
      </w:pPr>
      <w:bookmarkStart w:id="88" w:name="_Hlk109598567"/>
      <w:r>
        <w:rPr>
          <w:rFonts w:hint="eastAsia" w:ascii="宋体" w:hAnsi="宋体" w:eastAsia="宋体"/>
          <w:color w:val="auto"/>
          <w:highlight w:val="none"/>
          <w:lang w:eastAsia="zh-CN"/>
        </w:rPr>
        <w:br w:type="page"/>
      </w:r>
      <w:bookmarkEnd w:id="88"/>
      <w:bookmarkStart w:id="89" w:name="_Toc109809408"/>
      <w:bookmarkStart w:id="90" w:name="_Toc109809447"/>
      <w:bookmarkStart w:id="91" w:name="_Toc25072144"/>
      <w:r>
        <w:rPr>
          <w:rFonts w:hint="eastAsia" w:ascii="宋体" w:hAnsi="宋体" w:eastAsia="宋体"/>
          <w:color w:val="auto"/>
          <w:sz w:val="21"/>
          <w:szCs w:val="21"/>
          <w:highlight w:val="none"/>
          <w:lang w:eastAsia="zh-CN"/>
        </w:rPr>
        <w:t>格式五  勘察设计费报价汇总表</w:t>
      </w:r>
      <w:bookmarkEnd w:id="89"/>
      <w:bookmarkEnd w:id="90"/>
    </w:p>
    <w:p>
      <w:pPr>
        <w:autoSpaceDE w:val="0"/>
        <w:autoSpaceDN w:val="0"/>
        <w:adjustRightInd w:val="0"/>
        <w:spacing w:before="7" w:line="110" w:lineRule="exact"/>
        <w:rPr>
          <w:rFonts w:ascii="宋体" w:hAnsi="宋体" w:eastAsia="宋体"/>
          <w:color w:val="auto"/>
          <w:sz w:val="11"/>
          <w:szCs w:val="11"/>
          <w:highlight w:val="none"/>
          <w:lang w:eastAsia="zh-CN"/>
        </w:rPr>
      </w:pPr>
    </w:p>
    <w:p>
      <w:pPr>
        <w:autoSpaceDE w:val="0"/>
        <w:autoSpaceDN w:val="0"/>
        <w:adjustRightInd w:val="0"/>
        <w:spacing w:line="200" w:lineRule="exact"/>
        <w:rPr>
          <w:rFonts w:ascii="宋体" w:hAnsi="宋体" w:eastAsia="宋体"/>
          <w:color w:val="auto"/>
          <w:sz w:val="20"/>
          <w:szCs w:val="20"/>
          <w:highlight w:val="none"/>
          <w:lang w:eastAsia="zh-CN"/>
        </w:rPr>
      </w:pPr>
    </w:p>
    <w:bookmarkEnd w:id="91"/>
    <w:p>
      <w:pPr>
        <w:rPr>
          <w:rFonts w:ascii="宋体" w:hAnsi="宋体"/>
          <w:color w:val="auto"/>
          <w:sz w:val="24"/>
          <w:highlight w:val="none"/>
          <w:lang w:eastAsia="zh-CN"/>
        </w:rPr>
      </w:pPr>
    </w:p>
    <w:p>
      <w:pPr>
        <w:spacing w:line="360" w:lineRule="auto"/>
        <w:jc w:val="center"/>
        <w:rPr>
          <w:b/>
          <w:bCs/>
          <w:color w:val="auto"/>
          <w:sz w:val="28"/>
          <w:szCs w:val="28"/>
          <w:highlight w:val="none"/>
        </w:rPr>
      </w:pPr>
      <w:r>
        <w:rPr>
          <w:rFonts w:hint="eastAsia"/>
          <w:b/>
          <w:bCs/>
          <w:color w:val="auto"/>
          <w:sz w:val="28"/>
          <w:szCs w:val="28"/>
          <w:highlight w:val="none"/>
        </w:rPr>
        <w:t>勘察设计费报价汇总表</w:t>
      </w:r>
    </w:p>
    <w:p>
      <w:pPr>
        <w:spacing w:line="360" w:lineRule="auto"/>
        <w:rPr>
          <w:color w:val="auto"/>
          <w:highlight w:val="none"/>
        </w:rPr>
      </w:pP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2195"/>
        <w:gridCol w:w="2004"/>
        <w:gridCol w:w="2004"/>
        <w:gridCol w:w="2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7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序  号</w:t>
            </w:r>
          </w:p>
        </w:tc>
        <w:tc>
          <w:tcPr>
            <w:tcW w:w="1187" w:type="pct"/>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项  目</w:t>
            </w:r>
          </w:p>
        </w:tc>
        <w:tc>
          <w:tcPr>
            <w:tcW w:w="1084"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b/>
                <w:bCs/>
                <w:color w:val="auto"/>
                <w:sz w:val="24"/>
                <w:szCs w:val="24"/>
                <w:highlight w:val="none"/>
              </w:rPr>
            </w:pPr>
            <w:r>
              <w:rPr>
                <w:rFonts w:hint="eastAsia" w:ascii="宋体" w:hAnsi="宋体"/>
                <w:b/>
                <w:bCs/>
                <w:color w:val="auto"/>
                <w:sz w:val="24"/>
                <w:szCs w:val="24"/>
                <w:highlight w:val="none"/>
              </w:rPr>
              <w:t>最高投标限价（元）</w:t>
            </w:r>
          </w:p>
        </w:tc>
        <w:tc>
          <w:tcPr>
            <w:tcW w:w="1084"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default"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投标报价</w:t>
            </w:r>
          </w:p>
          <w:p>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（元）</w:t>
            </w:r>
          </w:p>
        </w:tc>
        <w:tc>
          <w:tcPr>
            <w:tcW w:w="1368"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74" w:type="pc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1</w:t>
            </w:r>
          </w:p>
        </w:tc>
        <w:tc>
          <w:tcPr>
            <w:tcW w:w="1187" w:type="pct"/>
            <w:tcBorders>
              <w:top w:val="single" w:color="auto" w:sz="4" w:space="0"/>
              <w:left w:val="nil"/>
              <w:right w:val="single" w:color="auto" w:sz="4" w:space="0"/>
            </w:tcBorders>
            <w:noWrap w:val="0"/>
            <w:vAlign w:val="center"/>
          </w:tcPr>
          <w:p>
            <w:pPr>
              <w:spacing w:line="360" w:lineRule="auto"/>
              <w:jc w:val="left"/>
              <w:rPr>
                <w:rFonts w:hint="eastAsia" w:eastAsia="宋体"/>
                <w:color w:val="auto"/>
                <w:highlight w:val="none"/>
                <w:lang w:val="en-US" w:eastAsia="zh-CN"/>
              </w:rPr>
            </w:pPr>
            <w:r>
              <w:rPr>
                <w:rFonts w:hint="eastAsia" w:ascii="宋体" w:hAnsi="宋体"/>
                <w:b w:val="0"/>
                <w:bCs w:val="0"/>
                <w:color w:val="auto"/>
                <w:sz w:val="24"/>
                <w:szCs w:val="24"/>
                <w:highlight w:val="none"/>
              </w:rPr>
              <w:t>设计费</w:t>
            </w:r>
            <w:r>
              <w:rPr>
                <w:rFonts w:hint="eastAsia" w:ascii="宋体" w:hAnsi="宋体"/>
                <w:b w:val="0"/>
                <w:bCs w:val="0"/>
                <w:color w:val="auto"/>
                <w:sz w:val="24"/>
                <w:szCs w:val="24"/>
                <w:highlight w:val="none"/>
                <w:lang w:val="en-US" w:eastAsia="zh-CN"/>
              </w:rPr>
              <w:t>投标</w:t>
            </w:r>
            <w:r>
              <w:rPr>
                <w:rFonts w:hint="eastAsia" w:ascii="宋体" w:hAnsi="宋体"/>
                <w:b w:val="0"/>
                <w:bCs w:val="0"/>
                <w:color w:val="auto"/>
                <w:sz w:val="24"/>
                <w:szCs w:val="24"/>
                <w:highlight w:val="none"/>
              </w:rPr>
              <w:t>报价</w:t>
            </w:r>
          </w:p>
        </w:tc>
        <w:tc>
          <w:tcPr>
            <w:tcW w:w="1084" w:type="pct"/>
            <w:tcBorders>
              <w:top w:val="single" w:color="auto" w:sz="4" w:space="0"/>
              <w:left w:val="nil"/>
              <w:right w:val="single" w:color="auto" w:sz="4" w:space="0"/>
            </w:tcBorders>
            <w:noWrap w:val="0"/>
            <w:vAlign w:val="center"/>
          </w:tcPr>
          <w:p>
            <w:pPr>
              <w:wordWrap w:val="0"/>
              <w:topLinePunct/>
              <w:snapToGrid w:val="0"/>
              <w:spacing w:line="360" w:lineRule="auto"/>
              <w:ind w:right="-719" w:rightChars="-327"/>
              <w:outlineLvl w:val="1"/>
              <w:rPr>
                <w:rFonts w:hint="default" w:eastAsia="宋体"/>
                <w:color w:val="auto"/>
                <w:highlight w:val="none"/>
                <w:lang w:val="en-US" w:eastAsia="zh-CN"/>
              </w:rPr>
            </w:pPr>
            <w:r>
              <w:rPr>
                <w:rFonts w:hint="default" w:eastAsia="宋体"/>
                <w:color w:val="auto"/>
                <w:highlight w:val="none"/>
                <w:lang w:val="en-US" w:eastAsia="zh-CN"/>
              </w:rPr>
              <w:t>48313</w:t>
            </w:r>
            <w:r>
              <w:rPr>
                <w:rFonts w:hint="eastAsia" w:eastAsia="宋体"/>
                <w:color w:val="auto"/>
                <w:highlight w:val="none"/>
                <w:lang w:val="en-US" w:eastAsia="zh-CN"/>
              </w:rPr>
              <w:t>00.00</w:t>
            </w:r>
          </w:p>
        </w:tc>
        <w:tc>
          <w:tcPr>
            <w:tcW w:w="1084" w:type="pct"/>
            <w:tcBorders>
              <w:top w:val="single" w:color="auto" w:sz="4" w:space="0"/>
              <w:left w:val="nil"/>
              <w:right w:val="single" w:color="auto" w:sz="4" w:space="0"/>
            </w:tcBorders>
            <w:noWrap w:val="0"/>
            <w:vAlign w:val="center"/>
          </w:tcPr>
          <w:p>
            <w:pPr>
              <w:wordWrap w:val="0"/>
              <w:topLinePunct/>
              <w:snapToGrid w:val="0"/>
              <w:spacing w:line="360" w:lineRule="auto"/>
              <w:ind w:right="-719" w:rightChars="-327"/>
              <w:outlineLvl w:val="1"/>
              <w:rPr>
                <w:color w:val="auto"/>
                <w:highlight w:val="none"/>
              </w:rPr>
            </w:pPr>
            <w:r>
              <w:rPr>
                <w:rFonts w:hint="eastAsia"/>
                <w:color w:val="auto"/>
                <w:highlight w:val="none"/>
              </w:rPr>
              <w:t>大写：</w:t>
            </w:r>
          </w:p>
          <w:p>
            <w:pPr>
              <w:wordWrap w:val="0"/>
              <w:topLinePunct/>
              <w:snapToGrid w:val="0"/>
              <w:spacing w:line="360" w:lineRule="auto"/>
              <w:ind w:right="-719" w:rightChars="-327"/>
              <w:outlineLvl w:val="1"/>
              <w:rPr>
                <w:rFonts w:ascii="宋体" w:hAnsi="宋体"/>
                <w:b/>
                <w:bCs/>
                <w:color w:val="auto"/>
                <w:sz w:val="24"/>
                <w:szCs w:val="24"/>
                <w:highlight w:val="none"/>
              </w:rPr>
            </w:pPr>
            <w:r>
              <w:rPr>
                <w:rFonts w:hint="eastAsia"/>
                <w:color w:val="auto"/>
                <w:highlight w:val="none"/>
              </w:rPr>
              <w:t>小写：</w:t>
            </w:r>
          </w:p>
        </w:tc>
        <w:tc>
          <w:tcPr>
            <w:tcW w:w="1368" w:type="pct"/>
            <w:vMerge w:val="restart"/>
            <w:tcBorders>
              <w:top w:val="single" w:color="auto" w:sz="4" w:space="0"/>
              <w:left w:val="nil"/>
              <w:right w:val="single" w:color="auto" w:sz="4" w:space="0"/>
            </w:tcBorders>
            <w:noWrap w:val="0"/>
            <w:vAlign w:val="center"/>
          </w:tcPr>
          <w:p>
            <w:pPr>
              <w:spacing w:line="288" w:lineRule="auto"/>
              <w:rPr>
                <w:rFonts w:hint="eastAsia" w:ascii="宋体" w:hAnsi="宋体"/>
                <w:b/>
                <w:bCs/>
                <w:color w:val="auto"/>
                <w:sz w:val="24"/>
                <w:szCs w:val="24"/>
                <w:highlight w:val="none"/>
              </w:rPr>
            </w:pPr>
            <w:r>
              <w:rPr>
                <w:color w:val="auto"/>
                <w:highlight w:val="none"/>
              </w:rPr>
              <w:t>对应报价金额不得超过</w:t>
            </w:r>
            <w:r>
              <w:rPr>
                <w:rFonts w:hint="eastAsia" w:eastAsia="宋体"/>
                <w:color w:val="auto"/>
                <w:highlight w:val="none"/>
                <w:lang w:val="en-US" w:eastAsia="zh-CN"/>
              </w:rPr>
              <w:t>投标</w:t>
            </w:r>
            <w:r>
              <w:rPr>
                <w:color w:val="auto"/>
                <w:highlight w:val="none"/>
              </w:rPr>
              <w:t>最高投标限价</w:t>
            </w:r>
            <w:r>
              <w:rPr>
                <w:rFonts w:hint="eastAsia" w:eastAsia="宋体"/>
                <w:color w:val="auto"/>
                <w:highlight w:val="none"/>
                <w:lang w:val="en-US" w:eastAsia="zh-CN"/>
              </w:rPr>
              <w:t>（详见招标公告）</w:t>
            </w:r>
            <w:r>
              <w:rPr>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7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w:t>
            </w:r>
          </w:p>
        </w:tc>
        <w:tc>
          <w:tcPr>
            <w:tcW w:w="1187" w:type="pct"/>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勘察费</w:t>
            </w:r>
            <w:r>
              <w:rPr>
                <w:rFonts w:hint="eastAsia" w:ascii="宋体" w:hAnsi="宋体" w:eastAsia="宋体"/>
                <w:b w:val="0"/>
                <w:bCs w:val="0"/>
                <w:color w:val="auto"/>
                <w:sz w:val="24"/>
                <w:szCs w:val="24"/>
                <w:highlight w:val="none"/>
                <w:lang w:val="en-US" w:eastAsia="zh-CN"/>
              </w:rPr>
              <w:t>投标</w:t>
            </w:r>
            <w:r>
              <w:rPr>
                <w:rFonts w:hint="eastAsia" w:ascii="宋体" w:hAnsi="宋体"/>
                <w:b w:val="0"/>
                <w:bCs w:val="0"/>
                <w:color w:val="auto"/>
                <w:sz w:val="24"/>
                <w:szCs w:val="24"/>
                <w:highlight w:val="none"/>
              </w:rPr>
              <w:t>报价</w:t>
            </w:r>
          </w:p>
        </w:tc>
        <w:tc>
          <w:tcPr>
            <w:tcW w:w="1084" w:type="pct"/>
            <w:tcBorders>
              <w:top w:val="single" w:color="auto" w:sz="4" w:space="0"/>
              <w:left w:val="nil"/>
              <w:bottom w:val="single" w:color="auto" w:sz="4" w:space="0"/>
              <w:right w:val="single" w:color="auto" w:sz="4" w:space="0"/>
            </w:tcBorders>
            <w:noWrap w:val="0"/>
            <w:vAlign w:val="center"/>
          </w:tcPr>
          <w:p>
            <w:pPr>
              <w:pStyle w:val="23"/>
              <w:ind w:left="0" w:leftChars="0" w:firstLine="0" w:firstLineChars="0"/>
              <w:rPr>
                <w:rFonts w:hint="default"/>
                <w:color w:val="auto"/>
                <w:highlight w:val="none"/>
                <w:lang w:val="en-US" w:eastAsia="zh-CN"/>
              </w:rPr>
            </w:pPr>
            <w:r>
              <w:rPr>
                <w:rFonts w:hint="default" w:ascii="Times New Roman" w:hAnsi="Times New Roman" w:eastAsia="宋体" w:cs="Times New Roman"/>
                <w:color w:val="auto"/>
                <w:sz w:val="22"/>
                <w:szCs w:val="22"/>
                <w:highlight w:val="none"/>
                <w:lang w:val="en-US" w:eastAsia="zh-CN" w:bidi="ar-SA"/>
              </w:rPr>
              <w:t>8567</w:t>
            </w:r>
            <w:r>
              <w:rPr>
                <w:rFonts w:hint="eastAsia" w:ascii="Times New Roman" w:hAnsi="Times New Roman" w:eastAsia="宋体" w:cs="Times New Roman"/>
                <w:color w:val="auto"/>
                <w:sz w:val="22"/>
                <w:szCs w:val="22"/>
                <w:highlight w:val="none"/>
                <w:lang w:val="en-US" w:eastAsia="zh-CN" w:bidi="ar-SA"/>
              </w:rPr>
              <w:t>00.00</w:t>
            </w:r>
          </w:p>
        </w:tc>
        <w:tc>
          <w:tcPr>
            <w:tcW w:w="1084" w:type="pct"/>
            <w:tcBorders>
              <w:top w:val="single" w:color="auto" w:sz="4" w:space="0"/>
              <w:left w:val="nil"/>
              <w:bottom w:val="single" w:color="auto" w:sz="4" w:space="0"/>
              <w:right w:val="single" w:color="auto" w:sz="4" w:space="0"/>
            </w:tcBorders>
            <w:noWrap w:val="0"/>
            <w:vAlign w:val="center"/>
          </w:tcPr>
          <w:p>
            <w:pPr>
              <w:wordWrap w:val="0"/>
              <w:topLinePunct/>
              <w:snapToGrid w:val="0"/>
              <w:spacing w:line="360" w:lineRule="auto"/>
              <w:ind w:right="-719" w:rightChars="-327"/>
              <w:outlineLvl w:val="1"/>
              <w:rPr>
                <w:color w:val="auto"/>
                <w:highlight w:val="none"/>
              </w:rPr>
            </w:pPr>
            <w:r>
              <w:rPr>
                <w:rFonts w:hint="eastAsia"/>
                <w:color w:val="auto"/>
                <w:highlight w:val="none"/>
              </w:rPr>
              <w:t>大写：</w:t>
            </w:r>
          </w:p>
          <w:p>
            <w:pPr>
              <w:wordWrap w:val="0"/>
              <w:topLinePunct/>
              <w:snapToGrid w:val="0"/>
              <w:spacing w:line="360" w:lineRule="auto"/>
              <w:ind w:right="-719" w:rightChars="-327"/>
              <w:outlineLvl w:val="1"/>
              <w:rPr>
                <w:rFonts w:hint="eastAsia" w:ascii="宋体" w:hAnsi="宋体"/>
                <w:b/>
                <w:bCs/>
                <w:color w:val="auto"/>
                <w:sz w:val="24"/>
                <w:szCs w:val="24"/>
                <w:highlight w:val="none"/>
              </w:rPr>
            </w:pPr>
            <w:r>
              <w:rPr>
                <w:rFonts w:hint="eastAsia"/>
                <w:color w:val="auto"/>
                <w:highlight w:val="none"/>
              </w:rPr>
              <w:t>小写：</w:t>
            </w:r>
          </w:p>
        </w:tc>
        <w:tc>
          <w:tcPr>
            <w:tcW w:w="1368" w:type="pct"/>
            <w:vMerge w:val="continue"/>
            <w:tcBorders>
              <w:left w:val="nil"/>
              <w:bottom w:val="single" w:color="auto" w:sz="4" w:space="0"/>
              <w:right w:val="single" w:color="auto" w:sz="4" w:space="0"/>
            </w:tcBorders>
            <w:noWrap w:val="0"/>
            <w:vAlign w:val="center"/>
          </w:tcPr>
          <w:p>
            <w:pPr>
              <w:spacing w:line="288" w:lineRule="auto"/>
              <w:rPr>
                <w:rFonts w:hint="eastAsia" w:eastAsia="宋体"/>
                <w:color w:val="auto"/>
                <w:highlight w:val="none"/>
                <w:lang w:val="en-US" w:eastAsia="zh-CN"/>
              </w:rPr>
            </w:pPr>
          </w:p>
        </w:tc>
      </w:tr>
    </w:tbl>
    <w:p>
      <w:pPr>
        <w:pStyle w:val="4"/>
        <w:rPr>
          <w:rFonts w:hint="eastAsia"/>
          <w:b/>
          <w:bCs/>
          <w:color w:val="auto"/>
          <w:sz w:val="24"/>
          <w:szCs w:val="24"/>
          <w:highlight w:val="none"/>
          <w:lang w:eastAsia="zh-CN"/>
        </w:rPr>
      </w:pPr>
    </w:p>
    <w:p>
      <w:pPr>
        <w:pStyle w:val="4"/>
        <w:rPr>
          <w:rFonts w:hint="eastAsia" w:ascii="宋体" w:hAnsi="宋体"/>
          <w:b w:val="0"/>
          <w:bCs w:val="0"/>
          <w:color w:val="auto"/>
          <w:sz w:val="24"/>
          <w:highlight w:val="none"/>
          <w:lang w:eastAsia="zh-CN"/>
        </w:rPr>
      </w:pPr>
      <w:r>
        <w:rPr>
          <w:rFonts w:hint="eastAsia"/>
          <w:b/>
          <w:bCs/>
          <w:color w:val="auto"/>
          <w:sz w:val="24"/>
          <w:szCs w:val="24"/>
          <w:highlight w:val="none"/>
          <w:lang w:eastAsia="zh-CN"/>
        </w:rPr>
        <w:t>注：</w:t>
      </w:r>
    </w:p>
    <w:p>
      <w:pPr>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1.投标报价的大写金额和小写金额不一致的，以大写金额为准。本项目的勘察费、设计费的最高投标限</w:t>
      </w:r>
      <w:bookmarkStart w:id="100" w:name="_GoBack"/>
      <w:bookmarkEnd w:id="100"/>
      <w:r>
        <w:rPr>
          <w:rFonts w:hint="eastAsia" w:ascii="宋体" w:hAnsi="宋体"/>
          <w:color w:val="auto"/>
          <w:sz w:val="24"/>
          <w:highlight w:val="none"/>
          <w:lang w:val="en-US" w:eastAsia="zh-CN"/>
        </w:rPr>
        <w:t>价只作为招标的依据，中标价作为签订合同的依据。</w:t>
      </w:r>
    </w:p>
    <w:p>
      <w:pPr>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2.设计费投标报价包含基本设计费投标报价、BIM设计费投标报价、预算编制费投标报价。具体结算方式按设计合同约定执行。</w:t>
      </w:r>
    </w:p>
    <w:p>
      <w:pPr>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投标人需根据本项目概况和结合自身情况自行细化勘察费，列出勘察费具体的工程量清单，清单包含具体工作内容、工程量、单价及合价等内容，工程量及单价仅作为支付进度款的依据，不作为结算评审的依据，具体结算方式按勘察合同约定执行。</w:t>
      </w:r>
    </w:p>
    <w:p>
      <w:pPr>
        <w:pStyle w:val="23"/>
        <w:rPr>
          <w:rFonts w:ascii="宋体" w:hAnsi="宋体"/>
          <w:b/>
          <w:color w:val="auto"/>
          <w:sz w:val="32"/>
          <w:highlight w:val="none"/>
          <w:lang w:eastAsia="zh-CN"/>
        </w:rPr>
      </w:pPr>
    </w:p>
    <w:p>
      <w:pPr>
        <w:rPr>
          <w:rFonts w:ascii="宋体" w:hAnsi="宋体"/>
          <w:b/>
          <w:color w:val="auto"/>
          <w:sz w:val="32"/>
          <w:highlight w:val="none"/>
          <w:lang w:eastAsia="zh-CN"/>
        </w:rPr>
      </w:pPr>
    </w:p>
    <w:p>
      <w:pPr>
        <w:pStyle w:val="23"/>
        <w:rPr>
          <w:color w:val="auto"/>
          <w:highlight w:val="none"/>
          <w:lang w:eastAsia="zh-CN"/>
        </w:rPr>
      </w:pPr>
    </w:p>
    <w:p>
      <w:pPr>
        <w:rPr>
          <w:rFonts w:ascii="宋体" w:hAnsi="宋体"/>
          <w:b/>
          <w:color w:val="auto"/>
          <w:sz w:val="32"/>
          <w:highlight w:val="none"/>
          <w:lang w:eastAsia="zh-CN"/>
        </w:rPr>
      </w:pPr>
    </w:p>
    <w:p>
      <w:pPr>
        <w:pStyle w:val="23"/>
        <w:rPr>
          <w:rFonts w:ascii="宋体" w:hAnsi="宋体"/>
          <w:b/>
          <w:color w:val="auto"/>
          <w:sz w:val="32"/>
          <w:highlight w:val="none"/>
          <w:lang w:eastAsia="zh-CN"/>
        </w:rPr>
      </w:pPr>
    </w:p>
    <w:p>
      <w:pPr>
        <w:rPr>
          <w:color w:val="auto"/>
          <w:highlight w:val="none"/>
          <w:lang w:eastAsia="zh-CN"/>
        </w:rPr>
      </w:pPr>
    </w:p>
    <w:p>
      <w:pPr>
        <w:rPr>
          <w:color w:val="auto"/>
          <w:highlight w:val="none"/>
          <w:lang w:eastAsia="zh-CN"/>
        </w:rPr>
      </w:pPr>
    </w:p>
    <w:p>
      <w:pPr>
        <w:rPr>
          <w:color w:val="auto"/>
          <w:highlight w:val="none"/>
          <w:lang w:eastAsia="zh-CN"/>
        </w:rPr>
      </w:pPr>
    </w:p>
    <w:p>
      <w:pPr>
        <w:pStyle w:val="2"/>
        <w:rPr>
          <w:color w:val="auto"/>
          <w:highlight w:val="none"/>
          <w:lang w:eastAsia="zh-CN"/>
        </w:rPr>
      </w:pPr>
    </w:p>
    <w:p>
      <w:pPr>
        <w:pStyle w:val="3"/>
        <w:rPr>
          <w:color w:val="auto"/>
          <w:highlight w:val="none"/>
          <w:lang w:eastAsia="zh-CN"/>
        </w:rPr>
      </w:pPr>
    </w:p>
    <w:p>
      <w:pPr>
        <w:rPr>
          <w:color w:val="auto"/>
          <w:highlight w:val="none"/>
          <w:lang w:eastAsia="zh-CN"/>
        </w:rPr>
      </w:pPr>
    </w:p>
    <w:p>
      <w:pPr>
        <w:pStyle w:val="2"/>
        <w:rPr>
          <w:color w:val="auto"/>
          <w:highlight w:val="none"/>
          <w:lang w:eastAsia="zh-CN"/>
        </w:rPr>
      </w:pPr>
    </w:p>
    <w:p>
      <w:pPr>
        <w:pStyle w:val="3"/>
        <w:rPr>
          <w:color w:val="auto"/>
          <w:highlight w:val="none"/>
          <w:lang w:eastAsia="zh-CN"/>
        </w:rPr>
      </w:pPr>
    </w:p>
    <w:p>
      <w:pPr>
        <w:rPr>
          <w:color w:val="auto"/>
          <w:highlight w:val="none"/>
          <w:lang w:eastAsia="zh-CN"/>
        </w:rPr>
      </w:pPr>
    </w:p>
    <w:p>
      <w:pPr>
        <w:pStyle w:val="2"/>
        <w:rPr>
          <w:color w:val="auto"/>
          <w:highlight w:val="none"/>
          <w:lang w:eastAsia="zh-CN"/>
        </w:rPr>
      </w:pPr>
    </w:p>
    <w:p>
      <w:pPr>
        <w:pStyle w:val="23"/>
        <w:rPr>
          <w:color w:val="auto"/>
          <w:highlight w:val="none"/>
          <w:lang w:eastAsia="zh-CN"/>
        </w:rPr>
      </w:pPr>
    </w:p>
    <w:p>
      <w:pPr>
        <w:rPr>
          <w:color w:val="auto"/>
          <w:highlight w:val="none"/>
          <w:lang w:eastAsia="zh-CN"/>
        </w:rPr>
      </w:pPr>
    </w:p>
    <w:p>
      <w:pPr>
        <w:pStyle w:val="23"/>
        <w:rPr>
          <w:color w:val="auto"/>
          <w:highlight w:val="none"/>
          <w:lang w:eastAsia="zh-CN"/>
        </w:rPr>
      </w:pPr>
    </w:p>
    <w:p>
      <w:pPr>
        <w:rPr>
          <w:color w:val="auto"/>
          <w:highlight w:val="none"/>
          <w:lang w:eastAsia="zh-CN"/>
        </w:rPr>
      </w:pPr>
    </w:p>
    <w:p>
      <w:pPr>
        <w:pStyle w:val="23"/>
        <w:rPr>
          <w:color w:val="auto"/>
          <w:highlight w:val="none"/>
          <w:lang w:eastAsia="zh-CN"/>
        </w:rPr>
      </w:pPr>
    </w:p>
    <w:p>
      <w:pPr>
        <w:jc w:val="center"/>
        <w:rPr>
          <w:rFonts w:ascii="宋体" w:hAnsi="宋体"/>
          <w:b/>
          <w:color w:val="auto"/>
          <w:sz w:val="32"/>
          <w:highlight w:val="none"/>
          <w:lang w:eastAsia="zh-CN"/>
        </w:rPr>
      </w:pPr>
    </w:p>
    <w:p>
      <w:pPr>
        <w:pStyle w:val="6"/>
        <w:rPr>
          <w:rFonts w:ascii="宋体" w:hAnsi="宋体" w:eastAsia="宋体"/>
          <w:color w:val="auto"/>
          <w:sz w:val="21"/>
          <w:szCs w:val="21"/>
          <w:highlight w:val="none"/>
          <w:lang w:eastAsia="zh-CN"/>
        </w:rPr>
      </w:pPr>
      <w:bookmarkStart w:id="92" w:name="_Toc25072145"/>
      <w:bookmarkStart w:id="93" w:name="_Toc109809409"/>
      <w:bookmarkStart w:id="94" w:name="_Toc109809448"/>
      <w:r>
        <w:rPr>
          <w:rFonts w:hint="eastAsia" w:ascii="宋体" w:hAnsi="宋体" w:eastAsia="宋体"/>
          <w:color w:val="auto"/>
          <w:sz w:val="21"/>
          <w:szCs w:val="21"/>
          <w:highlight w:val="none"/>
          <w:lang w:eastAsia="zh-CN"/>
        </w:rPr>
        <w:t xml:space="preserve">格式六  </w:t>
      </w:r>
      <w:bookmarkEnd w:id="92"/>
      <w:r>
        <w:rPr>
          <w:rFonts w:hint="eastAsia" w:ascii="宋体" w:hAnsi="宋体" w:eastAsia="宋体"/>
          <w:color w:val="auto"/>
          <w:sz w:val="21"/>
          <w:szCs w:val="21"/>
          <w:highlight w:val="none"/>
          <w:lang w:eastAsia="zh-CN"/>
        </w:rPr>
        <w:t>本项目拟投入的人员基本情况表</w:t>
      </w:r>
      <w:bookmarkEnd w:id="93"/>
      <w:bookmarkEnd w:id="94"/>
    </w:p>
    <w:p>
      <w:pPr>
        <w:jc w:val="center"/>
        <w:rPr>
          <w:rFonts w:ascii="宋体" w:hAnsi="宋体" w:eastAsia="宋体"/>
          <w:color w:val="auto"/>
          <w:highlight w:val="none"/>
          <w:lang w:eastAsia="zh-CN"/>
        </w:rPr>
      </w:pPr>
      <w:r>
        <w:rPr>
          <w:rFonts w:hint="eastAsia" w:ascii="宋体" w:hAnsi="宋体" w:eastAsia="宋体"/>
          <w:color w:val="auto"/>
          <w:highlight w:val="none"/>
          <w:lang w:eastAsia="zh-CN"/>
        </w:rPr>
        <w:t>　　　　　　　　　　　　</w:t>
      </w:r>
    </w:p>
    <w:p>
      <w:pPr>
        <w:rPr>
          <w:rFonts w:ascii="宋体" w:hAnsi="宋体" w:eastAsia="宋体"/>
          <w:b/>
          <w:bCs/>
          <w:color w:val="auto"/>
          <w:sz w:val="32"/>
          <w:szCs w:val="32"/>
          <w:highlight w:val="none"/>
          <w:lang w:eastAsia="zh-CN"/>
        </w:rPr>
      </w:pPr>
      <w:r>
        <w:rPr>
          <w:rFonts w:hint="eastAsia" w:ascii="宋体" w:hAnsi="宋体" w:eastAsia="宋体"/>
          <w:color w:val="auto"/>
          <w:highlight w:val="none"/>
          <w:lang w:eastAsia="zh-CN"/>
        </w:rPr>
        <w:t>　　　　　　　　　　　</w:t>
      </w:r>
      <w:r>
        <w:rPr>
          <w:rFonts w:hint="eastAsia" w:ascii="宋体" w:hAnsi="宋体" w:eastAsia="宋体"/>
          <w:b/>
          <w:bCs/>
          <w:color w:val="auto"/>
          <w:sz w:val="32"/>
          <w:szCs w:val="32"/>
          <w:highlight w:val="none"/>
          <w:lang w:eastAsia="zh-CN"/>
        </w:rPr>
        <w:t>本项目拟投入的人员基本情况表</w:t>
      </w:r>
    </w:p>
    <w:tbl>
      <w:tblPr>
        <w:tblStyle w:val="2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
        <w:gridCol w:w="1880"/>
        <w:gridCol w:w="831"/>
        <w:gridCol w:w="868"/>
        <w:gridCol w:w="1130"/>
        <w:gridCol w:w="2055"/>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33" w:type="pct"/>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18" w:type="pct"/>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人员安排分工</w:t>
            </w:r>
          </w:p>
        </w:tc>
        <w:tc>
          <w:tcPr>
            <w:tcW w:w="450" w:type="pct"/>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470" w:type="pct"/>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工龄（年）</w:t>
            </w:r>
          </w:p>
        </w:tc>
        <w:tc>
          <w:tcPr>
            <w:tcW w:w="612" w:type="pct"/>
            <w:vAlign w:val="center"/>
          </w:tcPr>
          <w:p>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人数</w:t>
            </w:r>
          </w:p>
        </w:tc>
        <w:tc>
          <w:tcPr>
            <w:tcW w:w="1112" w:type="pct"/>
            <w:vAlign w:val="center"/>
          </w:tcPr>
          <w:p>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职务、执业资格、专业职称</w:t>
            </w:r>
          </w:p>
        </w:tc>
        <w:tc>
          <w:tcPr>
            <w:tcW w:w="1105" w:type="pct"/>
            <w:vAlign w:val="center"/>
          </w:tcPr>
          <w:p>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已完成类似的项目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33" w:type="pct"/>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18" w:type="pct"/>
            <w:vAlign w:val="center"/>
          </w:tcPr>
          <w:p>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项目负责人</w:t>
            </w:r>
          </w:p>
        </w:tc>
        <w:tc>
          <w:tcPr>
            <w:tcW w:w="450" w:type="pct"/>
            <w:vAlign w:val="center"/>
          </w:tcPr>
          <w:p>
            <w:pPr>
              <w:jc w:val="center"/>
              <w:rPr>
                <w:rFonts w:ascii="宋体" w:hAnsi="宋体" w:eastAsia="宋体" w:cs="宋体"/>
                <w:color w:val="auto"/>
                <w:sz w:val="21"/>
                <w:szCs w:val="21"/>
                <w:highlight w:val="none"/>
                <w:lang w:eastAsia="zh-CN"/>
              </w:rPr>
            </w:pPr>
          </w:p>
        </w:tc>
        <w:tc>
          <w:tcPr>
            <w:tcW w:w="470" w:type="pct"/>
            <w:vAlign w:val="center"/>
          </w:tcPr>
          <w:p>
            <w:pPr>
              <w:jc w:val="center"/>
              <w:rPr>
                <w:rFonts w:ascii="宋体" w:hAnsi="宋体" w:eastAsia="宋体" w:cs="宋体"/>
                <w:color w:val="auto"/>
                <w:sz w:val="21"/>
                <w:szCs w:val="21"/>
                <w:highlight w:val="none"/>
              </w:rPr>
            </w:pPr>
          </w:p>
        </w:tc>
        <w:tc>
          <w:tcPr>
            <w:tcW w:w="612" w:type="pct"/>
            <w:vAlign w:val="center"/>
          </w:tcPr>
          <w:p>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1112" w:type="pct"/>
            <w:vAlign w:val="center"/>
          </w:tcPr>
          <w:p>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满足招标公告要求</w:t>
            </w:r>
          </w:p>
        </w:tc>
        <w:tc>
          <w:tcPr>
            <w:tcW w:w="1105" w:type="pct"/>
            <w:vAlign w:val="center"/>
          </w:tcPr>
          <w:p>
            <w:pPr>
              <w:jc w:val="center"/>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33" w:type="pct"/>
            <w:vAlign w:val="center"/>
          </w:tcPr>
          <w:p>
            <w:pPr>
              <w:jc w:val="center"/>
              <w:rPr>
                <w:rFonts w:ascii="宋体" w:hAnsi="宋体" w:eastAsia="宋体" w:cs="宋体"/>
                <w:color w:val="auto"/>
                <w:sz w:val="21"/>
                <w:szCs w:val="21"/>
                <w:highlight w:val="none"/>
              </w:rPr>
            </w:pPr>
          </w:p>
        </w:tc>
        <w:tc>
          <w:tcPr>
            <w:tcW w:w="1018" w:type="pct"/>
            <w:vAlign w:val="center"/>
          </w:tcPr>
          <w:p>
            <w:pPr>
              <w:jc w:val="center"/>
              <w:rPr>
                <w:rFonts w:ascii="宋体" w:hAnsi="宋体" w:eastAsia="宋体" w:cs="宋体"/>
                <w:color w:val="auto"/>
                <w:sz w:val="21"/>
                <w:szCs w:val="21"/>
                <w:highlight w:val="none"/>
                <w:lang w:eastAsia="zh-CN"/>
              </w:rPr>
            </w:pPr>
          </w:p>
        </w:tc>
        <w:tc>
          <w:tcPr>
            <w:tcW w:w="450" w:type="pct"/>
            <w:vAlign w:val="center"/>
          </w:tcPr>
          <w:p>
            <w:pPr>
              <w:jc w:val="center"/>
              <w:rPr>
                <w:rFonts w:ascii="宋体" w:hAnsi="宋体" w:eastAsia="宋体" w:cs="宋体"/>
                <w:color w:val="auto"/>
                <w:sz w:val="21"/>
                <w:szCs w:val="21"/>
                <w:highlight w:val="none"/>
                <w:lang w:eastAsia="zh-CN"/>
              </w:rPr>
            </w:pPr>
          </w:p>
        </w:tc>
        <w:tc>
          <w:tcPr>
            <w:tcW w:w="470" w:type="pct"/>
            <w:vAlign w:val="center"/>
          </w:tcPr>
          <w:p>
            <w:pPr>
              <w:jc w:val="center"/>
              <w:rPr>
                <w:rFonts w:ascii="宋体" w:hAnsi="宋体" w:eastAsia="宋体" w:cs="宋体"/>
                <w:color w:val="auto"/>
                <w:sz w:val="21"/>
                <w:szCs w:val="21"/>
                <w:highlight w:val="none"/>
                <w:lang w:eastAsia="zh-CN"/>
              </w:rPr>
            </w:pPr>
          </w:p>
        </w:tc>
        <w:tc>
          <w:tcPr>
            <w:tcW w:w="612" w:type="pct"/>
            <w:vAlign w:val="center"/>
          </w:tcPr>
          <w:p>
            <w:pPr>
              <w:jc w:val="center"/>
              <w:rPr>
                <w:rFonts w:ascii="宋体" w:hAnsi="宋体" w:eastAsia="宋体" w:cs="宋体"/>
                <w:color w:val="auto"/>
                <w:sz w:val="21"/>
                <w:szCs w:val="21"/>
                <w:highlight w:val="none"/>
                <w:lang w:eastAsia="zh-CN"/>
              </w:rPr>
            </w:pPr>
          </w:p>
        </w:tc>
        <w:tc>
          <w:tcPr>
            <w:tcW w:w="1112" w:type="pct"/>
            <w:vAlign w:val="center"/>
          </w:tcPr>
          <w:p>
            <w:pPr>
              <w:jc w:val="center"/>
              <w:rPr>
                <w:rFonts w:ascii="宋体" w:hAnsi="宋体" w:eastAsia="宋体" w:cs="宋体"/>
                <w:color w:val="auto"/>
                <w:sz w:val="21"/>
                <w:szCs w:val="21"/>
                <w:highlight w:val="none"/>
                <w:lang w:eastAsia="zh-CN"/>
              </w:rPr>
            </w:pPr>
          </w:p>
        </w:tc>
        <w:tc>
          <w:tcPr>
            <w:tcW w:w="1105" w:type="pct"/>
            <w:vAlign w:val="center"/>
          </w:tcPr>
          <w:p>
            <w:pPr>
              <w:jc w:val="center"/>
              <w:rPr>
                <w:rFonts w:ascii="宋体" w:hAnsi="宋体" w:eastAsia="宋体" w:cs="宋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33" w:type="pct"/>
            <w:vAlign w:val="center"/>
          </w:tcPr>
          <w:p>
            <w:pPr>
              <w:jc w:val="center"/>
              <w:rPr>
                <w:rFonts w:ascii="宋体" w:hAnsi="宋体" w:eastAsia="宋体" w:cs="宋体"/>
                <w:color w:val="auto"/>
                <w:sz w:val="21"/>
                <w:szCs w:val="21"/>
                <w:highlight w:val="none"/>
              </w:rPr>
            </w:pPr>
          </w:p>
        </w:tc>
        <w:tc>
          <w:tcPr>
            <w:tcW w:w="1018" w:type="pct"/>
            <w:vAlign w:val="center"/>
          </w:tcPr>
          <w:p>
            <w:pPr>
              <w:jc w:val="center"/>
              <w:rPr>
                <w:rFonts w:ascii="宋体" w:hAnsi="宋体" w:eastAsia="宋体" w:cs="宋体"/>
                <w:color w:val="auto"/>
                <w:sz w:val="21"/>
                <w:szCs w:val="21"/>
                <w:highlight w:val="none"/>
                <w:lang w:eastAsia="zh-CN"/>
              </w:rPr>
            </w:pPr>
          </w:p>
        </w:tc>
        <w:tc>
          <w:tcPr>
            <w:tcW w:w="450" w:type="pct"/>
            <w:vAlign w:val="center"/>
          </w:tcPr>
          <w:p>
            <w:pPr>
              <w:jc w:val="center"/>
              <w:rPr>
                <w:rFonts w:ascii="宋体" w:hAnsi="宋体" w:eastAsia="宋体" w:cs="宋体"/>
                <w:color w:val="auto"/>
                <w:sz w:val="21"/>
                <w:szCs w:val="21"/>
                <w:highlight w:val="none"/>
                <w:lang w:eastAsia="zh-CN"/>
              </w:rPr>
            </w:pPr>
          </w:p>
        </w:tc>
        <w:tc>
          <w:tcPr>
            <w:tcW w:w="470" w:type="pct"/>
            <w:vAlign w:val="center"/>
          </w:tcPr>
          <w:p>
            <w:pPr>
              <w:jc w:val="center"/>
              <w:rPr>
                <w:rFonts w:ascii="宋体" w:hAnsi="宋体" w:eastAsia="宋体" w:cs="宋体"/>
                <w:color w:val="auto"/>
                <w:sz w:val="21"/>
                <w:szCs w:val="21"/>
                <w:highlight w:val="none"/>
                <w:lang w:eastAsia="zh-CN"/>
              </w:rPr>
            </w:pPr>
          </w:p>
        </w:tc>
        <w:tc>
          <w:tcPr>
            <w:tcW w:w="612" w:type="pct"/>
            <w:vAlign w:val="center"/>
          </w:tcPr>
          <w:p>
            <w:pPr>
              <w:jc w:val="center"/>
              <w:rPr>
                <w:rFonts w:ascii="宋体" w:hAnsi="宋体" w:eastAsia="宋体" w:cs="宋体"/>
                <w:color w:val="auto"/>
                <w:sz w:val="21"/>
                <w:szCs w:val="21"/>
                <w:highlight w:val="none"/>
                <w:lang w:eastAsia="zh-CN"/>
              </w:rPr>
            </w:pPr>
          </w:p>
        </w:tc>
        <w:tc>
          <w:tcPr>
            <w:tcW w:w="1112" w:type="pct"/>
            <w:vAlign w:val="center"/>
          </w:tcPr>
          <w:p>
            <w:pPr>
              <w:jc w:val="center"/>
              <w:rPr>
                <w:rFonts w:ascii="宋体" w:hAnsi="宋体" w:eastAsia="宋体" w:cs="宋体"/>
                <w:color w:val="auto"/>
                <w:sz w:val="21"/>
                <w:szCs w:val="21"/>
                <w:highlight w:val="none"/>
                <w:lang w:eastAsia="zh-CN"/>
              </w:rPr>
            </w:pPr>
          </w:p>
        </w:tc>
        <w:tc>
          <w:tcPr>
            <w:tcW w:w="1105" w:type="pct"/>
            <w:vAlign w:val="center"/>
          </w:tcPr>
          <w:p>
            <w:pPr>
              <w:jc w:val="center"/>
              <w:rPr>
                <w:rFonts w:ascii="宋体" w:hAnsi="宋体" w:eastAsia="宋体" w:cs="宋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33" w:type="pct"/>
            <w:vAlign w:val="center"/>
          </w:tcPr>
          <w:p>
            <w:pPr>
              <w:jc w:val="center"/>
              <w:rPr>
                <w:rFonts w:ascii="宋体" w:hAnsi="宋体" w:eastAsia="宋体" w:cs="宋体"/>
                <w:color w:val="auto"/>
                <w:sz w:val="21"/>
                <w:szCs w:val="21"/>
                <w:highlight w:val="none"/>
              </w:rPr>
            </w:pPr>
          </w:p>
        </w:tc>
        <w:tc>
          <w:tcPr>
            <w:tcW w:w="1018" w:type="pct"/>
            <w:vAlign w:val="center"/>
          </w:tcPr>
          <w:p>
            <w:pPr>
              <w:jc w:val="center"/>
              <w:rPr>
                <w:rFonts w:ascii="宋体" w:hAnsi="宋体" w:eastAsia="宋体" w:cs="宋体"/>
                <w:color w:val="auto"/>
                <w:sz w:val="21"/>
                <w:szCs w:val="21"/>
                <w:highlight w:val="none"/>
                <w:lang w:eastAsia="zh-CN"/>
              </w:rPr>
            </w:pPr>
          </w:p>
        </w:tc>
        <w:tc>
          <w:tcPr>
            <w:tcW w:w="450" w:type="pct"/>
            <w:vAlign w:val="center"/>
          </w:tcPr>
          <w:p>
            <w:pPr>
              <w:jc w:val="center"/>
              <w:rPr>
                <w:rFonts w:ascii="宋体" w:hAnsi="宋体" w:eastAsia="宋体" w:cs="宋体"/>
                <w:color w:val="auto"/>
                <w:sz w:val="21"/>
                <w:szCs w:val="21"/>
                <w:highlight w:val="none"/>
                <w:lang w:eastAsia="zh-CN"/>
              </w:rPr>
            </w:pPr>
          </w:p>
        </w:tc>
        <w:tc>
          <w:tcPr>
            <w:tcW w:w="470" w:type="pct"/>
            <w:vAlign w:val="center"/>
          </w:tcPr>
          <w:p>
            <w:pPr>
              <w:jc w:val="center"/>
              <w:rPr>
                <w:rFonts w:ascii="宋体" w:hAnsi="宋体" w:eastAsia="宋体" w:cs="宋体"/>
                <w:color w:val="auto"/>
                <w:sz w:val="21"/>
                <w:szCs w:val="21"/>
                <w:highlight w:val="none"/>
                <w:lang w:eastAsia="zh-CN"/>
              </w:rPr>
            </w:pPr>
          </w:p>
        </w:tc>
        <w:tc>
          <w:tcPr>
            <w:tcW w:w="612" w:type="pct"/>
            <w:vAlign w:val="center"/>
          </w:tcPr>
          <w:p>
            <w:pPr>
              <w:jc w:val="center"/>
              <w:rPr>
                <w:rFonts w:ascii="宋体" w:hAnsi="宋体" w:eastAsia="宋体" w:cs="宋体"/>
                <w:color w:val="auto"/>
                <w:sz w:val="21"/>
                <w:szCs w:val="21"/>
                <w:highlight w:val="none"/>
                <w:lang w:eastAsia="zh-CN"/>
              </w:rPr>
            </w:pPr>
          </w:p>
        </w:tc>
        <w:tc>
          <w:tcPr>
            <w:tcW w:w="1112" w:type="pct"/>
            <w:vAlign w:val="center"/>
          </w:tcPr>
          <w:p>
            <w:pPr>
              <w:jc w:val="center"/>
              <w:rPr>
                <w:rFonts w:ascii="宋体" w:hAnsi="宋体" w:eastAsia="宋体" w:cs="宋体"/>
                <w:color w:val="auto"/>
                <w:sz w:val="21"/>
                <w:szCs w:val="21"/>
                <w:highlight w:val="none"/>
                <w:lang w:eastAsia="zh-CN"/>
              </w:rPr>
            </w:pPr>
          </w:p>
        </w:tc>
        <w:tc>
          <w:tcPr>
            <w:tcW w:w="1105" w:type="pct"/>
            <w:vAlign w:val="center"/>
          </w:tcPr>
          <w:p>
            <w:pPr>
              <w:jc w:val="center"/>
              <w:rPr>
                <w:rFonts w:ascii="宋体" w:hAnsi="宋体" w:eastAsia="宋体" w:cs="宋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33" w:type="pct"/>
            <w:vAlign w:val="center"/>
          </w:tcPr>
          <w:p>
            <w:pPr>
              <w:jc w:val="center"/>
              <w:rPr>
                <w:rFonts w:ascii="宋体" w:hAnsi="宋体" w:eastAsia="宋体" w:cs="宋体"/>
                <w:color w:val="auto"/>
                <w:sz w:val="21"/>
                <w:szCs w:val="21"/>
                <w:highlight w:val="none"/>
                <w:lang w:eastAsia="zh-CN"/>
              </w:rPr>
            </w:pPr>
          </w:p>
        </w:tc>
        <w:tc>
          <w:tcPr>
            <w:tcW w:w="1018" w:type="pct"/>
            <w:vAlign w:val="center"/>
          </w:tcPr>
          <w:p>
            <w:pPr>
              <w:jc w:val="center"/>
              <w:rPr>
                <w:rFonts w:ascii="宋体" w:hAnsi="宋体" w:eastAsia="宋体" w:cs="宋体"/>
                <w:color w:val="auto"/>
                <w:sz w:val="21"/>
                <w:szCs w:val="21"/>
                <w:highlight w:val="none"/>
                <w:lang w:eastAsia="zh-CN"/>
              </w:rPr>
            </w:pPr>
          </w:p>
        </w:tc>
        <w:tc>
          <w:tcPr>
            <w:tcW w:w="450" w:type="pct"/>
            <w:vAlign w:val="center"/>
          </w:tcPr>
          <w:p>
            <w:pPr>
              <w:jc w:val="center"/>
              <w:rPr>
                <w:rFonts w:ascii="宋体" w:hAnsi="宋体" w:eastAsia="宋体" w:cs="宋体"/>
                <w:color w:val="auto"/>
                <w:sz w:val="21"/>
                <w:szCs w:val="21"/>
                <w:highlight w:val="none"/>
                <w:lang w:eastAsia="zh-CN"/>
              </w:rPr>
            </w:pPr>
          </w:p>
        </w:tc>
        <w:tc>
          <w:tcPr>
            <w:tcW w:w="470" w:type="pct"/>
            <w:vAlign w:val="center"/>
          </w:tcPr>
          <w:p>
            <w:pPr>
              <w:jc w:val="center"/>
              <w:rPr>
                <w:rFonts w:ascii="宋体" w:hAnsi="宋体" w:eastAsia="宋体" w:cs="宋体"/>
                <w:color w:val="auto"/>
                <w:sz w:val="21"/>
                <w:szCs w:val="21"/>
                <w:highlight w:val="none"/>
                <w:lang w:eastAsia="zh-CN"/>
              </w:rPr>
            </w:pPr>
          </w:p>
        </w:tc>
        <w:tc>
          <w:tcPr>
            <w:tcW w:w="612" w:type="pct"/>
            <w:vAlign w:val="center"/>
          </w:tcPr>
          <w:p>
            <w:pPr>
              <w:jc w:val="center"/>
              <w:rPr>
                <w:rFonts w:ascii="宋体" w:hAnsi="宋体" w:eastAsia="宋体" w:cs="宋体"/>
                <w:color w:val="auto"/>
                <w:sz w:val="21"/>
                <w:szCs w:val="21"/>
                <w:highlight w:val="none"/>
                <w:lang w:eastAsia="zh-CN"/>
              </w:rPr>
            </w:pPr>
          </w:p>
        </w:tc>
        <w:tc>
          <w:tcPr>
            <w:tcW w:w="1112" w:type="pct"/>
            <w:vAlign w:val="center"/>
          </w:tcPr>
          <w:p>
            <w:pPr>
              <w:jc w:val="center"/>
              <w:rPr>
                <w:rFonts w:ascii="宋体" w:hAnsi="宋体" w:eastAsia="宋体" w:cs="宋体"/>
                <w:color w:val="auto"/>
                <w:sz w:val="21"/>
                <w:szCs w:val="21"/>
                <w:highlight w:val="none"/>
                <w:lang w:eastAsia="zh-CN"/>
              </w:rPr>
            </w:pPr>
          </w:p>
        </w:tc>
        <w:tc>
          <w:tcPr>
            <w:tcW w:w="1105" w:type="pct"/>
            <w:vAlign w:val="center"/>
          </w:tcPr>
          <w:p>
            <w:pPr>
              <w:jc w:val="center"/>
              <w:rPr>
                <w:rFonts w:ascii="宋体" w:hAnsi="宋体" w:eastAsia="宋体" w:cs="宋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33" w:type="pct"/>
            <w:vAlign w:val="center"/>
          </w:tcPr>
          <w:p>
            <w:pPr>
              <w:jc w:val="center"/>
              <w:rPr>
                <w:rFonts w:ascii="宋体" w:hAnsi="宋体" w:eastAsia="宋体" w:cs="宋体"/>
                <w:color w:val="auto"/>
                <w:sz w:val="21"/>
                <w:szCs w:val="21"/>
                <w:highlight w:val="none"/>
                <w:lang w:eastAsia="zh-CN"/>
              </w:rPr>
            </w:pPr>
          </w:p>
        </w:tc>
        <w:tc>
          <w:tcPr>
            <w:tcW w:w="1018" w:type="pct"/>
            <w:vAlign w:val="center"/>
          </w:tcPr>
          <w:p>
            <w:pPr>
              <w:jc w:val="center"/>
              <w:rPr>
                <w:rFonts w:ascii="宋体" w:hAnsi="宋体" w:eastAsia="宋体" w:cs="宋体"/>
                <w:color w:val="auto"/>
                <w:sz w:val="21"/>
                <w:szCs w:val="21"/>
                <w:highlight w:val="none"/>
                <w:lang w:eastAsia="zh-CN"/>
              </w:rPr>
            </w:pPr>
          </w:p>
        </w:tc>
        <w:tc>
          <w:tcPr>
            <w:tcW w:w="450" w:type="pct"/>
            <w:vAlign w:val="center"/>
          </w:tcPr>
          <w:p>
            <w:pPr>
              <w:jc w:val="center"/>
              <w:rPr>
                <w:rFonts w:ascii="宋体" w:hAnsi="宋体" w:eastAsia="宋体" w:cs="宋体"/>
                <w:color w:val="auto"/>
                <w:sz w:val="21"/>
                <w:szCs w:val="21"/>
                <w:highlight w:val="none"/>
                <w:lang w:eastAsia="zh-CN"/>
              </w:rPr>
            </w:pPr>
          </w:p>
        </w:tc>
        <w:tc>
          <w:tcPr>
            <w:tcW w:w="470" w:type="pct"/>
            <w:vAlign w:val="center"/>
          </w:tcPr>
          <w:p>
            <w:pPr>
              <w:jc w:val="center"/>
              <w:rPr>
                <w:rFonts w:ascii="宋体" w:hAnsi="宋体" w:eastAsia="宋体" w:cs="宋体"/>
                <w:color w:val="auto"/>
                <w:sz w:val="21"/>
                <w:szCs w:val="21"/>
                <w:highlight w:val="none"/>
                <w:lang w:eastAsia="zh-CN"/>
              </w:rPr>
            </w:pPr>
          </w:p>
        </w:tc>
        <w:tc>
          <w:tcPr>
            <w:tcW w:w="612" w:type="pct"/>
            <w:vAlign w:val="center"/>
          </w:tcPr>
          <w:p>
            <w:pPr>
              <w:jc w:val="center"/>
              <w:rPr>
                <w:rFonts w:ascii="宋体" w:hAnsi="宋体" w:eastAsia="宋体" w:cs="宋体"/>
                <w:color w:val="auto"/>
                <w:sz w:val="21"/>
                <w:szCs w:val="21"/>
                <w:highlight w:val="none"/>
                <w:lang w:eastAsia="zh-CN"/>
              </w:rPr>
            </w:pPr>
          </w:p>
        </w:tc>
        <w:tc>
          <w:tcPr>
            <w:tcW w:w="1112" w:type="pct"/>
            <w:vAlign w:val="center"/>
          </w:tcPr>
          <w:p>
            <w:pPr>
              <w:jc w:val="center"/>
              <w:rPr>
                <w:rFonts w:ascii="宋体" w:hAnsi="宋体" w:eastAsia="宋体" w:cs="宋体"/>
                <w:color w:val="auto"/>
                <w:sz w:val="21"/>
                <w:szCs w:val="21"/>
                <w:highlight w:val="none"/>
                <w:lang w:eastAsia="zh-CN"/>
              </w:rPr>
            </w:pPr>
          </w:p>
        </w:tc>
        <w:tc>
          <w:tcPr>
            <w:tcW w:w="1105" w:type="pct"/>
            <w:vAlign w:val="center"/>
          </w:tcPr>
          <w:p>
            <w:pPr>
              <w:jc w:val="center"/>
              <w:rPr>
                <w:rFonts w:ascii="宋体" w:hAnsi="宋体" w:eastAsia="宋体" w:cs="宋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33" w:type="pct"/>
            <w:vAlign w:val="center"/>
          </w:tcPr>
          <w:p>
            <w:pPr>
              <w:jc w:val="center"/>
              <w:rPr>
                <w:rFonts w:ascii="宋体" w:hAnsi="宋体" w:eastAsia="宋体" w:cs="宋体"/>
                <w:color w:val="auto"/>
                <w:sz w:val="21"/>
                <w:szCs w:val="21"/>
                <w:highlight w:val="none"/>
                <w:lang w:eastAsia="zh-CN"/>
              </w:rPr>
            </w:pPr>
          </w:p>
        </w:tc>
        <w:tc>
          <w:tcPr>
            <w:tcW w:w="1018" w:type="pct"/>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450" w:type="pct"/>
            <w:vAlign w:val="center"/>
          </w:tcPr>
          <w:p>
            <w:pPr>
              <w:jc w:val="center"/>
              <w:rPr>
                <w:rFonts w:ascii="宋体" w:hAnsi="宋体" w:eastAsia="宋体" w:cs="宋体"/>
                <w:color w:val="auto"/>
                <w:sz w:val="21"/>
                <w:szCs w:val="21"/>
                <w:highlight w:val="none"/>
              </w:rPr>
            </w:pPr>
          </w:p>
        </w:tc>
        <w:tc>
          <w:tcPr>
            <w:tcW w:w="470" w:type="pct"/>
            <w:vAlign w:val="center"/>
          </w:tcPr>
          <w:p>
            <w:pPr>
              <w:jc w:val="center"/>
              <w:rPr>
                <w:rFonts w:ascii="宋体" w:hAnsi="宋体" w:eastAsia="宋体" w:cs="宋体"/>
                <w:color w:val="auto"/>
                <w:sz w:val="21"/>
                <w:szCs w:val="21"/>
                <w:highlight w:val="none"/>
              </w:rPr>
            </w:pPr>
          </w:p>
        </w:tc>
        <w:tc>
          <w:tcPr>
            <w:tcW w:w="612" w:type="pct"/>
            <w:vAlign w:val="center"/>
          </w:tcPr>
          <w:p>
            <w:pPr>
              <w:jc w:val="center"/>
              <w:rPr>
                <w:rFonts w:ascii="宋体" w:hAnsi="宋体" w:eastAsia="宋体" w:cs="宋体"/>
                <w:color w:val="auto"/>
                <w:sz w:val="21"/>
                <w:szCs w:val="21"/>
                <w:highlight w:val="none"/>
              </w:rPr>
            </w:pPr>
          </w:p>
        </w:tc>
        <w:tc>
          <w:tcPr>
            <w:tcW w:w="1112" w:type="pct"/>
            <w:vAlign w:val="center"/>
          </w:tcPr>
          <w:p>
            <w:pPr>
              <w:jc w:val="center"/>
              <w:rPr>
                <w:rFonts w:ascii="宋体" w:hAnsi="宋体" w:eastAsia="宋体" w:cs="宋体"/>
                <w:color w:val="auto"/>
                <w:sz w:val="21"/>
                <w:szCs w:val="21"/>
                <w:highlight w:val="none"/>
              </w:rPr>
            </w:pPr>
          </w:p>
        </w:tc>
        <w:tc>
          <w:tcPr>
            <w:tcW w:w="1105" w:type="pct"/>
            <w:vAlign w:val="center"/>
          </w:tcPr>
          <w:p>
            <w:pPr>
              <w:jc w:val="center"/>
              <w:rPr>
                <w:rFonts w:ascii="宋体" w:hAnsi="宋体" w:eastAsia="宋体" w:cs="宋体"/>
                <w:color w:val="auto"/>
                <w:sz w:val="21"/>
                <w:szCs w:val="21"/>
                <w:highlight w:val="none"/>
              </w:rPr>
            </w:pPr>
          </w:p>
        </w:tc>
      </w:tr>
    </w:tbl>
    <w:p>
      <w:pPr>
        <w:rPr>
          <w:rFonts w:ascii="宋体" w:hAnsi="宋体" w:eastAsia="宋体"/>
          <w:bCs/>
          <w:color w:val="auto"/>
          <w:sz w:val="21"/>
          <w:szCs w:val="21"/>
          <w:highlight w:val="none"/>
          <w:lang w:eastAsia="zh-CN"/>
        </w:rPr>
      </w:pPr>
      <w:r>
        <w:rPr>
          <w:rFonts w:hint="eastAsia" w:ascii="宋体" w:hAnsi="宋体" w:eastAsia="宋体" w:cs="宋体"/>
          <w:bCs/>
          <w:color w:val="auto"/>
          <w:sz w:val="21"/>
          <w:szCs w:val="21"/>
          <w:highlight w:val="none"/>
          <w:lang w:eastAsia="zh-CN"/>
        </w:rPr>
        <w:t>注：</w:t>
      </w:r>
      <w:r>
        <w:rPr>
          <w:rFonts w:ascii="宋体" w:hAnsi="宋体" w:eastAsia="宋体" w:cs="Calibri"/>
          <w:bCs/>
          <w:color w:val="auto"/>
          <w:sz w:val="21"/>
          <w:szCs w:val="21"/>
          <w:highlight w:val="none"/>
          <w:lang w:eastAsia="zh-CN"/>
        </w:rPr>
        <w:t>①</w:t>
      </w:r>
      <w:r>
        <w:rPr>
          <w:rFonts w:hint="eastAsia" w:ascii="宋体" w:hAnsi="宋体" w:eastAsia="宋体" w:cs="宋体"/>
          <w:bCs/>
          <w:color w:val="auto"/>
          <w:sz w:val="21"/>
          <w:szCs w:val="21"/>
          <w:highlight w:val="none"/>
          <w:lang w:eastAsia="zh-CN"/>
        </w:rPr>
        <w:t>投标人应根据招标文件要求和招标项目的实际需要，列出项目负责人及各专业负责人，如</w:t>
      </w:r>
      <w:r>
        <w:rPr>
          <w:rFonts w:hint="eastAsia" w:ascii="宋体" w:hAnsi="宋体" w:eastAsia="宋体" w:cs="宋体"/>
          <w:bCs/>
          <w:color w:val="auto"/>
          <w:sz w:val="21"/>
          <w:szCs w:val="21"/>
          <w:highlight w:val="none"/>
          <w:lang w:val="en-US" w:eastAsia="zh-CN"/>
        </w:rPr>
        <w:t>建筑专业负责人、</w:t>
      </w:r>
      <w:r>
        <w:rPr>
          <w:rFonts w:hint="eastAsia" w:ascii="宋体" w:hAnsi="宋体" w:eastAsia="宋体" w:cs="宋体"/>
          <w:bCs/>
          <w:color w:val="auto"/>
          <w:sz w:val="21"/>
          <w:szCs w:val="21"/>
          <w:highlight w:val="none"/>
          <w:lang w:eastAsia="zh-CN"/>
        </w:rPr>
        <w:t>给排水专业负责人等专业负责人。</w:t>
      </w:r>
    </w:p>
    <w:p>
      <w:pPr>
        <w:rPr>
          <w:rFonts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②</w:t>
      </w:r>
      <w:r>
        <w:rPr>
          <w:rFonts w:hint="eastAsia" w:ascii="宋体" w:hAnsi="宋体" w:eastAsia="宋体" w:cs="宋体"/>
          <w:bCs/>
          <w:color w:val="auto"/>
          <w:sz w:val="21"/>
          <w:szCs w:val="21"/>
          <w:highlight w:val="none"/>
          <w:lang w:eastAsia="zh-CN"/>
        </w:rPr>
        <w:t>投标人应按本表所列的项目负责人和专业负责人填写资历表。</w:t>
      </w:r>
    </w:p>
    <w:p>
      <w:pPr>
        <w:numPr>
          <w:ilvl w:val="0"/>
          <w:numId w:val="4"/>
        </w:numPr>
        <w:rPr>
          <w:rFonts w:ascii="宋体" w:hAnsi="宋体" w:eastAsia="宋体" w:cs="宋体"/>
          <w:bCs/>
          <w:color w:val="auto"/>
          <w:sz w:val="21"/>
          <w:szCs w:val="21"/>
          <w:highlight w:val="none"/>
          <w:u w:val="single"/>
          <w:lang w:eastAsia="zh-CN"/>
        </w:rPr>
      </w:pPr>
      <w:r>
        <w:rPr>
          <w:rFonts w:hint="eastAsia" w:ascii="宋体" w:hAnsi="宋体" w:eastAsia="宋体"/>
          <w:bCs/>
          <w:color w:val="auto"/>
          <w:sz w:val="21"/>
          <w:szCs w:val="21"/>
          <w:highlight w:val="none"/>
          <w:lang w:eastAsia="zh-CN"/>
        </w:rPr>
        <w:t>③</w:t>
      </w:r>
      <w:r>
        <w:rPr>
          <w:rFonts w:hint="eastAsia" w:ascii="宋体" w:hAnsi="宋体" w:eastAsia="宋体" w:cs="宋体"/>
          <w:bCs/>
          <w:color w:val="auto"/>
          <w:sz w:val="21"/>
          <w:szCs w:val="21"/>
          <w:highlight w:val="none"/>
          <w:lang w:eastAsia="zh-CN"/>
        </w:rPr>
        <w:t>投标人提供的人员须为投标人在职员工，需按评分要求提供相关证明文件</w:t>
      </w:r>
      <w:r>
        <w:rPr>
          <w:rFonts w:hint="eastAsia" w:ascii="Calibri" w:hAnsi="Calibri" w:eastAsia="宋体"/>
          <w:color w:val="auto"/>
          <w:kern w:val="2"/>
          <w:sz w:val="21"/>
          <w:szCs w:val="24"/>
          <w:highlight w:val="none"/>
          <w:lang w:eastAsia="zh-CN"/>
        </w:rPr>
        <w:t>提供投标截止期近一个月（2023年</w:t>
      </w:r>
      <w:r>
        <w:rPr>
          <w:rFonts w:hint="eastAsia" w:ascii="Calibri" w:hAnsi="Calibri" w:eastAsia="宋体"/>
          <w:color w:val="auto"/>
          <w:kern w:val="2"/>
          <w:sz w:val="21"/>
          <w:szCs w:val="24"/>
          <w:highlight w:val="none"/>
          <w:lang w:val="en-US" w:eastAsia="zh-CN"/>
        </w:rPr>
        <w:t>4</w:t>
      </w:r>
      <w:r>
        <w:rPr>
          <w:rFonts w:hint="eastAsia" w:ascii="Calibri" w:hAnsi="Calibri" w:eastAsia="宋体"/>
          <w:color w:val="auto"/>
          <w:kern w:val="2"/>
          <w:sz w:val="21"/>
          <w:szCs w:val="24"/>
          <w:highlight w:val="none"/>
          <w:lang w:eastAsia="zh-CN"/>
        </w:rPr>
        <w:t>月）社保证明。</w:t>
      </w:r>
      <w:r>
        <w:rPr>
          <w:rFonts w:hint="eastAsia" w:ascii="宋体" w:hAnsi="宋体" w:eastAsia="宋体" w:cs="宋体"/>
          <w:bCs/>
          <w:color w:val="auto"/>
          <w:sz w:val="21"/>
          <w:szCs w:val="21"/>
          <w:highlight w:val="none"/>
          <w:lang w:eastAsia="zh-CN"/>
        </w:rPr>
        <w:t>社保缴纳证明原件清晰彩色扫描件或网上查询打印件。（社保缴纳期限包含新型冠状病毒疫情期的，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本项目中同一人不能同时兼任两个或以上专业负责人职务。</w:t>
      </w:r>
    </w:p>
    <w:p>
      <w:pPr>
        <w:ind w:firstLine="420" w:firstLineChars="200"/>
        <w:rPr>
          <w:rFonts w:ascii="宋体" w:hAnsi="宋体" w:eastAsia="宋体"/>
          <w:color w:val="auto"/>
          <w:sz w:val="21"/>
          <w:szCs w:val="21"/>
          <w:highlight w:val="none"/>
          <w:lang w:eastAsia="zh-CN"/>
        </w:rPr>
      </w:pPr>
    </w:p>
    <w:p>
      <w:pPr>
        <w:jc w:val="center"/>
        <w:rPr>
          <w:rFonts w:ascii="宋体" w:hAnsi="宋体" w:eastAsia="宋体"/>
          <w:b/>
          <w:bCs/>
          <w:color w:val="auto"/>
          <w:sz w:val="32"/>
          <w:szCs w:val="32"/>
          <w:highlight w:val="none"/>
          <w:lang w:eastAsia="zh-CN"/>
        </w:rPr>
      </w:pPr>
      <w:r>
        <w:rPr>
          <w:rFonts w:ascii="宋体" w:hAnsi="宋体" w:eastAsia="宋体"/>
          <w:color w:val="auto"/>
          <w:sz w:val="21"/>
          <w:szCs w:val="21"/>
          <w:highlight w:val="none"/>
          <w:lang w:eastAsia="zh-CN"/>
        </w:rPr>
        <w:br w:type="page"/>
      </w:r>
      <w:r>
        <w:rPr>
          <w:rFonts w:hint="eastAsia" w:ascii="宋体" w:hAnsi="宋体" w:eastAsia="宋体"/>
          <w:b/>
          <w:bCs/>
          <w:color w:val="auto"/>
          <w:sz w:val="32"/>
          <w:szCs w:val="32"/>
          <w:highlight w:val="none"/>
          <w:lang w:eastAsia="zh-CN"/>
        </w:rPr>
        <w:t>主要人员简历表</w:t>
      </w:r>
    </w:p>
    <w:p>
      <w:pPr>
        <w:rPr>
          <w:rFonts w:ascii="宋体" w:hAnsi="宋体" w:eastAsia="宋体"/>
          <w:b/>
          <w:bCs/>
          <w:color w:val="auto"/>
          <w:sz w:val="32"/>
          <w:szCs w:val="32"/>
          <w:highlight w:val="none"/>
          <w:lang w:eastAsia="zh-CN"/>
        </w:rPr>
      </w:pPr>
    </w:p>
    <w:tbl>
      <w:tblPr>
        <w:tblStyle w:val="29"/>
        <w:tblW w:w="5000" w:type="pct"/>
        <w:tblInd w:w="-5" w:type="dxa"/>
        <w:tblLayout w:type="autofit"/>
        <w:tblCellMar>
          <w:top w:w="0" w:type="dxa"/>
          <w:left w:w="0" w:type="dxa"/>
          <w:bottom w:w="0" w:type="dxa"/>
          <w:right w:w="0" w:type="dxa"/>
        </w:tblCellMar>
      </w:tblPr>
      <w:tblGrid>
        <w:gridCol w:w="1256"/>
        <w:gridCol w:w="380"/>
        <w:gridCol w:w="734"/>
        <w:gridCol w:w="1016"/>
        <w:gridCol w:w="1131"/>
        <w:gridCol w:w="746"/>
        <w:gridCol w:w="1336"/>
        <w:gridCol w:w="428"/>
        <w:gridCol w:w="2010"/>
      </w:tblGrid>
      <w:tr>
        <w:tblPrEx>
          <w:tblCellMar>
            <w:top w:w="0" w:type="dxa"/>
            <w:left w:w="0" w:type="dxa"/>
            <w:bottom w:w="0" w:type="dxa"/>
            <w:right w:w="0" w:type="dxa"/>
          </w:tblCellMar>
        </w:tblPrEx>
        <w:trPr>
          <w:trHeight w:val="890" w:hRule="atLeast"/>
        </w:trPr>
        <w:tc>
          <w:tcPr>
            <w:tcW w:w="695"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cs="Calibri"/>
                <w:color w:val="auto"/>
                <w:sz w:val="21"/>
                <w:szCs w:val="21"/>
                <w:highlight w:val="none"/>
              </w:rPr>
            </w:pPr>
            <w:r>
              <w:rPr>
                <w:rFonts w:hint="eastAsia" w:ascii="宋体" w:hAnsi="宋体" w:eastAsia="宋体"/>
                <w:color w:val="auto"/>
                <w:sz w:val="21"/>
                <w:szCs w:val="21"/>
                <w:highlight w:val="none"/>
              </w:rPr>
              <w:t>姓</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名</w:t>
            </w:r>
          </w:p>
        </w:tc>
        <w:tc>
          <w:tcPr>
            <w:tcW w:w="616" w:type="pct"/>
            <w:gridSpan w:val="2"/>
            <w:tcBorders>
              <w:top w:val="single" w:color="000000" w:sz="4" w:space="0"/>
              <w:left w:val="nil"/>
              <w:bottom w:val="single" w:color="000000" w:sz="4" w:space="0"/>
              <w:right w:val="single" w:color="000000" w:sz="4" w:space="0"/>
            </w:tcBorders>
            <w:vAlign w:val="center"/>
          </w:tcPr>
          <w:p>
            <w:pPr>
              <w:autoSpaceDE w:val="0"/>
              <w:autoSpaceDN w:val="0"/>
              <w:adjustRightInd w:val="0"/>
              <w:rPr>
                <w:rFonts w:ascii="宋体" w:hAnsi="宋体" w:eastAsia="宋体" w:cs="Calibri"/>
                <w:color w:val="auto"/>
                <w:sz w:val="21"/>
                <w:szCs w:val="21"/>
                <w:highlight w:val="none"/>
              </w:rPr>
            </w:pPr>
          </w:p>
        </w:tc>
        <w:tc>
          <w:tcPr>
            <w:tcW w:w="562" w:type="pct"/>
            <w:tcBorders>
              <w:top w:val="single" w:color="000000" w:sz="4" w:space="0"/>
              <w:left w:val="nil"/>
              <w:bottom w:val="single" w:color="000000" w:sz="4" w:space="0"/>
              <w:right w:val="single" w:color="000000" w:sz="4" w:space="0"/>
            </w:tcBorders>
            <w:vAlign w:val="center"/>
          </w:tcPr>
          <w:p>
            <w:pPr>
              <w:autoSpaceDE w:val="0"/>
              <w:autoSpaceDN w:val="0"/>
              <w:adjustRightInd w:val="0"/>
              <w:jc w:val="center"/>
              <w:rPr>
                <w:rFonts w:ascii="宋体" w:hAnsi="宋体" w:eastAsia="宋体" w:cs="Calibri"/>
                <w:color w:val="auto"/>
                <w:sz w:val="21"/>
                <w:szCs w:val="21"/>
                <w:highlight w:val="none"/>
              </w:rPr>
            </w:pPr>
            <w:r>
              <w:rPr>
                <w:rFonts w:hint="eastAsia" w:ascii="宋体" w:hAnsi="宋体" w:eastAsia="宋体"/>
                <w:color w:val="auto"/>
                <w:sz w:val="21"/>
                <w:szCs w:val="21"/>
                <w:highlight w:val="none"/>
              </w:rPr>
              <w:t>年龄</w:t>
            </w:r>
          </w:p>
        </w:tc>
        <w:tc>
          <w:tcPr>
            <w:tcW w:w="626" w:type="pct"/>
            <w:tcBorders>
              <w:top w:val="single" w:color="000000" w:sz="4" w:space="0"/>
              <w:left w:val="nil"/>
              <w:bottom w:val="single" w:color="000000" w:sz="4" w:space="0"/>
              <w:right w:val="single" w:color="000000" w:sz="4" w:space="0"/>
            </w:tcBorders>
            <w:vAlign w:val="center"/>
          </w:tcPr>
          <w:p>
            <w:pPr>
              <w:autoSpaceDE w:val="0"/>
              <w:autoSpaceDN w:val="0"/>
              <w:adjustRightInd w:val="0"/>
              <w:rPr>
                <w:rFonts w:ascii="宋体" w:hAnsi="宋体" w:eastAsia="宋体" w:cs="Calibri"/>
                <w:color w:val="auto"/>
                <w:sz w:val="21"/>
                <w:szCs w:val="21"/>
                <w:highlight w:val="none"/>
              </w:rPr>
            </w:pPr>
          </w:p>
        </w:tc>
        <w:tc>
          <w:tcPr>
            <w:tcW w:w="1389" w:type="pct"/>
            <w:gridSpan w:val="3"/>
            <w:tcBorders>
              <w:top w:val="single" w:color="000000" w:sz="4" w:space="0"/>
              <w:left w:val="nil"/>
              <w:bottom w:val="single" w:color="000000" w:sz="4" w:space="0"/>
              <w:right w:val="single" w:color="000000" w:sz="4" w:space="0"/>
            </w:tcBorders>
            <w:vAlign w:val="center"/>
          </w:tcPr>
          <w:p>
            <w:pPr>
              <w:autoSpaceDE w:val="0"/>
              <w:autoSpaceDN w:val="0"/>
              <w:adjustRightInd w:val="0"/>
              <w:jc w:val="center"/>
              <w:rPr>
                <w:rFonts w:ascii="宋体" w:hAnsi="宋体" w:eastAsia="宋体" w:cs="Calibri"/>
                <w:color w:val="auto"/>
                <w:sz w:val="21"/>
                <w:szCs w:val="21"/>
                <w:highlight w:val="none"/>
                <w:lang w:eastAsia="zh-CN"/>
              </w:rPr>
            </w:pPr>
            <w:r>
              <w:rPr>
                <w:rFonts w:hint="eastAsia" w:ascii="宋体" w:hAnsi="宋体" w:eastAsia="宋体"/>
                <w:color w:val="auto"/>
                <w:sz w:val="21"/>
                <w:szCs w:val="21"/>
                <w:highlight w:val="none"/>
                <w:lang w:eastAsia="zh-CN"/>
              </w:rPr>
              <w:t>执业</w:t>
            </w:r>
            <w:r>
              <w:rPr>
                <w:rFonts w:hint="eastAsia" w:ascii="宋体" w:hAnsi="宋体" w:eastAsia="宋体"/>
                <w:color w:val="auto"/>
                <w:spacing w:val="-2"/>
                <w:sz w:val="21"/>
                <w:szCs w:val="21"/>
                <w:highlight w:val="none"/>
                <w:lang w:eastAsia="zh-CN"/>
              </w:rPr>
              <w:t>资</w:t>
            </w:r>
            <w:r>
              <w:rPr>
                <w:rFonts w:hint="eastAsia" w:ascii="宋体" w:hAnsi="宋体" w:eastAsia="宋体"/>
                <w:color w:val="auto"/>
                <w:sz w:val="21"/>
                <w:szCs w:val="21"/>
                <w:highlight w:val="none"/>
                <w:lang w:eastAsia="zh-CN"/>
              </w:rPr>
              <w:t>格</w:t>
            </w:r>
            <w:r>
              <w:rPr>
                <w:rFonts w:hint="eastAsia" w:ascii="宋体" w:hAnsi="宋体" w:eastAsia="宋体"/>
                <w:color w:val="auto"/>
                <w:spacing w:val="-2"/>
                <w:sz w:val="21"/>
                <w:szCs w:val="21"/>
                <w:highlight w:val="none"/>
                <w:lang w:eastAsia="zh-CN"/>
              </w:rPr>
              <w:t>证</w:t>
            </w:r>
            <w:r>
              <w:rPr>
                <w:rFonts w:hint="eastAsia" w:ascii="宋体" w:hAnsi="宋体" w:eastAsia="宋体"/>
                <w:color w:val="auto"/>
                <w:sz w:val="21"/>
                <w:szCs w:val="21"/>
                <w:highlight w:val="none"/>
                <w:lang w:eastAsia="zh-CN"/>
              </w:rPr>
              <w:t>书</w:t>
            </w:r>
            <w:r>
              <w:rPr>
                <w:rFonts w:hint="eastAsia" w:ascii="宋体" w:hAnsi="宋体" w:eastAsia="宋体"/>
                <w:color w:val="auto"/>
                <w:spacing w:val="-2"/>
                <w:sz w:val="21"/>
                <w:szCs w:val="21"/>
                <w:highlight w:val="none"/>
                <w:lang w:eastAsia="zh-CN"/>
              </w:rPr>
              <w:t>（</w:t>
            </w:r>
            <w:r>
              <w:rPr>
                <w:rFonts w:hint="eastAsia" w:ascii="宋体" w:hAnsi="宋体" w:eastAsia="宋体"/>
                <w:color w:val="auto"/>
                <w:sz w:val="21"/>
                <w:szCs w:val="21"/>
                <w:highlight w:val="none"/>
                <w:lang w:eastAsia="zh-CN"/>
              </w:rPr>
              <w:t>或</w:t>
            </w:r>
            <w:r>
              <w:rPr>
                <w:rFonts w:hint="eastAsia" w:ascii="宋体" w:hAnsi="宋体" w:eastAsia="宋体"/>
                <w:color w:val="auto"/>
                <w:spacing w:val="-2"/>
                <w:sz w:val="21"/>
                <w:szCs w:val="21"/>
                <w:highlight w:val="none"/>
                <w:lang w:eastAsia="zh-CN"/>
              </w:rPr>
              <w:t>上</w:t>
            </w:r>
            <w:r>
              <w:rPr>
                <w:rFonts w:hint="eastAsia" w:ascii="宋体" w:hAnsi="宋体" w:eastAsia="宋体"/>
                <w:color w:val="auto"/>
                <w:sz w:val="21"/>
                <w:szCs w:val="21"/>
                <w:highlight w:val="none"/>
                <w:lang w:eastAsia="zh-CN"/>
              </w:rPr>
              <w:t>岗证书</w:t>
            </w:r>
            <w:r>
              <w:rPr>
                <w:rFonts w:hint="eastAsia" w:ascii="宋体" w:hAnsi="宋体" w:eastAsia="宋体"/>
                <w:color w:val="auto"/>
                <w:spacing w:val="-2"/>
                <w:sz w:val="21"/>
                <w:szCs w:val="21"/>
                <w:highlight w:val="none"/>
                <w:lang w:eastAsia="zh-CN"/>
              </w:rPr>
              <w:t>）</w:t>
            </w:r>
            <w:r>
              <w:rPr>
                <w:rFonts w:hint="eastAsia" w:ascii="宋体" w:hAnsi="宋体" w:eastAsia="宋体"/>
                <w:color w:val="auto"/>
                <w:sz w:val="21"/>
                <w:szCs w:val="21"/>
                <w:highlight w:val="none"/>
                <w:lang w:eastAsia="zh-CN"/>
              </w:rPr>
              <w:t>名称</w:t>
            </w:r>
          </w:p>
        </w:tc>
        <w:tc>
          <w:tcPr>
            <w:tcW w:w="1113" w:type="pct"/>
            <w:tcBorders>
              <w:top w:val="single" w:color="000000" w:sz="4" w:space="0"/>
              <w:left w:val="nil"/>
              <w:bottom w:val="single" w:color="000000" w:sz="4" w:space="0"/>
              <w:right w:val="single" w:color="000000" w:sz="4" w:space="0"/>
            </w:tcBorders>
            <w:vAlign w:val="center"/>
          </w:tcPr>
          <w:p>
            <w:pPr>
              <w:autoSpaceDE w:val="0"/>
              <w:autoSpaceDN w:val="0"/>
              <w:adjustRightInd w:val="0"/>
              <w:rPr>
                <w:rFonts w:ascii="宋体" w:hAnsi="宋体" w:eastAsia="宋体" w:cs="Calibri"/>
                <w:color w:val="auto"/>
                <w:sz w:val="21"/>
                <w:szCs w:val="21"/>
                <w:highlight w:val="none"/>
                <w:lang w:eastAsia="zh-CN"/>
              </w:rPr>
            </w:pPr>
          </w:p>
        </w:tc>
      </w:tr>
      <w:tr>
        <w:tblPrEx>
          <w:tblCellMar>
            <w:top w:w="0" w:type="dxa"/>
            <w:left w:w="0" w:type="dxa"/>
            <w:bottom w:w="0" w:type="dxa"/>
            <w:right w:w="0" w:type="dxa"/>
          </w:tblCellMar>
        </w:tblPrEx>
        <w:trPr>
          <w:trHeight w:val="698" w:hRule="atLeast"/>
        </w:trPr>
        <w:tc>
          <w:tcPr>
            <w:tcW w:w="695"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cs="Calibri"/>
                <w:color w:val="auto"/>
                <w:sz w:val="21"/>
                <w:szCs w:val="21"/>
                <w:highlight w:val="none"/>
              </w:rPr>
            </w:pPr>
            <w:r>
              <w:rPr>
                <w:rFonts w:hint="eastAsia" w:ascii="宋体" w:hAnsi="宋体" w:eastAsia="宋体"/>
                <w:color w:val="auto"/>
                <w:sz w:val="21"/>
                <w:szCs w:val="21"/>
                <w:highlight w:val="none"/>
              </w:rPr>
              <w:t>职</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称</w:t>
            </w:r>
          </w:p>
        </w:tc>
        <w:tc>
          <w:tcPr>
            <w:tcW w:w="616" w:type="pct"/>
            <w:gridSpan w:val="2"/>
            <w:tcBorders>
              <w:top w:val="single" w:color="000000" w:sz="4" w:space="0"/>
              <w:left w:val="nil"/>
              <w:bottom w:val="single" w:color="000000" w:sz="4" w:space="0"/>
              <w:right w:val="single" w:color="000000" w:sz="4" w:space="0"/>
            </w:tcBorders>
            <w:vAlign w:val="center"/>
          </w:tcPr>
          <w:p>
            <w:pPr>
              <w:autoSpaceDE w:val="0"/>
              <w:autoSpaceDN w:val="0"/>
              <w:adjustRightInd w:val="0"/>
              <w:rPr>
                <w:rFonts w:ascii="宋体" w:hAnsi="宋体" w:eastAsia="宋体" w:cs="Calibri"/>
                <w:color w:val="auto"/>
                <w:sz w:val="21"/>
                <w:szCs w:val="21"/>
                <w:highlight w:val="none"/>
              </w:rPr>
            </w:pPr>
          </w:p>
        </w:tc>
        <w:tc>
          <w:tcPr>
            <w:tcW w:w="562" w:type="pct"/>
            <w:tcBorders>
              <w:top w:val="single" w:color="000000" w:sz="4" w:space="0"/>
              <w:left w:val="nil"/>
              <w:bottom w:val="single" w:color="000000" w:sz="4" w:space="0"/>
              <w:right w:val="single" w:color="000000" w:sz="4" w:space="0"/>
            </w:tcBorders>
            <w:vAlign w:val="center"/>
          </w:tcPr>
          <w:p>
            <w:pPr>
              <w:autoSpaceDE w:val="0"/>
              <w:autoSpaceDN w:val="0"/>
              <w:adjustRightInd w:val="0"/>
              <w:jc w:val="center"/>
              <w:rPr>
                <w:rFonts w:ascii="宋体" w:hAnsi="宋体" w:eastAsia="宋体" w:cs="Calibri"/>
                <w:color w:val="auto"/>
                <w:sz w:val="21"/>
                <w:szCs w:val="21"/>
                <w:highlight w:val="none"/>
              </w:rPr>
            </w:pPr>
            <w:r>
              <w:rPr>
                <w:rFonts w:hint="eastAsia" w:ascii="宋体" w:hAnsi="宋体" w:eastAsia="宋体"/>
                <w:color w:val="auto"/>
                <w:sz w:val="21"/>
                <w:szCs w:val="21"/>
                <w:highlight w:val="none"/>
              </w:rPr>
              <w:t>学历</w:t>
            </w:r>
          </w:p>
        </w:tc>
        <w:tc>
          <w:tcPr>
            <w:tcW w:w="626" w:type="pct"/>
            <w:tcBorders>
              <w:top w:val="single" w:color="000000" w:sz="4" w:space="0"/>
              <w:left w:val="nil"/>
              <w:bottom w:val="single" w:color="000000" w:sz="4" w:space="0"/>
              <w:right w:val="single" w:color="000000" w:sz="4" w:space="0"/>
            </w:tcBorders>
            <w:vAlign w:val="center"/>
          </w:tcPr>
          <w:p>
            <w:pPr>
              <w:autoSpaceDE w:val="0"/>
              <w:autoSpaceDN w:val="0"/>
              <w:adjustRightInd w:val="0"/>
              <w:rPr>
                <w:rFonts w:ascii="宋体" w:hAnsi="宋体" w:eastAsia="宋体" w:cs="Calibri"/>
                <w:color w:val="auto"/>
                <w:sz w:val="21"/>
                <w:szCs w:val="21"/>
                <w:highlight w:val="none"/>
              </w:rPr>
            </w:pPr>
          </w:p>
        </w:tc>
        <w:tc>
          <w:tcPr>
            <w:tcW w:w="1389" w:type="pct"/>
            <w:gridSpan w:val="3"/>
            <w:tcBorders>
              <w:top w:val="single" w:color="000000" w:sz="4" w:space="0"/>
              <w:left w:val="nil"/>
              <w:bottom w:val="single" w:color="000000" w:sz="4" w:space="0"/>
              <w:right w:val="single" w:color="000000" w:sz="4" w:space="0"/>
            </w:tcBorders>
            <w:vAlign w:val="center"/>
          </w:tcPr>
          <w:p>
            <w:pPr>
              <w:autoSpaceDE w:val="0"/>
              <w:autoSpaceDN w:val="0"/>
              <w:adjustRightInd w:val="0"/>
              <w:jc w:val="center"/>
              <w:rPr>
                <w:rFonts w:ascii="宋体" w:hAnsi="宋体" w:eastAsia="宋体" w:cs="Calibri"/>
                <w:color w:val="auto"/>
                <w:sz w:val="21"/>
                <w:szCs w:val="21"/>
                <w:highlight w:val="none"/>
              </w:rPr>
            </w:pPr>
            <w:r>
              <w:rPr>
                <w:rFonts w:hint="eastAsia" w:ascii="宋体" w:hAnsi="宋体" w:eastAsia="宋体"/>
                <w:color w:val="auto"/>
                <w:sz w:val="21"/>
                <w:szCs w:val="21"/>
                <w:highlight w:val="none"/>
              </w:rPr>
              <w:t>拟在</w:t>
            </w:r>
            <w:r>
              <w:rPr>
                <w:rFonts w:hint="eastAsia" w:ascii="宋体" w:hAnsi="宋体" w:eastAsia="宋体"/>
                <w:color w:val="auto"/>
                <w:spacing w:val="-2"/>
                <w:sz w:val="21"/>
                <w:szCs w:val="21"/>
                <w:highlight w:val="none"/>
              </w:rPr>
              <w:t>本</w:t>
            </w:r>
            <w:r>
              <w:rPr>
                <w:rFonts w:hint="eastAsia" w:ascii="宋体" w:hAnsi="宋体" w:eastAsia="宋体"/>
                <w:color w:val="auto"/>
                <w:sz w:val="21"/>
                <w:szCs w:val="21"/>
                <w:highlight w:val="none"/>
              </w:rPr>
              <w:t>项</w:t>
            </w:r>
            <w:r>
              <w:rPr>
                <w:rFonts w:hint="eastAsia" w:ascii="宋体" w:hAnsi="宋体" w:eastAsia="宋体"/>
                <w:color w:val="auto"/>
                <w:spacing w:val="-2"/>
                <w:sz w:val="21"/>
                <w:szCs w:val="21"/>
                <w:highlight w:val="none"/>
              </w:rPr>
              <w:t>目</w:t>
            </w:r>
            <w:r>
              <w:rPr>
                <w:rFonts w:hint="eastAsia" w:ascii="宋体" w:hAnsi="宋体" w:eastAsia="宋体"/>
                <w:color w:val="auto"/>
                <w:sz w:val="21"/>
                <w:szCs w:val="21"/>
                <w:highlight w:val="none"/>
              </w:rPr>
              <w:t>任职</w:t>
            </w:r>
          </w:p>
        </w:tc>
        <w:tc>
          <w:tcPr>
            <w:tcW w:w="1113" w:type="pct"/>
            <w:tcBorders>
              <w:top w:val="single" w:color="000000" w:sz="4" w:space="0"/>
              <w:left w:val="nil"/>
              <w:bottom w:val="single" w:color="000000" w:sz="4" w:space="0"/>
              <w:right w:val="single" w:color="000000" w:sz="4" w:space="0"/>
            </w:tcBorders>
            <w:vAlign w:val="center"/>
          </w:tcPr>
          <w:p>
            <w:pPr>
              <w:autoSpaceDE w:val="0"/>
              <w:autoSpaceDN w:val="0"/>
              <w:adjustRightInd w:val="0"/>
              <w:rPr>
                <w:rFonts w:ascii="宋体" w:hAnsi="宋体" w:eastAsia="宋体" w:cs="Calibri"/>
                <w:color w:val="auto"/>
                <w:sz w:val="21"/>
                <w:szCs w:val="21"/>
                <w:highlight w:val="none"/>
              </w:rPr>
            </w:pPr>
          </w:p>
        </w:tc>
      </w:tr>
      <w:tr>
        <w:tblPrEx>
          <w:tblCellMar>
            <w:top w:w="0" w:type="dxa"/>
            <w:left w:w="0" w:type="dxa"/>
            <w:bottom w:w="0" w:type="dxa"/>
            <w:right w:w="0" w:type="dxa"/>
          </w:tblCellMar>
        </w:tblPrEx>
        <w:trPr>
          <w:trHeight w:val="701" w:hRule="atLeast"/>
        </w:trPr>
        <w:tc>
          <w:tcPr>
            <w:tcW w:w="695"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cs="Calibri"/>
                <w:color w:val="auto"/>
                <w:sz w:val="21"/>
                <w:szCs w:val="21"/>
                <w:highlight w:val="none"/>
              </w:rPr>
            </w:pPr>
            <w:r>
              <w:rPr>
                <w:rFonts w:hint="eastAsia" w:ascii="宋体" w:hAnsi="宋体" w:eastAsia="宋体"/>
                <w:color w:val="auto"/>
                <w:sz w:val="21"/>
                <w:szCs w:val="21"/>
                <w:highlight w:val="none"/>
              </w:rPr>
              <w:t>工作</w:t>
            </w:r>
            <w:r>
              <w:rPr>
                <w:rFonts w:hint="eastAsia" w:ascii="宋体" w:hAnsi="宋体" w:eastAsia="宋体"/>
                <w:color w:val="auto"/>
                <w:spacing w:val="-2"/>
                <w:sz w:val="21"/>
                <w:szCs w:val="21"/>
                <w:highlight w:val="none"/>
              </w:rPr>
              <w:t>年</w:t>
            </w:r>
            <w:r>
              <w:rPr>
                <w:rFonts w:hint="eastAsia" w:ascii="宋体" w:hAnsi="宋体" w:eastAsia="宋体"/>
                <w:color w:val="auto"/>
                <w:sz w:val="21"/>
                <w:szCs w:val="21"/>
                <w:highlight w:val="none"/>
              </w:rPr>
              <w:t>限</w:t>
            </w:r>
          </w:p>
        </w:tc>
        <w:tc>
          <w:tcPr>
            <w:tcW w:w="1803" w:type="pct"/>
            <w:gridSpan w:val="4"/>
            <w:tcBorders>
              <w:top w:val="single" w:color="000000" w:sz="4" w:space="0"/>
              <w:left w:val="nil"/>
              <w:bottom w:val="single" w:color="000000" w:sz="4" w:space="0"/>
              <w:right w:val="single" w:color="000000" w:sz="4" w:space="0"/>
            </w:tcBorders>
            <w:vAlign w:val="center"/>
          </w:tcPr>
          <w:p>
            <w:pPr>
              <w:autoSpaceDE w:val="0"/>
              <w:autoSpaceDN w:val="0"/>
              <w:adjustRightInd w:val="0"/>
              <w:rPr>
                <w:rFonts w:ascii="宋体" w:hAnsi="宋体" w:eastAsia="宋体" w:cs="Calibri"/>
                <w:color w:val="auto"/>
                <w:sz w:val="21"/>
                <w:szCs w:val="21"/>
                <w:highlight w:val="none"/>
              </w:rPr>
            </w:pPr>
          </w:p>
        </w:tc>
        <w:tc>
          <w:tcPr>
            <w:tcW w:w="1389" w:type="pct"/>
            <w:gridSpan w:val="3"/>
            <w:tcBorders>
              <w:top w:val="single" w:color="000000" w:sz="4" w:space="0"/>
              <w:left w:val="nil"/>
              <w:bottom w:val="single" w:color="000000" w:sz="4" w:space="0"/>
              <w:right w:val="single" w:color="000000" w:sz="4" w:space="0"/>
            </w:tcBorders>
            <w:vAlign w:val="center"/>
          </w:tcPr>
          <w:p>
            <w:pPr>
              <w:autoSpaceDE w:val="0"/>
              <w:autoSpaceDN w:val="0"/>
              <w:adjustRightInd w:val="0"/>
              <w:jc w:val="center"/>
              <w:rPr>
                <w:rFonts w:ascii="宋体" w:hAnsi="宋体" w:eastAsia="宋体" w:cs="Calibri"/>
                <w:color w:val="auto"/>
                <w:sz w:val="21"/>
                <w:szCs w:val="21"/>
                <w:highlight w:val="none"/>
              </w:rPr>
            </w:pPr>
            <w:r>
              <w:rPr>
                <w:rFonts w:hint="eastAsia" w:ascii="宋体" w:hAnsi="宋体" w:eastAsia="宋体"/>
                <w:color w:val="auto"/>
                <w:sz w:val="21"/>
                <w:szCs w:val="21"/>
                <w:highlight w:val="none"/>
              </w:rPr>
              <w:t>从事</w:t>
            </w:r>
            <w:r>
              <w:rPr>
                <w:rFonts w:hint="eastAsia" w:ascii="宋体" w:hAnsi="宋体" w:eastAsia="宋体"/>
                <w:color w:val="auto"/>
                <w:spacing w:val="-2"/>
                <w:sz w:val="21"/>
                <w:szCs w:val="21"/>
                <w:highlight w:val="none"/>
              </w:rPr>
              <w:t>设</w:t>
            </w:r>
            <w:r>
              <w:rPr>
                <w:rFonts w:hint="eastAsia" w:ascii="宋体" w:hAnsi="宋体" w:eastAsia="宋体"/>
                <w:color w:val="auto"/>
                <w:sz w:val="21"/>
                <w:szCs w:val="21"/>
                <w:highlight w:val="none"/>
              </w:rPr>
              <w:t>计</w:t>
            </w:r>
            <w:r>
              <w:rPr>
                <w:rFonts w:hint="eastAsia" w:ascii="宋体" w:hAnsi="宋体" w:eastAsia="宋体"/>
                <w:color w:val="auto"/>
                <w:spacing w:val="-2"/>
                <w:sz w:val="21"/>
                <w:szCs w:val="21"/>
                <w:highlight w:val="none"/>
              </w:rPr>
              <w:t>工</w:t>
            </w:r>
            <w:r>
              <w:rPr>
                <w:rFonts w:hint="eastAsia" w:ascii="宋体" w:hAnsi="宋体" w:eastAsia="宋体"/>
                <w:color w:val="auto"/>
                <w:sz w:val="21"/>
                <w:szCs w:val="21"/>
                <w:highlight w:val="none"/>
              </w:rPr>
              <w:t>作</w:t>
            </w:r>
            <w:r>
              <w:rPr>
                <w:rFonts w:hint="eastAsia" w:ascii="宋体" w:hAnsi="宋体" w:eastAsia="宋体"/>
                <w:color w:val="auto"/>
                <w:spacing w:val="-2"/>
                <w:sz w:val="21"/>
                <w:szCs w:val="21"/>
                <w:highlight w:val="none"/>
              </w:rPr>
              <w:t>年</w:t>
            </w:r>
            <w:r>
              <w:rPr>
                <w:rFonts w:hint="eastAsia" w:ascii="宋体" w:hAnsi="宋体" w:eastAsia="宋体"/>
                <w:color w:val="auto"/>
                <w:sz w:val="21"/>
                <w:szCs w:val="21"/>
                <w:highlight w:val="none"/>
              </w:rPr>
              <w:t>限</w:t>
            </w:r>
          </w:p>
        </w:tc>
        <w:tc>
          <w:tcPr>
            <w:tcW w:w="1113" w:type="pct"/>
            <w:tcBorders>
              <w:top w:val="single" w:color="000000" w:sz="4" w:space="0"/>
              <w:left w:val="nil"/>
              <w:bottom w:val="single" w:color="000000" w:sz="4" w:space="0"/>
              <w:right w:val="single" w:color="000000" w:sz="4" w:space="0"/>
            </w:tcBorders>
            <w:vAlign w:val="center"/>
          </w:tcPr>
          <w:p>
            <w:pPr>
              <w:autoSpaceDE w:val="0"/>
              <w:autoSpaceDN w:val="0"/>
              <w:adjustRightInd w:val="0"/>
              <w:rPr>
                <w:rFonts w:ascii="宋体" w:hAnsi="宋体" w:eastAsia="宋体" w:cs="Calibri"/>
                <w:color w:val="auto"/>
                <w:sz w:val="21"/>
                <w:szCs w:val="21"/>
                <w:highlight w:val="none"/>
              </w:rPr>
            </w:pPr>
          </w:p>
        </w:tc>
      </w:tr>
      <w:tr>
        <w:tblPrEx>
          <w:tblCellMar>
            <w:top w:w="0" w:type="dxa"/>
            <w:left w:w="0" w:type="dxa"/>
            <w:bottom w:w="0" w:type="dxa"/>
            <w:right w:w="0" w:type="dxa"/>
          </w:tblCellMar>
        </w:tblPrEx>
        <w:trPr>
          <w:trHeight w:val="710" w:hRule="atLeast"/>
        </w:trPr>
        <w:tc>
          <w:tcPr>
            <w:tcW w:w="695"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cs="Calibri"/>
                <w:color w:val="auto"/>
                <w:sz w:val="21"/>
                <w:szCs w:val="21"/>
                <w:highlight w:val="none"/>
              </w:rPr>
            </w:pPr>
            <w:r>
              <w:rPr>
                <w:rFonts w:hint="eastAsia" w:ascii="宋体" w:hAnsi="宋体" w:eastAsia="宋体"/>
                <w:color w:val="auto"/>
                <w:sz w:val="21"/>
                <w:szCs w:val="21"/>
                <w:highlight w:val="none"/>
              </w:rPr>
              <w:t>毕业</w:t>
            </w:r>
            <w:r>
              <w:rPr>
                <w:rFonts w:hint="eastAsia" w:ascii="宋体" w:hAnsi="宋体" w:eastAsia="宋体"/>
                <w:color w:val="auto"/>
                <w:spacing w:val="-2"/>
                <w:sz w:val="21"/>
                <w:szCs w:val="21"/>
                <w:highlight w:val="none"/>
              </w:rPr>
              <w:t>学</w:t>
            </w:r>
            <w:r>
              <w:rPr>
                <w:rFonts w:hint="eastAsia" w:ascii="宋体" w:hAnsi="宋体" w:eastAsia="宋体"/>
                <w:color w:val="auto"/>
                <w:sz w:val="21"/>
                <w:szCs w:val="21"/>
                <w:highlight w:val="none"/>
              </w:rPr>
              <w:t>校</w:t>
            </w:r>
          </w:p>
        </w:tc>
        <w:tc>
          <w:tcPr>
            <w:tcW w:w="4305" w:type="pct"/>
            <w:gridSpan w:val="8"/>
            <w:tcBorders>
              <w:top w:val="single" w:color="000000" w:sz="4" w:space="0"/>
              <w:left w:val="nil"/>
              <w:bottom w:val="single" w:color="000000" w:sz="4" w:space="0"/>
              <w:right w:val="single" w:color="000000" w:sz="4" w:space="0"/>
            </w:tcBorders>
            <w:vAlign w:val="center"/>
          </w:tcPr>
          <w:p>
            <w:pPr>
              <w:autoSpaceDE w:val="0"/>
              <w:autoSpaceDN w:val="0"/>
              <w:adjustRightInd w:val="0"/>
              <w:ind w:firstLine="420" w:firstLineChars="200"/>
              <w:rPr>
                <w:rFonts w:ascii="宋体" w:hAnsi="宋体" w:eastAsia="宋体" w:cs="Calibri"/>
                <w:color w:val="auto"/>
                <w:sz w:val="21"/>
                <w:szCs w:val="21"/>
                <w:highlight w:val="none"/>
              </w:rPr>
            </w:pPr>
            <w:r>
              <w:rPr>
                <w:rFonts w:hint="eastAsia" w:ascii="宋体" w:hAnsi="宋体" w:eastAsia="宋体"/>
                <w:color w:val="auto"/>
                <w:sz w:val="21"/>
                <w:szCs w:val="21"/>
                <w:highlight w:val="none"/>
              </w:rPr>
              <w:t>年毕</w:t>
            </w:r>
            <w:r>
              <w:rPr>
                <w:rFonts w:hint="eastAsia" w:ascii="宋体" w:hAnsi="宋体" w:eastAsia="宋体"/>
                <w:color w:val="auto"/>
                <w:spacing w:val="-2"/>
                <w:sz w:val="21"/>
                <w:szCs w:val="21"/>
                <w:highlight w:val="none"/>
              </w:rPr>
              <w:t>业</w:t>
            </w:r>
            <w:r>
              <w:rPr>
                <w:rFonts w:hint="eastAsia" w:ascii="宋体" w:hAnsi="宋体" w:eastAsia="宋体"/>
                <w:color w:val="auto"/>
                <w:sz w:val="21"/>
                <w:szCs w:val="21"/>
                <w:highlight w:val="none"/>
              </w:rPr>
              <w:t>于</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 xml:space="preserve">      </w:t>
            </w:r>
            <w:r>
              <w:rPr>
                <w:rFonts w:hint="eastAsia" w:ascii="宋体" w:hAnsi="宋体" w:eastAsia="宋体"/>
                <w:color w:val="auto"/>
                <w:spacing w:val="-2"/>
                <w:sz w:val="21"/>
                <w:szCs w:val="21"/>
                <w:highlight w:val="none"/>
              </w:rPr>
              <w:t>学</w:t>
            </w:r>
            <w:r>
              <w:rPr>
                <w:rFonts w:hint="eastAsia" w:ascii="宋体" w:hAnsi="宋体" w:eastAsia="宋体"/>
                <w:color w:val="auto"/>
                <w:sz w:val="21"/>
                <w:szCs w:val="21"/>
                <w:highlight w:val="none"/>
              </w:rPr>
              <w:t>校</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 xml:space="preserve">      专业</w:t>
            </w:r>
          </w:p>
        </w:tc>
      </w:tr>
      <w:tr>
        <w:tblPrEx>
          <w:tblCellMar>
            <w:top w:w="0" w:type="dxa"/>
            <w:left w:w="0" w:type="dxa"/>
            <w:bottom w:w="0" w:type="dxa"/>
            <w:right w:w="0" w:type="dxa"/>
          </w:tblCellMar>
        </w:tblPrEx>
        <w:trPr>
          <w:trHeight w:val="694" w:hRule="atLeast"/>
        </w:trPr>
        <w:tc>
          <w:tcPr>
            <w:tcW w:w="5000" w:type="pct"/>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ascii="宋体" w:hAnsi="宋体" w:eastAsia="宋体"/>
                <w:color w:val="auto"/>
                <w:sz w:val="21"/>
                <w:szCs w:val="21"/>
                <w:highlight w:val="none"/>
              </w:rPr>
            </w:pPr>
            <w:r>
              <w:rPr>
                <w:rFonts w:hint="eastAsia" w:ascii="宋体" w:hAnsi="宋体" w:eastAsia="宋体"/>
                <w:color w:val="auto"/>
                <w:sz w:val="21"/>
                <w:szCs w:val="21"/>
                <w:highlight w:val="none"/>
              </w:rPr>
              <w:t>主要工作经历</w:t>
            </w:r>
          </w:p>
          <w:p>
            <w:pPr>
              <w:pStyle w:val="55"/>
              <w:rPr>
                <w:rFonts w:ascii="宋体" w:hAnsi="宋体"/>
                <w:color w:val="auto"/>
                <w:kern w:val="0"/>
                <w:szCs w:val="21"/>
                <w:highlight w:val="none"/>
              </w:rPr>
            </w:pPr>
          </w:p>
          <w:p>
            <w:pPr>
              <w:pStyle w:val="55"/>
              <w:rPr>
                <w:rFonts w:ascii="宋体" w:hAnsi="宋体"/>
                <w:color w:val="auto"/>
                <w:kern w:val="0"/>
                <w:szCs w:val="21"/>
                <w:highlight w:val="none"/>
              </w:rPr>
            </w:pPr>
          </w:p>
          <w:p>
            <w:pPr>
              <w:pStyle w:val="55"/>
              <w:rPr>
                <w:rFonts w:ascii="宋体" w:hAnsi="宋体"/>
                <w:color w:val="auto"/>
                <w:kern w:val="0"/>
                <w:szCs w:val="21"/>
                <w:highlight w:val="none"/>
              </w:rPr>
            </w:pPr>
          </w:p>
          <w:p>
            <w:pPr>
              <w:pStyle w:val="55"/>
              <w:rPr>
                <w:rFonts w:ascii="宋体" w:hAnsi="宋体"/>
                <w:color w:val="auto"/>
                <w:kern w:val="0"/>
                <w:szCs w:val="21"/>
                <w:highlight w:val="none"/>
              </w:rPr>
            </w:pPr>
          </w:p>
          <w:p>
            <w:pPr>
              <w:pStyle w:val="55"/>
              <w:rPr>
                <w:rFonts w:ascii="宋体" w:hAnsi="宋体"/>
                <w:color w:val="auto"/>
                <w:kern w:val="0"/>
                <w:szCs w:val="21"/>
                <w:highlight w:val="none"/>
              </w:rPr>
            </w:pPr>
          </w:p>
          <w:p>
            <w:pPr>
              <w:pStyle w:val="55"/>
              <w:rPr>
                <w:rFonts w:ascii="宋体" w:hAnsi="宋体"/>
                <w:color w:val="auto"/>
                <w:kern w:val="0"/>
                <w:szCs w:val="21"/>
                <w:highlight w:val="none"/>
              </w:rPr>
            </w:pPr>
          </w:p>
          <w:p>
            <w:pPr>
              <w:pStyle w:val="55"/>
              <w:rPr>
                <w:rFonts w:ascii="宋体" w:hAnsi="宋体"/>
                <w:color w:val="auto"/>
                <w:kern w:val="0"/>
                <w:szCs w:val="21"/>
                <w:highlight w:val="none"/>
              </w:rPr>
            </w:pPr>
          </w:p>
          <w:p>
            <w:pPr>
              <w:pStyle w:val="55"/>
              <w:rPr>
                <w:rFonts w:ascii="宋体" w:hAnsi="宋体"/>
                <w:color w:val="auto"/>
                <w:kern w:val="0"/>
                <w:szCs w:val="21"/>
                <w:highlight w:val="none"/>
              </w:rPr>
            </w:pPr>
          </w:p>
          <w:p>
            <w:pPr>
              <w:pStyle w:val="55"/>
              <w:rPr>
                <w:rFonts w:ascii="宋体" w:hAnsi="宋体"/>
                <w:color w:val="auto"/>
                <w:kern w:val="0"/>
                <w:szCs w:val="21"/>
                <w:highlight w:val="none"/>
              </w:rPr>
            </w:pPr>
          </w:p>
        </w:tc>
      </w:tr>
      <w:tr>
        <w:tblPrEx>
          <w:tblCellMar>
            <w:top w:w="0" w:type="dxa"/>
            <w:left w:w="0" w:type="dxa"/>
            <w:bottom w:w="0" w:type="dxa"/>
            <w:right w:w="0" w:type="dxa"/>
          </w:tblCellMar>
        </w:tblPrEx>
        <w:trPr>
          <w:trHeight w:val="718" w:hRule="atLeast"/>
        </w:trPr>
        <w:tc>
          <w:tcPr>
            <w:tcW w:w="905" w:type="pct"/>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cs="Calibri"/>
                <w:color w:val="auto"/>
                <w:sz w:val="21"/>
                <w:szCs w:val="21"/>
                <w:highlight w:val="none"/>
              </w:rPr>
            </w:pPr>
            <w:r>
              <w:rPr>
                <w:rFonts w:hint="eastAsia" w:ascii="宋体" w:hAnsi="宋体" w:eastAsia="宋体"/>
                <w:color w:val="auto"/>
                <w:sz w:val="21"/>
                <w:szCs w:val="21"/>
                <w:highlight w:val="none"/>
              </w:rPr>
              <w:t>时</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间</w:t>
            </w:r>
          </w:p>
        </w:tc>
        <w:tc>
          <w:tcPr>
            <w:tcW w:w="2007" w:type="pct"/>
            <w:gridSpan w:val="4"/>
            <w:tcBorders>
              <w:top w:val="single" w:color="000000" w:sz="4" w:space="0"/>
              <w:left w:val="nil"/>
              <w:bottom w:val="single" w:color="000000" w:sz="4" w:space="0"/>
              <w:right w:val="single" w:color="000000" w:sz="4" w:space="0"/>
            </w:tcBorders>
            <w:vAlign w:val="center"/>
          </w:tcPr>
          <w:p>
            <w:pPr>
              <w:autoSpaceDE w:val="0"/>
              <w:autoSpaceDN w:val="0"/>
              <w:adjustRightInd w:val="0"/>
              <w:jc w:val="center"/>
              <w:rPr>
                <w:rFonts w:ascii="宋体" w:hAnsi="宋体" w:eastAsia="宋体" w:cs="Calibri"/>
                <w:color w:val="auto"/>
                <w:sz w:val="21"/>
                <w:szCs w:val="21"/>
                <w:highlight w:val="none"/>
              </w:rPr>
            </w:pPr>
            <w:r>
              <w:rPr>
                <w:rFonts w:hint="eastAsia" w:ascii="宋体" w:hAnsi="宋体" w:eastAsia="宋体"/>
                <w:color w:val="auto"/>
                <w:sz w:val="21"/>
                <w:szCs w:val="21"/>
                <w:highlight w:val="none"/>
              </w:rPr>
              <w:t>参加</w:t>
            </w:r>
            <w:r>
              <w:rPr>
                <w:rFonts w:hint="eastAsia" w:ascii="宋体" w:hAnsi="宋体" w:eastAsia="宋体"/>
                <w:color w:val="auto"/>
                <w:spacing w:val="-2"/>
                <w:sz w:val="21"/>
                <w:szCs w:val="21"/>
                <w:highlight w:val="none"/>
              </w:rPr>
              <w:t>过</w:t>
            </w:r>
            <w:r>
              <w:rPr>
                <w:rFonts w:hint="eastAsia" w:ascii="宋体" w:hAnsi="宋体" w:eastAsia="宋体"/>
                <w:color w:val="auto"/>
                <w:sz w:val="21"/>
                <w:szCs w:val="21"/>
                <w:highlight w:val="none"/>
              </w:rPr>
              <w:t>的</w:t>
            </w:r>
            <w:r>
              <w:rPr>
                <w:rFonts w:hint="eastAsia" w:ascii="宋体" w:hAnsi="宋体" w:eastAsia="宋体"/>
                <w:color w:val="auto"/>
                <w:spacing w:val="-2"/>
                <w:sz w:val="21"/>
                <w:szCs w:val="21"/>
                <w:highlight w:val="none"/>
              </w:rPr>
              <w:t>类</w:t>
            </w:r>
            <w:r>
              <w:rPr>
                <w:rFonts w:hint="eastAsia" w:ascii="宋体" w:hAnsi="宋体" w:eastAsia="宋体"/>
                <w:color w:val="auto"/>
                <w:sz w:val="21"/>
                <w:szCs w:val="21"/>
                <w:highlight w:val="none"/>
              </w:rPr>
              <w:t>似</w:t>
            </w:r>
            <w:r>
              <w:rPr>
                <w:rFonts w:hint="eastAsia" w:ascii="宋体" w:hAnsi="宋体" w:eastAsia="宋体"/>
                <w:color w:val="auto"/>
                <w:spacing w:val="-2"/>
                <w:sz w:val="21"/>
                <w:szCs w:val="21"/>
                <w:highlight w:val="none"/>
              </w:rPr>
              <w:t>项</w:t>
            </w:r>
            <w:r>
              <w:rPr>
                <w:rFonts w:hint="eastAsia" w:ascii="宋体" w:hAnsi="宋体" w:eastAsia="宋体"/>
                <w:color w:val="auto"/>
                <w:sz w:val="21"/>
                <w:szCs w:val="21"/>
                <w:highlight w:val="none"/>
              </w:rPr>
              <w:t>目</w:t>
            </w:r>
          </w:p>
        </w:tc>
        <w:tc>
          <w:tcPr>
            <w:tcW w:w="739" w:type="pct"/>
            <w:tcBorders>
              <w:top w:val="single" w:color="000000" w:sz="4" w:space="0"/>
              <w:left w:val="nil"/>
              <w:bottom w:val="single" w:color="000000" w:sz="4" w:space="0"/>
              <w:right w:val="single" w:color="000000" w:sz="4" w:space="0"/>
            </w:tcBorders>
            <w:vAlign w:val="center"/>
          </w:tcPr>
          <w:p>
            <w:pPr>
              <w:autoSpaceDE w:val="0"/>
              <w:autoSpaceDN w:val="0"/>
              <w:adjustRightInd w:val="0"/>
              <w:jc w:val="center"/>
              <w:rPr>
                <w:rFonts w:ascii="宋体" w:hAnsi="宋体" w:eastAsia="宋体" w:cs="Calibri"/>
                <w:color w:val="auto"/>
                <w:sz w:val="21"/>
                <w:szCs w:val="21"/>
                <w:highlight w:val="none"/>
              </w:rPr>
            </w:pPr>
            <w:r>
              <w:rPr>
                <w:rFonts w:hint="eastAsia" w:ascii="宋体" w:hAnsi="宋体" w:eastAsia="宋体"/>
                <w:color w:val="auto"/>
                <w:sz w:val="21"/>
                <w:szCs w:val="21"/>
                <w:highlight w:val="none"/>
              </w:rPr>
              <w:t>担任</w:t>
            </w:r>
            <w:r>
              <w:rPr>
                <w:rFonts w:hint="eastAsia" w:ascii="宋体" w:hAnsi="宋体" w:eastAsia="宋体"/>
                <w:color w:val="auto"/>
                <w:spacing w:val="-2"/>
                <w:sz w:val="21"/>
                <w:szCs w:val="21"/>
                <w:highlight w:val="none"/>
              </w:rPr>
              <w:t>职</w:t>
            </w:r>
            <w:r>
              <w:rPr>
                <w:rFonts w:hint="eastAsia" w:ascii="宋体" w:hAnsi="宋体" w:eastAsia="宋体"/>
                <w:color w:val="auto"/>
                <w:sz w:val="21"/>
                <w:szCs w:val="21"/>
                <w:highlight w:val="none"/>
              </w:rPr>
              <w:t>务</w:t>
            </w:r>
          </w:p>
        </w:tc>
        <w:tc>
          <w:tcPr>
            <w:tcW w:w="1348" w:type="pct"/>
            <w:gridSpan w:val="2"/>
            <w:tcBorders>
              <w:top w:val="single" w:color="000000" w:sz="4" w:space="0"/>
              <w:left w:val="nil"/>
              <w:bottom w:val="single" w:color="000000" w:sz="4" w:space="0"/>
              <w:right w:val="single" w:color="000000" w:sz="4" w:space="0"/>
            </w:tcBorders>
            <w:vAlign w:val="center"/>
          </w:tcPr>
          <w:p>
            <w:pPr>
              <w:autoSpaceDE w:val="0"/>
              <w:autoSpaceDN w:val="0"/>
              <w:adjustRightInd w:val="0"/>
              <w:jc w:val="center"/>
              <w:rPr>
                <w:rFonts w:ascii="宋体" w:hAnsi="宋体" w:eastAsia="宋体" w:cs="Calibri"/>
                <w:color w:val="auto"/>
                <w:sz w:val="21"/>
                <w:szCs w:val="21"/>
                <w:highlight w:val="none"/>
              </w:rPr>
            </w:pPr>
            <w:r>
              <w:rPr>
                <w:rFonts w:hint="eastAsia" w:ascii="宋体" w:hAnsi="宋体" w:eastAsia="宋体"/>
                <w:color w:val="auto"/>
                <w:sz w:val="21"/>
                <w:szCs w:val="21"/>
                <w:highlight w:val="none"/>
              </w:rPr>
              <w:t>发包</w:t>
            </w:r>
            <w:r>
              <w:rPr>
                <w:rFonts w:hint="eastAsia" w:ascii="宋体" w:hAnsi="宋体" w:eastAsia="宋体"/>
                <w:color w:val="auto"/>
                <w:spacing w:val="-2"/>
                <w:sz w:val="21"/>
                <w:szCs w:val="21"/>
                <w:highlight w:val="none"/>
              </w:rPr>
              <w:t>人</w:t>
            </w:r>
            <w:r>
              <w:rPr>
                <w:rFonts w:hint="eastAsia" w:ascii="宋体" w:hAnsi="宋体" w:eastAsia="宋体"/>
                <w:color w:val="auto"/>
                <w:sz w:val="21"/>
                <w:szCs w:val="21"/>
                <w:highlight w:val="none"/>
              </w:rPr>
              <w:t>及</w:t>
            </w:r>
            <w:r>
              <w:rPr>
                <w:rFonts w:hint="eastAsia" w:ascii="宋体" w:hAnsi="宋体" w:eastAsia="宋体"/>
                <w:color w:val="auto"/>
                <w:spacing w:val="-2"/>
                <w:sz w:val="21"/>
                <w:szCs w:val="21"/>
                <w:highlight w:val="none"/>
              </w:rPr>
              <w:t>联</w:t>
            </w:r>
            <w:r>
              <w:rPr>
                <w:rFonts w:hint="eastAsia" w:ascii="宋体" w:hAnsi="宋体" w:eastAsia="宋体"/>
                <w:color w:val="auto"/>
                <w:sz w:val="21"/>
                <w:szCs w:val="21"/>
                <w:highlight w:val="none"/>
              </w:rPr>
              <w:t>系</w:t>
            </w:r>
            <w:r>
              <w:rPr>
                <w:rFonts w:hint="eastAsia" w:ascii="宋体" w:hAnsi="宋体" w:eastAsia="宋体"/>
                <w:color w:val="auto"/>
                <w:spacing w:val="-2"/>
                <w:sz w:val="21"/>
                <w:szCs w:val="21"/>
                <w:highlight w:val="none"/>
              </w:rPr>
              <w:t>电</w:t>
            </w:r>
            <w:r>
              <w:rPr>
                <w:rFonts w:hint="eastAsia" w:ascii="宋体" w:hAnsi="宋体" w:eastAsia="宋体"/>
                <w:color w:val="auto"/>
                <w:sz w:val="21"/>
                <w:szCs w:val="21"/>
                <w:highlight w:val="none"/>
              </w:rPr>
              <w:t>话</w:t>
            </w:r>
          </w:p>
        </w:tc>
      </w:tr>
      <w:tr>
        <w:tblPrEx>
          <w:tblCellMar>
            <w:top w:w="0" w:type="dxa"/>
            <w:left w:w="0" w:type="dxa"/>
            <w:bottom w:w="0" w:type="dxa"/>
            <w:right w:w="0" w:type="dxa"/>
          </w:tblCellMar>
        </w:tblPrEx>
        <w:trPr>
          <w:trHeight w:val="701" w:hRule="atLeast"/>
        </w:trPr>
        <w:tc>
          <w:tcPr>
            <w:tcW w:w="905" w:type="pct"/>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2007" w:type="pct"/>
            <w:gridSpan w:val="4"/>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739" w:type="pct"/>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1348" w:type="pct"/>
            <w:gridSpan w:val="2"/>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r>
      <w:tr>
        <w:tblPrEx>
          <w:tblCellMar>
            <w:top w:w="0" w:type="dxa"/>
            <w:left w:w="0" w:type="dxa"/>
            <w:bottom w:w="0" w:type="dxa"/>
            <w:right w:w="0" w:type="dxa"/>
          </w:tblCellMar>
        </w:tblPrEx>
        <w:trPr>
          <w:trHeight w:val="698" w:hRule="atLeast"/>
        </w:trPr>
        <w:tc>
          <w:tcPr>
            <w:tcW w:w="905" w:type="pct"/>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2007" w:type="pct"/>
            <w:gridSpan w:val="4"/>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739" w:type="pct"/>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1348" w:type="pct"/>
            <w:gridSpan w:val="2"/>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r>
      <w:tr>
        <w:tblPrEx>
          <w:tblCellMar>
            <w:top w:w="0" w:type="dxa"/>
            <w:left w:w="0" w:type="dxa"/>
            <w:bottom w:w="0" w:type="dxa"/>
            <w:right w:w="0" w:type="dxa"/>
          </w:tblCellMar>
        </w:tblPrEx>
        <w:trPr>
          <w:trHeight w:val="701" w:hRule="atLeast"/>
        </w:trPr>
        <w:tc>
          <w:tcPr>
            <w:tcW w:w="905" w:type="pct"/>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2007" w:type="pct"/>
            <w:gridSpan w:val="4"/>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739" w:type="pct"/>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1348" w:type="pct"/>
            <w:gridSpan w:val="2"/>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r>
      <w:tr>
        <w:trPr>
          <w:trHeight w:val="701" w:hRule="atLeast"/>
        </w:trPr>
        <w:tc>
          <w:tcPr>
            <w:tcW w:w="905" w:type="pct"/>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2007" w:type="pct"/>
            <w:gridSpan w:val="4"/>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739" w:type="pct"/>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1348" w:type="pct"/>
            <w:gridSpan w:val="2"/>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r>
      <w:tr>
        <w:tblPrEx>
          <w:tblCellMar>
            <w:top w:w="0" w:type="dxa"/>
            <w:left w:w="0" w:type="dxa"/>
            <w:bottom w:w="0" w:type="dxa"/>
            <w:right w:w="0" w:type="dxa"/>
          </w:tblCellMar>
        </w:tblPrEx>
        <w:trPr>
          <w:trHeight w:val="699" w:hRule="atLeast"/>
        </w:trPr>
        <w:tc>
          <w:tcPr>
            <w:tcW w:w="905" w:type="pct"/>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2007" w:type="pct"/>
            <w:gridSpan w:val="4"/>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739" w:type="pct"/>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1348" w:type="pct"/>
            <w:gridSpan w:val="2"/>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r>
      <w:tr>
        <w:tblPrEx>
          <w:tblCellMar>
            <w:top w:w="0" w:type="dxa"/>
            <w:left w:w="0" w:type="dxa"/>
            <w:bottom w:w="0" w:type="dxa"/>
            <w:right w:w="0" w:type="dxa"/>
          </w:tblCellMar>
        </w:tblPrEx>
        <w:trPr>
          <w:trHeight w:val="701" w:hRule="atLeast"/>
        </w:trPr>
        <w:tc>
          <w:tcPr>
            <w:tcW w:w="905" w:type="pct"/>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2007" w:type="pct"/>
            <w:gridSpan w:val="4"/>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739" w:type="pct"/>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1348" w:type="pct"/>
            <w:gridSpan w:val="2"/>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r>
      <w:tr>
        <w:trPr>
          <w:trHeight w:val="701" w:hRule="atLeast"/>
        </w:trPr>
        <w:tc>
          <w:tcPr>
            <w:tcW w:w="905" w:type="pct"/>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2007" w:type="pct"/>
            <w:gridSpan w:val="4"/>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739" w:type="pct"/>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1348" w:type="pct"/>
            <w:gridSpan w:val="2"/>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r>
    </w:tbl>
    <w:p>
      <w:pPr>
        <w:autoSpaceDE w:val="0"/>
        <w:autoSpaceDN w:val="0"/>
        <w:adjustRightInd w:val="0"/>
        <w:spacing w:line="110" w:lineRule="exact"/>
        <w:rPr>
          <w:rFonts w:ascii="宋体" w:hAnsi="宋体" w:eastAsia="宋体" w:cs="Calibri"/>
          <w:color w:val="auto"/>
          <w:sz w:val="11"/>
          <w:szCs w:val="11"/>
          <w:highlight w:val="none"/>
        </w:rPr>
      </w:pPr>
      <w:r>
        <w:rPr>
          <w:rFonts w:hint="eastAsia" w:ascii="宋体" w:hAnsi="宋体" w:eastAsia="宋体"/>
          <w:color w:val="auto"/>
          <w:sz w:val="11"/>
          <w:szCs w:val="11"/>
          <w:highlight w:val="none"/>
        </w:rPr>
        <w:t xml:space="preserve"> </w:t>
      </w:r>
    </w:p>
    <w:p>
      <w:pPr>
        <w:rPr>
          <w:rFonts w:ascii="宋体" w:hAnsi="宋体" w:eastAsia="宋体"/>
          <w:color w:val="auto"/>
          <w:highlight w:val="none"/>
          <w:lang w:eastAsia="zh-CN"/>
        </w:rPr>
      </w:pPr>
      <w:r>
        <w:rPr>
          <w:rFonts w:hint="eastAsia" w:ascii="宋体" w:hAnsi="宋体" w:eastAsia="宋体"/>
          <w:color w:val="auto"/>
          <w:highlight w:val="none"/>
          <w:lang w:eastAsia="zh-CN"/>
        </w:rPr>
        <w:t>注：</w:t>
      </w:r>
      <w:r>
        <w:rPr>
          <w:rFonts w:hint="eastAsia" w:ascii="宋体" w:hAnsi="宋体" w:eastAsia="宋体"/>
          <w:color w:val="auto"/>
          <w:spacing w:val="-2"/>
          <w:highlight w:val="none"/>
          <w:lang w:eastAsia="zh-CN"/>
        </w:rPr>
        <w:t>投</w:t>
      </w:r>
      <w:r>
        <w:rPr>
          <w:rFonts w:hint="eastAsia" w:ascii="宋体" w:hAnsi="宋体" w:eastAsia="宋体"/>
          <w:color w:val="auto"/>
          <w:highlight w:val="none"/>
          <w:lang w:eastAsia="zh-CN"/>
        </w:rPr>
        <w:t>标</w:t>
      </w:r>
      <w:r>
        <w:rPr>
          <w:rFonts w:hint="eastAsia" w:ascii="宋体" w:hAnsi="宋体" w:eastAsia="宋体"/>
          <w:color w:val="auto"/>
          <w:spacing w:val="-2"/>
          <w:highlight w:val="none"/>
          <w:lang w:eastAsia="zh-CN"/>
        </w:rPr>
        <w:t>人</w:t>
      </w:r>
      <w:r>
        <w:rPr>
          <w:rFonts w:hint="eastAsia" w:ascii="宋体" w:hAnsi="宋体" w:eastAsia="宋体"/>
          <w:color w:val="auto"/>
          <w:highlight w:val="none"/>
          <w:lang w:eastAsia="zh-CN"/>
        </w:rPr>
        <w:t>应</w:t>
      </w:r>
      <w:r>
        <w:rPr>
          <w:rFonts w:hint="eastAsia" w:ascii="宋体" w:hAnsi="宋体" w:eastAsia="宋体"/>
          <w:color w:val="auto"/>
          <w:spacing w:val="-2"/>
          <w:highlight w:val="none"/>
          <w:lang w:eastAsia="zh-CN"/>
        </w:rPr>
        <w:t>根</w:t>
      </w:r>
      <w:r>
        <w:rPr>
          <w:rFonts w:hint="eastAsia" w:ascii="宋体" w:hAnsi="宋体" w:eastAsia="宋体"/>
          <w:color w:val="auto"/>
          <w:highlight w:val="none"/>
          <w:lang w:eastAsia="zh-CN"/>
        </w:rPr>
        <w:t>据</w:t>
      </w:r>
      <w:r>
        <w:rPr>
          <w:rFonts w:hint="eastAsia" w:ascii="宋体" w:hAnsi="宋体" w:eastAsia="宋体"/>
          <w:color w:val="auto"/>
          <w:spacing w:val="-2"/>
          <w:highlight w:val="none"/>
          <w:lang w:eastAsia="zh-CN"/>
        </w:rPr>
        <w:t>投</w:t>
      </w:r>
      <w:r>
        <w:rPr>
          <w:rFonts w:hint="eastAsia" w:ascii="宋体" w:hAnsi="宋体" w:eastAsia="宋体"/>
          <w:color w:val="auto"/>
          <w:highlight w:val="none"/>
          <w:lang w:eastAsia="zh-CN"/>
        </w:rPr>
        <w:t>标</w:t>
      </w:r>
      <w:r>
        <w:rPr>
          <w:rFonts w:hint="eastAsia" w:ascii="宋体" w:hAnsi="宋体" w:eastAsia="宋体"/>
          <w:color w:val="auto"/>
          <w:spacing w:val="-2"/>
          <w:highlight w:val="none"/>
          <w:lang w:eastAsia="zh-CN"/>
        </w:rPr>
        <w:t>人</w:t>
      </w:r>
      <w:r>
        <w:rPr>
          <w:rFonts w:hint="eastAsia" w:ascii="宋体" w:hAnsi="宋体" w:eastAsia="宋体"/>
          <w:color w:val="auto"/>
          <w:highlight w:val="none"/>
          <w:lang w:eastAsia="zh-CN"/>
        </w:rPr>
        <w:t>须</w:t>
      </w:r>
      <w:r>
        <w:rPr>
          <w:rFonts w:hint="eastAsia" w:ascii="宋体" w:hAnsi="宋体" w:eastAsia="宋体"/>
          <w:color w:val="auto"/>
          <w:spacing w:val="-2"/>
          <w:highlight w:val="none"/>
          <w:lang w:eastAsia="zh-CN"/>
        </w:rPr>
        <w:t>知</w:t>
      </w:r>
      <w:r>
        <w:rPr>
          <w:rFonts w:hint="eastAsia" w:ascii="宋体" w:hAnsi="宋体" w:eastAsia="宋体"/>
          <w:color w:val="auto"/>
          <w:highlight w:val="none"/>
          <w:lang w:eastAsia="zh-CN"/>
        </w:rPr>
        <w:t>的相关</w:t>
      </w:r>
      <w:r>
        <w:rPr>
          <w:rFonts w:hint="eastAsia" w:ascii="宋体" w:hAnsi="宋体" w:eastAsia="宋体"/>
          <w:color w:val="auto"/>
          <w:spacing w:val="-2"/>
          <w:highlight w:val="none"/>
          <w:lang w:eastAsia="zh-CN"/>
        </w:rPr>
        <w:t>要</w:t>
      </w:r>
      <w:r>
        <w:rPr>
          <w:rFonts w:hint="eastAsia" w:ascii="宋体" w:hAnsi="宋体" w:eastAsia="宋体"/>
          <w:color w:val="auto"/>
          <w:highlight w:val="none"/>
          <w:lang w:eastAsia="zh-CN"/>
        </w:rPr>
        <w:t>求</w:t>
      </w:r>
      <w:r>
        <w:rPr>
          <w:rFonts w:hint="eastAsia" w:ascii="宋体" w:hAnsi="宋体" w:eastAsia="宋体"/>
          <w:color w:val="auto"/>
          <w:spacing w:val="-2"/>
          <w:highlight w:val="none"/>
          <w:lang w:eastAsia="zh-CN"/>
        </w:rPr>
        <w:t>在本</w:t>
      </w:r>
      <w:r>
        <w:rPr>
          <w:rFonts w:hint="eastAsia" w:ascii="宋体" w:hAnsi="宋体" w:eastAsia="宋体"/>
          <w:color w:val="auto"/>
          <w:highlight w:val="none"/>
          <w:lang w:eastAsia="zh-CN"/>
        </w:rPr>
        <w:t>表后</w:t>
      </w:r>
      <w:r>
        <w:rPr>
          <w:rFonts w:hint="eastAsia" w:ascii="宋体" w:hAnsi="宋体" w:eastAsia="宋体"/>
          <w:color w:val="auto"/>
          <w:spacing w:val="-2"/>
          <w:highlight w:val="none"/>
          <w:lang w:eastAsia="zh-CN"/>
        </w:rPr>
        <w:t>附</w:t>
      </w:r>
      <w:r>
        <w:rPr>
          <w:rFonts w:hint="eastAsia" w:ascii="宋体" w:hAnsi="宋体" w:eastAsia="宋体"/>
          <w:color w:val="auto"/>
          <w:highlight w:val="none"/>
          <w:lang w:eastAsia="zh-CN"/>
        </w:rPr>
        <w:t>相</w:t>
      </w:r>
      <w:r>
        <w:rPr>
          <w:rFonts w:hint="eastAsia" w:ascii="宋体" w:hAnsi="宋体" w:eastAsia="宋体"/>
          <w:color w:val="auto"/>
          <w:spacing w:val="-2"/>
          <w:highlight w:val="none"/>
          <w:lang w:eastAsia="zh-CN"/>
        </w:rPr>
        <w:t>关</w:t>
      </w:r>
      <w:r>
        <w:rPr>
          <w:rFonts w:hint="eastAsia" w:ascii="宋体" w:hAnsi="宋体" w:eastAsia="宋体"/>
          <w:color w:val="auto"/>
          <w:highlight w:val="none"/>
          <w:lang w:eastAsia="zh-CN"/>
        </w:rPr>
        <w:t>证</w:t>
      </w:r>
      <w:r>
        <w:rPr>
          <w:rFonts w:hint="eastAsia" w:ascii="宋体" w:hAnsi="宋体" w:eastAsia="宋体"/>
          <w:color w:val="auto"/>
          <w:spacing w:val="-2"/>
          <w:highlight w:val="none"/>
          <w:lang w:eastAsia="zh-CN"/>
        </w:rPr>
        <w:t>明</w:t>
      </w:r>
      <w:r>
        <w:rPr>
          <w:rFonts w:hint="eastAsia" w:ascii="宋体" w:hAnsi="宋体" w:eastAsia="宋体"/>
          <w:color w:val="auto"/>
          <w:highlight w:val="none"/>
          <w:lang w:eastAsia="zh-CN"/>
        </w:rPr>
        <w:t>材</w:t>
      </w:r>
      <w:r>
        <w:rPr>
          <w:rFonts w:hint="eastAsia" w:ascii="宋体" w:hAnsi="宋体" w:eastAsia="宋体"/>
          <w:color w:val="auto"/>
          <w:spacing w:val="-2"/>
          <w:highlight w:val="none"/>
          <w:lang w:eastAsia="zh-CN"/>
        </w:rPr>
        <w:t>料</w:t>
      </w:r>
      <w:r>
        <w:rPr>
          <w:rFonts w:hint="eastAsia" w:ascii="宋体" w:hAnsi="宋体" w:eastAsia="宋体"/>
          <w:color w:val="auto"/>
          <w:highlight w:val="none"/>
          <w:lang w:eastAsia="zh-CN"/>
        </w:rPr>
        <w:t>。</w:t>
      </w:r>
    </w:p>
    <w:p>
      <w:pPr>
        <w:rPr>
          <w:rFonts w:ascii="宋体" w:hAnsi="宋体" w:eastAsia="宋体"/>
          <w:color w:val="auto"/>
          <w:sz w:val="21"/>
          <w:szCs w:val="21"/>
          <w:highlight w:val="none"/>
          <w:lang w:eastAsia="zh-CN"/>
        </w:rPr>
      </w:pPr>
    </w:p>
    <w:p>
      <w:pPr>
        <w:jc w:val="center"/>
        <w:rPr>
          <w:rFonts w:ascii="宋体" w:hAnsi="宋体" w:eastAsia="宋体"/>
          <w:color w:val="auto"/>
          <w:sz w:val="21"/>
          <w:szCs w:val="21"/>
          <w:highlight w:val="none"/>
          <w:lang w:eastAsia="zh-CN"/>
        </w:rPr>
        <w:sectPr>
          <w:pgSz w:w="11907" w:h="16839"/>
          <w:pgMar w:top="1440" w:right="1440" w:bottom="1440" w:left="1440" w:header="720" w:footer="720" w:gutter="0"/>
          <w:cols w:space="720" w:num="1"/>
        </w:sectPr>
      </w:pPr>
    </w:p>
    <w:p>
      <w:pPr>
        <w:pStyle w:val="6"/>
        <w:rPr>
          <w:rFonts w:ascii="宋体" w:hAnsi="宋体" w:eastAsia="宋体"/>
          <w:color w:val="auto"/>
          <w:sz w:val="21"/>
          <w:szCs w:val="21"/>
          <w:highlight w:val="none"/>
          <w:lang w:eastAsia="zh-CN"/>
        </w:rPr>
      </w:pPr>
      <w:bookmarkStart w:id="95" w:name="_Toc109809410"/>
      <w:bookmarkStart w:id="96" w:name="_Toc109809449"/>
      <w:bookmarkStart w:id="97" w:name="_Toc25072146"/>
      <w:r>
        <w:rPr>
          <w:rFonts w:hint="eastAsia" w:ascii="宋体" w:hAnsi="宋体" w:eastAsia="宋体"/>
          <w:color w:val="auto"/>
          <w:sz w:val="21"/>
          <w:szCs w:val="21"/>
          <w:highlight w:val="none"/>
          <w:lang w:eastAsia="zh-CN"/>
        </w:rPr>
        <w:t>格式七  企业类似业绩情况</w:t>
      </w:r>
      <w:bookmarkEnd w:id="95"/>
      <w:bookmarkEnd w:id="96"/>
      <w:bookmarkEnd w:id="97"/>
    </w:p>
    <w:p>
      <w:pPr>
        <w:jc w:val="center"/>
        <w:rPr>
          <w:rFonts w:ascii="宋体" w:hAnsi="宋体" w:eastAsia="宋体"/>
          <w:b/>
          <w:color w:val="auto"/>
          <w:spacing w:val="2"/>
          <w:position w:val="-1"/>
          <w:sz w:val="32"/>
          <w:szCs w:val="32"/>
          <w:highlight w:val="none"/>
          <w:lang w:eastAsia="zh-CN"/>
        </w:rPr>
      </w:pPr>
    </w:p>
    <w:p>
      <w:pPr>
        <w:jc w:val="center"/>
        <w:rPr>
          <w:rFonts w:ascii="宋体" w:hAnsi="宋体" w:eastAsia="宋体"/>
          <w:b/>
          <w:color w:val="auto"/>
          <w:spacing w:val="2"/>
          <w:position w:val="-1"/>
          <w:sz w:val="32"/>
          <w:szCs w:val="32"/>
          <w:highlight w:val="none"/>
          <w:lang w:eastAsia="zh-CN"/>
        </w:rPr>
      </w:pPr>
      <w:r>
        <w:rPr>
          <w:rFonts w:hint="eastAsia" w:ascii="宋体" w:hAnsi="宋体" w:eastAsia="宋体"/>
          <w:b/>
          <w:color w:val="auto"/>
          <w:spacing w:val="2"/>
          <w:position w:val="-1"/>
          <w:sz w:val="32"/>
          <w:szCs w:val="32"/>
          <w:highlight w:val="none"/>
          <w:lang w:eastAsia="zh-CN"/>
        </w:rPr>
        <w:t>企业类似业绩情况</w:t>
      </w:r>
    </w:p>
    <w:p>
      <w:pPr>
        <w:jc w:val="center"/>
        <w:rPr>
          <w:rFonts w:ascii="宋体" w:hAnsi="宋体" w:eastAsia="宋体"/>
          <w:color w:val="auto"/>
          <w:spacing w:val="2"/>
          <w:position w:val="-1"/>
          <w:sz w:val="32"/>
          <w:szCs w:val="32"/>
          <w:highlight w:val="none"/>
          <w:lang w:eastAsia="zh-CN"/>
        </w:rPr>
      </w:pP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1540"/>
        <w:gridCol w:w="1542"/>
        <w:gridCol w:w="1542"/>
        <w:gridCol w:w="1542"/>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highlight w:val="none"/>
              </w:rPr>
            </w:pPr>
            <w:r>
              <w:rPr>
                <w:rFonts w:hint="eastAsia" w:ascii="宋体" w:hAnsi="宋体" w:eastAsia="宋体"/>
                <w:color w:val="auto"/>
                <w:highlight w:val="none"/>
                <w:lang w:eastAsia="zh-CN"/>
              </w:rPr>
              <w:t>项目名称</w:t>
            </w:r>
          </w:p>
        </w:tc>
        <w:tc>
          <w:tcPr>
            <w:tcW w:w="83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olor w:val="auto"/>
                <w:szCs w:val="21"/>
                <w:highlight w:val="none"/>
              </w:rPr>
            </w:pPr>
            <w:r>
              <w:rPr>
                <w:rFonts w:hint="eastAsia" w:ascii="宋体" w:hAnsi="宋体" w:eastAsia="宋体"/>
                <w:color w:val="auto"/>
                <w:highlight w:val="none"/>
              </w:rPr>
              <w:t>合同签订时间</w:t>
            </w: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r>
              <w:rPr>
                <w:rFonts w:hint="eastAsia" w:ascii="宋体" w:hAnsi="宋体" w:eastAsia="宋体"/>
                <w:color w:val="auto"/>
                <w:highlight w:val="none"/>
              </w:rPr>
              <w:t>项目概况</w:t>
            </w: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r>
              <w:rPr>
                <w:rFonts w:hint="eastAsia" w:ascii="宋体" w:hAnsi="宋体" w:eastAsia="宋体"/>
                <w:color w:val="auto"/>
                <w:highlight w:val="none"/>
              </w:rPr>
              <w:t>业主单位</w:t>
            </w: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r>
              <w:rPr>
                <w:rFonts w:hint="eastAsia" w:ascii="宋体" w:hAnsi="宋体" w:eastAsia="宋体"/>
                <w:color w:val="auto"/>
                <w:highlight w:val="none"/>
              </w:rPr>
              <w:t>完成情况</w:t>
            </w:r>
          </w:p>
        </w:tc>
        <w:tc>
          <w:tcPr>
            <w:tcW w:w="832"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r>
              <w:rPr>
                <w:rFonts w:hint="eastAsia" w:ascii="宋体" w:hAnsi="宋体" w:eastAsia="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highlight w:val="none"/>
              </w:rPr>
            </w:pPr>
          </w:p>
        </w:tc>
        <w:tc>
          <w:tcPr>
            <w:tcW w:w="83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p>
        </w:tc>
        <w:tc>
          <w:tcPr>
            <w:tcW w:w="832"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highlight w:val="none"/>
              </w:rPr>
            </w:pPr>
          </w:p>
        </w:tc>
        <w:tc>
          <w:tcPr>
            <w:tcW w:w="83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p>
        </w:tc>
        <w:tc>
          <w:tcPr>
            <w:tcW w:w="832"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highlight w:val="none"/>
              </w:rPr>
            </w:pPr>
          </w:p>
        </w:tc>
        <w:tc>
          <w:tcPr>
            <w:tcW w:w="83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p>
        </w:tc>
        <w:tc>
          <w:tcPr>
            <w:tcW w:w="832"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highlight w:val="none"/>
              </w:rPr>
            </w:pPr>
          </w:p>
        </w:tc>
        <w:tc>
          <w:tcPr>
            <w:tcW w:w="83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p>
        </w:tc>
        <w:tc>
          <w:tcPr>
            <w:tcW w:w="832"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highlight w:val="none"/>
              </w:rPr>
            </w:pPr>
          </w:p>
        </w:tc>
        <w:tc>
          <w:tcPr>
            <w:tcW w:w="83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p>
        </w:tc>
        <w:tc>
          <w:tcPr>
            <w:tcW w:w="832"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p>
        </w:tc>
      </w:tr>
      <w:bookmarkEnd w:id="73"/>
      <w:bookmarkEnd w:id="74"/>
      <w:bookmarkEnd w:id="75"/>
    </w:tbl>
    <w:p>
      <w:pPr>
        <w:rPr>
          <w:rFonts w:ascii="宋体" w:hAnsi="宋体" w:eastAsia="宋体"/>
          <w:color w:val="auto"/>
          <w:sz w:val="21"/>
          <w:szCs w:val="21"/>
          <w:highlight w:val="none"/>
          <w:lang w:eastAsia="zh-CN"/>
        </w:rPr>
      </w:pPr>
      <w:r>
        <w:rPr>
          <w:rFonts w:hint="eastAsia" w:ascii="宋体" w:hAnsi="宋体" w:eastAsia="宋体" w:cs="微软雅黑"/>
          <w:color w:val="auto"/>
          <w:sz w:val="21"/>
          <w:szCs w:val="21"/>
          <w:highlight w:val="none"/>
          <w:lang w:eastAsia="zh-CN"/>
        </w:rPr>
        <w:t>注：</w:t>
      </w:r>
      <w:r>
        <w:rPr>
          <w:rFonts w:hint="eastAsia" w:ascii="宋体" w:hAnsi="宋体" w:eastAsia="宋体"/>
          <w:color w:val="auto"/>
          <w:sz w:val="21"/>
          <w:szCs w:val="21"/>
          <w:highlight w:val="none"/>
          <w:lang w:eastAsia="zh-CN"/>
        </w:rPr>
        <w:t>1</w:t>
      </w:r>
      <w:r>
        <w:rPr>
          <w:rFonts w:hint="eastAsia" w:ascii="宋体" w:hAnsi="宋体" w:eastAsia="宋体" w:cs="微软雅黑"/>
          <w:color w:val="auto"/>
          <w:sz w:val="21"/>
          <w:szCs w:val="21"/>
          <w:highlight w:val="none"/>
          <w:lang w:eastAsia="zh-CN"/>
        </w:rPr>
        <w:t>、投标人应将自</w:t>
      </w:r>
      <w:r>
        <w:rPr>
          <w:rFonts w:hint="eastAsia" w:ascii="宋体" w:hAnsi="宋体" w:eastAsia="宋体"/>
          <w:color w:val="auto"/>
          <w:sz w:val="21"/>
          <w:szCs w:val="21"/>
          <w:highlight w:val="none"/>
          <w:lang w:val="en-US" w:eastAsia="zh-CN"/>
        </w:rPr>
        <w:t>2020</w:t>
      </w:r>
      <w:r>
        <w:rPr>
          <w:rFonts w:hint="eastAsia" w:ascii="宋体" w:hAnsi="宋体" w:eastAsia="宋体" w:cs="微软雅黑"/>
          <w:color w:val="auto"/>
          <w:sz w:val="21"/>
          <w:szCs w:val="21"/>
          <w:highlight w:val="none"/>
          <w:lang w:eastAsia="zh-CN"/>
        </w:rPr>
        <w:t>年</w:t>
      </w:r>
      <w:r>
        <w:rPr>
          <w:rFonts w:ascii="宋体" w:hAnsi="宋体" w:eastAsia="宋体"/>
          <w:color w:val="auto"/>
          <w:sz w:val="21"/>
          <w:szCs w:val="21"/>
          <w:highlight w:val="none"/>
          <w:lang w:eastAsia="zh-CN"/>
        </w:rPr>
        <w:t>1</w:t>
      </w:r>
      <w:r>
        <w:rPr>
          <w:rFonts w:hint="eastAsia" w:ascii="宋体" w:hAnsi="宋体" w:eastAsia="宋体" w:cs="微软雅黑"/>
          <w:color w:val="auto"/>
          <w:sz w:val="21"/>
          <w:szCs w:val="21"/>
          <w:highlight w:val="none"/>
          <w:lang w:eastAsia="zh-CN"/>
        </w:rPr>
        <w:t>月</w:t>
      </w:r>
      <w:r>
        <w:rPr>
          <w:rFonts w:ascii="宋体" w:hAnsi="宋体" w:eastAsia="宋体"/>
          <w:color w:val="auto"/>
          <w:sz w:val="21"/>
          <w:szCs w:val="21"/>
          <w:highlight w:val="none"/>
          <w:lang w:eastAsia="zh-CN"/>
        </w:rPr>
        <w:t>1</w:t>
      </w:r>
      <w:r>
        <w:rPr>
          <w:rFonts w:hint="eastAsia" w:ascii="宋体" w:hAnsi="宋体" w:eastAsia="宋体" w:cs="微软雅黑"/>
          <w:color w:val="auto"/>
          <w:sz w:val="21"/>
          <w:szCs w:val="21"/>
          <w:highlight w:val="none"/>
          <w:lang w:eastAsia="zh-CN"/>
        </w:rPr>
        <w:t>日至投标截止完成过设计类对应类似业绩的情况填入本表中，需提供的业绩证明文件：</w:t>
      </w:r>
      <w:r>
        <w:rPr>
          <w:rFonts w:hint="eastAsia" w:ascii="宋体" w:hAnsi="宋体" w:eastAsia="宋体"/>
          <w:color w:val="auto"/>
          <w:sz w:val="21"/>
          <w:szCs w:val="21"/>
          <w:highlight w:val="none"/>
          <w:lang w:eastAsia="zh-CN"/>
        </w:rPr>
        <w:t>中标通知书或免招标的相关证明、设计合同（或勘察合同）关键页，勘察或设计类似业绩时间</w:t>
      </w:r>
      <w:r>
        <w:rPr>
          <w:rFonts w:hint="eastAsia" w:ascii="宋体" w:hAnsi="宋体" w:eastAsia="宋体" w:cs="宋体"/>
          <w:color w:val="auto"/>
          <w:sz w:val="21"/>
          <w:szCs w:val="21"/>
          <w:highlight w:val="none"/>
          <w:lang w:val="zh-CN" w:eastAsia="zh-CN"/>
        </w:rPr>
        <w:t>以合同签订时间为准</w:t>
      </w:r>
      <w:r>
        <w:rPr>
          <w:rFonts w:hint="eastAsia" w:ascii="宋体" w:hAnsi="宋体" w:eastAsia="宋体"/>
          <w:color w:val="auto"/>
          <w:sz w:val="21"/>
          <w:szCs w:val="21"/>
          <w:highlight w:val="none"/>
          <w:lang w:eastAsia="zh-CN"/>
        </w:rPr>
        <w:t>。合同文本关键页应含：项目名称，甲、乙方单位名称，勘察设计工作内容、工作时间，甲、乙方单位签约人签名及单位公章等内容。</w:t>
      </w:r>
    </w:p>
    <w:p>
      <w:pPr>
        <w:rPr>
          <w:rFonts w:ascii="宋体" w:hAnsi="宋体" w:eastAsia="宋体"/>
          <w:color w:val="auto"/>
          <w:sz w:val="21"/>
          <w:szCs w:val="21"/>
          <w:highlight w:val="none"/>
          <w:lang w:eastAsia="zh-CN"/>
        </w:rPr>
      </w:pPr>
      <w:r>
        <w:rPr>
          <w:rFonts w:ascii="宋体" w:hAnsi="宋体" w:eastAsia="宋体"/>
          <w:color w:val="auto"/>
          <w:sz w:val="21"/>
          <w:szCs w:val="21"/>
          <w:highlight w:val="none"/>
          <w:lang w:eastAsia="zh-CN"/>
        </w:rPr>
        <w:t>2</w:t>
      </w:r>
      <w:r>
        <w:rPr>
          <w:rFonts w:hint="eastAsia" w:ascii="宋体" w:hAnsi="宋体" w:eastAsia="宋体" w:cs="微软雅黑"/>
          <w:color w:val="auto"/>
          <w:sz w:val="21"/>
          <w:szCs w:val="21"/>
          <w:highlight w:val="none"/>
          <w:lang w:eastAsia="zh-CN"/>
        </w:rPr>
        <w:t>、投标人需提供能证明业绩技术指标的证明文件扫描件加盖投标人电子印章。如以上资料不能证明业绩技术指标的，须另提供经业主确认的可证明业绩技术指标的证明资料扫描件加盖投标人电子印章。</w:t>
      </w:r>
    </w:p>
    <w:p>
      <w:pPr>
        <w:spacing w:line="360" w:lineRule="auto"/>
        <w:rPr>
          <w:rFonts w:ascii="宋体" w:hAnsi="宋体" w:eastAsia="宋体"/>
          <w:color w:val="auto"/>
          <w:sz w:val="21"/>
          <w:szCs w:val="21"/>
          <w:highlight w:val="none"/>
          <w:lang w:eastAsia="zh-CN"/>
        </w:rPr>
      </w:pPr>
    </w:p>
    <w:p>
      <w:pPr>
        <w:pStyle w:val="12"/>
        <w:kinsoku w:val="0"/>
        <w:overflowPunct w:val="0"/>
        <w:spacing w:line="360" w:lineRule="auto"/>
        <w:ind w:left="0" w:firstLine="2520" w:firstLineChars="1200"/>
        <w:rPr>
          <w:color w:val="auto"/>
          <w:highlight w:val="none"/>
          <w:lang w:eastAsia="zh-CN"/>
        </w:rPr>
      </w:pPr>
      <w:r>
        <w:rPr>
          <w:rFonts w:hint="eastAsia"/>
          <w:color w:val="auto"/>
          <w:highlight w:val="none"/>
          <w:lang w:eastAsia="zh-CN"/>
        </w:rPr>
        <w:t>投标</w:t>
      </w:r>
      <w:r>
        <w:rPr>
          <w:rFonts w:hint="eastAsia"/>
          <w:color w:val="auto"/>
          <w:spacing w:val="-2"/>
          <w:highlight w:val="none"/>
          <w:lang w:eastAsia="zh-CN"/>
        </w:rPr>
        <w:t>人：</w:t>
      </w:r>
      <w:r>
        <w:rPr>
          <w:rFonts w:hint="eastAsia"/>
          <w:color w:val="auto"/>
          <w:spacing w:val="-2"/>
          <w:highlight w:val="none"/>
          <w:u w:val="single"/>
          <w:lang w:eastAsia="zh-CN"/>
        </w:rPr>
        <w:t xml:space="preserve">      </w:t>
      </w:r>
      <w:r>
        <w:rPr>
          <w:rFonts w:hint="eastAsia"/>
          <w:color w:val="auto"/>
          <w:spacing w:val="-1"/>
          <w:highlight w:val="none"/>
          <w:lang w:eastAsia="zh-CN"/>
        </w:rPr>
        <w:t>（盖单位章）</w:t>
      </w:r>
    </w:p>
    <w:p>
      <w:pPr>
        <w:spacing w:line="360" w:lineRule="auto"/>
        <w:ind w:firstLine="2520" w:firstLineChars="1200"/>
        <w:rPr>
          <w:rFonts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法定代表人或其委托代理人：</w:t>
      </w:r>
      <w:r>
        <w:rPr>
          <w:rFonts w:hint="eastAsia" w:ascii="宋体" w:hAnsi="宋体" w:eastAsia="宋体"/>
          <w:bCs/>
          <w:color w:val="auto"/>
          <w:sz w:val="21"/>
          <w:szCs w:val="21"/>
          <w:highlight w:val="none"/>
          <w:u w:val="single"/>
          <w:lang w:eastAsia="zh-CN"/>
        </w:rPr>
        <w:t xml:space="preserve">     </w:t>
      </w:r>
      <w:r>
        <w:rPr>
          <w:rFonts w:hint="eastAsia" w:ascii="宋体" w:hAnsi="宋体" w:eastAsia="宋体"/>
          <w:bCs/>
          <w:color w:val="auto"/>
          <w:sz w:val="21"/>
          <w:szCs w:val="21"/>
          <w:highlight w:val="none"/>
          <w:lang w:eastAsia="zh-CN"/>
        </w:rPr>
        <w:t>（签字或盖章）</w:t>
      </w:r>
    </w:p>
    <w:p>
      <w:pPr>
        <w:spacing w:line="360" w:lineRule="auto"/>
        <w:ind w:firstLine="2520" w:firstLineChars="1200"/>
        <w:jc w:val="right"/>
        <w:rPr>
          <w:rFonts w:ascii="宋体" w:hAnsi="宋体" w:eastAsia="宋体"/>
          <w:bCs/>
          <w:color w:val="auto"/>
          <w:sz w:val="21"/>
          <w:szCs w:val="21"/>
          <w:highlight w:val="none"/>
          <w:lang w:eastAsia="zh-CN"/>
        </w:rPr>
      </w:pPr>
      <w:r>
        <w:rPr>
          <w:rFonts w:hint="eastAsia" w:ascii="宋体" w:hAnsi="宋体" w:eastAsia="宋体"/>
          <w:bCs/>
          <w:color w:val="auto"/>
          <w:sz w:val="21"/>
          <w:szCs w:val="21"/>
          <w:highlight w:val="none"/>
          <w:u w:val="single"/>
          <w:lang w:eastAsia="zh-CN"/>
        </w:rPr>
        <w:t xml:space="preserve"> </w:t>
      </w:r>
      <w:r>
        <w:rPr>
          <w:rFonts w:ascii="宋体" w:hAnsi="宋体" w:eastAsia="宋体"/>
          <w:bCs/>
          <w:color w:val="auto"/>
          <w:sz w:val="21"/>
          <w:szCs w:val="21"/>
          <w:highlight w:val="none"/>
          <w:u w:val="single"/>
          <w:lang w:eastAsia="zh-CN"/>
        </w:rPr>
        <w:t xml:space="preserve">  </w:t>
      </w:r>
      <w:r>
        <w:rPr>
          <w:rFonts w:hint="eastAsia" w:ascii="宋体" w:hAnsi="宋体" w:eastAsia="宋体"/>
          <w:bCs/>
          <w:color w:val="auto"/>
          <w:sz w:val="21"/>
          <w:szCs w:val="21"/>
          <w:highlight w:val="none"/>
          <w:lang w:eastAsia="zh-CN"/>
        </w:rPr>
        <w:t>年</w:t>
      </w:r>
      <w:r>
        <w:rPr>
          <w:rFonts w:ascii="宋体" w:hAnsi="宋体" w:eastAsia="宋体"/>
          <w:bCs/>
          <w:color w:val="auto"/>
          <w:sz w:val="21"/>
          <w:szCs w:val="21"/>
          <w:highlight w:val="none"/>
          <w:u w:val="single"/>
          <w:lang w:eastAsia="zh-CN"/>
        </w:rPr>
        <w:t xml:space="preserve">   </w:t>
      </w:r>
      <w:r>
        <w:rPr>
          <w:rFonts w:hint="eastAsia" w:ascii="宋体" w:hAnsi="宋体" w:eastAsia="宋体"/>
          <w:bCs/>
          <w:color w:val="auto"/>
          <w:sz w:val="21"/>
          <w:szCs w:val="21"/>
          <w:highlight w:val="none"/>
          <w:lang w:eastAsia="zh-CN"/>
        </w:rPr>
        <w:t>月</w:t>
      </w:r>
      <w:r>
        <w:rPr>
          <w:rFonts w:ascii="宋体" w:hAnsi="宋体" w:eastAsia="宋体"/>
          <w:bCs/>
          <w:color w:val="auto"/>
          <w:sz w:val="21"/>
          <w:szCs w:val="21"/>
          <w:highlight w:val="none"/>
          <w:u w:val="single"/>
          <w:lang w:eastAsia="zh-CN"/>
        </w:rPr>
        <w:tab/>
      </w:r>
      <w:r>
        <w:rPr>
          <w:rFonts w:ascii="宋体" w:hAnsi="宋体" w:eastAsia="宋体"/>
          <w:bCs/>
          <w:color w:val="auto"/>
          <w:sz w:val="21"/>
          <w:szCs w:val="21"/>
          <w:highlight w:val="none"/>
          <w:u w:val="single"/>
          <w:lang w:eastAsia="zh-CN"/>
        </w:rPr>
        <w:t xml:space="preserve">   </w:t>
      </w:r>
      <w:r>
        <w:rPr>
          <w:rFonts w:hint="eastAsia" w:ascii="宋体" w:hAnsi="宋体" w:eastAsia="宋体"/>
          <w:bCs/>
          <w:color w:val="auto"/>
          <w:sz w:val="21"/>
          <w:szCs w:val="21"/>
          <w:highlight w:val="none"/>
          <w:lang w:eastAsia="zh-CN"/>
        </w:rPr>
        <w:t>日</w:t>
      </w:r>
    </w:p>
    <w:p>
      <w:pPr>
        <w:rPr>
          <w:color w:val="auto"/>
          <w:highlight w:val="none"/>
          <w:lang w:eastAsia="zh-CN"/>
        </w:rPr>
      </w:pPr>
    </w:p>
    <w:p>
      <w:pPr>
        <w:rPr>
          <w:color w:val="auto"/>
          <w:highlight w:val="none"/>
          <w:lang w:eastAsia="zh-CN"/>
        </w:rPr>
      </w:pPr>
    </w:p>
    <w:p>
      <w:pPr>
        <w:pStyle w:val="6"/>
        <w:rPr>
          <w:rFonts w:ascii="宋体" w:hAnsi="宋体" w:eastAsia="宋体"/>
          <w:color w:val="auto"/>
          <w:sz w:val="21"/>
          <w:szCs w:val="21"/>
          <w:highlight w:val="none"/>
          <w:lang w:eastAsia="zh-CN"/>
        </w:rPr>
      </w:pPr>
      <w:r>
        <w:rPr>
          <w:rFonts w:ascii="宋体" w:hAnsi="宋体" w:eastAsia="宋体"/>
          <w:color w:val="auto"/>
          <w:highlight w:val="none"/>
        </w:rPr>
        <w:br w:type="page"/>
      </w:r>
      <w:bookmarkStart w:id="98" w:name="_Toc109809411"/>
      <w:bookmarkStart w:id="99" w:name="_Toc109809450"/>
    </w:p>
    <w:p>
      <w:pPr>
        <w:pStyle w:val="6"/>
        <w:rPr>
          <w:rFonts w:ascii="宋体" w:hAnsi="宋体" w:eastAsia="宋体"/>
          <w:color w:val="auto"/>
          <w:sz w:val="28"/>
          <w:szCs w:val="28"/>
          <w:highlight w:val="none"/>
          <w:lang w:eastAsia="zh-CN"/>
        </w:rPr>
      </w:pPr>
      <w:r>
        <w:rPr>
          <w:rFonts w:hint="eastAsia" w:ascii="宋体" w:hAnsi="宋体" w:eastAsia="宋体"/>
          <w:color w:val="auto"/>
          <w:sz w:val="28"/>
          <w:szCs w:val="28"/>
          <w:highlight w:val="none"/>
          <w:lang w:eastAsia="zh-CN"/>
        </w:rPr>
        <w:t>格式</w:t>
      </w:r>
      <w:r>
        <w:rPr>
          <w:rFonts w:hint="eastAsia" w:ascii="宋体" w:hAnsi="宋体" w:eastAsia="宋体"/>
          <w:color w:val="auto"/>
          <w:sz w:val="28"/>
          <w:szCs w:val="28"/>
          <w:highlight w:val="none"/>
          <w:lang w:val="en-US" w:eastAsia="zh-CN"/>
        </w:rPr>
        <w:t>八</w:t>
      </w:r>
      <w:r>
        <w:rPr>
          <w:rFonts w:hint="eastAsia" w:ascii="宋体" w:hAnsi="宋体" w:eastAsia="宋体"/>
          <w:color w:val="auto"/>
          <w:sz w:val="28"/>
          <w:szCs w:val="28"/>
          <w:highlight w:val="none"/>
          <w:lang w:eastAsia="zh-CN"/>
        </w:rPr>
        <w:t xml:space="preserve">  其他资料</w:t>
      </w:r>
      <w:bookmarkEnd w:id="98"/>
      <w:bookmarkEnd w:id="99"/>
    </w:p>
    <w:p>
      <w:pPr>
        <w:ind w:firstLine="300"/>
        <w:rPr>
          <w:color w:val="auto"/>
          <w:highlight w:val="none"/>
          <w:lang w:eastAsia="zh-CN"/>
        </w:rPr>
      </w:pPr>
    </w:p>
    <w:sectPr>
      <w:footerReference r:id="rId9" w:type="first"/>
      <w:footerReference r:id="rId8" w:type="default"/>
      <w:pgSz w:w="11907" w:h="16839"/>
      <w:pgMar w:top="1440" w:right="1440" w:bottom="1440" w:left="1440" w:header="0" w:footer="921" w:gutter="0"/>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1</w:t>
    </w:r>
    <w:r>
      <w:fldChar w:fldCharType="end"/>
    </w:r>
  </w:p>
  <w:p>
    <w:pPr>
      <w:spacing w:line="14" w:lineRule="auto"/>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48</w:t>
    </w:r>
    <w:r>
      <w:fldChar w:fldCharType="end"/>
    </w:r>
  </w:p>
  <w:p>
    <w:pPr>
      <w:spacing w:line="14" w:lineRule="auto"/>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64</w:t>
    </w:r>
    <w:r>
      <w:fldChar w:fldCharType="end"/>
    </w:r>
  </w:p>
  <w:p>
    <w:pPr>
      <w:spacing w:line="14" w:lineRule="auto"/>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49</w:t>
    </w:r>
    <w:r>
      <w:fldChar w:fldCharType="end"/>
    </w:r>
  </w:p>
  <w:p>
    <w:pPr>
      <w:pStyle w:val="19"/>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eastAsia="宋体"/>
        <w:sz w:val="20"/>
        <w:szCs w:val="20"/>
        <w:lang w:eastAsia="zh-CN"/>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68</w:t>
                          </w:r>
                          <w:r>
                            <w:rPr>
                              <w:rFonts w:hint="eastAsia" w:eastAsia="宋体"/>
                              <w:lang w:eastAsia="zh-CN"/>
                            </w:rPr>
                            <w:fldChar w:fldCharType="end"/>
                          </w:r>
                        </w:p>
                      </w:txbxContent>
                    </wps:txbx>
                    <wps:bodyPr wrap="none" lIns="0" tIns="0" rIns="0" bIns="0" upright="0">
                      <a:spAutoFit/>
                    </wps:bodyPr>
                  </wps:wsp>
                </a:graphicData>
              </a:graphic>
            </wp:anchor>
          </w:drawing>
        </mc:Choice>
        <mc:Fallback>
          <w:pict>
            <v:shape id="文本框 105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H8WvIzwEAAKoDAAAOAAAAAAAAAAEAIAAAAB4BAABkcnMv&#10;ZTJvRG9jLnhtbFBLBQYAAAAABgAGAFkBAABfBQAAAAA=&#10;">
              <v:fill on="f" focussize="0,0"/>
              <v:stroke on="f"/>
              <v:imagedata o:title=""/>
              <o:lock v:ext="edit" aspectratio="f"/>
              <v:textbox inset="0mm,0mm,0mm,0mm" style="mso-fit-shape-to-text:t;">
                <w:txbxContent>
                  <w:p>
                    <w:pPr>
                      <w:pStyle w:val="1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68</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65</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22BC68"/>
    <w:multiLevelType w:val="singleLevel"/>
    <w:tmpl w:val="C222BC68"/>
    <w:lvl w:ilvl="0" w:tentative="0">
      <w:start w:val="1"/>
      <w:numFmt w:val="decimal"/>
      <w:suff w:val="nothing"/>
      <w:lvlText w:val="%1、"/>
      <w:lvlJc w:val="left"/>
    </w:lvl>
  </w:abstractNum>
  <w:abstractNum w:abstractNumId="1">
    <w:nsid w:val="32CA27E1"/>
    <w:multiLevelType w:val="multilevel"/>
    <w:tmpl w:val="32CA27E1"/>
    <w:lvl w:ilvl="0" w:tentative="0">
      <w:start w:val="1"/>
      <w:numFmt w:val="decimal"/>
      <w:pStyle w:val="68"/>
      <w:lvlText w:val="%1"/>
      <w:lvlJc w:val="left"/>
      <w:pPr>
        <w:ind w:left="0" w:firstLine="0"/>
      </w:pPr>
      <w:rPr>
        <w:rFonts w:hint="eastAsia" w:eastAsia="黑体"/>
        <w:b/>
        <w:i w:val="0"/>
        <w:sz w:val="24"/>
      </w:rPr>
    </w:lvl>
    <w:lvl w:ilvl="1" w:tentative="0">
      <w:start w:val="1"/>
      <w:numFmt w:val="decimal"/>
      <w:lvlRestart w:val="0"/>
      <w:isLgl/>
      <w:lvlText w:val="%1.%2"/>
      <w:lvlJc w:val="left"/>
      <w:pPr>
        <w:tabs>
          <w:tab w:val="left" w:pos="510"/>
        </w:tabs>
        <w:ind w:left="420" w:hanging="210"/>
      </w:pPr>
      <w:rPr>
        <w:rFonts w:hint="eastAsia"/>
      </w:rPr>
    </w:lvl>
    <w:lvl w:ilvl="2" w:tentative="0">
      <w:start w:val="1"/>
      <w:numFmt w:val="decimal"/>
      <w:isLgl/>
      <w:lvlText w:val="%1.%2.%3"/>
      <w:lvlJc w:val="left"/>
      <w:pPr>
        <w:ind w:left="397" w:firstLine="103"/>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4447B9A4"/>
    <w:multiLevelType w:val="singleLevel"/>
    <w:tmpl w:val="4447B9A4"/>
    <w:lvl w:ilvl="0" w:tentative="0">
      <w:start w:val="5"/>
      <w:numFmt w:val="chineseCounting"/>
      <w:suff w:val="space"/>
      <w:lvlText w:val="第%1章"/>
      <w:lvlJc w:val="left"/>
      <w:rPr>
        <w:rFonts w:hint="eastAsia"/>
      </w:rPr>
    </w:lvl>
  </w:abstractNum>
  <w:abstractNum w:abstractNumId="3">
    <w:nsid w:val="587D76EF"/>
    <w:multiLevelType w:val="multilevel"/>
    <w:tmpl w:val="587D76EF"/>
    <w:lvl w:ilvl="0" w:tentative="0">
      <w:start w:val="1"/>
      <w:numFmt w:val="decimal"/>
      <w:pStyle w:val="67"/>
      <w:lvlText w:val="%1."/>
      <w:lvlJc w:val="left"/>
      <w:pPr>
        <w:ind w:left="0" w:firstLine="0"/>
      </w:pPr>
      <w:rPr>
        <w:rFonts w:hint="eastAsia"/>
      </w:rPr>
    </w:lvl>
    <w:lvl w:ilvl="1" w:tentative="0">
      <w:start w:val="1"/>
      <w:numFmt w:val="decimal"/>
      <w:pStyle w:val="66"/>
      <w:isLgl/>
      <w:suff w:val="space"/>
      <w:lvlText w:val="%1.%2."/>
      <w:lvlJc w:val="left"/>
      <w:pPr>
        <w:ind w:left="680" w:hanging="680"/>
      </w:pPr>
      <w:rPr>
        <w:rFonts w:hint="eastAsia"/>
        <w:b w:val="0"/>
        <w:bCs w:val="0"/>
        <w:i w:val="0"/>
        <w:iCs w:val="0"/>
        <w:caps w:val="0"/>
        <w:smallCaps w:val="0"/>
        <w:strike w:val="0"/>
        <w:dstrike w:val="0"/>
        <w:vanish w:val="0"/>
        <w:color w:val="auto"/>
        <w:spacing w:val="0"/>
        <w:position w:val="0"/>
        <w:u w:val="none"/>
        <w:vertAlign w:val="baseline"/>
        <w14:shadow w14:blurRad="0" w14:dist="0" w14:dir="0" w14:sx="0" w14:sy="0" w14:kx="0" w14:ky="0" w14:algn="none">
          <w14:srgbClr w14:val="000000"/>
        </w14:shadow>
      </w:rPr>
    </w:lvl>
    <w:lvl w:ilvl="2" w:tentative="0">
      <w:start w:val="1"/>
      <w:numFmt w:val="decimal"/>
      <w:pStyle w:val="65"/>
      <w:isLgl/>
      <w:lvlText w:val="%1.%2.%3."/>
      <w:lvlJc w:val="left"/>
      <w:pPr>
        <w:ind w:left="907" w:hanging="907"/>
      </w:pPr>
      <w:rPr>
        <w:rFonts w:hint="eastAsia"/>
        <w:b w:val="0"/>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1"/>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xNDY1MjJmNDMwZWQ3NDIwMTMyYTM3ZGVkMGM3ODYifQ=="/>
  </w:docVars>
  <w:rsids>
    <w:rsidRoot w:val="0049116E"/>
    <w:rsid w:val="00002E1E"/>
    <w:rsid w:val="000041BB"/>
    <w:rsid w:val="00005B1D"/>
    <w:rsid w:val="00006645"/>
    <w:rsid w:val="00006CF7"/>
    <w:rsid w:val="00020EBD"/>
    <w:rsid w:val="0003676C"/>
    <w:rsid w:val="00041453"/>
    <w:rsid w:val="000431A2"/>
    <w:rsid w:val="00043D4C"/>
    <w:rsid w:val="00045482"/>
    <w:rsid w:val="00051484"/>
    <w:rsid w:val="000571E8"/>
    <w:rsid w:val="00057907"/>
    <w:rsid w:val="000610C6"/>
    <w:rsid w:val="00066D9E"/>
    <w:rsid w:val="0006731F"/>
    <w:rsid w:val="000711A5"/>
    <w:rsid w:val="00071E36"/>
    <w:rsid w:val="000749BE"/>
    <w:rsid w:val="00074C9B"/>
    <w:rsid w:val="0007508E"/>
    <w:rsid w:val="00075306"/>
    <w:rsid w:val="00075D03"/>
    <w:rsid w:val="00075F10"/>
    <w:rsid w:val="000762E3"/>
    <w:rsid w:val="0007633C"/>
    <w:rsid w:val="00077A1D"/>
    <w:rsid w:val="00083F16"/>
    <w:rsid w:val="00087ADF"/>
    <w:rsid w:val="00090CDE"/>
    <w:rsid w:val="00090F5E"/>
    <w:rsid w:val="00093E85"/>
    <w:rsid w:val="00095A86"/>
    <w:rsid w:val="00097FC6"/>
    <w:rsid w:val="000A0428"/>
    <w:rsid w:val="000A04C3"/>
    <w:rsid w:val="000A1391"/>
    <w:rsid w:val="000A4B77"/>
    <w:rsid w:val="000A581E"/>
    <w:rsid w:val="000B1ABD"/>
    <w:rsid w:val="000B1B26"/>
    <w:rsid w:val="000B6FCB"/>
    <w:rsid w:val="000B7706"/>
    <w:rsid w:val="000C201F"/>
    <w:rsid w:val="000C645E"/>
    <w:rsid w:val="000C705F"/>
    <w:rsid w:val="000D13B2"/>
    <w:rsid w:val="000D2844"/>
    <w:rsid w:val="000D29A3"/>
    <w:rsid w:val="000D60A3"/>
    <w:rsid w:val="000E1067"/>
    <w:rsid w:val="000E1790"/>
    <w:rsid w:val="000E35CE"/>
    <w:rsid w:val="000E3E67"/>
    <w:rsid w:val="000E415C"/>
    <w:rsid w:val="000E7DA8"/>
    <w:rsid w:val="000F031F"/>
    <w:rsid w:val="000F0EB7"/>
    <w:rsid w:val="000F228F"/>
    <w:rsid w:val="000F2A5A"/>
    <w:rsid w:val="000F36B4"/>
    <w:rsid w:val="000F424E"/>
    <w:rsid w:val="000F4D1C"/>
    <w:rsid w:val="000F6D55"/>
    <w:rsid w:val="000F6F40"/>
    <w:rsid w:val="000F7F73"/>
    <w:rsid w:val="00100152"/>
    <w:rsid w:val="00101CC6"/>
    <w:rsid w:val="001026DE"/>
    <w:rsid w:val="001026DF"/>
    <w:rsid w:val="0010330E"/>
    <w:rsid w:val="00103C9C"/>
    <w:rsid w:val="00105CB2"/>
    <w:rsid w:val="001071AF"/>
    <w:rsid w:val="00111A89"/>
    <w:rsid w:val="00112D30"/>
    <w:rsid w:val="001178DA"/>
    <w:rsid w:val="001220D2"/>
    <w:rsid w:val="001249CC"/>
    <w:rsid w:val="001301C9"/>
    <w:rsid w:val="00130A52"/>
    <w:rsid w:val="001313EC"/>
    <w:rsid w:val="0013258A"/>
    <w:rsid w:val="001341D5"/>
    <w:rsid w:val="00135708"/>
    <w:rsid w:val="00137065"/>
    <w:rsid w:val="00142B5C"/>
    <w:rsid w:val="001474D2"/>
    <w:rsid w:val="00147C98"/>
    <w:rsid w:val="001533BC"/>
    <w:rsid w:val="00155555"/>
    <w:rsid w:val="00160045"/>
    <w:rsid w:val="001602D1"/>
    <w:rsid w:val="00160DC2"/>
    <w:rsid w:val="00163E21"/>
    <w:rsid w:val="00172552"/>
    <w:rsid w:val="001727FE"/>
    <w:rsid w:val="0017690D"/>
    <w:rsid w:val="00181618"/>
    <w:rsid w:val="00181CBC"/>
    <w:rsid w:val="0018216B"/>
    <w:rsid w:val="00182D09"/>
    <w:rsid w:val="00183EC0"/>
    <w:rsid w:val="001874CE"/>
    <w:rsid w:val="00187E73"/>
    <w:rsid w:val="00191F91"/>
    <w:rsid w:val="00194518"/>
    <w:rsid w:val="00194A8C"/>
    <w:rsid w:val="00194C03"/>
    <w:rsid w:val="0019511D"/>
    <w:rsid w:val="001957BD"/>
    <w:rsid w:val="001A10A9"/>
    <w:rsid w:val="001A3C19"/>
    <w:rsid w:val="001A58F7"/>
    <w:rsid w:val="001A6942"/>
    <w:rsid w:val="001A6B71"/>
    <w:rsid w:val="001A792C"/>
    <w:rsid w:val="001B10F1"/>
    <w:rsid w:val="001B7141"/>
    <w:rsid w:val="001B7FE6"/>
    <w:rsid w:val="001C13F7"/>
    <w:rsid w:val="001C1A80"/>
    <w:rsid w:val="001C2108"/>
    <w:rsid w:val="001C393B"/>
    <w:rsid w:val="001C73AF"/>
    <w:rsid w:val="001C78A0"/>
    <w:rsid w:val="001C7FA9"/>
    <w:rsid w:val="001D026A"/>
    <w:rsid w:val="001D1C87"/>
    <w:rsid w:val="001D75FF"/>
    <w:rsid w:val="001E23C5"/>
    <w:rsid w:val="001E46F0"/>
    <w:rsid w:val="001E5BB5"/>
    <w:rsid w:val="001E677D"/>
    <w:rsid w:val="001E7E32"/>
    <w:rsid w:val="001F0A06"/>
    <w:rsid w:val="001F211D"/>
    <w:rsid w:val="001F474C"/>
    <w:rsid w:val="001F54D0"/>
    <w:rsid w:val="001F7072"/>
    <w:rsid w:val="001F76AF"/>
    <w:rsid w:val="00205063"/>
    <w:rsid w:val="002071CC"/>
    <w:rsid w:val="00212488"/>
    <w:rsid w:val="002135E6"/>
    <w:rsid w:val="002137EB"/>
    <w:rsid w:val="0021566B"/>
    <w:rsid w:val="002161A2"/>
    <w:rsid w:val="00221B40"/>
    <w:rsid w:val="00224E76"/>
    <w:rsid w:val="00225D06"/>
    <w:rsid w:val="0022670D"/>
    <w:rsid w:val="00230A26"/>
    <w:rsid w:val="00232329"/>
    <w:rsid w:val="00232B02"/>
    <w:rsid w:val="0023649F"/>
    <w:rsid w:val="00243E9B"/>
    <w:rsid w:val="00245026"/>
    <w:rsid w:val="00246913"/>
    <w:rsid w:val="00246B78"/>
    <w:rsid w:val="002507AF"/>
    <w:rsid w:val="00251424"/>
    <w:rsid w:val="002532BE"/>
    <w:rsid w:val="00253606"/>
    <w:rsid w:val="00254451"/>
    <w:rsid w:val="002604C3"/>
    <w:rsid w:val="00262811"/>
    <w:rsid w:val="0026556E"/>
    <w:rsid w:val="00272969"/>
    <w:rsid w:val="00274B86"/>
    <w:rsid w:val="002773AF"/>
    <w:rsid w:val="0027779A"/>
    <w:rsid w:val="00282B8C"/>
    <w:rsid w:val="002859C9"/>
    <w:rsid w:val="00286A97"/>
    <w:rsid w:val="00295DAE"/>
    <w:rsid w:val="00297927"/>
    <w:rsid w:val="002A078E"/>
    <w:rsid w:val="002A438E"/>
    <w:rsid w:val="002A50C4"/>
    <w:rsid w:val="002A59EE"/>
    <w:rsid w:val="002A5B3C"/>
    <w:rsid w:val="002A5B77"/>
    <w:rsid w:val="002A7F98"/>
    <w:rsid w:val="002B0681"/>
    <w:rsid w:val="002B28AB"/>
    <w:rsid w:val="002B34CC"/>
    <w:rsid w:val="002B78D9"/>
    <w:rsid w:val="002C0571"/>
    <w:rsid w:val="002C3C11"/>
    <w:rsid w:val="002C3CB8"/>
    <w:rsid w:val="002C65B4"/>
    <w:rsid w:val="002D2310"/>
    <w:rsid w:val="002D3DBC"/>
    <w:rsid w:val="002D68F4"/>
    <w:rsid w:val="002E0D89"/>
    <w:rsid w:val="002E1EA4"/>
    <w:rsid w:val="002E36E3"/>
    <w:rsid w:val="002E7413"/>
    <w:rsid w:val="002F096D"/>
    <w:rsid w:val="002F1A3F"/>
    <w:rsid w:val="002F4E72"/>
    <w:rsid w:val="00306AAA"/>
    <w:rsid w:val="00306DF6"/>
    <w:rsid w:val="003170B1"/>
    <w:rsid w:val="003227ED"/>
    <w:rsid w:val="00325247"/>
    <w:rsid w:val="00325929"/>
    <w:rsid w:val="003274B2"/>
    <w:rsid w:val="00333A8B"/>
    <w:rsid w:val="0033507A"/>
    <w:rsid w:val="0033628B"/>
    <w:rsid w:val="00337421"/>
    <w:rsid w:val="003375C4"/>
    <w:rsid w:val="0034009A"/>
    <w:rsid w:val="00346D3C"/>
    <w:rsid w:val="003526A6"/>
    <w:rsid w:val="003540E5"/>
    <w:rsid w:val="00355CA9"/>
    <w:rsid w:val="00357B0B"/>
    <w:rsid w:val="0037209E"/>
    <w:rsid w:val="0037350A"/>
    <w:rsid w:val="00377340"/>
    <w:rsid w:val="0038009B"/>
    <w:rsid w:val="00380DBD"/>
    <w:rsid w:val="00381CD8"/>
    <w:rsid w:val="003827E7"/>
    <w:rsid w:val="00384DBE"/>
    <w:rsid w:val="0038564E"/>
    <w:rsid w:val="00385DC1"/>
    <w:rsid w:val="003908DB"/>
    <w:rsid w:val="0039323F"/>
    <w:rsid w:val="00395F49"/>
    <w:rsid w:val="00397131"/>
    <w:rsid w:val="003A0784"/>
    <w:rsid w:val="003A0D7F"/>
    <w:rsid w:val="003A127B"/>
    <w:rsid w:val="003A1A3F"/>
    <w:rsid w:val="003A3597"/>
    <w:rsid w:val="003B03E0"/>
    <w:rsid w:val="003B6C8A"/>
    <w:rsid w:val="003B705D"/>
    <w:rsid w:val="003C238F"/>
    <w:rsid w:val="003C2792"/>
    <w:rsid w:val="003D02C9"/>
    <w:rsid w:val="003D0844"/>
    <w:rsid w:val="003D25E3"/>
    <w:rsid w:val="003D3715"/>
    <w:rsid w:val="003D5589"/>
    <w:rsid w:val="003D621E"/>
    <w:rsid w:val="003D6392"/>
    <w:rsid w:val="003D652D"/>
    <w:rsid w:val="003D7263"/>
    <w:rsid w:val="003D7F85"/>
    <w:rsid w:val="003E5EEF"/>
    <w:rsid w:val="003F1FD4"/>
    <w:rsid w:val="003F433A"/>
    <w:rsid w:val="003F51D2"/>
    <w:rsid w:val="003F54C4"/>
    <w:rsid w:val="00400A6F"/>
    <w:rsid w:val="00403A0E"/>
    <w:rsid w:val="00403B70"/>
    <w:rsid w:val="00406BEF"/>
    <w:rsid w:val="004101F8"/>
    <w:rsid w:val="004129AD"/>
    <w:rsid w:val="00413721"/>
    <w:rsid w:val="00421DA0"/>
    <w:rsid w:val="004221B6"/>
    <w:rsid w:val="0042324B"/>
    <w:rsid w:val="004249A7"/>
    <w:rsid w:val="004252B3"/>
    <w:rsid w:val="004306DD"/>
    <w:rsid w:val="004310A5"/>
    <w:rsid w:val="00433554"/>
    <w:rsid w:val="00434103"/>
    <w:rsid w:val="0043782D"/>
    <w:rsid w:val="004378EE"/>
    <w:rsid w:val="00440E04"/>
    <w:rsid w:val="004427D1"/>
    <w:rsid w:val="004443F1"/>
    <w:rsid w:val="00451D97"/>
    <w:rsid w:val="0045297E"/>
    <w:rsid w:val="0045320C"/>
    <w:rsid w:val="00462341"/>
    <w:rsid w:val="00464528"/>
    <w:rsid w:val="00466A67"/>
    <w:rsid w:val="00467064"/>
    <w:rsid w:val="004677B1"/>
    <w:rsid w:val="00476754"/>
    <w:rsid w:val="00476B42"/>
    <w:rsid w:val="00477C90"/>
    <w:rsid w:val="004805E2"/>
    <w:rsid w:val="00481055"/>
    <w:rsid w:val="0048281B"/>
    <w:rsid w:val="00484B4C"/>
    <w:rsid w:val="0048514F"/>
    <w:rsid w:val="0049116E"/>
    <w:rsid w:val="00493501"/>
    <w:rsid w:val="00494182"/>
    <w:rsid w:val="0049423D"/>
    <w:rsid w:val="00497474"/>
    <w:rsid w:val="004A07D4"/>
    <w:rsid w:val="004A11B0"/>
    <w:rsid w:val="004A13EB"/>
    <w:rsid w:val="004A2623"/>
    <w:rsid w:val="004A49C6"/>
    <w:rsid w:val="004A54D0"/>
    <w:rsid w:val="004A7CEF"/>
    <w:rsid w:val="004A7DD2"/>
    <w:rsid w:val="004B1653"/>
    <w:rsid w:val="004B6F67"/>
    <w:rsid w:val="004C0658"/>
    <w:rsid w:val="004C2ABB"/>
    <w:rsid w:val="004C3D89"/>
    <w:rsid w:val="004D0A13"/>
    <w:rsid w:val="004D1C08"/>
    <w:rsid w:val="004D2008"/>
    <w:rsid w:val="004D24C1"/>
    <w:rsid w:val="004D2791"/>
    <w:rsid w:val="004D2D28"/>
    <w:rsid w:val="004D5CA4"/>
    <w:rsid w:val="004D5F9B"/>
    <w:rsid w:val="004E0A81"/>
    <w:rsid w:val="004E159D"/>
    <w:rsid w:val="004E3B64"/>
    <w:rsid w:val="004E5444"/>
    <w:rsid w:val="004E6C53"/>
    <w:rsid w:val="004F066C"/>
    <w:rsid w:val="004F11E3"/>
    <w:rsid w:val="004F1F79"/>
    <w:rsid w:val="004F2385"/>
    <w:rsid w:val="004F4F2D"/>
    <w:rsid w:val="004F5157"/>
    <w:rsid w:val="004F7747"/>
    <w:rsid w:val="005003C6"/>
    <w:rsid w:val="00500DBE"/>
    <w:rsid w:val="00501C11"/>
    <w:rsid w:val="00503401"/>
    <w:rsid w:val="0051142C"/>
    <w:rsid w:val="00511C18"/>
    <w:rsid w:val="005140B1"/>
    <w:rsid w:val="00514945"/>
    <w:rsid w:val="00517E2A"/>
    <w:rsid w:val="005205A1"/>
    <w:rsid w:val="00521386"/>
    <w:rsid w:val="005247F6"/>
    <w:rsid w:val="00526011"/>
    <w:rsid w:val="005261B3"/>
    <w:rsid w:val="00526D42"/>
    <w:rsid w:val="00527B31"/>
    <w:rsid w:val="00530884"/>
    <w:rsid w:val="005316D2"/>
    <w:rsid w:val="00533F73"/>
    <w:rsid w:val="00536710"/>
    <w:rsid w:val="0053779D"/>
    <w:rsid w:val="00544412"/>
    <w:rsid w:val="0054463F"/>
    <w:rsid w:val="005451E2"/>
    <w:rsid w:val="005515EE"/>
    <w:rsid w:val="00551CEE"/>
    <w:rsid w:val="00552CDB"/>
    <w:rsid w:val="0055475B"/>
    <w:rsid w:val="00555429"/>
    <w:rsid w:val="00556383"/>
    <w:rsid w:val="005578FB"/>
    <w:rsid w:val="005629C1"/>
    <w:rsid w:val="00562D02"/>
    <w:rsid w:val="00564CC7"/>
    <w:rsid w:val="00565D8C"/>
    <w:rsid w:val="005669AC"/>
    <w:rsid w:val="0056720E"/>
    <w:rsid w:val="00567470"/>
    <w:rsid w:val="00570533"/>
    <w:rsid w:val="005712C7"/>
    <w:rsid w:val="005748EC"/>
    <w:rsid w:val="005753A2"/>
    <w:rsid w:val="0057700C"/>
    <w:rsid w:val="00585D48"/>
    <w:rsid w:val="00586FC7"/>
    <w:rsid w:val="0059142B"/>
    <w:rsid w:val="005916E0"/>
    <w:rsid w:val="00594324"/>
    <w:rsid w:val="0059564F"/>
    <w:rsid w:val="00596BCF"/>
    <w:rsid w:val="005A03AB"/>
    <w:rsid w:val="005A110C"/>
    <w:rsid w:val="005A17DB"/>
    <w:rsid w:val="005A22B6"/>
    <w:rsid w:val="005A5853"/>
    <w:rsid w:val="005B320B"/>
    <w:rsid w:val="005B47D9"/>
    <w:rsid w:val="005B5901"/>
    <w:rsid w:val="005C033F"/>
    <w:rsid w:val="005C1BDE"/>
    <w:rsid w:val="005C3957"/>
    <w:rsid w:val="005C75FB"/>
    <w:rsid w:val="005D53D7"/>
    <w:rsid w:val="005E066D"/>
    <w:rsid w:val="005E6C63"/>
    <w:rsid w:val="005F0220"/>
    <w:rsid w:val="005F13C8"/>
    <w:rsid w:val="005F3F6A"/>
    <w:rsid w:val="005F4197"/>
    <w:rsid w:val="005F4EB4"/>
    <w:rsid w:val="005F5D9A"/>
    <w:rsid w:val="005F71ED"/>
    <w:rsid w:val="006019A5"/>
    <w:rsid w:val="0061655F"/>
    <w:rsid w:val="00617EA7"/>
    <w:rsid w:val="0063124A"/>
    <w:rsid w:val="006313E6"/>
    <w:rsid w:val="00631DDB"/>
    <w:rsid w:val="00632927"/>
    <w:rsid w:val="00634489"/>
    <w:rsid w:val="0064070E"/>
    <w:rsid w:val="00641FC3"/>
    <w:rsid w:val="006426CA"/>
    <w:rsid w:val="006469B6"/>
    <w:rsid w:val="00650DFA"/>
    <w:rsid w:val="00652280"/>
    <w:rsid w:val="006542FF"/>
    <w:rsid w:val="006602B7"/>
    <w:rsid w:val="006606B0"/>
    <w:rsid w:val="00661296"/>
    <w:rsid w:val="00661349"/>
    <w:rsid w:val="0066238B"/>
    <w:rsid w:val="00663763"/>
    <w:rsid w:val="00663B3C"/>
    <w:rsid w:val="00667F0D"/>
    <w:rsid w:val="006735E0"/>
    <w:rsid w:val="00673B32"/>
    <w:rsid w:val="006750B3"/>
    <w:rsid w:val="00675BFB"/>
    <w:rsid w:val="00677FA2"/>
    <w:rsid w:val="00680432"/>
    <w:rsid w:val="006804D9"/>
    <w:rsid w:val="006835EB"/>
    <w:rsid w:val="006841E3"/>
    <w:rsid w:val="00687868"/>
    <w:rsid w:val="00690FBB"/>
    <w:rsid w:val="006916A3"/>
    <w:rsid w:val="00691A64"/>
    <w:rsid w:val="00693E10"/>
    <w:rsid w:val="006A7114"/>
    <w:rsid w:val="006A78ED"/>
    <w:rsid w:val="006B573D"/>
    <w:rsid w:val="006B6E9A"/>
    <w:rsid w:val="006B7B09"/>
    <w:rsid w:val="006C0800"/>
    <w:rsid w:val="006C2358"/>
    <w:rsid w:val="006C2B6F"/>
    <w:rsid w:val="006C41CA"/>
    <w:rsid w:val="006C4A92"/>
    <w:rsid w:val="006C506C"/>
    <w:rsid w:val="006C508F"/>
    <w:rsid w:val="006D0DDA"/>
    <w:rsid w:val="006D1ABB"/>
    <w:rsid w:val="006D3B0F"/>
    <w:rsid w:val="006D3B3C"/>
    <w:rsid w:val="006D44B9"/>
    <w:rsid w:val="006D5284"/>
    <w:rsid w:val="006D7EDF"/>
    <w:rsid w:val="006E6057"/>
    <w:rsid w:val="006E7C68"/>
    <w:rsid w:val="006F0748"/>
    <w:rsid w:val="006F0D0C"/>
    <w:rsid w:val="006F1CA3"/>
    <w:rsid w:val="006F47A6"/>
    <w:rsid w:val="00702A45"/>
    <w:rsid w:val="00703D4E"/>
    <w:rsid w:val="00704807"/>
    <w:rsid w:val="00706946"/>
    <w:rsid w:val="00707B0A"/>
    <w:rsid w:val="00710F28"/>
    <w:rsid w:val="0071165C"/>
    <w:rsid w:val="007151B2"/>
    <w:rsid w:val="00722D33"/>
    <w:rsid w:val="00724A0A"/>
    <w:rsid w:val="0072607A"/>
    <w:rsid w:val="0072741E"/>
    <w:rsid w:val="00730EC2"/>
    <w:rsid w:val="00731C16"/>
    <w:rsid w:val="00733553"/>
    <w:rsid w:val="00735597"/>
    <w:rsid w:val="00735797"/>
    <w:rsid w:val="0074013A"/>
    <w:rsid w:val="00742857"/>
    <w:rsid w:val="00744027"/>
    <w:rsid w:val="00745723"/>
    <w:rsid w:val="00745EA9"/>
    <w:rsid w:val="00753989"/>
    <w:rsid w:val="007547F2"/>
    <w:rsid w:val="0075533B"/>
    <w:rsid w:val="0075624D"/>
    <w:rsid w:val="00761AC0"/>
    <w:rsid w:val="00762E49"/>
    <w:rsid w:val="007636E2"/>
    <w:rsid w:val="0076477E"/>
    <w:rsid w:val="00767627"/>
    <w:rsid w:val="007709EA"/>
    <w:rsid w:val="0077127E"/>
    <w:rsid w:val="00771716"/>
    <w:rsid w:val="007746BF"/>
    <w:rsid w:val="0077676F"/>
    <w:rsid w:val="00783068"/>
    <w:rsid w:val="007843A4"/>
    <w:rsid w:val="00784816"/>
    <w:rsid w:val="00792F7E"/>
    <w:rsid w:val="007940E6"/>
    <w:rsid w:val="007943B3"/>
    <w:rsid w:val="007955CD"/>
    <w:rsid w:val="007A355A"/>
    <w:rsid w:val="007A45B2"/>
    <w:rsid w:val="007B1846"/>
    <w:rsid w:val="007B3633"/>
    <w:rsid w:val="007B6FBE"/>
    <w:rsid w:val="007B79BE"/>
    <w:rsid w:val="007C0547"/>
    <w:rsid w:val="007C240E"/>
    <w:rsid w:val="007C2EF7"/>
    <w:rsid w:val="007C3110"/>
    <w:rsid w:val="007C347C"/>
    <w:rsid w:val="007C6A65"/>
    <w:rsid w:val="007C6E70"/>
    <w:rsid w:val="007D2662"/>
    <w:rsid w:val="007D34F4"/>
    <w:rsid w:val="007D4E13"/>
    <w:rsid w:val="007D5DC8"/>
    <w:rsid w:val="007D5F1A"/>
    <w:rsid w:val="007E00F9"/>
    <w:rsid w:val="007E23DF"/>
    <w:rsid w:val="007E2BE3"/>
    <w:rsid w:val="007E3433"/>
    <w:rsid w:val="007E713C"/>
    <w:rsid w:val="007E742D"/>
    <w:rsid w:val="007F2E94"/>
    <w:rsid w:val="007F6E44"/>
    <w:rsid w:val="008005FD"/>
    <w:rsid w:val="00810630"/>
    <w:rsid w:val="00811309"/>
    <w:rsid w:val="00811A60"/>
    <w:rsid w:val="00811CFC"/>
    <w:rsid w:val="008123E4"/>
    <w:rsid w:val="00813357"/>
    <w:rsid w:val="008136F2"/>
    <w:rsid w:val="008143F6"/>
    <w:rsid w:val="0081506D"/>
    <w:rsid w:val="00821DC1"/>
    <w:rsid w:val="00825DDB"/>
    <w:rsid w:val="00826951"/>
    <w:rsid w:val="00830D37"/>
    <w:rsid w:val="008316F8"/>
    <w:rsid w:val="00834856"/>
    <w:rsid w:val="0084073F"/>
    <w:rsid w:val="00841D82"/>
    <w:rsid w:val="00844263"/>
    <w:rsid w:val="00844ECA"/>
    <w:rsid w:val="00846BF6"/>
    <w:rsid w:val="00850147"/>
    <w:rsid w:val="00850A08"/>
    <w:rsid w:val="00853F00"/>
    <w:rsid w:val="008609FC"/>
    <w:rsid w:val="00861AB9"/>
    <w:rsid w:val="008628C2"/>
    <w:rsid w:val="00862D79"/>
    <w:rsid w:val="0086330A"/>
    <w:rsid w:val="00866C48"/>
    <w:rsid w:val="008701C2"/>
    <w:rsid w:val="008739E4"/>
    <w:rsid w:val="008772E5"/>
    <w:rsid w:val="0087792D"/>
    <w:rsid w:val="008829BE"/>
    <w:rsid w:val="0088414E"/>
    <w:rsid w:val="008852AB"/>
    <w:rsid w:val="008860FD"/>
    <w:rsid w:val="00887E84"/>
    <w:rsid w:val="008939C2"/>
    <w:rsid w:val="00895822"/>
    <w:rsid w:val="008A2FE7"/>
    <w:rsid w:val="008A5326"/>
    <w:rsid w:val="008A5E6B"/>
    <w:rsid w:val="008A7C48"/>
    <w:rsid w:val="008B5267"/>
    <w:rsid w:val="008B7FDE"/>
    <w:rsid w:val="008C12E5"/>
    <w:rsid w:val="008C5F8C"/>
    <w:rsid w:val="008C6E86"/>
    <w:rsid w:val="008D0720"/>
    <w:rsid w:val="008D40B1"/>
    <w:rsid w:val="008E29C7"/>
    <w:rsid w:val="008E3F00"/>
    <w:rsid w:val="008E666B"/>
    <w:rsid w:val="008F163F"/>
    <w:rsid w:val="008F33B2"/>
    <w:rsid w:val="00900C55"/>
    <w:rsid w:val="00901D79"/>
    <w:rsid w:val="009045AC"/>
    <w:rsid w:val="009050E8"/>
    <w:rsid w:val="009067F8"/>
    <w:rsid w:val="009069C5"/>
    <w:rsid w:val="00910159"/>
    <w:rsid w:val="0091209B"/>
    <w:rsid w:val="00916AAE"/>
    <w:rsid w:val="00924082"/>
    <w:rsid w:val="00936A32"/>
    <w:rsid w:val="0093725B"/>
    <w:rsid w:val="00942C3E"/>
    <w:rsid w:val="00945758"/>
    <w:rsid w:val="00947C4E"/>
    <w:rsid w:val="00950333"/>
    <w:rsid w:val="00951686"/>
    <w:rsid w:val="009523F9"/>
    <w:rsid w:val="009614FD"/>
    <w:rsid w:val="009626A8"/>
    <w:rsid w:val="00962BE1"/>
    <w:rsid w:val="0096733C"/>
    <w:rsid w:val="00976163"/>
    <w:rsid w:val="00976724"/>
    <w:rsid w:val="0098019E"/>
    <w:rsid w:val="00982E90"/>
    <w:rsid w:val="0098418D"/>
    <w:rsid w:val="00986A0E"/>
    <w:rsid w:val="0098767C"/>
    <w:rsid w:val="00991AE9"/>
    <w:rsid w:val="00992EC5"/>
    <w:rsid w:val="009A09B9"/>
    <w:rsid w:val="009A19DB"/>
    <w:rsid w:val="009A39D4"/>
    <w:rsid w:val="009A7B35"/>
    <w:rsid w:val="009B1FE1"/>
    <w:rsid w:val="009B320E"/>
    <w:rsid w:val="009B5114"/>
    <w:rsid w:val="009B69E4"/>
    <w:rsid w:val="009C0B5F"/>
    <w:rsid w:val="009C6778"/>
    <w:rsid w:val="009C6BA2"/>
    <w:rsid w:val="009D0255"/>
    <w:rsid w:val="009D16E3"/>
    <w:rsid w:val="009D5938"/>
    <w:rsid w:val="009E0C8A"/>
    <w:rsid w:val="009E3648"/>
    <w:rsid w:val="009E45F2"/>
    <w:rsid w:val="009E5366"/>
    <w:rsid w:val="009F0F77"/>
    <w:rsid w:val="009F1923"/>
    <w:rsid w:val="009F24C3"/>
    <w:rsid w:val="009F3A6F"/>
    <w:rsid w:val="009F4331"/>
    <w:rsid w:val="009F58AE"/>
    <w:rsid w:val="009F6113"/>
    <w:rsid w:val="009F6D0F"/>
    <w:rsid w:val="00A0068B"/>
    <w:rsid w:val="00A0086E"/>
    <w:rsid w:val="00A00F21"/>
    <w:rsid w:val="00A014D1"/>
    <w:rsid w:val="00A07573"/>
    <w:rsid w:val="00A07A66"/>
    <w:rsid w:val="00A12904"/>
    <w:rsid w:val="00A12A2C"/>
    <w:rsid w:val="00A1314C"/>
    <w:rsid w:val="00A14EF7"/>
    <w:rsid w:val="00A167D6"/>
    <w:rsid w:val="00A20325"/>
    <w:rsid w:val="00A210C8"/>
    <w:rsid w:val="00A23601"/>
    <w:rsid w:val="00A249E9"/>
    <w:rsid w:val="00A2778B"/>
    <w:rsid w:val="00A278B1"/>
    <w:rsid w:val="00A30F54"/>
    <w:rsid w:val="00A3118B"/>
    <w:rsid w:val="00A312C5"/>
    <w:rsid w:val="00A3198B"/>
    <w:rsid w:val="00A3314D"/>
    <w:rsid w:val="00A33494"/>
    <w:rsid w:val="00A3444C"/>
    <w:rsid w:val="00A34B75"/>
    <w:rsid w:val="00A41725"/>
    <w:rsid w:val="00A44B80"/>
    <w:rsid w:val="00A4531A"/>
    <w:rsid w:val="00A51AB3"/>
    <w:rsid w:val="00A51B7D"/>
    <w:rsid w:val="00A54759"/>
    <w:rsid w:val="00A57F28"/>
    <w:rsid w:val="00A60D2B"/>
    <w:rsid w:val="00A63B41"/>
    <w:rsid w:val="00A66CDA"/>
    <w:rsid w:val="00A674F6"/>
    <w:rsid w:val="00A67BFE"/>
    <w:rsid w:val="00A70B01"/>
    <w:rsid w:val="00A71238"/>
    <w:rsid w:val="00A7250C"/>
    <w:rsid w:val="00A72E06"/>
    <w:rsid w:val="00A74EEE"/>
    <w:rsid w:val="00A76557"/>
    <w:rsid w:val="00A77E2D"/>
    <w:rsid w:val="00A81286"/>
    <w:rsid w:val="00A829DE"/>
    <w:rsid w:val="00A829EA"/>
    <w:rsid w:val="00A859CD"/>
    <w:rsid w:val="00A902C0"/>
    <w:rsid w:val="00A917D0"/>
    <w:rsid w:val="00A93814"/>
    <w:rsid w:val="00A95E25"/>
    <w:rsid w:val="00A9754C"/>
    <w:rsid w:val="00A97A56"/>
    <w:rsid w:val="00AA5254"/>
    <w:rsid w:val="00AA798F"/>
    <w:rsid w:val="00AB049F"/>
    <w:rsid w:val="00AB10A7"/>
    <w:rsid w:val="00AB3064"/>
    <w:rsid w:val="00AB40A4"/>
    <w:rsid w:val="00AB46BF"/>
    <w:rsid w:val="00AB5195"/>
    <w:rsid w:val="00AB6105"/>
    <w:rsid w:val="00AB71BD"/>
    <w:rsid w:val="00AB74F4"/>
    <w:rsid w:val="00AC1BDA"/>
    <w:rsid w:val="00AC26C0"/>
    <w:rsid w:val="00AC339D"/>
    <w:rsid w:val="00AD0359"/>
    <w:rsid w:val="00AD1A9D"/>
    <w:rsid w:val="00AD2E26"/>
    <w:rsid w:val="00AD30A9"/>
    <w:rsid w:val="00AD3DCF"/>
    <w:rsid w:val="00AD5847"/>
    <w:rsid w:val="00AE0242"/>
    <w:rsid w:val="00AE03EC"/>
    <w:rsid w:val="00AE09B5"/>
    <w:rsid w:val="00AE10F7"/>
    <w:rsid w:val="00AE2A19"/>
    <w:rsid w:val="00AE30D1"/>
    <w:rsid w:val="00AE46D9"/>
    <w:rsid w:val="00AE5AB4"/>
    <w:rsid w:val="00AE6302"/>
    <w:rsid w:val="00AE69F3"/>
    <w:rsid w:val="00AE72B1"/>
    <w:rsid w:val="00AE769F"/>
    <w:rsid w:val="00AF0D3F"/>
    <w:rsid w:val="00AF27F4"/>
    <w:rsid w:val="00B005A7"/>
    <w:rsid w:val="00B0289C"/>
    <w:rsid w:val="00B053D7"/>
    <w:rsid w:val="00B059E9"/>
    <w:rsid w:val="00B111ED"/>
    <w:rsid w:val="00B113C2"/>
    <w:rsid w:val="00B16E78"/>
    <w:rsid w:val="00B20D83"/>
    <w:rsid w:val="00B25FD0"/>
    <w:rsid w:val="00B3405F"/>
    <w:rsid w:val="00B34A3C"/>
    <w:rsid w:val="00B35C51"/>
    <w:rsid w:val="00B40F63"/>
    <w:rsid w:val="00B42BB7"/>
    <w:rsid w:val="00B43225"/>
    <w:rsid w:val="00B514BF"/>
    <w:rsid w:val="00B52B63"/>
    <w:rsid w:val="00B53905"/>
    <w:rsid w:val="00B5684C"/>
    <w:rsid w:val="00B61CC2"/>
    <w:rsid w:val="00B61E3E"/>
    <w:rsid w:val="00B63193"/>
    <w:rsid w:val="00B632B7"/>
    <w:rsid w:val="00B6701B"/>
    <w:rsid w:val="00B717F9"/>
    <w:rsid w:val="00B71DCA"/>
    <w:rsid w:val="00B73311"/>
    <w:rsid w:val="00B736FC"/>
    <w:rsid w:val="00B73FDF"/>
    <w:rsid w:val="00B7518D"/>
    <w:rsid w:val="00B75F75"/>
    <w:rsid w:val="00B770BE"/>
    <w:rsid w:val="00B776A9"/>
    <w:rsid w:val="00B77EE8"/>
    <w:rsid w:val="00B80B83"/>
    <w:rsid w:val="00B831BE"/>
    <w:rsid w:val="00B8526B"/>
    <w:rsid w:val="00B858E4"/>
    <w:rsid w:val="00B91EC1"/>
    <w:rsid w:val="00B943BF"/>
    <w:rsid w:val="00B94B6B"/>
    <w:rsid w:val="00B97513"/>
    <w:rsid w:val="00B97C63"/>
    <w:rsid w:val="00BA579A"/>
    <w:rsid w:val="00BA69D7"/>
    <w:rsid w:val="00BA6ECD"/>
    <w:rsid w:val="00BB0D8C"/>
    <w:rsid w:val="00BB1874"/>
    <w:rsid w:val="00BB28A8"/>
    <w:rsid w:val="00BC0BCE"/>
    <w:rsid w:val="00BC1903"/>
    <w:rsid w:val="00BC3A6F"/>
    <w:rsid w:val="00BC409B"/>
    <w:rsid w:val="00BC4DBB"/>
    <w:rsid w:val="00BC71FD"/>
    <w:rsid w:val="00BD13D0"/>
    <w:rsid w:val="00BD270A"/>
    <w:rsid w:val="00BD3025"/>
    <w:rsid w:val="00BD5A41"/>
    <w:rsid w:val="00BD7188"/>
    <w:rsid w:val="00BD795E"/>
    <w:rsid w:val="00BE5BB4"/>
    <w:rsid w:val="00BF335D"/>
    <w:rsid w:val="00BF55BD"/>
    <w:rsid w:val="00BF60C0"/>
    <w:rsid w:val="00BF63A5"/>
    <w:rsid w:val="00BF64FD"/>
    <w:rsid w:val="00C00637"/>
    <w:rsid w:val="00C00E4F"/>
    <w:rsid w:val="00C02ED7"/>
    <w:rsid w:val="00C03D12"/>
    <w:rsid w:val="00C0462F"/>
    <w:rsid w:val="00C049CE"/>
    <w:rsid w:val="00C062DB"/>
    <w:rsid w:val="00C07352"/>
    <w:rsid w:val="00C10417"/>
    <w:rsid w:val="00C1180A"/>
    <w:rsid w:val="00C11DD5"/>
    <w:rsid w:val="00C14D00"/>
    <w:rsid w:val="00C171A8"/>
    <w:rsid w:val="00C20351"/>
    <w:rsid w:val="00C20839"/>
    <w:rsid w:val="00C20D81"/>
    <w:rsid w:val="00C21EDC"/>
    <w:rsid w:val="00C22510"/>
    <w:rsid w:val="00C22CA9"/>
    <w:rsid w:val="00C23A5E"/>
    <w:rsid w:val="00C26B1A"/>
    <w:rsid w:val="00C271FA"/>
    <w:rsid w:val="00C301CE"/>
    <w:rsid w:val="00C36396"/>
    <w:rsid w:val="00C367C0"/>
    <w:rsid w:val="00C42B6C"/>
    <w:rsid w:val="00C459AC"/>
    <w:rsid w:val="00C476FA"/>
    <w:rsid w:val="00C50069"/>
    <w:rsid w:val="00C5140B"/>
    <w:rsid w:val="00C53C58"/>
    <w:rsid w:val="00C609F3"/>
    <w:rsid w:val="00C62EA8"/>
    <w:rsid w:val="00C63308"/>
    <w:rsid w:val="00C63AB3"/>
    <w:rsid w:val="00C63EDA"/>
    <w:rsid w:val="00C651DE"/>
    <w:rsid w:val="00C7112C"/>
    <w:rsid w:val="00C713AA"/>
    <w:rsid w:val="00C719FB"/>
    <w:rsid w:val="00C73BE6"/>
    <w:rsid w:val="00C826A6"/>
    <w:rsid w:val="00C849ED"/>
    <w:rsid w:val="00C901F9"/>
    <w:rsid w:val="00C907C1"/>
    <w:rsid w:val="00C9109B"/>
    <w:rsid w:val="00C91434"/>
    <w:rsid w:val="00C9410F"/>
    <w:rsid w:val="00C945E9"/>
    <w:rsid w:val="00C96E3D"/>
    <w:rsid w:val="00C97D06"/>
    <w:rsid w:val="00CA18D6"/>
    <w:rsid w:val="00CA773F"/>
    <w:rsid w:val="00CB1F02"/>
    <w:rsid w:val="00CB245E"/>
    <w:rsid w:val="00CB74C9"/>
    <w:rsid w:val="00CC3B19"/>
    <w:rsid w:val="00CC5723"/>
    <w:rsid w:val="00CC5A43"/>
    <w:rsid w:val="00CC7D8C"/>
    <w:rsid w:val="00CD2EEB"/>
    <w:rsid w:val="00CD3664"/>
    <w:rsid w:val="00CD4A6D"/>
    <w:rsid w:val="00CD4C64"/>
    <w:rsid w:val="00CD54CC"/>
    <w:rsid w:val="00CD55C3"/>
    <w:rsid w:val="00CD71A5"/>
    <w:rsid w:val="00CE4F33"/>
    <w:rsid w:val="00CE6C43"/>
    <w:rsid w:val="00CE6E88"/>
    <w:rsid w:val="00CE78E7"/>
    <w:rsid w:val="00CF2AE3"/>
    <w:rsid w:val="00CF39EC"/>
    <w:rsid w:val="00CF454B"/>
    <w:rsid w:val="00CF5239"/>
    <w:rsid w:val="00CF6849"/>
    <w:rsid w:val="00D025EC"/>
    <w:rsid w:val="00D05062"/>
    <w:rsid w:val="00D05124"/>
    <w:rsid w:val="00D05DBC"/>
    <w:rsid w:val="00D11F0F"/>
    <w:rsid w:val="00D13814"/>
    <w:rsid w:val="00D16710"/>
    <w:rsid w:val="00D206AE"/>
    <w:rsid w:val="00D20F34"/>
    <w:rsid w:val="00D238F0"/>
    <w:rsid w:val="00D241B5"/>
    <w:rsid w:val="00D256AC"/>
    <w:rsid w:val="00D259D2"/>
    <w:rsid w:val="00D26F58"/>
    <w:rsid w:val="00D277DC"/>
    <w:rsid w:val="00D31B9A"/>
    <w:rsid w:val="00D32E72"/>
    <w:rsid w:val="00D33119"/>
    <w:rsid w:val="00D364A0"/>
    <w:rsid w:val="00D43359"/>
    <w:rsid w:val="00D4529E"/>
    <w:rsid w:val="00D46753"/>
    <w:rsid w:val="00D50392"/>
    <w:rsid w:val="00D50AE0"/>
    <w:rsid w:val="00D52F4F"/>
    <w:rsid w:val="00D549C4"/>
    <w:rsid w:val="00D55ABF"/>
    <w:rsid w:val="00D5665D"/>
    <w:rsid w:val="00D57C36"/>
    <w:rsid w:val="00D6076D"/>
    <w:rsid w:val="00D6201E"/>
    <w:rsid w:val="00D6489F"/>
    <w:rsid w:val="00D65A98"/>
    <w:rsid w:val="00D67C5F"/>
    <w:rsid w:val="00D67D14"/>
    <w:rsid w:val="00D70652"/>
    <w:rsid w:val="00D72289"/>
    <w:rsid w:val="00D73709"/>
    <w:rsid w:val="00D74DA9"/>
    <w:rsid w:val="00D7518E"/>
    <w:rsid w:val="00D75D78"/>
    <w:rsid w:val="00D75FD4"/>
    <w:rsid w:val="00D81F5F"/>
    <w:rsid w:val="00D82195"/>
    <w:rsid w:val="00D8392B"/>
    <w:rsid w:val="00D8489F"/>
    <w:rsid w:val="00D900A4"/>
    <w:rsid w:val="00D905EB"/>
    <w:rsid w:val="00D91858"/>
    <w:rsid w:val="00D918C7"/>
    <w:rsid w:val="00D930F1"/>
    <w:rsid w:val="00D9483D"/>
    <w:rsid w:val="00D96D8B"/>
    <w:rsid w:val="00DA06F7"/>
    <w:rsid w:val="00DA6689"/>
    <w:rsid w:val="00DB12B5"/>
    <w:rsid w:val="00DB44C6"/>
    <w:rsid w:val="00DB6ADC"/>
    <w:rsid w:val="00DB6CEC"/>
    <w:rsid w:val="00DB74CD"/>
    <w:rsid w:val="00DC0115"/>
    <w:rsid w:val="00DC1A2E"/>
    <w:rsid w:val="00DC2B04"/>
    <w:rsid w:val="00DC2CB4"/>
    <w:rsid w:val="00DC2E78"/>
    <w:rsid w:val="00DC3168"/>
    <w:rsid w:val="00DC37F6"/>
    <w:rsid w:val="00DC463B"/>
    <w:rsid w:val="00DD0A6D"/>
    <w:rsid w:val="00DD0DE1"/>
    <w:rsid w:val="00DD2D52"/>
    <w:rsid w:val="00DD57E7"/>
    <w:rsid w:val="00DE02D0"/>
    <w:rsid w:val="00DE0D19"/>
    <w:rsid w:val="00DE0D40"/>
    <w:rsid w:val="00DE25F5"/>
    <w:rsid w:val="00DE57AD"/>
    <w:rsid w:val="00DE57D9"/>
    <w:rsid w:val="00DE5E0E"/>
    <w:rsid w:val="00DE6CDF"/>
    <w:rsid w:val="00DF41A9"/>
    <w:rsid w:val="00DF4D8F"/>
    <w:rsid w:val="00E00692"/>
    <w:rsid w:val="00E01644"/>
    <w:rsid w:val="00E01FE5"/>
    <w:rsid w:val="00E02366"/>
    <w:rsid w:val="00E07034"/>
    <w:rsid w:val="00E0735E"/>
    <w:rsid w:val="00E1344D"/>
    <w:rsid w:val="00E13526"/>
    <w:rsid w:val="00E23650"/>
    <w:rsid w:val="00E31887"/>
    <w:rsid w:val="00E327B2"/>
    <w:rsid w:val="00E333C7"/>
    <w:rsid w:val="00E343AF"/>
    <w:rsid w:val="00E3452F"/>
    <w:rsid w:val="00E36492"/>
    <w:rsid w:val="00E41E96"/>
    <w:rsid w:val="00E4534C"/>
    <w:rsid w:val="00E4661F"/>
    <w:rsid w:val="00E46889"/>
    <w:rsid w:val="00E47140"/>
    <w:rsid w:val="00E47B9E"/>
    <w:rsid w:val="00E51F25"/>
    <w:rsid w:val="00E5598B"/>
    <w:rsid w:val="00E6068A"/>
    <w:rsid w:val="00E6179A"/>
    <w:rsid w:val="00E62F62"/>
    <w:rsid w:val="00E71819"/>
    <w:rsid w:val="00E72B59"/>
    <w:rsid w:val="00E736A8"/>
    <w:rsid w:val="00E905FF"/>
    <w:rsid w:val="00E908E3"/>
    <w:rsid w:val="00E91F1D"/>
    <w:rsid w:val="00E95C77"/>
    <w:rsid w:val="00E95C7B"/>
    <w:rsid w:val="00E9652D"/>
    <w:rsid w:val="00EA2DB5"/>
    <w:rsid w:val="00EA583B"/>
    <w:rsid w:val="00EB4937"/>
    <w:rsid w:val="00EB49E8"/>
    <w:rsid w:val="00EC3926"/>
    <w:rsid w:val="00ED0684"/>
    <w:rsid w:val="00ED1302"/>
    <w:rsid w:val="00ED6D13"/>
    <w:rsid w:val="00EE1C31"/>
    <w:rsid w:val="00EE4B70"/>
    <w:rsid w:val="00EF2C7E"/>
    <w:rsid w:val="00EF3923"/>
    <w:rsid w:val="00EF4321"/>
    <w:rsid w:val="00EF4614"/>
    <w:rsid w:val="00EF6FC5"/>
    <w:rsid w:val="00F000FF"/>
    <w:rsid w:val="00F050ED"/>
    <w:rsid w:val="00F07A1C"/>
    <w:rsid w:val="00F11993"/>
    <w:rsid w:val="00F155B3"/>
    <w:rsid w:val="00F177CF"/>
    <w:rsid w:val="00F260BD"/>
    <w:rsid w:val="00F26A39"/>
    <w:rsid w:val="00F344F3"/>
    <w:rsid w:val="00F359F3"/>
    <w:rsid w:val="00F36245"/>
    <w:rsid w:val="00F42F5B"/>
    <w:rsid w:val="00F4554C"/>
    <w:rsid w:val="00F464F5"/>
    <w:rsid w:val="00F4661C"/>
    <w:rsid w:val="00F47104"/>
    <w:rsid w:val="00F6060E"/>
    <w:rsid w:val="00F61928"/>
    <w:rsid w:val="00F61C67"/>
    <w:rsid w:val="00F61E10"/>
    <w:rsid w:val="00F66265"/>
    <w:rsid w:val="00F71315"/>
    <w:rsid w:val="00F760A8"/>
    <w:rsid w:val="00F76788"/>
    <w:rsid w:val="00F8274B"/>
    <w:rsid w:val="00F82F67"/>
    <w:rsid w:val="00F87604"/>
    <w:rsid w:val="00F87E07"/>
    <w:rsid w:val="00F918B8"/>
    <w:rsid w:val="00F943E6"/>
    <w:rsid w:val="00F96410"/>
    <w:rsid w:val="00F96EBB"/>
    <w:rsid w:val="00FA0A3D"/>
    <w:rsid w:val="00FA0AB8"/>
    <w:rsid w:val="00FA0DC4"/>
    <w:rsid w:val="00FA583D"/>
    <w:rsid w:val="00FA7C15"/>
    <w:rsid w:val="00FB296F"/>
    <w:rsid w:val="00FB2D6B"/>
    <w:rsid w:val="00FC071D"/>
    <w:rsid w:val="00FC1AD6"/>
    <w:rsid w:val="00FC4F7F"/>
    <w:rsid w:val="00FC619E"/>
    <w:rsid w:val="00FC793D"/>
    <w:rsid w:val="00FC7FF6"/>
    <w:rsid w:val="00FD271D"/>
    <w:rsid w:val="00FD3DD6"/>
    <w:rsid w:val="00FD4381"/>
    <w:rsid w:val="00FD43E5"/>
    <w:rsid w:val="00FE721F"/>
    <w:rsid w:val="00FF2C1C"/>
    <w:rsid w:val="00FF4DEA"/>
    <w:rsid w:val="00FF5B89"/>
    <w:rsid w:val="00FF5D4E"/>
    <w:rsid w:val="00FF724F"/>
    <w:rsid w:val="00FF79E7"/>
    <w:rsid w:val="00FF7CFB"/>
    <w:rsid w:val="0133393D"/>
    <w:rsid w:val="015C29EF"/>
    <w:rsid w:val="017A42B5"/>
    <w:rsid w:val="01C6015A"/>
    <w:rsid w:val="029760D4"/>
    <w:rsid w:val="02C0312A"/>
    <w:rsid w:val="033A48E7"/>
    <w:rsid w:val="035C0032"/>
    <w:rsid w:val="039A313F"/>
    <w:rsid w:val="047706DA"/>
    <w:rsid w:val="047A38F8"/>
    <w:rsid w:val="048521EB"/>
    <w:rsid w:val="048D2603"/>
    <w:rsid w:val="04BC564B"/>
    <w:rsid w:val="05340028"/>
    <w:rsid w:val="057810E3"/>
    <w:rsid w:val="05970D7B"/>
    <w:rsid w:val="05A50F26"/>
    <w:rsid w:val="06472D98"/>
    <w:rsid w:val="06C57774"/>
    <w:rsid w:val="06D81436"/>
    <w:rsid w:val="07270DA5"/>
    <w:rsid w:val="07394C00"/>
    <w:rsid w:val="07AD4FFD"/>
    <w:rsid w:val="07DF06B1"/>
    <w:rsid w:val="07E55609"/>
    <w:rsid w:val="08BF5604"/>
    <w:rsid w:val="091837BC"/>
    <w:rsid w:val="09717221"/>
    <w:rsid w:val="09DA7FBF"/>
    <w:rsid w:val="09DF2368"/>
    <w:rsid w:val="0A193C90"/>
    <w:rsid w:val="0A303A13"/>
    <w:rsid w:val="0A85413F"/>
    <w:rsid w:val="0AE77D93"/>
    <w:rsid w:val="0BE300B2"/>
    <w:rsid w:val="0C110E37"/>
    <w:rsid w:val="0CB87D5C"/>
    <w:rsid w:val="0D0802E5"/>
    <w:rsid w:val="0D2F3015"/>
    <w:rsid w:val="0DC04514"/>
    <w:rsid w:val="0E362A1B"/>
    <w:rsid w:val="0E443E2B"/>
    <w:rsid w:val="0F1E0E75"/>
    <w:rsid w:val="0F230A13"/>
    <w:rsid w:val="0F500AE3"/>
    <w:rsid w:val="109367C8"/>
    <w:rsid w:val="10A045E6"/>
    <w:rsid w:val="10D8577B"/>
    <w:rsid w:val="10F60887"/>
    <w:rsid w:val="11185B5C"/>
    <w:rsid w:val="11BA2D84"/>
    <w:rsid w:val="1224128C"/>
    <w:rsid w:val="12567E7A"/>
    <w:rsid w:val="12774318"/>
    <w:rsid w:val="12820D8E"/>
    <w:rsid w:val="1301706E"/>
    <w:rsid w:val="13187895"/>
    <w:rsid w:val="13280AA0"/>
    <w:rsid w:val="14016520"/>
    <w:rsid w:val="143B1236"/>
    <w:rsid w:val="143F20D9"/>
    <w:rsid w:val="144044F2"/>
    <w:rsid w:val="14E028EA"/>
    <w:rsid w:val="14F4769E"/>
    <w:rsid w:val="14FE1B57"/>
    <w:rsid w:val="1609624D"/>
    <w:rsid w:val="163C4F8E"/>
    <w:rsid w:val="16EF58C0"/>
    <w:rsid w:val="17661D6D"/>
    <w:rsid w:val="17D54706"/>
    <w:rsid w:val="183E511F"/>
    <w:rsid w:val="1848347C"/>
    <w:rsid w:val="18C819E9"/>
    <w:rsid w:val="19465F91"/>
    <w:rsid w:val="19793F35"/>
    <w:rsid w:val="198E090B"/>
    <w:rsid w:val="19E40E14"/>
    <w:rsid w:val="1A195B4C"/>
    <w:rsid w:val="1A310224"/>
    <w:rsid w:val="1A543DD4"/>
    <w:rsid w:val="1A7D5271"/>
    <w:rsid w:val="1AA94357"/>
    <w:rsid w:val="1B3D286C"/>
    <w:rsid w:val="1B6B5F07"/>
    <w:rsid w:val="1BBA3CF3"/>
    <w:rsid w:val="1BF0091F"/>
    <w:rsid w:val="1C776DB5"/>
    <w:rsid w:val="1C7C6DB4"/>
    <w:rsid w:val="1C98423E"/>
    <w:rsid w:val="1C9D6072"/>
    <w:rsid w:val="1CD63F64"/>
    <w:rsid w:val="1CFA0EAC"/>
    <w:rsid w:val="1D0E51AB"/>
    <w:rsid w:val="1D170E78"/>
    <w:rsid w:val="1D251725"/>
    <w:rsid w:val="1D773AAF"/>
    <w:rsid w:val="1DCC169D"/>
    <w:rsid w:val="1DD17456"/>
    <w:rsid w:val="1DE61C27"/>
    <w:rsid w:val="1DF11DB4"/>
    <w:rsid w:val="1E26687F"/>
    <w:rsid w:val="1FB04932"/>
    <w:rsid w:val="204131A1"/>
    <w:rsid w:val="211F32AD"/>
    <w:rsid w:val="21384724"/>
    <w:rsid w:val="213A626B"/>
    <w:rsid w:val="21BD069D"/>
    <w:rsid w:val="22045C8D"/>
    <w:rsid w:val="221911F4"/>
    <w:rsid w:val="22663C55"/>
    <w:rsid w:val="23696C97"/>
    <w:rsid w:val="23832F85"/>
    <w:rsid w:val="2383305A"/>
    <w:rsid w:val="23B24AE2"/>
    <w:rsid w:val="23B47E6B"/>
    <w:rsid w:val="23F0560A"/>
    <w:rsid w:val="24384D40"/>
    <w:rsid w:val="24486F55"/>
    <w:rsid w:val="24CC1BD3"/>
    <w:rsid w:val="24ED112F"/>
    <w:rsid w:val="2592321D"/>
    <w:rsid w:val="259A7A5B"/>
    <w:rsid w:val="260A3BA1"/>
    <w:rsid w:val="261C2AE8"/>
    <w:rsid w:val="264147A9"/>
    <w:rsid w:val="26B91CE3"/>
    <w:rsid w:val="26DE3073"/>
    <w:rsid w:val="279D1F5F"/>
    <w:rsid w:val="27D52AE4"/>
    <w:rsid w:val="27E51AB5"/>
    <w:rsid w:val="28174900"/>
    <w:rsid w:val="28353194"/>
    <w:rsid w:val="28374A85"/>
    <w:rsid w:val="28584150"/>
    <w:rsid w:val="28690D1B"/>
    <w:rsid w:val="28BA0FE4"/>
    <w:rsid w:val="28E231F1"/>
    <w:rsid w:val="294302BA"/>
    <w:rsid w:val="295373CC"/>
    <w:rsid w:val="295802E1"/>
    <w:rsid w:val="299A02D4"/>
    <w:rsid w:val="29E21C19"/>
    <w:rsid w:val="29F319A1"/>
    <w:rsid w:val="2A16600C"/>
    <w:rsid w:val="2A1D59A1"/>
    <w:rsid w:val="2A5C57A7"/>
    <w:rsid w:val="2A6332B3"/>
    <w:rsid w:val="2A670591"/>
    <w:rsid w:val="2B1129CD"/>
    <w:rsid w:val="2B345DDC"/>
    <w:rsid w:val="2B435A14"/>
    <w:rsid w:val="2B4E3C36"/>
    <w:rsid w:val="2BC35C93"/>
    <w:rsid w:val="2C1F03F9"/>
    <w:rsid w:val="2C226C66"/>
    <w:rsid w:val="2C86690A"/>
    <w:rsid w:val="2C9136C6"/>
    <w:rsid w:val="2CA350E4"/>
    <w:rsid w:val="2CA44B00"/>
    <w:rsid w:val="2CEF1782"/>
    <w:rsid w:val="2D2F2006"/>
    <w:rsid w:val="2D601A21"/>
    <w:rsid w:val="2DF06932"/>
    <w:rsid w:val="2E2A7DF1"/>
    <w:rsid w:val="2F290142"/>
    <w:rsid w:val="2F4F0E27"/>
    <w:rsid w:val="2F5A4902"/>
    <w:rsid w:val="2F95750D"/>
    <w:rsid w:val="30020E52"/>
    <w:rsid w:val="302567CF"/>
    <w:rsid w:val="304327E8"/>
    <w:rsid w:val="305E3B8E"/>
    <w:rsid w:val="30C27EC9"/>
    <w:rsid w:val="31820099"/>
    <w:rsid w:val="31837ABD"/>
    <w:rsid w:val="320A0731"/>
    <w:rsid w:val="326046B6"/>
    <w:rsid w:val="32E63E6B"/>
    <w:rsid w:val="330F7386"/>
    <w:rsid w:val="333756F5"/>
    <w:rsid w:val="335C76C1"/>
    <w:rsid w:val="339D22E2"/>
    <w:rsid w:val="33BD6E17"/>
    <w:rsid w:val="34674022"/>
    <w:rsid w:val="346A6DEE"/>
    <w:rsid w:val="34873E20"/>
    <w:rsid w:val="34BC3CC3"/>
    <w:rsid w:val="35215CB1"/>
    <w:rsid w:val="352D221A"/>
    <w:rsid w:val="355748A5"/>
    <w:rsid w:val="35765B0D"/>
    <w:rsid w:val="35873F49"/>
    <w:rsid w:val="359A3628"/>
    <w:rsid w:val="35B35778"/>
    <w:rsid w:val="35B46583"/>
    <w:rsid w:val="367030FA"/>
    <w:rsid w:val="36823CE8"/>
    <w:rsid w:val="36A4650C"/>
    <w:rsid w:val="36A640B1"/>
    <w:rsid w:val="374C5B08"/>
    <w:rsid w:val="375C392A"/>
    <w:rsid w:val="378207F9"/>
    <w:rsid w:val="37AA0F41"/>
    <w:rsid w:val="3818523E"/>
    <w:rsid w:val="38731C98"/>
    <w:rsid w:val="38BA2180"/>
    <w:rsid w:val="38DA7908"/>
    <w:rsid w:val="38FB193F"/>
    <w:rsid w:val="39007C46"/>
    <w:rsid w:val="391E6176"/>
    <w:rsid w:val="39257674"/>
    <w:rsid w:val="395B53DC"/>
    <w:rsid w:val="39970C92"/>
    <w:rsid w:val="39AB5068"/>
    <w:rsid w:val="39E53956"/>
    <w:rsid w:val="3A9D2630"/>
    <w:rsid w:val="3ABC13D3"/>
    <w:rsid w:val="3AD015FB"/>
    <w:rsid w:val="3B45290E"/>
    <w:rsid w:val="3BAE60AA"/>
    <w:rsid w:val="3BCD5961"/>
    <w:rsid w:val="3C773B7F"/>
    <w:rsid w:val="3C9233C4"/>
    <w:rsid w:val="3C964B49"/>
    <w:rsid w:val="3CA13BAA"/>
    <w:rsid w:val="3CB10B73"/>
    <w:rsid w:val="3D0777F5"/>
    <w:rsid w:val="3D0917B7"/>
    <w:rsid w:val="3D1C0F8A"/>
    <w:rsid w:val="3D632551"/>
    <w:rsid w:val="3DA268D7"/>
    <w:rsid w:val="3DAD746C"/>
    <w:rsid w:val="3DCD1D35"/>
    <w:rsid w:val="3DDB6127"/>
    <w:rsid w:val="3DE84125"/>
    <w:rsid w:val="3E1154D7"/>
    <w:rsid w:val="3E29379B"/>
    <w:rsid w:val="3E896B3A"/>
    <w:rsid w:val="3E925FC3"/>
    <w:rsid w:val="3EC31134"/>
    <w:rsid w:val="3F3A4CD7"/>
    <w:rsid w:val="3F922AAD"/>
    <w:rsid w:val="3F9E1A0F"/>
    <w:rsid w:val="3FD35DE4"/>
    <w:rsid w:val="3FEA0D08"/>
    <w:rsid w:val="3FF41628"/>
    <w:rsid w:val="40333773"/>
    <w:rsid w:val="40380F6A"/>
    <w:rsid w:val="406D3A52"/>
    <w:rsid w:val="408F1165"/>
    <w:rsid w:val="40E56C37"/>
    <w:rsid w:val="413071A1"/>
    <w:rsid w:val="41ED4B15"/>
    <w:rsid w:val="425C3C82"/>
    <w:rsid w:val="42985D72"/>
    <w:rsid w:val="429D77B5"/>
    <w:rsid w:val="42F73E67"/>
    <w:rsid w:val="437016EB"/>
    <w:rsid w:val="44055BD9"/>
    <w:rsid w:val="444602F8"/>
    <w:rsid w:val="44926E1B"/>
    <w:rsid w:val="44E2088A"/>
    <w:rsid w:val="44ED4EB9"/>
    <w:rsid w:val="44EF6F2D"/>
    <w:rsid w:val="455C00D8"/>
    <w:rsid w:val="464E1420"/>
    <w:rsid w:val="46A02E24"/>
    <w:rsid w:val="46B207D1"/>
    <w:rsid w:val="486F19CC"/>
    <w:rsid w:val="48DA7BDE"/>
    <w:rsid w:val="48E624AE"/>
    <w:rsid w:val="48F14345"/>
    <w:rsid w:val="49CB0F71"/>
    <w:rsid w:val="4A6379B2"/>
    <w:rsid w:val="4A7C5436"/>
    <w:rsid w:val="4AC212EC"/>
    <w:rsid w:val="4B047121"/>
    <w:rsid w:val="4B8F313D"/>
    <w:rsid w:val="4C013804"/>
    <w:rsid w:val="4C1F1F9B"/>
    <w:rsid w:val="4C276B2A"/>
    <w:rsid w:val="4C340DD5"/>
    <w:rsid w:val="4CD40DCE"/>
    <w:rsid w:val="4D09391A"/>
    <w:rsid w:val="4DA079E3"/>
    <w:rsid w:val="4DBC0187"/>
    <w:rsid w:val="4E122B23"/>
    <w:rsid w:val="4E5B635E"/>
    <w:rsid w:val="4E71138F"/>
    <w:rsid w:val="4E8A637E"/>
    <w:rsid w:val="4EDC2D3F"/>
    <w:rsid w:val="4F167734"/>
    <w:rsid w:val="4F390721"/>
    <w:rsid w:val="4F50208C"/>
    <w:rsid w:val="4F510AFC"/>
    <w:rsid w:val="502A49D4"/>
    <w:rsid w:val="504E213F"/>
    <w:rsid w:val="50703D08"/>
    <w:rsid w:val="50AD025B"/>
    <w:rsid w:val="512013D8"/>
    <w:rsid w:val="5125460A"/>
    <w:rsid w:val="515638C0"/>
    <w:rsid w:val="51C972C4"/>
    <w:rsid w:val="52EE4C9B"/>
    <w:rsid w:val="533B51A1"/>
    <w:rsid w:val="533F163E"/>
    <w:rsid w:val="53693942"/>
    <w:rsid w:val="53BC7B3F"/>
    <w:rsid w:val="53F43D78"/>
    <w:rsid w:val="54234B93"/>
    <w:rsid w:val="544476C8"/>
    <w:rsid w:val="54506634"/>
    <w:rsid w:val="55167795"/>
    <w:rsid w:val="551751A1"/>
    <w:rsid w:val="556D5A2C"/>
    <w:rsid w:val="5599114D"/>
    <w:rsid w:val="56321B57"/>
    <w:rsid w:val="56C137C7"/>
    <w:rsid w:val="57136BE7"/>
    <w:rsid w:val="57B25B07"/>
    <w:rsid w:val="57F525C0"/>
    <w:rsid w:val="59784D9B"/>
    <w:rsid w:val="59875576"/>
    <w:rsid w:val="59D36A89"/>
    <w:rsid w:val="5A3C6889"/>
    <w:rsid w:val="5A6F296F"/>
    <w:rsid w:val="5A7160FD"/>
    <w:rsid w:val="5A8A37B5"/>
    <w:rsid w:val="5ACE00C9"/>
    <w:rsid w:val="5AEF3EEA"/>
    <w:rsid w:val="5AF87481"/>
    <w:rsid w:val="5B956E7B"/>
    <w:rsid w:val="5BB21139"/>
    <w:rsid w:val="5BF55380"/>
    <w:rsid w:val="5C0D282A"/>
    <w:rsid w:val="5C50643F"/>
    <w:rsid w:val="5C583335"/>
    <w:rsid w:val="5C682AF9"/>
    <w:rsid w:val="5C795137"/>
    <w:rsid w:val="5D3E2967"/>
    <w:rsid w:val="5D626374"/>
    <w:rsid w:val="5D9A5294"/>
    <w:rsid w:val="5E322981"/>
    <w:rsid w:val="5E5665B4"/>
    <w:rsid w:val="5ED723A2"/>
    <w:rsid w:val="5EDC7053"/>
    <w:rsid w:val="5EE65969"/>
    <w:rsid w:val="5F155417"/>
    <w:rsid w:val="5F7E56D9"/>
    <w:rsid w:val="5FDC688D"/>
    <w:rsid w:val="5FE64366"/>
    <w:rsid w:val="600C6C51"/>
    <w:rsid w:val="605308C2"/>
    <w:rsid w:val="60866CA4"/>
    <w:rsid w:val="608A3133"/>
    <w:rsid w:val="611662FC"/>
    <w:rsid w:val="61FD2DE4"/>
    <w:rsid w:val="62516C2D"/>
    <w:rsid w:val="62DB5C7A"/>
    <w:rsid w:val="63173A74"/>
    <w:rsid w:val="635649AD"/>
    <w:rsid w:val="636B5B38"/>
    <w:rsid w:val="63B51E07"/>
    <w:rsid w:val="64202DC6"/>
    <w:rsid w:val="6509398C"/>
    <w:rsid w:val="651D4CF5"/>
    <w:rsid w:val="6549365B"/>
    <w:rsid w:val="65D00D73"/>
    <w:rsid w:val="670608C3"/>
    <w:rsid w:val="681A7B2C"/>
    <w:rsid w:val="6823219C"/>
    <w:rsid w:val="6835272A"/>
    <w:rsid w:val="684A5B95"/>
    <w:rsid w:val="6866269E"/>
    <w:rsid w:val="686B2EF6"/>
    <w:rsid w:val="68A76D57"/>
    <w:rsid w:val="68B9793D"/>
    <w:rsid w:val="68EC11C7"/>
    <w:rsid w:val="696E0186"/>
    <w:rsid w:val="698037BB"/>
    <w:rsid w:val="698C3D04"/>
    <w:rsid w:val="6A887903"/>
    <w:rsid w:val="6ACA3A8C"/>
    <w:rsid w:val="6ADB75C4"/>
    <w:rsid w:val="6AF30766"/>
    <w:rsid w:val="6AF5284F"/>
    <w:rsid w:val="6C0A4BCD"/>
    <w:rsid w:val="6C335661"/>
    <w:rsid w:val="6C384591"/>
    <w:rsid w:val="6C93723A"/>
    <w:rsid w:val="6CCD6F75"/>
    <w:rsid w:val="6CCE4BE4"/>
    <w:rsid w:val="6CEE6798"/>
    <w:rsid w:val="6D0D46C1"/>
    <w:rsid w:val="6D3241AE"/>
    <w:rsid w:val="6D970ADC"/>
    <w:rsid w:val="6DB50613"/>
    <w:rsid w:val="6DDE352F"/>
    <w:rsid w:val="6DDF7B5F"/>
    <w:rsid w:val="6E1569F5"/>
    <w:rsid w:val="6E573888"/>
    <w:rsid w:val="6E820D34"/>
    <w:rsid w:val="6EC21843"/>
    <w:rsid w:val="6F7D6458"/>
    <w:rsid w:val="6F8772DF"/>
    <w:rsid w:val="7045030E"/>
    <w:rsid w:val="7064228D"/>
    <w:rsid w:val="71102243"/>
    <w:rsid w:val="711518FA"/>
    <w:rsid w:val="718F50E7"/>
    <w:rsid w:val="71A973C9"/>
    <w:rsid w:val="71CC7537"/>
    <w:rsid w:val="720A6E64"/>
    <w:rsid w:val="729A370F"/>
    <w:rsid w:val="73316290"/>
    <w:rsid w:val="73BB77FE"/>
    <w:rsid w:val="74185FD1"/>
    <w:rsid w:val="746474D5"/>
    <w:rsid w:val="74C03815"/>
    <w:rsid w:val="74E451CF"/>
    <w:rsid w:val="751B5B7D"/>
    <w:rsid w:val="758F2C2A"/>
    <w:rsid w:val="75A1363B"/>
    <w:rsid w:val="75B32F2F"/>
    <w:rsid w:val="76484207"/>
    <w:rsid w:val="76DC1DA7"/>
    <w:rsid w:val="771739AE"/>
    <w:rsid w:val="771A3308"/>
    <w:rsid w:val="77BB4F08"/>
    <w:rsid w:val="77BD468F"/>
    <w:rsid w:val="77FA2401"/>
    <w:rsid w:val="78134296"/>
    <w:rsid w:val="782E6F7F"/>
    <w:rsid w:val="784E4B2C"/>
    <w:rsid w:val="78AB77B5"/>
    <w:rsid w:val="78BC6331"/>
    <w:rsid w:val="78C256DD"/>
    <w:rsid w:val="79096CA0"/>
    <w:rsid w:val="79941CB6"/>
    <w:rsid w:val="79A34E03"/>
    <w:rsid w:val="79B603E0"/>
    <w:rsid w:val="79C04D22"/>
    <w:rsid w:val="79C61BB1"/>
    <w:rsid w:val="7A2C1ACC"/>
    <w:rsid w:val="7A55251F"/>
    <w:rsid w:val="7A980A84"/>
    <w:rsid w:val="7B5031C1"/>
    <w:rsid w:val="7B55347E"/>
    <w:rsid w:val="7B6C6D11"/>
    <w:rsid w:val="7BB75884"/>
    <w:rsid w:val="7BD70796"/>
    <w:rsid w:val="7C262B8C"/>
    <w:rsid w:val="7C3254B9"/>
    <w:rsid w:val="7C3F4F30"/>
    <w:rsid w:val="7CA43362"/>
    <w:rsid w:val="7CB00608"/>
    <w:rsid w:val="7D0D23E5"/>
    <w:rsid w:val="7E17093E"/>
    <w:rsid w:val="7E321C0A"/>
    <w:rsid w:val="7E480F4D"/>
    <w:rsid w:val="7E9E1505"/>
    <w:rsid w:val="7F4B0ECC"/>
    <w:rsid w:val="7F906652"/>
    <w:rsid w:val="7FCA6B67"/>
    <w:rsid w:val="7FFA0DEC"/>
    <w:rsid w:val="7FFA4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1" w:semiHidden="0" w:name="toc 2"/>
    <w:lsdException w:qFormat="1" w:unhideWhenUsed="0" w:uiPriority="39" w:semiHidden="0" w:name="toc 3"/>
    <w:lsdException w:qFormat="1" w:unhideWhenUsed="0" w:uiPriority="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imes New Roman" w:hAnsi="Times New Roman" w:eastAsia="Calibri" w:cs="Times New Roman"/>
      <w:sz w:val="22"/>
      <w:szCs w:val="22"/>
      <w:lang w:val="en-US" w:eastAsia="en-US" w:bidi="ar-SA"/>
    </w:rPr>
  </w:style>
  <w:style w:type="paragraph" w:styleId="4">
    <w:name w:val="heading 1"/>
    <w:basedOn w:val="1"/>
    <w:next w:val="1"/>
    <w:qFormat/>
    <w:uiPriority w:val="1"/>
    <w:pPr>
      <w:ind w:left="3"/>
      <w:outlineLvl w:val="0"/>
    </w:pPr>
    <w:rPr>
      <w:rFonts w:ascii="Microsoft JhengHei" w:hAnsi="Microsoft JhengHei" w:eastAsia="Microsoft JhengHei"/>
      <w:b/>
      <w:bCs/>
      <w:sz w:val="44"/>
      <w:szCs w:val="44"/>
    </w:rPr>
  </w:style>
  <w:style w:type="paragraph" w:styleId="5">
    <w:name w:val="heading 2"/>
    <w:basedOn w:val="1"/>
    <w:next w:val="1"/>
    <w:qFormat/>
    <w:uiPriority w:val="1"/>
    <w:pPr>
      <w:ind w:left="3"/>
      <w:outlineLvl w:val="1"/>
    </w:pPr>
    <w:rPr>
      <w:rFonts w:ascii="宋体" w:hAnsi="宋体" w:eastAsia="宋体"/>
      <w:sz w:val="44"/>
      <w:szCs w:val="44"/>
    </w:rPr>
  </w:style>
  <w:style w:type="paragraph" w:styleId="6">
    <w:name w:val="heading 3"/>
    <w:basedOn w:val="1"/>
    <w:next w:val="1"/>
    <w:link w:val="35"/>
    <w:qFormat/>
    <w:uiPriority w:val="1"/>
    <w:pPr>
      <w:ind w:left="100"/>
      <w:outlineLvl w:val="2"/>
    </w:pPr>
    <w:rPr>
      <w:rFonts w:ascii="Microsoft JhengHei" w:hAnsi="Microsoft JhengHei" w:eastAsia="Microsoft JhengHei"/>
      <w:b/>
      <w:bCs/>
      <w:sz w:val="32"/>
      <w:szCs w:val="32"/>
    </w:rPr>
  </w:style>
  <w:style w:type="paragraph" w:styleId="7">
    <w:name w:val="heading 4"/>
    <w:basedOn w:val="1"/>
    <w:next w:val="1"/>
    <w:qFormat/>
    <w:uiPriority w:val="1"/>
    <w:pPr>
      <w:ind w:left="237"/>
      <w:outlineLvl w:val="3"/>
    </w:pPr>
    <w:rPr>
      <w:rFonts w:ascii="宋体" w:hAnsi="宋体" w:eastAsia="宋体"/>
      <w:sz w:val="28"/>
      <w:szCs w:val="28"/>
    </w:rPr>
  </w:style>
  <w:style w:type="paragraph" w:styleId="8">
    <w:name w:val="heading 5"/>
    <w:basedOn w:val="1"/>
    <w:next w:val="1"/>
    <w:qFormat/>
    <w:uiPriority w:val="1"/>
    <w:pPr>
      <w:ind w:left="513"/>
      <w:outlineLvl w:val="4"/>
    </w:pPr>
    <w:rPr>
      <w:rFonts w:eastAsia="Times New Roman"/>
      <w:b/>
      <w:bCs/>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List"/>
    <w:basedOn w:val="1"/>
    <w:next w:val="1"/>
    <w:qFormat/>
    <w:uiPriority w:val="0"/>
    <w:pPr>
      <w:snapToGrid w:val="0"/>
    </w:pPr>
  </w:style>
  <w:style w:type="paragraph" w:styleId="9">
    <w:name w:val="Normal Indent"/>
    <w:basedOn w:val="1"/>
    <w:next w:val="1"/>
    <w:qFormat/>
    <w:uiPriority w:val="0"/>
    <w:pPr>
      <w:ind w:firstLine="420"/>
      <w:jc w:val="both"/>
    </w:pPr>
    <w:rPr>
      <w:rFonts w:ascii="仿宋_GB2312" w:eastAsia="宋体"/>
      <w:b/>
      <w:kern w:val="2"/>
      <w:sz w:val="32"/>
      <w:szCs w:val="20"/>
      <w:lang w:eastAsia="zh-CN"/>
    </w:rPr>
  </w:style>
  <w:style w:type="paragraph" w:styleId="10">
    <w:name w:val="annotation text"/>
    <w:basedOn w:val="1"/>
    <w:link w:val="36"/>
    <w:qFormat/>
    <w:uiPriority w:val="0"/>
  </w:style>
  <w:style w:type="paragraph" w:styleId="11">
    <w:name w:val="Body Text 3"/>
    <w:basedOn w:val="1"/>
    <w:link w:val="37"/>
    <w:qFormat/>
    <w:uiPriority w:val="0"/>
    <w:pPr>
      <w:jc w:val="both"/>
    </w:pPr>
    <w:rPr>
      <w:rFonts w:ascii="宋体" w:eastAsia="宋体"/>
      <w:kern w:val="2"/>
      <w:sz w:val="24"/>
      <w:szCs w:val="20"/>
    </w:rPr>
  </w:style>
  <w:style w:type="paragraph" w:styleId="12">
    <w:name w:val="Body Text"/>
    <w:basedOn w:val="1"/>
    <w:next w:val="1"/>
    <w:link w:val="38"/>
    <w:qFormat/>
    <w:uiPriority w:val="1"/>
    <w:pPr>
      <w:ind w:left="100"/>
    </w:pPr>
    <w:rPr>
      <w:rFonts w:ascii="宋体" w:hAnsi="宋体" w:eastAsia="宋体"/>
      <w:sz w:val="21"/>
      <w:szCs w:val="21"/>
    </w:rPr>
  </w:style>
  <w:style w:type="paragraph" w:styleId="13">
    <w:name w:val="Body Text Indent"/>
    <w:basedOn w:val="1"/>
    <w:qFormat/>
    <w:uiPriority w:val="0"/>
    <w:pPr>
      <w:ind w:firstLine="600" w:firstLineChars="200"/>
    </w:pPr>
    <w:rPr>
      <w:rFonts w:ascii="宋体"/>
      <w:sz w:val="30"/>
      <w:szCs w:val="20"/>
    </w:rPr>
  </w:style>
  <w:style w:type="paragraph" w:styleId="14">
    <w:name w:val="toc 3"/>
    <w:basedOn w:val="1"/>
    <w:next w:val="1"/>
    <w:qFormat/>
    <w:uiPriority w:val="39"/>
    <w:pPr>
      <w:ind w:left="520"/>
    </w:pPr>
    <w:rPr>
      <w:rFonts w:ascii="宋体" w:hAnsi="宋体" w:eastAsia="宋体"/>
      <w:sz w:val="21"/>
      <w:szCs w:val="21"/>
    </w:rPr>
  </w:style>
  <w:style w:type="paragraph" w:styleId="15">
    <w:name w:val="Plain Text"/>
    <w:basedOn w:val="1"/>
    <w:next w:val="1"/>
    <w:link w:val="39"/>
    <w:qFormat/>
    <w:uiPriority w:val="0"/>
    <w:pPr>
      <w:jc w:val="both"/>
    </w:pPr>
    <w:rPr>
      <w:rFonts w:ascii="宋体" w:hAnsi="Courier New" w:eastAsia="宋体"/>
      <w:kern w:val="2"/>
      <w:sz w:val="21"/>
      <w:szCs w:val="20"/>
    </w:rPr>
  </w:style>
  <w:style w:type="paragraph" w:styleId="16">
    <w:name w:val="Date"/>
    <w:basedOn w:val="1"/>
    <w:next w:val="1"/>
    <w:link w:val="40"/>
    <w:qFormat/>
    <w:uiPriority w:val="0"/>
    <w:pPr>
      <w:ind w:left="100" w:leftChars="2500"/>
    </w:pPr>
  </w:style>
  <w:style w:type="paragraph" w:styleId="17">
    <w:name w:val="endnote text"/>
    <w:basedOn w:val="1"/>
    <w:link w:val="41"/>
    <w:unhideWhenUsed/>
    <w:qFormat/>
    <w:uiPriority w:val="0"/>
    <w:pPr>
      <w:snapToGrid w:val="0"/>
    </w:pPr>
  </w:style>
  <w:style w:type="paragraph" w:styleId="18">
    <w:name w:val="Balloon Text"/>
    <w:basedOn w:val="1"/>
    <w:link w:val="42"/>
    <w:qFormat/>
    <w:uiPriority w:val="0"/>
    <w:rPr>
      <w:sz w:val="18"/>
      <w:szCs w:val="18"/>
    </w:rPr>
  </w:style>
  <w:style w:type="paragraph" w:styleId="19">
    <w:name w:val="footer"/>
    <w:basedOn w:val="1"/>
    <w:link w:val="43"/>
    <w:qFormat/>
    <w:uiPriority w:val="99"/>
    <w:pPr>
      <w:tabs>
        <w:tab w:val="center" w:pos="4153"/>
        <w:tab w:val="right" w:pos="8306"/>
      </w:tabs>
      <w:snapToGrid w:val="0"/>
    </w:pPr>
    <w:rPr>
      <w:sz w:val="18"/>
      <w:szCs w:val="18"/>
    </w:rPr>
  </w:style>
  <w:style w:type="paragraph" w:styleId="20">
    <w:name w:val="header"/>
    <w:basedOn w:val="1"/>
    <w:link w:val="44"/>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rPr>
      <w:rFonts w:ascii="宋体" w:hAnsi="宋体" w:eastAsia="宋体"/>
      <w:sz w:val="21"/>
      <w:szCs w:val="21"/>
    </w:rPr>
  </w:style>
  <w:style w:type="paragraph" w:styleId="22">
    <w:name w:val="toc 4"/>
    <w:basedOn w:val="1"/>
    <w:next w:val="1"/>
    <w:qFormat/>
    <w:uiPriority w:val="1"/>
    <w:pPr>
      <w:ind w:left="940"/>
    </w:pPr>
    <w:rPr>
      <w:rFonts w:ascii="宋体" w:hAnsi="宋体" w:eastAsia="宋体"/>
      <w:sz w:val="21"/>
      <w:szCs w:val="21"/>
    </w:rPr>
  </w:style>
  <w:style w:type="paragraph" w:styleId="23">
    <w:name w:val="toc 2"/>
    <w:basedOn w:val="1"/>
    <w:next w:val="1"/>
    <w:qFormat/>
    <w:uiPriority w:val="1"/>
    <w:pPr>
      <w:ind w:left="100"/>
    </w:pPr>
    <w:rPr>
      <w:rFonts w:ascii="宋体" w:hAnsi="宋体" w:eastAsia="宋体"/>
      <w:sz w:val="21"/>
      <w:szCs w:val="21"/>
    </w:rPr>
  </w:style>
  <w:style w:type="paragraph" w:styleId="24">
    <w:name w:val="Normal (Web)"/>
    <w:basedOn w:val="1"/>
    <w:unhideWhenUsed/>
    <w:qFormat/>
    <w:uiPriority w:val="0"/>
    <w:pPr>
      <w:widowControl/>
    </w:pPr>
    <w:rPr>
      <w:rFonts w:ascii="微软雅黑" w:hAnsi="微软雅黑" w:eastAsia="微软雅黑" w:cs="宋体"/>
      <w:sz w:val="24"/>
      <w:szCs w:val="24"/>
      <w:lang w:eastAsia="zh-CN"/>
    </w:rPr>
  </w:style>
  <w:style w:type="paragraph" w:styleId="25">
    <w:name w:val="Title"/>
    <w:basedOn w:val="1"/>
    <w:next w:val="1"/>
    <w:link w:val="45"/>
    <w:qFormat/>
    <w:uiPriority w:val="0"/>
    <w:pPr>
      <w:spacing w:before="240" w:after="60"/>
      <w:jc w:val="center"/>
      <w:outlineLvl w:val="0"/>
    </w:pPr>
    <w:rPr>
      <w:rFonts w:ascii="Cambria" w:hAnsi="Cambria" w:eastAsia="宋体"/>
      <w:b/>
      <w:bCs/>
      <w:sz w:val="32"/>
      <w:szCs w:val="32"/>
    </w:rPr>
  </w:style>
  <w:style w:type="paragraph" w:styleId="26">
    <w:name w:val="annotation subject"/>
    <w:basedOn w:val="10"/>
    <w:next w:val="10"/>
    <w:link w:val="46"/>
    <w:qFormat/>
    <w:uiPriority w:val="0"/>
    <w:rPr>
      <w:b/>
      <w:bCs/>
    </w:rPr>
  </w:style>
  <w:style w:type="paragraph" w:styleId="27">
    <w:name w:val="Body Text First Indent"/>
    <w:basedOn w:val="12"/>
    <w:link w:val="47"/>
    <w:qFormat/>
    <w:uiPriority w:val="0"/>
    <w:pPr>
      <w:spacing w:after="120" w:line="312" w:lineRule="auto"/>
      <w:ind w:left="0" w:firstLine="420"/>
      <w:jc w:val="both"/>
    </w:pPr>
    <w:rPr>
      <w:rFonts w:ascii="Times New Roman" w:hAnsi="Times New Roman"/>
      <w:kern w:val="2"/>
      <w:szCs w:val="24"/>
    </w:rPr>
  </w:style>
  <w:style w:type="paragraph" w:styleId="28">
    <w:name w:val="Body Text First Indent 2"/>
    <w:basedOn w:val="13"/>
    <w:qFormat/>
    <w:uiPriority w:val="0"/>
    <w:pPr>
      <w:ind w:left="420" w:leftChars="200" w:firstLine="420"/>
    </w:pPr>
    <w:rPr>
      <w:rFonts w:ascii="Times New Roman"/>
      <w:sz w:val="20"/>
      <w:szCs w:val="24"/>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Hyperlink"/>
    <w:unhideWhenUsed/>
    <w:qFormat/>
    <w:uiPriority w:val="99"/>
    <w:rPr>
      <w:color w:val="0000FF"/>
      <w:u w:val="single"/>
    </w:rPr>
  </w:style>
  <w:style w:type="character" w:styleId="33">
    <w:name w:val="annotation reference"/>
    <w:qFormat/>
    <w:uiPriority w:val="0"/>
    <w:rPr>
      <w:sz w:val="21"/>
      <w:szCs w:val="21"/>
    </w:rPr>
  </w:style>
  <w:style w:type="paragraph" w:customStyle="1" w:styleId="34">
    <w:name w:val="Body Text 21"/>
    <w:basedOn w:val="1"/>
    <w:qFormat/>
    <w:uiPriority w:val="0"/>
    <w:pPr>
      <w:adjustRightInd w:val="0"/>
      <w:spacing w:line="240" w:lineRule="exact"/>
      <w:textAlignment w:val="baseline"/>
    </w:pPr>
    <w:rPr>
      <w:rFonts w:ascii="宋体"/>
      <w:kern w:val="0"/>
      <w:sz w:val="18"/>
      <w:szCs w:val="20"/>
    </w:rPr>
  </w:style>
  <w:style w:type="character" w:customStyle="1" w:styleId="35">
    <w:name w:val="标题 3 Char"/>
    <w:link w:val="6"/>
    <w:qFormat/>
    <w:uiPriority w:val="1"/>
    <w:rPr>
      <w:rFonts w:ascii="Microsoft JhengHei" w:hAnsi="Microsoft JhengHei" w:eastAsia="Microsoft JhengHei"/>
      <w:b/>
      <w:bCs/>
      <w:sz w:val="32"/>
      <w:szCs w:val="32"/>
      <w:lang w:eastAsia="en-US"/>
    </w:rPr>
  </w:style>
  <w:style w:type="character" w:customStyle="1" w:styleId="36">
    <w:name w:val="批注文字 Char"/>
    <w:link w:val="10"/>
    <w:qFormat/>
    <w:uiPriority w:val="0"/>
    <w:rPr>
      <w:rFonts w:eastAsia="Calibri"/>
      <w:sz w:val="22"/>
      <w:szCs w:val="22"/>
      <w:lang w:eastAsia="en-US"/>
    </w:rPr>
  </w:style>
  <w:style w:type="character" w:customStyle="1" w:styleId="37">
    <w:name w:val="正文文本 3 Char"/>
    <w:link w:val="11"/>
    <w:qFormat/>
    <w:uiPriority w:val="0"/>
    <w:rPr>
      <w:rFonts w:ascii="宋体"/>
      <w:kern w:val="2"/>
      <w:sz w:val="24"/>
    </w:rPr>
  </w:style>
  <w:style w:type="character" w:customStyle="1" w:styleId="38">
    <w:name w:val="正文文本 Char"/>
    <w:link w:val="12"/>
    <w:qFormat/>
    <w:uiPriority w:val="1"/>
    <w:rPr>
      <w:rFonts w:ascii="宋体" w:hAnsi="宋体"/>
      <w:sz w:val="21"/>
      <w:szCs w:val="21"/>
      <w:lang w:eastAsia="en-US"/>
    </w:rPr>
  </w:style>
  <w:style w:type="character" w:customStyle="1" w:styleId="39">
    <w:name w:val="纯文本 Char"/>
    <w:link w:val="15"/>
    <w:qFormat/>
    <w:locked/>
    <w:uiPriority w:val="0"/>
    <w:rPr>
      <w:rFonts w:ascii="宋体" w:hAnsi="Courier New"/>
      <w:kern w:val="2"/>
      <w:sz w:val="21"/>
    </w:rPr>
  </w:style>
  <w:style w:type="character" w:customStyle="1" w:styleId="40">
    <w:name w:val="日期 Char"/>
    <w:link w:val="16"/>
    <w:qFormat/>
    <w:uiPriority w:val="0"/>
    <w:rPr>
      <w:rFonts w:eastAsia="Calibri"/>
      <w:sz w:val="22"/>
      <w:szCs w:val="22"/>
      <w:lang w:eastAsia="en-US"/>
    </w:rPr>
  </w:style>
  <w:style w:type="character" w:customStyle="1" w:styleId="41">
    <w:name w:val="尾注文本 Char1"/>
    <w:link w:val="17"/>
    <w:qFormat/>
    <w:uiPriority w:val="0"/>
    <w:rPr>
      <w:rFonts w:eastAsia="Calibri"/>
      <w:sz w:val="22"/>
      <w:szCs w:val="22"/>
      <w:lang w:eastAsia="en-US"/>
    </w:rPr>
  </w:style>
  <w:style w:type="character" w:customStyle="1" w:styleId="42">
    <w:name w:val="批注框文本 Char"/>
    <w:link w:val="18"/>
    <w:qFormat/>
    <w:uiPriority w:val="0"/>
    <w:rPr>
      <w:rFonts w:eastAsia="Calibri"/>
      <w:sz w:val="18"/>
      <w:szCs w:val="18"/>
      <w:lang w:eastAsia="en-US"/>
    </w:rPr>
  </w:style>
  <w:style w:type="character" w:customStyle="1" w:styleId="43">
    <w:name w:val="页脚 Char"/>
    <w:link w:val="19"/>
    <w:qFormat/>
    <w:uiPriority w:val="99"/>
    <w:rPr>
      <w:rFonts w:eastAsia="Calibri"/>
      <w:sz w:val="18"/>
      <w:szCs w:val="18"/>
      <w:lang w:eastAsia="en-US"/>
    </w:rPr>
  </w:style>
  <w:style w:type="character" w:customStyle="1" w:styleId="44">
    <w:name w:val="页眉 Char"/>
    <w:link w:val="20"/>
    <w:qFormat/>
    <w:uiPriority w:val="0"/>
    <w:rPr>
      <w:rFonts w:eastAsia="Calibri"/>
      <w:sz w:val="18"/>
      <w:szCs w:val="18"/>
      <w:lang w:eastAsia="en-US"/>
    </w:rPr>
  </w:style>
  <w:style w:type="character" w:customStyle="1" w:styleId="45">
    <w:name w:val="标题 Char"/>
    <w:link w:val="25"/>
    <w:qFormat/>
    <w:uiPriority w:val="0"/>
    <w:rPr>
      <w:rFonts w:ascii="Cambria" w:hAnsi="Cambria" w:eastAsia="宋体" w:cs="Times New Roman"/>
      <w:b/>
      <w:bCs/>
      <w:sz w:val="32"/>
      <w:szCs w:val="32"/>
      <w:lang w:eastAsia="en-US"/>
    </w:rPr>
  </w:style>
  <w:style w:type="character" w:customStyle="1" w:styleId="46">
    <w:name w:val="批注主题 Char"/>
    <w:link w:val="26"/>
    <w:qFormat/>
    <w:uiPriority w:val="0"/>
    <w:rPr>
      <w:rFonts w:eastAsia="Calibri"/>
      <w:b/>
      <w:bCs/>
      <w:sz w:val="22"/>
      <w:szCs w:val="22"/>
      <w:lang w:eastAsia="en-US"/>
    </w:rPr>
  </w:style>
  <w:style w:type="character" w:customStyle="1" w:styleId="47">
    <w:name w:val="正文首行缩进 Char"/>
    <w:link w:val="27"/>
    <w:qFormat/>
    <w:uiPriority w:val="0"/>
    <w:rPr>
      <w:kern w:val="2"/>
      <w:sz w:val="21"/>
      <w:szCs w:val="24"/>
    </w:rPr>
  </w:style>
  <w:style w:type="character" w:customStyle="1" w:styleId="48">
    <w:name w:val="纯文本 Char1"/>
    <w:qFormat/>
    <w:uiPriority w:val="0"/>
    <w:rPr>
      <w:rFonts w:ascii="宋体" w:hAnsi="Courier New" w:cs="Courier New"/>
      <w:sz w:val="21"/>
      <w:szCs w:val="21"/>
      <w:lang w:eastAsia="en-US"/>
    </w:rPr>
  </w:style>
  <w:style w:type="character" w:customStyle="1" w:styleId="49">
    <w:name w:val="正文首行缩进 Char1"/>
    <w:qFormat/>
    <w:uiPriority w:val="0"/>
    <w:rPr>
      <w:lang w:eastAsia="en-US"/>
    </w:rPr>
  </w:style>
  <w:style w:type="character" w:customStyle="1" w:styleId="50">
    <w:name w:val="正文文本 3 Char1"/>
    <w:qFormat/>
    <w:uiPriority w:val="0"/>
    <w:rPr>
      <w:rFonts w:eastAsia="Calibri"/>
      <w:sz w:val="16"/>
      <w:szCs w:val="16"/>
      <w:lang w:eastAsia="en-US"/>
    </w:rPr>
  </w:style>
  <w:style w:type="character" w:customStyle="1" w:styleId="51">
    <w:name w:val="表格00 Char1"/>
    <w:link w:val="52"/>
    <w:qFormat/>
    <w:uiPriority w:val="0"/>
    <w:rPr>
      <w:rFonts w:eastAsia="Times New Roman"/>
      <w:kern w:val="2"/>
      <w:sz w:val="21"/>
      <w:szCs w:val="21"/>
      <w:lang w:val="en-US" w:eastAsia="zh-CN" w:bidi="ar-SA"/>
    </w:rPr>
  </w:style>
  <w:style w:type="paragraph" w:customStyle="1" w:styleId="52">
    <w:name w:val="表格00"/>
    <w:link w:val="51"/>
    <w:qFormat/>
    <w:uiPriority w:val="0"/>
    <w:pPr>
      <w:widowControl w:val="0"/>
      <w:adjustRightInd w:val="0"/>
      <w:spacing w:line="140" w:lineRule="atLeast"/>
      <w:jc w:val="center"/>
      <w:outlineLvl w:val="8"/>
    </w:pPr>
    <w:rPr>
      <w:rFonts w:ascii="Times New Roman" w:hAnsi="Times New Roman" w:eastAsia="Times New Roman" w:cs="Times New Roman"/>
      <w:kern w:val="2"/>
      <w:sz w:val="21"/>
      <w:szCs w:val="21"/>
      <w:lang w:val="en-US" w:eastAsia="zh-CN" w:bidi="ar-SA"/>
    </w:rPr>
  </w:style>
  <w:style w:type="character" w:customStyle="1" w:styleId="53">
    <w:name w:val="尾注文本 Char"/>
    <w:qFormat/>
    <w:uiPriority w:val="0"/>
    <w:rPr>
      <w:rFonts w:ascii="等线" w:hAnsi="等线" w:eastAsia="等线"/>
      <w:kern w:val="2"/>
      <w:sz w:val="21"/>
      <w:szCs w:val="24"/>
    </w:rPr>
  </w:style>
  <w:style w:type="paragraph" w:customStyle="1" w:styleId="54">
    <w:name w:val="_Style 50"/>
    <w:unhideWhenUsed/>
    <w:qFormat/>
    <w:uiPriority w:val="99"/>
    <w:rPr>
      <w:rFonts w:ascii="Times New Roman" w:hAnsi="Times New Roman" w:eastAsia="Calibri" w:cs="Times New Roman"/>
      <w:sz w:val="22"/>
      <w:szCs w:val="22"/>
      <w:lang w:val="en-US" w:eastAsia="en-US" w:bidi="ar-SA"/>
    </w:rPr>
  </w:style>
  <w:style w:type="paragraph" w:customStyle="1" w:styleId="55">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56">
    <w:name w:val="List Paragraph"/>
    <w:basedOn w:val="1"/>
    <w:qFormat/>
    <w:uiPriority w:val="1"/>
  </w:style>
  <w:style w:type="paragraph" w:customStyle="1" w:styleId="5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8">
    <w:name w:val="发文落款"/>
    <w:basedOn w:val="57"/>
    <w:qFormat/>
    <w:uiPriority w:val="0"/>
    <w:pPr>
      <w:ind w:left="4094" w:right="607" w:firstLine="0"/>
      <w:jc w:val="center"/>
    </w:pPr>
  </w:style>
  <w:style w:type="paragraph" w:customStyle="1" w:styleId="59">
    <w:name w:val="列出段落1"/>
    <w:basedOn w:val="1"/>
    <w:unhideWhenUsed/>
    <w:qFormat/>
    <w:uiPriority w:val="99"/>
    <w:pPr>
      <w:ind w:firstLine="420" w:firstLineChars="200"/>
      <w:jc w:val="both"/>
    </w:pPr>
    <w:rPr>
      <w:rFonts w:eastAsia="宋体"/>
      <w:kern w:val="2"/>
      <w:sz w:val="21"/>
      <w:szCs w:val="24"/>
      <w:lang w:eastAsia="zh-CN"/>
    </w:rPr>
  </w:style>
  <w:style w:type="paragraph" w:customStyle="1" w:styleId="60">
    <w:name w:val="文二"/>
    <w:basedOn w:val="1"/>
    <w:qFormat/>
    <w:uiPriority w:val="0"/>
    <w:rPr>
      <w:rFonts w:ascii="宋体" w:hAnsi="宋体" w:eastAsia="宋体"/>
      <w:kern w:val="2"/>
      <w:sz w:val="21"/>
      <w:szCs w:val="21"/>
      <w:lang w:eastAsia="zh-CN"/>
    </w:rPr>
  </w:style>
  <w:style w:type="paragraph" w:customStyle="1" w:styleId="61">
    <w:name w:val="_Style 25"/>
    <w:unhideWhenUsed/>
    <w:qFormat/>
    <w:uiPriority w:val="99"/>
    <w:rPr>
      <w:rFonts w:ascii="Times New Roman" w:hAnsi="Times New Roman" w:eastAsia="Calibri" w:cs="Times New Roman"/>
      <w:sz w:val="22"/>
      <w:szCs w:val="22"/>
      <w:lang w:val="en-US" w:eastAsia="en-US" w:bidi="ar-SA"/>
    </w:rPr>
  </w:style>
  <w:style w:type="paragraph" w:customStyle="1" w:styleId="62">
    <w:name w:val="正题"/>
    <w:basedOn w:val="1"/>
    <w:next w:val="1"/>
    <w:qFormat/>
    <w:uiPriority w:val="0"/>
    <w:pPr>
      <w:topLinePunct/>
      <w:adjustRightInd w:val="0"/>
      <w:snapToGrid w:val="0"/>
      <w:spacing w:line="360" w:lineRule="auto"/>
      <w:jc w:val="center"/>
    </w:pPr>
    <w:rPr>
      <w:rFonts w:ascii="等线" w:hAnsi="等线" w:eastAsia="黑体"/>
      <w:b/>
      <w:snapToGrid w:val="0"/>
      <w:spacing w:val="4"/>
      <w:sz w:val="36"/>
      <w:szCs w:val="36"/>
    </w:rPr>
  </w:style>
  <w:style w:type="paragraph" w:customStyle="1" w:styleId="63">
    <w:name w:val="Table Paragraph"/>
    <w:basedOn w:val="1"/>
    <w:qFormat/>
    <w:uiPriority w:val="0"/>
  </w:style>
  <w:style w:type="table" w:customStyle="1" w:styleId="64">
    <w:name w:val="Table Normal"/>
    <w:unhideWhenUsed/>
    <w:qFormat/>
    <w:uiPriority w:val="2"/>
    <w:tblPr>
      <w:tblCellMar>
        <w:top w:w="0" w:type="dxa"/>
        <w:left w:w="0" w:type="dxa"/>
        <w:bottom w:w="0" w:type="dxa"/>
        <w:right w:w="0" w:type="dxa"/>
      </w:tblCellMar>
    </w:tblPr>
  </w:style>
  <w:style w:type="paragraph" w:customStyle="1" w:styleId="65">
    <w:name w:val="合同1.3标题"/>
    <w:basedOn w:val="66"/>
    <w:qFormat/>
    <w:uiPriority w:val="0"/>
    <w:pPr>
      <w:numPr>
        <w:ilvl w:val="2"/>
      </w:numPr>
    </w:pPr>
  </w:style>
  <w:style w:type="paragraph" w:customStyle="1" w:styleId="66">
    <w:name w:val="合同1.2标题"/>
    <w:basedOn w:val="67"/>
    <w:qFormat/>
    <w:uiPriority w:val="0"/>
    <w:pPr>
      <w:numPr>
        <w:ilvl w:val="1"/>
      </w:numPr>
    </w:pPr>
    <w:rPr>
      <w:rFonts w:eastAsia="仿宋_GB2312"/>
      <w:b w:val="0"/>
    </w:rPr>
  </w:style>
  <w:style w:type="paragraph" w:customStyle="1" w:styleId="67">
    <w:name w:val="合同 1.标题"/>
    <w:basedOn w:val="68"/>
    <w:qFormat/>
    <w:uiPriority w:val="0"/>
    <w:pPr>
      <w:numPr>
        <w:numId w:val="1"/>
      </w:numPr>
      <w:spacing w:line="360" w:lineRule="auto"/>
    </w:pPr>
  </w:style>
  <w:style w:type="paragraph" w:customStyle="1" w:styleId="68">
    <w:name w:val="1.第一级"/>
    <w:basedOn w:val="1"/>
    <w:qFormat/>
    <w:uiPriority w:val="0"/>
    <w:pPr>
      <w:numPr>
        <w:ilvl w:val="0"/>
        <w:numId w:val="2"/>
      </w:numPr>
      <w:spacing w:line="480" w:lineRule="auto"/>
      <w:jc w:val="left"/>
    </w:pPr>
    <w:rPr>
      <w:rFonts w:ascii="仿宋_GB2312" w:eastAsia="黑体"/>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63</Pages>
  <Words>29945</Words>
  <Characters>31719</Characters>
  <DocSecurity>0</DocSecurity>
  <Lines>268</Lines>
  <Paragraphs>75</Paragraphs>
  <ScaleCrop>false</ScaleCrop>
  <LinksUpToDate>false</LinksUpToDate>
  <CharactersWithSpaces>33162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2023-05-24T03:01:00Z</cp:lastPrinted>
  <dcterms:created xsi:type="dcterms:W3CDTF">2022-11-02T04:03:00Z</dcterms:created>
  <dcterms:modified xsi:type="dcterms:W3CDTF">2023-05-25T01:26:23Z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2017-09-05T08:00:00Z</vt:filetime>
  </property>
  <property fmtid="{D5CDD505-2E9C-101B-9397-08002B2CF9AE}" pid="3" name="Creator">
    <vt:lpwstr>Microsoft® Word 2013</vt:lpwstr>
  </property>
  <property fmtid="{D5CDD505-2E9C-101B-9397-08002B2CF9AE}" pid="4" name="LastSaved">
    <vt:filetime>2019-11-19T08:00:00Z</vt:filetime>
  </property>
  <property fmtid="{D5CDD505-2E9C-101B-9397-08002B2CF9AE}" pid="5" name="KSOProductBuildVer">
    <vt:lpwstr>2052-11.1.0.14309</vt:lpwstr>
  </property>
  <property fmtid="{D5CDD505-2E9C-101B-9397-08002B2CF9AE}" pid="6" name="ICV">
    <vt:lpwstr>BB9BD0BDD77D4451B223B9B8E13C8E9D_13</vt:lpwstr>
  </property>
</Properties>
</file>