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b/>
          <w:bCs w:val="0"/>
        </w:rPr>
      </w:pPr>
      <w:bookmarkStart w:id="0" w:name="_Toc130292691"/>
      <w:r>
        <w:rPr>
          <w:rFonts w:hint="eastAsia" w:ascii="宋体" w:hAnsi="宋体" w:eastAsia="宋体" w:cs="宋体"/>
          <w:b/>
          <w:bCs w:val="0"/>
        </w:rPr>
        <w:t>附录1资格审查条件（资质最低条件）</w:t>
      </w:r>
      <w:bookmarkEnd w:id="0"/>
    </w:p>
    <w:p>
      <w:pPr>
        <w:pStyle w:val="5"/>
        <w:topLinePunct/>
        <w:adjustRightInd/>
        <w:spacing w:line="480" w:lineRule="exact"/>
        <w:ind w:firstLine="0" w:firstLineChars="0"/>
        <w:rPr>
          <w:rFonts w:hint="eastAsia" w:ascii="宋体" w:hAnsi="宋体" w:eastAsia="宋体" w:cs="宋体"/>
          <w:b/>
          <w:bCs/>
        </w:rPr>
      </w:pPr>
    </w:p>
    <w:tbl>
      <w:tblPr>
        <w:tblStyle w:val="7"/>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8516" w:type="dxa"/>
            <w:vAlign w:val="center"/>
          </w:tcPr>
          <w:p>
            <w:pPr>
              <w:snapToGrid w:val="0"/>
              <w:spacing w:line="300" w:lineRule="auto"/>
              <w:jc w:val="center"/>
              <w:rPr>
                <w:rFonts w:hint="eastAsia" w:ascii="宋体" w:hAnsi="宋体" w:eastAsia="宋体" w:cs="宋体"/>
                <w:color w:val="000000"/>
              </w:rPr>
            </w:pPr>
            <w:r>
              <w:rPr>
                <w:rFonts w:hint="eastAsia" w:ascii="宋体" w:hAnsi="宋体" w:eastAsia="宋体" w:cs="宋体"/>
                <w:color w:val="000000"/>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3" w:hRule="atLeast"/>
          <w:jc w:val="center"/>
        </w:trPr>
        <w:tc>
          <w:tcPr>
            <w:tcW w:w="8516" w:type="dxa"/>
            <w:vAlign w:val="center"/>
          </w:tcPr>
          <w:p>
            <w:pPr>
              <w:spacing w:line="300" w:lineRule="auto"/>
              <w:rPr>
                <w:rFonts w:hint="eastAsia" w:ascii="宋体" w:hAnsi="宋体" w:eastAsia="宋体" w:cs="宋体"/>
                <w:color w:val="000000"/>
              </w:rPr>
            </w:pPr>
            <w:r>
              <w:rPr>
                <w:rFonts w:hint="eastAsia" w:ascii="宋体" w:hAnsi="宋体" w:eastAsia="宋体" w:cs="宋体"/>
                <w:color w:val="000000"/>
              </w:rPr>
              <w:t>1、具有住房和城乡建设部颁发的工程勘察综合类甲级资质或具备工程勘察专业类（岩土工程或工程测量）甲级资质或具备交通运输主管部门颁发的公路水运工程试验监测机构等级证书并被评定为公路综合甲级资质或桥梁隧道工程专项工程试验检测机构。</w:t>
            </w:r>
          </w:p>
          <w:p>
            <w:pPr>
              <w:spacing w:line="300" w:lineRule="auto"/>
              <w:rPr>
                <w:rFonts w:hint="eastAsia" w:ascii="宋体" w:hAnsi="宋体" w:eastAsia="宋体" w:cs="宋体"/>
                <w:color w:val="000000"/>
              </w:rPr>
            </w:pPr>
            <w:r>
              <w:rPr>
                <w:rFonts w:hint="eastAsia" w:ascii="宋体" w:hAnsi="宋体" w:eastAsia="宋体" w:cs="宋体"/>
                <w:color w:val="000000"/>
              </w:rPr>
              <w:t>2、具有质量技术监督部门颁发的CMA计量认证合格证书，且计量认证证书在有效期内；</w:t>
            </w:r>
          </w:p>
          <w:p>
            <w:pPr>
              <w:spacing w:line="300" w:lineRule="auto"/>
              <w:rPr>
                <w:rFonts w:hint="eastAsia" w:ascii="宋体" w:hAnsi="宋体" w:eastAsia="宋体" w:cs="宋体"/>
                <w:color w:val="000000"/>
              </w:rPr>
            </w:pPr>
            <w:r>
              <w:rPr>
                <w:rFonts w:hint="eastAsia" w:ascii="宋体" w:hAnsi="宋体" w:eastAsia="宋体" w:cs="宋体"/>
                <w:color w:val="000000"/>
              </w:rPr>
              <w:t>3、具有独立法人资格的企业或事业单位。</w:t>
            </w:r>
          </w:p>
        </w:tc>
      </w:tr>
    </w:tbl>
    <w:p>
      <w:pPr>
        <w:rPr>
          <w:rFonts w:hint="eastAsia" w:ascii="宋体" w:hAnsi="宋体" w:eastAsia="宋体" w:cs="宋体"/>
        </w:rPr>
      </w:pPr>
      <w:r>
        <w:rPr>
          <w:rFonts w:hint="eastAsia" w:ascii="宋体" w:hAnsi="宋体" w:eastAsia="宋体" w:cs="宋体"/>
        </w:rPr>
        <w:br w:type="page"/>
      </w:r>
    </w:p>
    <w:p>
      <w:pPr>
        <w:pStyle w:val="3"/>
        <w:jc w:val="center"/>
        <w:rPr>
          <w:rFonts w:hint="eastAsia" w:ascii="宋体" w:hAnsi="宋体" w:eastAsia="宋体" w:cs="宋体"/>
          <w:b/>
          <w:bCs w:val="0"/>
        </w:rPr>
      </w:pPr>
      <w:bookmarkStart w:id="1" w:name="_Toc130292692"/>
      <w:r>
        <w:rPr>
          <w:rFonts w:hint="eastAsia" w:ascii="宋体" w:hAnsi="宋体" w:eastAsia="宋体" w:cs="宋体"/>
          <w:b/>
          <w:bCs w:val="0"/>
        </w:rPr>
        <w:t>附录2资格审查条件（业绩最低条件）</w:t>
      </w:r>
      <w:bookmarkEnd w:id="1"/>
    </w:p>
    <w:p>
      <w:pPr>
        <w:rPr>
          <w:rFonts w:hint="eastAsia" w:ascii="宋体" w:hAnsi="宋体" w:eastAsia="宋体" w:cs="宋体"/>
        </w:rPr>
      </w:pPr>
    </w:p>
    <w:tbl>
      <w:tblPr>
        <w:tblStyle w:val="7"/>
        <w:tblW w:w="80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8012" w:type="dxa"/>
            <w:vAlign w:val="center"/>
          </w:tcPr>
          <w:p>
            <w:pPr>
              <w:snapToGrid w:val="0"/>
              <w:spacing w:line="300" w:lineRule="auto"/>
              <w:jc w:val="center"/>
              <w:rPr>
                <w:rFonts w:hint="eastAsia" w:ascii="宋体" w:hAnsi="宋体" w:eastAsia="宋体" w:cs="宋体"/>
                <w:color w:val="000000"/>
                <w:szCs w:val="24"/>
              </w:rPr>
            </w:pPr>
            <w:r>
              <w:rPr>
                <w:rFonts w:hint="eastAsia" w:ascii="宋体" w:hAnsi="宋体" w:eastAsia="宋体" w:cs="宋体"/>
                <w:color w:val="000000"/>
                <w:szCs w:val="24"/>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5" w:hRule="atLeast"/>
          <w:jc w:val="center"/>
        </w:trPr>
        <w:tc>
          <w:tcPr>
            <w:tcW w:w="8012" w:type="dxa"/>
            <w:vAlign w:val="center"/>
          </w:tcPr>
          <w:p>
            <w:pPr>
              <w:spacing w:line="300" w:lineRule="auto"/>
              <w:rPr>
                <w:rFonts w:hint="eastAsia" w:ascii="宋体" w:hAnsi="宋体" w:eastAsia="宋体" w:cs="宋体"/>
                <w:snapToGrid w:val="0"/>
                <w:color w:val="000000"/>
                <w:szCs w:val="24"/>
              </w:rPr>
            </w:pPr>
            <w:r>
              <w:rPr>
                <w:rFonts w:hint="eastAsia" w:ascii="宋体" w:hAnsi="宋体" w:eastAsia="宋体" w:cs="宋体"/>
                <w:snapToGrid w:val="0"/>
                <w:color w:val="000000"/>
                <w:szCs w:val="24"/>
                <w:highlight w:val="none"/>
              </w:rPr>
              <w:t>近5年内，至少承揽过一项</w:t>
            </w:r>
            <w:r>
              <w:rPr>
                <w:rFonts w:hint="eastAsia" w:ascii="宋体" w:hAnsi="宋体" w:eastAsia="宋体" w:cs="宋体"/>
                <w:strike w:val="0"/>
                <w:snapToGrid w:val="0"/>
                <w:color w:val="000000"/>
                <w:szCs w:val="24"/>
                <w:highlight w:val="none"/>
                <w:lang w:val="en-US" w:eastAsia="zh-CN"/>
              </w:rPr>
              <w:t>交通类工程</w:t>
            </w:r>
            <w:r>
              <w:rPr>
                <w:rFonts w:hint="eastAsia" w:ascii="宋体" w:hAnsi="宋体" w:eastAsia="宋体" w:cs="宋体"/>
                <w:snapToGrid w:val="0"/>
                <w:color w:val="000000"/>
                <w:szCs w:val="24"/>
                <w:highlight w:val="none"/>
              </w:rPr>
              <w:t>的</w:t>
            </w:r>
            <w:r>
              <w:rPr>
                <w:rFonts w:hint="eastAsia" w:ascii="宋体" w:hAnsi="宋体" w:eastAsia="宋体" w:cs="宋体"/>
                <w:snapToGrid w:val="0"/>
                <w:color w:val="000000"/>
                <w:sz w:val="24"/>
                <w:szCs w:val="24"/>
                <w:highlight w:val="none"/>
              </w:rPr>
              <w:t>基坑监测</w:t>
            </w:r>
            <w:r>
              <w:rPr>
                <w:rFonts w:hint="eastAsia" w:ascii="宋体" w:hAnsi="宋体" w:eastAsia="宋体" w:cs="宋体"/>
                <w:snapToGrid w:val="0"/>
                <w:color w:val="000000"/>
                <w:szCs w:val="24"/>
                <w:highlight w:val="none"/>
              </w:rPr>
              <w:t>项目。</w:t>
            </w:r>
          </w:p>
        </w:tc>
      </w:tr>
    </w:tbl>
    <w:p>
      <w:pPr>
        <w:spacing w:before="120" w:beforeLines="50" w:line="30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注：（1）近5年指2018年1月1日起至投标文件递交之日止，业绩计算时间以合同或协议书签订的时间为准。承揽过是指已完成或正在实施的项目。</w:t>
      </w:r>
    </w:p>
    <w:p>
      <w:pPr>
        <w:spacing w:before="120" w:beforeLines="50" w:line="30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w:t>
      </w:r>
      <w:r>
        <w:rPr>
          <w:rFonts w:hint="eastAsia" w:ascii="宋体" w:hAnsi="宋体" w:eastAsia="宋体" w:cs="宋体"/>
          <w:strike w:val="0"/>
          <w:snapToGrid/>
          <w:color w:val="000000"/>
          <w:sz w:val="21"/>
          <w:szCs w:val="21"/>
          <w:highlight w:val="none"/>
          <w:lang w:val="en-US" w:eastAsia="zh-CN"/>
        </w:rPr>
        <w:t>交通类工程是指公路工程、轨道工程。</w:t>
      </w:r>
    </w:p>
    <w:p>
      <w:pPr>
        <w:spacing w:before="120" w:beforeLines="50" w:line="30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w:t>
      </w:r>
      <w:r>
        <w:rPr>
          <w:rFonts w:hint="eastAsia" w:ascii="宋体" w:hAnsi="宋体" w:eastAsia="宋体" w:cs="宋体"/>
          <w:color w:val="000000"/>
          <w:sz w:val="21"/>
          <w:szCs w:val="21"/>
          <w:highlight w:val="none"/>
        </w:rPr>
        <w:t>所列业绩应提供合同协议书，否则，其业绩不予认定</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如合同或协议书不能反映资格审查条件及评标办法中要求的相关指标，还应提供发包人出具的能体现业绩指标的证明材料（须加盖发包人的公章）。不能合理判断的业绩不予认可。</w:t>
      </w:r>
    </w:p>
    <w:p>
      <w:pPr>
        <w:spacing w:before="120" w:beforeLines="50" w:line="30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）若投标人提供的业绩为联合体业绩，</w:t>
      </w:r>
      <w:r>
        <w:rPr>
          <w:rFonts w:hint="eastAsia" w:ascii="宋体" w:hAnsi="宋体" w:eastAsia="宋体" w:cs="宋体"/>
          <w:color w:val="000000"/>
          <w:sz w:val="21"/>
          <w:szCs w:val="21"/>
          <w:highlight w:val="none"/>
        </w:rPr>
        <w:t>则</w:t>
      </w:r>
      <w:r>
        <w:rPr>
          <w:rFonts w:hint="eastAsia" w:ascii="宋体" w:hAnsi="宋体" w:eastAsia="宋体" w:cs="宋体"/>
          <w:color w:val="000000"/>
          <w:sz w:val="21"/>
          <w:szCs w:val="21"/>
          <w:highlight w:val="none"/>
          <w:lang w:val="en-US" w:eastAsia="zh-CN"/>
        </w:rPr>
        <w:t>需</w:t>
      </w:r>
      <w:r>
        <w:rPr>
          <w:rFonts w:hint="eastAsia" w:ascii="宋体" w:hAnsi="宋体" w:eastAsia="宋体" w:cs="宋体"/>
          <w:color w:val="000000"/>
          <w:sz w:val="21"/>
          <w:szCs w:val="21"/>
          <w:highlight w:val="none"/>
        </w:rPr>
        <w:t>体现其完成的工作量认定，无法界定其完成的工作量，此业绩不予认定</w:t>
      </w:r>
      <w:r>
        <w:rPr>
          <w:rFonts w:hint="eastAsia" w:ascii="宋体" w:hAnsi="宋体" w:eastAsia="宋体" w:cs="宋体"/>
          <w:color w:val="000000"/>
          <w:sz w:val="21"/>
          <w:szCs w:val="21"/>
        </w:rPr>
        <w:t>。</w:t>
      </w:r>
    </w:p>
    <w:p>
      <w:pPr>
        <w:spacing w:before="120" w:beforeLines="50" w:line="30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）如近年来，投标人的法定机构发生合法变更或重组或法人名称变更时，应提供相关部门的合法批件或其他相关证明材料来证明其所附业绩的继承性。</w:t>
      </w:r>
    </w:p>
    <w:p>
      <w:pPr>
        <w:spacing w:before="120" w:beforeLines="50" w:line="300" w:lineRule="auto"/>
        <w:ind w:firstLine="420"/>
        <w:rPr>
          <w:rFonts w:hint="eastAsia" w:ascii="宋体" w:hAnsi="宋体" w:eastAsia="宋体" w:cs="宋体"/>
        </w:rPr>
      </w:pPr>
    </w:p>
    <w:p>
      <w:pPr>
        <w:pStyle w:val="3"/>
        <w:jc w:val="center"/>
        <w:rPr>
          <w:rFonts w:hint="eastAsia" w:ascii="宋体" w:hAnsi="宋体" w:eastAsia="宋体" w:cs="宋体"/>
          <w:b/>
          <w:bCs w:val="0"/>
        </w:rPr>
      </w:pPr>
      <w:r>
        <w:rPr>
          <w:rFonts w:hint="eastAsia" w:ascii="宋体" w:hAnsi="宋体" w:eastAsia="宋体" w:cs="宋体"/>
          <w:b/>
          <w:bCs w:val="0"/>
        </w:rPr>
        <w:br w:type="page"/>
      </w:r>
      <w:bookmarkStart w:id="2" w:name="_Toc130292693"/>
      <w:r>
        <w:rPr>
          <w:rFonts w:hint="eastAsia" w:ascii="宋体" w:hAnsi="宋体" w:eastAsia="宋体" w:cs="宋体"/>
          <w:b/>
          <w:bCs w:val="0"/>
        </w:rPr>
        <w:t>附录3资格审查条件（信誉最低条件）</w:t>
      </w:r>
      <w:bookmarkEnd w:id="2"/>
    </w:p>
    <w:p>
      <w:pPr>
        <w:rPr>
          <w:rFonts w:hint="eastAsia" w:ascii="宋体" w:hAnsi="宋体" w:eastAsia="宋体" w:cs="宋体"/>
        </w:rPr>
      </w:pP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528" w:type="dxa"/>
            <w:tcBorders>
              <w:bottom w:val="single" w:color="auto" w:sz="4" w:space="0"/>
            </w:tcBorders>
            <w:vAlign w:val="center"/>
          </w:tcPr>
          <w:p>
            <w:pPr>
              <w:adjustRightInd/>
              <w:ind w:firstLine="0" w:firstLineChars="0"/>
              <w:jc w:val="center"/>
              <w:rPr>
                <w:rFonts w:hint="eastAsia" w:ascii="宋体" w:hAnsi="宋体" w:eastAsia="宋体" w:cs="宋体"/>
              </w:rPr>
            </w:pPr>
            <w:r>
              <w:rPr>
                <w:rFonts w:hint="eastAsia" w:ascii="宋体" w:hAnsi="宋体" w:eastAsia="宋体" w:cs="宋体"/>
              </w:rPr>
              <w:t>信誉要求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85" w:hRule="atLeast"/>
          <w:jc w:val="center"/>
        </w:trPr>
        <w:tc>
          <w:tcPr>
            <w:tcW w:w="8528" w:type="dxa"/>
            <w:tcBorders>
              <w:top w:val="single" w:color="auto" w:sz="4" w:space="0"/>
            </w:tcBorders>
            <w:vAlign w:val="center"/>
          </w:tcPr>
          <w:p>
            <w:pPr>
              <w:spacing w:line="300" w:lineRule="auto"/>
              <w:rPr>
                <w:rFonts w:hint="eastAsia" w:ascii="宋体" w:hAnsi="宋体" w:eastAsia="宋体" w:cs="宋体"/>
                <w:color w:val="000000"/>
              </w:rPr>
            </w:pPr>
            <w:r>
              <w:rPr>
                <w:rFonts w:hint="eastAsia" w:ascii="宋体" w:hAnsi="宋体" w:eastAsia="宋体" w:cs="宋体"/>
                <w:color w:val="000000"/>
              </w:rPr>
              <w:t>1．没有处于被责令停业，财务被接管、冻结、破产状态；</w:t>
            </w:r>
          </w:p>
          <w:p>
            <w:pPr>
              <w:spacing w:line="300" w:lineRule="auto"/>
              <w:rPr>
                <w:rFonts w:hint="eastAsia" w:ascii="宋体" w:hAnsi="宋体" w:eastAsia="宋体" w:cs="宋体"/>
                <w:color w:val="000000"/>
              </w:rPr>
            </w:pPr>
            <w:r>
              <w:rPr>
                <w:rFonts w:hint="eastAsia" w:ascii="宋体" w:hAnsi="宋体" w:eastAsia="宋体" w:cs="宋体"/>
                <w:color w:val="000000"/>
              </w:rPr>
              <w:t>2．没有被交通运输部或广东省交通运输厅通报而取消相应投标资格（处于有效期内）；</w:t>
            </w:r>
          </w:p>
          <w:p>
            <w:pPr>
              <w:spacing w:line="300" w:lineRule="auto"/>
              <w:rPr>
                <w:rFonts w:hint="eastAsia" w:ascii="宋体" w:hAnsi="宋体" w:eastAsia="宋体" w:cs="宋体"/>
                <w:color w:val="000000"/>
              </w:rPr>
            </w:pPr>
            <w:r>
              <w:rPr>
                <w:rFonts w:hint="eastAsia" w:ascii="宋体" w:hAnsi="宋体" w:eastAsia="宋体" w:cs="宋体"/>
                <w:color w:val="000000"/>
              </w:rPr>
              <w:t>3．投标人没有涉及正在诉讼的案件，或虽涉及正在诉讼的案件但经评审委员会认定不会对承担本项目造成重大影响；</w:t>
            </w:r>
          </w:p>
          <w:p>
            <w:pPr>
              <w:spacing w:line="300" w:lineRule="auto"/>
              <w:rPr>
                <w:rFonts w:hint="eastAsia" w:ascii="宋体" w:hAnsi="宋体" w:eastAsia="宋体" w:cs="宋体"/>
                <w:color w:val="000000"/>
              </w:rPr>
            </w:pPr>
            <w:r>
              <w:rPr>
                <w:rFonts w:hint="eastAsia" w:ascii="宋体" w:hAnsi="宋体" w:eastAsia="宋体" w:cs="宋体"/>
                <w:color w:val="000000"/>
              </w:rPr>
              <w:t>4．投标人、投标人的法定代表人、拟委任的项目负责人和技术负责人近三年均没有因行贿犯罪而被人民法院判决、裁定生效的行为。</w:t>
            </w:r>
          </w:p>
          <w:p>
            <w:pPr>
              <w:spacing w:line="300" w:lineRule="auto"/>
              <w:rPr>
                <w:rFonts w:hint="eastAsia" w:ascii="宋体" w:hAnsi="宋体" w:eastAsia="宋体" w:cs="宋体"/>
                <w:color w:val="000000"/>
              </w:rPr>
            </w:pPr>
            <w:r>
              <w:rPr>
                <w:rFonts w:hint="eastAsia" w:ascii="宋体" w:hAnsi="宋体" w:eastAsia="宋体" w:cs="宋体"/>
                <w:color w:val="000000"/>
              </w:rPr>
              <w:t>5. 投标人没有被“信用中国”网站（http://www.creditchina.gov.cn/）列入失信被执行人名单。</w:t>
            </w:r>
          </w:p>
          <w:p>
            <w:pPr>
              <w:spacing w:line="300" w:lineRule="auto"/>
              <w:rPr>
                <w:rFonts w:hint="eastAsia" w:ascii="宋体" w:hAnsi="宋体" w:eastAsia="宋体" w:cs="宋体"/>
                <w:color w:val="000000"/>
              </w:rPr>
            </w:pPr>
            <w:r>
              <w:rPr>
                <w:rFonts w:hint="eastAsia" w:ascii="宋体" w:hAnsi="宋体" w:eastAsia="宋体" w:cs="宋体"/>
                <w:color w:val="000000"/>
              </w:rPr>
              <w:t>6.投标人没有被国家企业信用公示系统（www.gsxt.gov.cn）列入严重违法失信企业名单（非企业性质的投标人不适用）。</w:t>
            </w:r>
          </w:p>
          <w:p>
            <w:pPr>
              <w:pStyle w:val="4"/>
              <w:ind w:left="480" w:leftChars="0" w:firstLine="400" w:firstLineChars="0"/>
              <w:rPr>
                <w:rFonts w:hint="eastAsia" w:ascii="宋体" w:hAnsi="宋体" w:eastAsia="宋体" w:cs="宋体"/>
              </w:rPr>
            </w:pPr>
          </w:p>
        </w:tc>
      </w:tr>
    </w:tbl>
    <w:p>
      <w:pPr>
        <w:rPr>
          <w:rFonts w:hint="eastAsia" w:ascii="宋体" w:hAnsi="宋体" w:eastAsia="宋体" w:cs="宋体"/>
        </w:rPr>
      </w:pPr>
      <w:r>
        <w:rPr>
          <w:rFonts w:hint="eastAsia" w:ascii="宋体" w:hAnsi="宋体" w:eastAsia="宋体" w:cs="宋体"/>
        </w:rPr>
        <w:br w:type="page"/>
      </w:r>
    </w:p>
    <w:p>
      <w:pPr>
        <w:pStyle w:val="3"/>
        <w:jc w:val="center"/>
        <w:rPr>
          <w:rFonts w:hint="eastAsia" w:ascii="宋体" w:hAnsi="宋体" w:eastAsia="宋体" w:cs="宋体"/>
          <w:b/>
          <w:bCs w:val="0"/>
        </w:rPr>
      </w:pPr>
      <w:bookmarkStart w:id="3" w:name="_Toc130292694"/>
      <w:r>
        <w:rPr>
          <w:rFonts w:hint="eastAsia" w:ascii="宋体" w:hAnsi="宋体" w:eastAsia="宋体" w:cs="宋体"/>
          <w:b/>
          <w:bCs w:val="0"/>
        </w:rPr>
        <w:t>附录4资格审查条件（主要人员最低要求）</w:t>
      </w:r>
      <w:bookmarkEnd w:id="3"/>
    </w:p>
    <w:p>
      <w:pPr>
        <w:rPr>
          <w:rFonts w:hint="eastAsia" w:ascii="宋体" w:hAnsi="宋体" w:eastAsia="宋体" w:cs="宋体"/>
        </w:rPr>
      </w:pPr>
    </w:p>
    <w:tbl>
      <w:tblPr>
        <w:tblStyle w:val="7"/>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733"/>
        <w:gridCol w:w="1026"/>
        <w:gridCol w:w="4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tblHeader/>
          <w:jc w:val="center"/>
        </w:trPr>
        <w:tc>
          <w:tcPr>
            <w:tcW w:w="1205" w:type="dxa"/>
            <w:vAlign w:val="center"/>
          </w:tcPr>
          <w:p>
            <w:pPr>
              <w:snapToGrid w:val="0"/>
              <w:spacing w:line="300" w:lineRule="auto"/>
              <w:ind w:firstLine="0" w:firstLineChars="0"/>
              <w:rPr>
                <w:rFonts w:hint="eastAsia" w:ascii="宋体" w:hAnsi="宋体" w:eastAsia="宋体" w:cs="宋体"/>
                <w:color w:val="000000"/>
              </w:rPr>
            </w:pPr>
            <w:r>
              <w:rPr>
                <w:rFonts w:hint="eastAsia" w:ascii="宋体" w:hAnsi="宋体" w:eastAsia="宋体" w:cs="宋体"/>
                <w:color w:val="000000"/>
              </w:rPr>
              <w:t>名称</w:t>
            </w:r>
          </w:p>
        </w:tc>
        <w:tc>
          <w:tcPr>
            <w:tcW w:w="1733" w:type="dxa"/>
            <w:vAlign w:val="center"/>
          </w:tcPr>
          <w:p>
            <w:pPr>
              <w:snapToGrid w:val="0"/>
              <w:spacing w:line="300" w:lineRule="auto"/>
              <w:jc w:val="center"/>
              <w:rPr>
                <w:rFonts w:hint="eastAsia" w:ascii="宋体" w:hAnsi="宋体" w:eastAsia="宋体" w:cs="宋体"/>
                <w:color w:val="000000"/>
              </w:rPr>
            </w:pPr>
            <w:r>
              <w:rPr>
                <w:rFonts w:hint="eastAsia" w:ascii="宋体" w:hAnsi="宋体" w:eastAsia="宋体" w:cs="宋体"/>
                <w:color w:val="000000"/>
              </w:rPr>
              <w:t>人员</w:t>
            </w:r>
          </w:p>
        </w:tc>
        <w:tc>
          <w:tcPr>
            <w:tcW w:w="1026" w:type="dxa"/>
            <w:vAlign w:val="center"/>
          </w:tcPr>
          <w:p>
            <w:pPr>
              <w:snapToGrid w:val="0"/>
              <w:spacing w:line="300" w:lineRule="auto"/>
              <w:ind w:firstLine="0" w:firstLineChars="0"/>
              <w:jc w:val="center"/>
              <w:rPr>
                <w:rFonts w:hint="eastAsia" w:ascii="宋体" w:hAnsi="宋体" w:eastAsia="宋体" w:cs="宋体"/>
                <w:color w:val="000000"/>
              </w:rPr>
            </w:pPr>
            <w:r>
              <w:rPr>
                <w:rFonts w:hint="eastAsia" w:ascii="宋体" w:hAnsi="宋体" w:eastAsia="宋体" w:cs="宋体"/>
                <w:color w:val="000000"/>
              </w:rPr>
              <w:t>数量</w:t>
            </w:r>
          </w:p>
        </w:tc>
        <w:tc>
          <w:tcPr>
            <w:tcW w:w="4552" w:type="dxa"/>
            <w:vAlign w:val="center"/>
          </w:tcPr>
          <w:p>
            <w:pPr>
              <w:snapToGrid w:val="0"/>
              <w:spacing w:line="300" w:lineRule="auto"/>
              <w:jc w:val="center"/>
              <w:rPr>
                <w:rFonts w:hint="eastAsia" w:ascii="宋体" w:hAnsi="宋体" w:eastAsia="宋体" w:cs="宋体"/>
                <w:color w:val="000000"/>
              </w:rPr>
            </w:pPr>
            <w:r>
              <w:rPr>
                <w:rFonts w:hint="eastAsia" w:ascii="宋体" w:hAnsi="宋体" w:eastAsia="宋体" w:cs="宋体"/>
                <w:color w:val="000000"/>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7" w:hRule="atLeast"/>
          <w:jc w:val="center"/>
        </w:trPr>
        <w:tc>
          <w:tcPr>
            <w:tcW w:w="1205" w:type="dxa"/>
            <w:vMerge w:val="restart"/>
            <w:vAlign w:val="center"/>
          </w:tcPr>
          <w:p>
            <w:pPr>
              <w:spacing w:line="300" w:lineRule="auto"/>
              <w:ind w:firstLine="0" w:firstLineChars="0"/>
              <w:rPr>
                <w:rFonts w:hint="eastAsia" w:ascii="宋体" w:hAnsi="宋体" w:eastAsia="宋体" w:cs="宋体"/>
                <w:color w:val="000000"/>
                <w:szCs w:val="24"/>
              </w:rPr>
            </w:pPr>
            <w:r>
              <w:rPr>
                <w:rFonts w:hint="eastAsia" w:ascii="宋体" w:hAnsi="宋体" w:eastAsia="宋体" w:cs="宋体"/>
                <w:color w:val="000000"/>
                <w:szCs w:val="24"/>
              </w:rPr>
              <w:t>狮子洋通道工程基坑工程（隧道、锚碇）第三方施工监测服务</w:t>
            </w:r>
          </w:p>
        </w:tc>
        <w:tc>
          <w:tcPr>
            <w:tcW w:w="1733" w:type="dxa"/>
            <w:vAlign w:val="center"/>
          </w:tcPr>
          <w:p>
            <w:pPr>
              <w:spacing w:line="300" w:lineRule="auto"/>
              <w:ind w:firstLine="0" w:firstLineChars="0"/>
              <w:jc w:val="center"/>
              <w:rPr>
                <w:rFonts w:hint="eastAsia" w:ascii="宋体" w:hAnsi="宋体" w:eastAsia="宋体" w:cs="宋体"/>
                <w:color w:val="000000"/>
                <w:szCs w:val="24"/>
                <w:highlight w:val="none"/>
              </w:rPr>
            </w:pPr>
            <w:r>
              <w:rPr>
                <w:rFonts w:hint="eastAsia" w:ascii="宋体" w:hAnsi="宋体" w:eastAsia="宋体" w:cs="宋体"/>
                <w:snapToGrid w:val="0"/>
                <w:color w:val="000000"/>
                <w:szCs w:val="24"/>
                <w:highlight w:val="none"/>
              </w:rPr>
              <w:t>项目负责人</w:t>
            </w:r>
          </w:p>
        </w:tc>
        <w:tc>
          <w:tcPr>
            <w:tcW w:w="1026" w:type="dxa"/>
            <w:vAlign w:val="center"/>
          </w:tcPr>
          <w:p>
            <w:pPr>
              <w:spacing w:line="300" w:lineRule="auto"/>
              <w:ind w:firstLine="0" w:firstLineChars="0"/>
              <w:jc w:val="center"/>
              <w:rPr>
                <w:rFonts w:hint="eastAsia" w:ascii="宋体" w:hAnsi="宋体" w:eastAsia="宋体" w:cs="宋体"/>
                <w:color w:val="000000"/>
                <w:highlight w:val="none"/>
              </w:rPr>
            </w:pPr>
            <w:r>
              <w:rPr>
                <w:rFonts w:hint="eastAsia" w:ascii="宋体" w:hAnsi="宋体" w:eastAsia="宋体" w:cs="宋体"/>
                <w:snapToGrid w:val="0"/>
                <w:color w:val="000000"/>
                <w:sz w:val="22"/>
                <w:highlight w:val="none"/>
              </w:rPr>
              <w:t>1</w:t>
            </w:r>
          </w:p>
        </w:tc>
        <w:tc>
          <w:tcPr>
            <w:tcW w:w="4552" w:type="dxa"/>
            <w:vAlign w:val="center"/>
          </w:tcPr>
          <w:p>
            <w:pPr>
              <w:spacing w:line="300" w:lineRule="auto"/>
              <w:rPr>
                <w:rFonts w:hint="eastAsia" w:ascii="宋体" w:hAnsi="宋体" w:eastAsia="宋体" w:cs="宋体"/>
                <w:color w:val="000000"/>
                <w:highlight w:val="none"/>
              </w:rPr>
            </w:pPr>
            <w:r>
              <w:rPr>
                <w:rFonts w:hint="eastAsia" w:ascii="宋体" w:hAnsi="宋体" w:eastAsia="宋体" w:cs="宋体"/>
                <w:color w:val="000000"/>
                <w:highlight w:val="none"/>
              </w:rPr>
              <w:t>高级工程师或以上职称，并至少担任过1项基坑工程监测项目负责人或技术负责人。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7" w:hRule="atLeast"/>
          <w:jc w:val="center"/>
        </w:trPr>
        <w:tc>
          <w:tcPr>
            <w:tcW w:w="1205" w:type="dxa"/>
            <w:vMerge w:val="continue"/>
            <w:vAlign w:val="center"/>
          </w:tcPr>
          <w:p>
            <w:pPr>
              <w:spacing w:line="300" w:lineRule="auto"/>
              <w:jc w:val="center"/>
              <w:rPr>
                <w:rFonts w:hint="eastAsia" w:ascii="宋体" w:hAnsi="宋体" w:eastAsia="宋体" w:cs="宋体"/>
                <w:color w:val="000000"/>
                <w:szCs w:val="24"/>
              </w:rPr>
            </w:pPr>
          </w:p>
        </w:tc>
        <w:tc>
          <w:tcPr>
            <w:tcW w:w="1733" w:type="dxa"/>
            <w:vAlign w:val="center"/>
          </w:tcPr>
          <w:p>
            <w:pPr>
              <w:spacing w:line="300" w:lineRule="auto"/>
              <w:ind w:firstLine="0" w:firstLineChars="0"/>
              <w:jc w:val="center"/>
              <w:rPr>
                <w:rFonts w:hint="eastAsia" w:ascii="宋体" w:hAnsi="宋体" w:eastAsia="宋体" w:cs="宋体"/>
                <w:snapToGrid w:val="0"/>
                <w:color w:val="000000"/>
                <w:szCs w:val="24"/>
                <w:highlight w:val="none"/>
              </w:rPr>
            </w:pPr>
            <w:r>
              <w:rPr>
                <w:rFonts w:hint="eastAsia" w:ascii="宋体" w:hAnsi="宋体" w:eastAsia="宋体" w:cs="宋体"/>
                <w:snapToGrid w:val="0"/>
                <w:color w:val="000000"/>
                <w:szCs w:val="24"/>
                <w:highlight w:val="none"/>
              </w:rPr>
              <w:t>技术负责人</w:t>
            </w:r>
          </w:p>
        </w:tc>
        <w:tc>
          <w:tcPr>
            <w:tcW w:w="1026" w:type="dxa"/>
            <w:vAlign w:val="center"/>
          </w:tcPr>
          <w:p>
            <w:pPr>
              <w:spacing w:line="300" w:lineRule="auto"/>
              <w:ind w:firstLine="0" w:firstLineChars="0"/>
              <w:jc w:val="center"/>
              <w:rPr>
                <w:rFonts w:hint="eastAsia" w:ascii="宋体" w:hAnsi="宋体" w:eastAsia="宋体" w:cs="宋体"/>
                <w:snapToGrid w:val="0"/>
                <w:color w:val="000000"/>
                <w:sz w:val="22"/>
                <w:highlight w:val="none"/>
              </w:rPr>
            </w:pPr>
            <w:r>
              <w:rPr>
                <w:rFonts w:hint="eastAsia" w:ascii="宋体" w:hAnsi="宋体" w:eastAsia="宋体" w:cs="宋体"/>
                <w:snapToGrid w:val="0"/>
                <w:color w:val="000000"/>
                <w:sz w:val="22"/>
                <w:highlight w:val="none"/>
              </w:rPr>
              <w:t>1</w:t>
            </w:r>
          </w:p>
        </w:tc>
        <w:tc>
          <w:tcPr>
            <w:tcW w:w="4552" w:type="dxa"/>
            <w:vAlign w:val="center"/>
          </w:tcPr>
          <w:p>
            <w:pPr>
              <w:spacing w:line="300" w:lineRule="auto"/>
              <w:rPr>
                <w:rFonts w:hint="eastAsia" w:ascii="宋体" w:hAnsi="宋体" w:eastAsia="宋体" w:cs="宋体"/>
                <w:color w:val="000000"/>
                <w:highlight w:val="none"/>
              </w:rPr>
            </w:pPr>
            <w:r>
              <w:rPr>
                <w:rFonts w:hint="eastAsia" w:ascii="宋体" w:hAnsi="宋体" w:eastAsia="宋体" w:cs="宋体"/>
                <w:color w:val="000000"/>
                <w:highlight w:val="none"/>
              </w:rPr>
              <w:t>高级工程师或以上职称，并至少担任过1项基坑工程监测项目负责人或技术负责人。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205" w:type="dxa"/>
            <w:vMerge w:val="continue"/>
            <w:vAlign w:val="center"/>
          </w:tcPr>
          <w:p>
            <w:pPr>
              <w:spacing w:line="300" w:lineRule="auto"/>
              <w:jc w:val="center"/>
              <w:rPr>
                <w:rFonts w:hint="eastAsia" w:ascii="宋体" w:hAnsi="宋体" w:eastAsia="宋体" w:cs="宋体"/>
                <w:color w:val="000000"/>
                <w:szCs w:val="24"/>
              </w:rPr>
            </w:pPr>
          </w:p>
        </w:tc>
        <w:tc>
          <w:tcPr>
            <w:tcW w:w="1733" w:type="dxa"/>
            <w:vAlign w:val="center"/>
          </w:tcPr>
          <w:p>
            <w:pPr>
              <w:spacing w:line="300" w:lineRule="auto"/>
              <w:ind w:firstLine="0" w:firstLineChars="0"/>
              <w:jc w:val="center"/>
              <w:rPr>
                <w:rFonts w:hint="eastAsia" w:ascii="宋体" w:hAnsi="宋体" w:eastAsia="宋体" w:cs="宋体"/>
                <w:color w:val="000000"/>
                <w:szCs w:val="24"/>
                <w:highlight w:val="none"/>
              </w:rPr>
            </w:pPr>
            <w:r>
              <w:rPr>
                <w:rFonts w:hint="eastAsia" w:ascii="宋体" w:hAnsi="宋体" w:eastAsia="宋体" w:cs="宋体"/>
                <w:snapToGrid w:val="0"/>
                <w:color w:val="000000"/>
                <w:szCs w:val="24"/>
                <w:highlight w:val="none"/>
              </w:rPr>
              <w:t>岩土工程师</w:t>
            </w:r>
          </w:p>
        </w:tc>
        <w:tc>
          <w:tcPr>
            <w:tcW w:w="1026" w:type="dxa"/>
            <w:vAlign w:val="center"/>
          </w:tcPr>
          <w:p>
            <w:pPr>
              <w:spacing w:line="300" w:lineRule="auto"/>
              <w:ind w:firstLine="0" w:firstLineChars="0"/>
              <w:jc w:val="center"/>
              <w:rPr>
                <w:rFonts w:hint="eastAsia" w:ascii="宋体" w:hAnsi="宋体" w:eastAsia="宋体" w:cs="宋体"/>
                <w:color w:val="000000"/>
                <w:szCs w:val="21"/>
                <w:highlight w:val="none"/>
              </w:rPr>
            </w:pPr>
            <w:r>
              <w:rPr>
                <w:rFonts w:hint="eastAsia" w:ascii="宋体" w:hAnsi="宋体" w:eastAsia="宋体" w:cs="宋体"/>
                <w:snapToGrid w:val="0"/>
                <w:color w:val="000000"/>
                <w:sz w:val="22"/>
                <w:highlight w:val="none"/>
              </w:rPr>
              <w:t>6</w:t>
            </w:r>
          </w:p>
        </w:tc>
        <w:tc>
          <w:tcPr>
            <w:tcW w:w="4552" w:type="dxa"/>
            <w:vAlign w:val="center"/>
          </w:tcPr>
          <w:p>
            <w:pPr>
              <w:spacing w:line="300" w:lineRule="auto"/>
              <w:rPr>
                <w:rFonts w:hint="eastAsia" w:ascii="宋体" w:hAnsi="宋体" w:eastAsia="宋体" w:cs="宋体"/>
                <w:color w:val="000000"/>
                <w:highlight w:val="none"/>
              </w:rPr>
            </w:pPr>
            <w:r>
              <w:rPr>
                <w:rFonts w:hint="eastAsia" w:ascii="宋体" w:hAnsi="宋体" w:eastAsia="宋体" w:cs="宋体"/>
                <w:color w:val="000000"/>
                <w:highlight w:val="none"/>
              </w:rPr>
              <w:t>工程师或以上职称，其中1人为高级工程师或以上职称；至少参加过1项基坑工程施工监测工作。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205" w:type="dxa"/>
            <w:vMerge w:val="continue"/>
            <w:vAlign w:val="center"/>
          </w:tcPr>
          <w:p>
            <w:pPr>
              <w:spacing w:line="300" w:lineRule="auto"/>
              <w:jc w:val="center"/>
              <w:rPr>
                <w:rFonts w:hint="eastAsia" w:ascii="宋体" w:hAnsi="宋体" w:eastAsia="宋体" w:cs="宋体"/>
                <w:color w:val="000000"/>
                <w:szCs w:val="24"/>
              </w:rPr>
            </w:pPr>
          </w:p>
        </w:tc>
        <w:tc>
          <w:tcPr>
            <w:tcW w:w="1733" w:type="dxa"/>
            <w:vAlign w:val="center"/>
          </w:tcPr>
          <w:p>
            <w:pPr>
              <w:spacing w:line="300" w:lineRule="auto"/>
              <w:ind w:firstLine="0" w:firstLineChars="0"/>
              <w:jc w:val="center"/>
              <w:rPr>
                <w:rFonts w:hint="eastAsia" w:ascii="宋体" w:hAnsi="宋体" w:eastAsia="宋体" w:cs="宋体"/>
                <w:snapToGrid w:val="0"/>
                <w:color w:val="000000"/>
                <w:szCs w:val="24"/>
                <w:highlight w:val="none"/>
              </w:rPr>
            </w:pPr>
            <w:r>
              <w:rPr>
                <w:rFonts w:hint="eastAsia" w:ascii="宋体" w:hAnsi="宋体" w:eastAsia="宋体" w:cs="宋体"/>
                <w:snapToGrid w:val="0"/>
                <w:color w:val="000000"/>
                <w:szCs w:val="24"/>
                <w:highlight w:val="none"/>
              </w:rPr>
              <w:t>测量工程师</w:t>
            </w:r>
          </w:p>
        </w:tc>
        <w:tc>
          <w:tcPr>
            <w:tcW w:w="1026" w:type="dxa"/>
            <w:vAlign w:val="center"/>
          </w:tcPr>
          <w:p>
            <w:pPr>
              <w:spacing w:line="300" w:lineRule="auto"/>
              <w:ind w:firstLine="0" w:firstLineChars="0"/>
              <w:jc w:val="center"/>
              <w:rPr>
                <w:rFonts w:hint="eastAsia" w:ascii="宋体" w:hAnsi="宋体" w:eastAsia="宋体" w:cs="宋体"/>
                <w:snapToGrid w:val="0"/>
                <w:color w:val="000000"/>
                <w:sz w:val="22"/>
                <w:highlight w:val="none"/>
              </w:rPr>
            </w:pPr>
            <w:r>
              <w:rPr>
                <w:rFonts w:hint="eastAsia" w:ascii="宋体" w:hAnsi="宋体" w:eastAsia="宋体" w:cs="宋体"/>
                <w:snapToGrid w:val="0"/>
                <w:color w:val="000000"/>
                <w:sz w:val="22"/>
                <w:highlight w:val="none"/>
              </w:rPr>
              <w:t>6</w:t>
            </w:r>
          </w:p>
        </w:tc>
        <w:tc>
          <w:tcPr>
            <w:tcW w:w="4552" w:type="dxa"/>
            <w:vAlign w:val="center"/>
          </w:tcPr>
          <w:p>
            <w:pPr>
              <w:spacing w:line="300" w:lineRule="auto"/>
              <w:rPr>
                <w:rFonts w:hint="eastAsia" w:ascii="宋体" w:hAnsi="宋体" w:eastAsia="宋体" w:cs="宋体"/>
                <w:color w:val="000000"/>
                <w:highlight w:val="none"/>
              </w:rPr>
            </w:pPr>
            <w:r>
              <w:rPr>
                <w:rFonts w:hint="eastAsia" w:ascii="宋体" w:hAnsi="宋体" w:eastAsia="宋体" w:cs="宋体"/>
                <w:color w:val="000000"/>
                <w:highlight w:val="none"/>
              </w:rPr>
              <w:t>工程师或以上职称，其中1人为高级工程师或以上职称；至少参加过1项基坑工程监测工作。</w:t>
            </w:r>
          </w:p>
        </w:tc>
      </w:tr>
    </w:tbl>
    <w:p>
      <w:pPr>
        <w:spacing w:before="120" w:beforeLines="50" w:line="30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注：（1）投标阶段仅需要按照投标文件格式要求提供项目负责人、技术负责人的相关证明材料即可，本表所要求除项目负责人、技术负责人外的其他人员须按招标文件格式要求附相关承诺函，中标人在签订合同前向招标人提交实际投入的人员。</w:t>
      </w:r>
    </w:p>
    <w:p>
      <w:pPr>
        <w:spacing w:before="120" w:beforeLines="50" w:line="30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（2）以上为本项目的主要人员最低要求，合同履行期间中标人应根据监理工程师、招标人要求和实际进展情况增加人员以满足工程需要，并不因此增加费用或索赔。</w:t>
      </w:r>
    </w:p>
    <w:p>
      <w:pPr>
        <w:spacing w:before="120" w:beforeLines="50" w:line="300" w:lineRule="auto"/>
        <w:ind w:firstLine="420"/>
        <w:rPr>
          <w:rFonts w:hint="eastAsia" w:ascii="宋体" w:hAnsi="宋体" w:eastAsia="宋体" w:cs="宋体"/>
          <w:b/>
          <w:kern w:val="44"/>
          <w:sz w:val="28"/>
          <w:szCs w:val="44"/>
        </w:rPr>
      </w:pPr>
      <w:r>
        <w:rPr>
          <w:rFonts w:hint="eastAsia" w:ascii="宋体" w:hAnsi="宋体" w:eastAsia="宋体" w:cs="宋体"/>
          <w:color w:val="000000"/>
          <w:sz w:val="21"/>
          <w:szCs w:val="21"/>
        </w:rPr>
        <w:t>（3） 应投标人须知 3.5.4 附相关证明材料。</w:t>
      </w:r>
      <w:r>
        <w:rPr>
          <w:rFonts w:hint="eastAsia" w:ascii="宋体" w:hAnsi="宋体" w:eastAsia="宋体" w:cs="宋体"/>
          <w:color w:val="000000"/>
          <w:sz w:val="21"/>
          <w:szCs w:val="21"/>
        </w:rPr>
        <w:br w:type="page"/>
      </w:r>
      <w:r>
        <w:rPr>
          <w:rFonts w:hint="eastAsia" w:ascii="宋体" w:hAnsi="宋体" w:eastAsia="宋体" w:cs="宋体"/>
          <w:b/>
          <w:kern w:val="44"/>
          <w:sz w:val="28"/>
          <w:szCs w:val="44"/>
        </w:rPr>
        <w:t xml:space="preserve">      </w:t>
      </w:r>
    </w:p>
    <w:p>
      <w:pPr>
        <w:spacing w:before="120" w:beforeLines="50" w:line="300" w:lineRule="auto"/>
        <w:ind w:firstLine="0" w:firstLineChars="0"/>
        <w:jc w:val="center"/>
        <w:rPr>
          <w:rFonts w:hint="eastAsia" w:ascii="宋体" w:hAnsi="宋体" w:eastAsia="宋体" w:cs="宋体"/>
          <w:b/>
          <w:kern w:val="44"/>
          <w:sz w:val="28"/>
          <w:szCs w:val="44"/>
        </w:rPr>
      </w:pPr>
      <w:r>
        <w:rPr>
          <w:rFonts w:hint="eastAsia" w:ascii="宋体" w:hAnsi="宋体" w:eastAsia="宋体" w:cs="宋体"/>
          <w:b/>
          <w:kern w:val="44"/>
          <w:sz w:val="28"/>
          <w:szCs w:val="44"/>
        </w:rPr>
        <w:t>附录5 资格审查条件（主要设备最低要求）</w:t>
      </w:r>
    </w:p>
    <w:p>
      <w:pPr>
        <w:pStyle w:val="4"/>
        <w:ind w:left="480" w:firstLine="400"/>
        <w:rPr>
          <w:rFonts w:hint="eastAsia" w:ascii="宋体" w:hAnsi="宋体" w:eastAsia="宋体" w:cs="宋体"/>
        </w:rPr>
      </w:pPr>
    </w:p>
    <w:tbl>
      <w:tblPr>
        <w:tblStyle w:val="7"/>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83"/>
        <w:gridCol w:w="4548"/>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before="120" w:beforeLines="50" w:line="30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83" w:type="dxa"/>
            <w:vAlign w:val="center"/>
          </w:tcPr>
          <w:p>
            <w:pPr>
              <w:spacing w:before="120" w:beforeLines="50" w:line="30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名称</w:t>
            </w:r>
          </w:p>
        </w:tc>
        <w:tc>
          <w:tcPr>
            <w:tcW w:w="4548" w:type="dxa"/>
            <w:vAlign w:val="center"/>
          </w:tcPr>
          <w:p>
            <w:pPr>
              <w:spacing w:before="120" w:beforeLines="50" w:line="30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型号及精度</w:t>
            </w:r>
          </w:p>
        </w:tc>
        <w:tc>
          <w:tcPr>
            <w:tcW w:w="1236" w:type="dxa"/>
            <w:vAlign w:val="center"/>
          </w:tcPr>
          <w:p>
            <w:pPr>
              <w:spacing w:before="120" w:beforeLines="50" w:line="30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783"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全站仪</w:t>
            </w:r>
          </w:p>
        </w:tc>
        <w:tc>
          <w:tcPr>
            <w:tcW w:w="4548"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TM50/S8</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测距：1mm+lppm</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测角：0.5"</w:t>
            </w:r>
          </w:p>
        </w:tc>
        <w:tc>
          <w:tcPr>
            <w:tcW w:w="1236"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783"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水准仪</w:t>
            </w:r>
          </w:p>
        </w:tc>
        <w:tc>
          <w:tcPr>
            <w:tcW w:w="4548"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Dini03/DNA03</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精度：0.3mm/km</w:t>
            </w:r>
          </w:p>
        </w:tc>
        <w:tc>
          <w:tcPr>
            <w:tcW w:w="1236"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783"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测斜仪</w:t>
            </w:r>
          </w:p>
        </w:tc>
        <w:tc>
          <w:tcPr>
            <w:tcW w:w="4548"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SincoAT/BR-CX</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分辨率：0.005mm</w:t>
            </w:r>
          </w:p>
        </w:tc>
        <w:tc>
          <w:tcPr>
            <w:tcW w:w="1236"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783"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应力应变测试仪</w:t>
            </w:r>
          </w:p>
        </w:tc>
        <w:tc>
          <w:tcPr>
            <w:tcW w:w="4548"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振弦式表面应变计</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量程：1000</w:t>
            </w:r>
            <w:r>
              <w:rPr>
                <w:rFonts w:hint="eastAsia" w:ascii="宋体" w:hAnsi="宋体" w:eastAsia="宋体" w:cs="宋体"/>
                <w:color w:val="000000"/>
                <w:sz w:val="21"/>
                <w:szCs w:val="21"/>
                <w:highlight w:val="none"/>
                <w:shd w:val="clear" w:color="auto" w:fill="FFFFFF"/>
              </w:rPr>
              <w:t>με</w:t>
            </w:r>
            <w:r>
              <w:rPr>
                <w:rFonts w:hint="eastAsia" w:ascii="宋体" w:hAnsi="宋体" w:eastAsia="宋体" w:cs="宋体"/>
                <w:sz w:val="21"/>
                <w:szCs w:val="21"/>
                <w:highlight w:val="none"/>
              </w:rPr>
              <w:t>（拉），1500</w:t>
            </w:r>
            <w:r>
              <w:rPr>
                <w:rFonts w:hint="eastAsia" w:ascii="宋体" w:hAnsi="宋体" w:eastAsia="宋体" w:cs="宋体"/>
                <w:color w:val="000000"/>
                <w:sz w:val="21"/>
                <w:szCs w:val="21"/>
                <w:highlight w:val="none"/>
                <w:shd w:val="clear" w:color="auto" w:fill="FFFFFF"/>
              </w:rPr>
              <w:t>με</w:t>
            </w:r>
            <w:r>
              <w:rPr>
                <w:rFonts w:hint="eastAsia" w:ascii="宋体" w:hAnsi="宋体" w:eastAsia="宋体" w:cs="宋体"/>
                <w:sz w:val="21"/>
                <w:szCs w:val="21"/>
                <w:highlight w:val="none"/>
              </w:rPr>
              <w:t>（压）；分辩率：0.015%F.S</w:t>
            </w:r>
          </w:p>
        </w:tc>
        <w:tc>
          <w:tcPr>
            <w:tcW w:w="1236"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783"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水位计</w:t>
            </w:r>
          </w:p>
        </w:tc>
        <w:tc>
          <w:tcPr>
            <w:tcW w:w="4548"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SWJ-8092/SWJ-90</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精度：±1.0mm</w:t>
            </w:r>
          </w:p>
        </w:tc>
        <w:tc>
          <w:tcPr>
            <w:tcW w:w="1236"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783"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传感器无线采集系统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自动化</w:t>
            </w:r>
            <w:r>
              <w:rPr>
                <w:rFonts w:hint="eastAsia" w:ascii="宋体" w:hAnsi="宋体" w:eastAsia="宋体" w:cs="宋体"/>
                <w:sz w:val="21"/>
                <w:szCs w:val="21"/>
                <w:highlight w:val="none"/>
                <w:lang w:eastAsia="zh-CN"/>
              </w:rPr>
              <w:t>）</w:t>
            </w:r>
          </w:p>
        </w:tc>
        <w:tc>
          <w:tcPr>
            <w:tcW w:w="4548"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精度0.05Hz</w:t>
            </w:r>
          </w:p>
        </w:tc>
        <w:tc>
          <w:tcPr>
            <w:tcW w:w="1236" w:type="dxa"/>
            <w:vAlign w:val="center"/>
          </w:tcPr>
          <w:p>
            <w:pPr>
              <w:spacing w:before="120" w:beforeLines="50" w:line="30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套</w:t>
            </w:r>
          </w:p>
        </w:tc>
      </w:tr>
    </w:tbl>
    <w:p>
      <w:pPr>
        <w:spacing w:before="120" w:beforeLines="50" w:line="30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注：（1）附录5要求设备按照招标文件格式要求附相关承诺函；</w:t>
      </w:r>
    </w:p>
    <w:p>
      <w:pPr>
        <w:spacing w:before="120" w:beforeLines="50" w:line="30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（2）表中仪器型号不做特定要求，但所选用仪器需满足表中精度要求。</w:t>
      </w:r>
    </w:p>
    <w:p>
      <w:pPr>
        <w:spacing w:before="120" w:beforeLines="50" w:line="30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（3）以上为本项目拟投入的设备最低要求，发包人有权根据工程进度情况要求承包人增加或调整相应的监测设备，由此不存在索赔问题。</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Plotter">
    <w:altName w:val="Times New Roman"/>
    <w:panose1 w:val="00000000000000000000"/>
    <w:charset w:val="00"/>
    <w:family w:val="roman"/>
    <w:pitch w:val="default"/>
    <w:sig w:usb0="00000000" w:usb1="00000000" w:usb2="00000000"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创艺简老宋">
    <w:altName w:val="宋体"/>
    <w:panose1 w:val="00000000000000000000"/>
    <w:charset w:val="86"/>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36ECB"/>
    <w:rsid w:val="48536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40" w:lineRule="exact"/>
      <w:ind w:firstLine="480" w:firstLineChars="200"/>
      <w:jc w:val="both"/>
      <w:textAlignment w:val="baseline"/>
    </w:pPr>
    <w:rPr>
      <w:sz w:val="24"/>
      <w:szCs w:val="22"/>
      <w:lang w:val="en-US" w:eastAsia="zh-CN" w:bidi="ar-SA"/>
    </w:rPr>
  </w:style>
  <w:style w:type="paragraph" w:styleId="3">
    <w:name w:val="heading 1"/>
    <w:basedOn w:val="1"/>
    <w:next w:val="1"/>
    <w:qFormat/>
    <w:uiPriority w:val="0"/>
    <w:pPr>
      <w:keepNext/>
      <w:keepLines/>
      <w:spacing w:before="120" w:beforeLines="0" w:after="120" w:line="440" w:lineRule="exact"/>
      <w:ind w:firstLine="0" w:firstLineChars="0"/>
      <w:jc w:val="both"/>
      <w:outlineLvl w:val="0"/>
    </w:pPr>
    <w:rPr>
      <w:rFonts w:ascii="黑体" w:hAnsi="黑体" w:eastAsia="黑体"/>
      <w:bCs/>
      <w:kern w:val="44"/>
      <w:sz w:val="28"/>
      <w:szCs w:val="44"/>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toc 2"/>
    <w:basedOn w:val="1"/>
    <w:next w:val="1"/>
    <w:uiPriority w:val="0"/>
    <w:pPr>
      <w:ind w:left="420" w:leftChars="200"/>
    </w:pPr>
  </w:style>
  <w:style w:type="paragraph" w:styleId="4">
    <w:name w:val="Body Text Indent"/>
    <w:basedOn w:val="1"/>
    <w:uiPriority w:val="0"/>
    <w:pPr>
      <w:spacing w:after="120" w:afterLines="0"/>
      <w:ind w:left="420" w:leftChars="200"/>
    </w:pPr>
    <w:rPr>
      <w:rFonts w:ascii="Times New Roman" w:hAnsi="Times New Roman"/>
      <w:sz w:val="20"/>
      <w:szCs w:val="24"/>
    </w:rPr>
  </w:style>
  <w:style w:type="paragraph" w:styleId="5">
    <w:name w:val="Body Text Indent 2"/>
    <w:basedOn w:val="1"/>
    <w:uiPriority w:val="0"/>
    <w:pPr>
      <w:spacing w:line="500" w:lineRule="exact"/>
      <w:ind w:firstLine="540" w:firstLineChars="200"/>
    </w:pPr>
    <w:rPr>
      <w:rFonts w:ascii="宋体" w:hAnsi="宋体"/>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2023-05-17T02:41:00Z</dcterms:created>
  <dc:creator>王磊</dc:creator>
  <cp:lastModifiedBy>王磊</cp:lastModifiedBy>
  <dcterms:modified xsi:type="dcterms:W3CDTF">2023-05-17T02:41:59Z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