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73" w:line="222" w:lineRule="auto"/>
        <w:ind w:firstLine="871" w:firstLineChars="200"/>
        <w:rPr>
          <w:rFonts w:ascii="仿宋" w:hAnsi="仿宋" w:eastAsia="仿宋" w:cs="仿宋"/>
          <w:sz w:val="39"/>
          <w:szCs w:val="39"/>
        </w:rPr>
      </w:pPr>
      <w:r>
        <w:rPr>
          <w:rFonts w:ascii="仿宋" w:hAnsi="仿宋" w:eastAsia="仿宋" w:cs="仿宋"/>
          <w:b/>
          <w:bCs/>
          <w:spacing w:val="22"/>
          <w:sz w:val="39"/>
          <w:szCs w:val="39"/>
          <w:lang w:val="en-US" w:eastAsia="zh-CN"/>
        </w:rPr>
        <w:t xml:space="preserve">城郊街新开村邦塘桥及城康村东坑桥建设工程 </w:t>
      </w:r>
    </w:p>
    <w:p>
      <w:pPr>
        <w:spacing w:before="283" w:line="218" w:lineRule="auto"/>
        <w:ind w:left="3995"/>
        <w:rPr>
          <w:rFonts w:ascii="宋体" w:hAnsi="宋体" w:eastAsia="宋体" w:cs="宋体"/>
          <w:b/>
          <w:bCs/>
          <w:sz w:val="32"/>
          <w:szCs w:val="32"/>
        </w:rPr>
      </w:pPr>
      <w:r>
        <w:rPr>
          <w:rFonts w:ascii="宋体" w:hAnsi="宋体" w:eastAsia="宋体" w:cs="宋体"/>
          <w:b/>
          <w:bCs/>
          <w:spacing w:val="43"/>
          <w:sz w:val="32"/>
          <w:szCs w:val="32"/>
        </w:rPr>
        <w:t>招标公告</w:t>
      </w:r>
    </w:p>
    <w:p>
      <w:pPr>
        <w:spacing w:line="254" w:lineRule="auto"/>
        <w:rPr>
          <w:rFonts w:ascii="Arial"/>
          <w:sz w:val="21"/>
        </w:rPr>
      </w:pPr>
    </w:p>
    <w:p>
      <w:pPr>
        <w:spacing w:before="72" w:line="219" w:lineRule="auto"/>
        <w:ind w:left="68"/>
        <w:outlineLvl w:val="0"/>
        <w:rPr>
          <w:rFonts w:ascii="宋体" w:hAnsi="宋体" w:eastAsia="宋体" w:cs="宋体"/>
          <w:sz w:val="22"/>
          <w:szCs w:val="22"/>
        </w:rPr>
      </w:pPr>
      <w:r>
        <w:rPr>
          <w:rFonts w:ascii="宋体" w:hAnsi="宋体" w:eastAsia="宋体" w:cs="宋体"/>
          <w:b/>
          <w:bCs/>
          <w:spacing w:val="-11"/>
          <w:sz w:val="22"/>
          <w:szCs w:val="22"/>
        </w:rPr>
        <w:t>1.招标条件</w:t>
      </w:r>
    </w:p>
    <w:p>
      <w:pPr>
        <w:keepNext w:val="0"/>
        <w:keepLines w:val="0"/>
        <w:widowControl/>
        <w:suppressLineNumbers w:val="0"/>
        <w:spacing w:line="360" w:lineRule="auto"/>
        <w:jc w:val="left"/>
        <w:rPr>
          <w:rFonts w:ascii="宋体" w:hAnsi="宋体" w:eastAsia="宋体" w:cs="宋体"/>
          <w:b/>
          <w:bCs/>
          <w:spacing w:val="-8"/>
          <w:sz w:val="22"/>
          <w:szCs w:val="22"/>
        </w:rPr>
      </w:pPr>
      <w:r>
        <w:rPr>
          <w:rFonts w:ascii="宋体" w:hAnsi="宋体" w:eastAsia="宋体" w:cs="宋体"/>
          <w:spacing w:val="-8"/>
          <w:sz w:val="22"/>
          <w:szCs w:val="22"/>
        </w:rPr>
        <w:t>本招标项目</w:t>
      </w:r>
      <w:r>
        <w:rPr>
          <w:rFonts w:ascii="宋体" w:hAnsi="宋体" w:eastAsia="宋体" w:cs="宋体"/>
          <w:spacing w:val="-8"/>
          <w:sz w:val="22"/>
          <w:szCs w:val="22"/>
          <w:u w:val="single" w:color="auto"/>
          <w:lang w:val="en-US" w:eastAsia="zh-CN"/>
        </w:rPr>
        <w:t>城郊街新开村邦塘桥及城康村东坑桥建设工程</w:t>
      </w:r>
      <w:r>
        <w:rPr>
          <w:rFonts w:ascii="宋体" w:hAnsi="宋体" w:eastAsia="宋体" w:cs="宋体"/>
          <w:spacing w:val="-8"/>
          <w:sz w:val="22"/>
          <w:szCs w:val="22"/>
          <w:u w:val="single" w:color="auto"/>
        </w:rPr>
        <w:t>已由广州市从化区发展和改革局以穗从发改投批[2022]</w:t>
      </w:r>
      <w:r>
        <w:rPr>
          <w:rFonts w:hint="eastAsia" w:ascii="宋体" w:hAnsi="宋体" w:eastAsia="宋体" w:cs="宋体"/>
          <w:spacing w:val="-8"/>
          <w:sz w:val="22"/>
          <w:szCs w:val="22"/>
          <w:u w:val="single" w:color="auto"/>
          <w:lang w:val="en-US" w:eastAsia="zh-CN"/>
        </w:rPr>
        <w:t>85</w:t>
      </w:r>
      <w:r>
        <w:rPr>
          <w:rFonts w:ascii="宋体" w:hAnsi="宋体" w:eastAsia="宋体" w:cs="宋体"/>
          <w:spacing w:val="-8"/>
          <w:sz w:val="22"/>
          <w:szCs w:val="22"/>
          <w:u w:val="single" w:color="auto"/>
        </w:rPr>
        <w:t>号</w:t>
      </w:r>
      <w:r>
        <w:rPr>
          <w:rFonts w:ascii="宋体" w:hAnsi="宋体" w:eastAsia="宋体" w:cs="宋体"/>
          <w:spacing w:val="-8"/>
          <w:sz w:val="22"/>
          <w:szCs w:val="22"/>
        </w:rPr>
        <w:t>批</w:t>
      </w:r>
      <w:r>
        <w:rPr>
          <w:rFonts w:ascii="宋体" w:hAnsi="宋体" w:eastAsia="宋体" w:cs="宋体"/>
          <w:spacing w:val="-15"/>
          <w:sz w:val="22"/>
          <w:szCs w:val="22"/>
        </w:rPr>
        <w:t>准建设，项目业主为</w:t>
      </w:r>
      <w:r>
        <w:rPr>
          <w:rFonts w:ascii="宋体" w:hAnsi="宋体" w:eastAsia="宋体" w:cs="宋体"/>
          <w:spacing w:val="-8"/>
          <w:sz w:val="22"/>
          <w:szCs w:val="22"/>
          <w:u w:val="single" w:color="auto"/>
          <w:lang w:val="en-US" w:eastAsia="zh-CN"/>
        </w:rPr>
        <w:t>广州市从化区城郊街道</w:t>
      </w:r>
      <w:r>
        <w:rPr>
          <w:rFonts w:ascii="宋体" w:hAnsi="宋体" w:eastAsia="宋体" w:cs="宋体"/>
          <w:spacing w:val="-16"/>
          <w:sz w:val="22"/>
          <w:szCs w:val="22"/>
          <w:lang w:val="en-US" w:eastAsia="zh-CN"/>
        </w:rPr>
        <w:t>办事处</w:t>
      </w:r>
      <w:r>
        <w:rPr>
          <w:rFonts w:ascii="宋体" w:hAnsi="宋体" w:eastAsia="宋体" w:cs="宋体"/>
          <w:spacing w:val="-16"/>
          <w:sz w:val="22"/>
          <w:szCs w:val="22"/>
        </w:rPr>
        <w:t>，</w:t>
      </w:r>
      <w:r>
        <w:rPr>
          <w:rFonts w:ascii="宋体" w:hAnsi="宋体" w:eastAsia="宋体" w:cs="宋体"/>
          <w:spacing w:val="-16"/>
          <w:sz w:val="22"/>
          <w:szCs w:val="22"/>
          <w:lang w:val="en-US" w:eastAsia="zh-CN"/>
        </w:rPr>
        <w:t>项目所需建设资金由</w:t>
      </w:r>
      <w:r>
        <w:rPr>
          <w:rFonts w:hint="eastAsia" w:ascii="宋体" w:hAnsi="宋体" w:eastAsia="宋体" w:cs="宋体"/>
          <w:spacing w:val="-16"/>
          <w:sz w:val="22"/>
          <w:szCs w:val="22"/>
          <w:lang w:val="en-US" w:eastAsia="zh-CN"/>
        </w:rPr>
        <w:t>财政资金</w:t>
      </w:r>
      <w:r>
        <w:rPr>
          <w:rFonts w:ascii="宋体" w:hAnsi="宋体" w:eastAsia="宋体" w:cs="宋体"/>
          <w:spacing w:val="-16"/>
          <w:sz w:val="22"/>
          <w:szCs w:val="22"/>
          <w:lang w:val="en-US" w:eastAsia="zh-CN"/>
        </w:rPr>
        <w:t>安排解决</w:t>
      </w:r>
      <w:r>
        <w:rPr>
          <w:rFonts w:ascii="宋体" w:hAnsi="宋体" w:eastAsia="宋体" w:cs="宋体"/>
          <w:spacing w:val="-15"/>
          <w:sz w:val="22"/>
          <w:szCs w:val="22"/>
        </w:rPr>
        <w:t>，</w:t>
      </w:r>
      <w:r>
        <w:rPr>
          <w:rFonts w:ascii="宋体" w:hAnsi="宋体" w:eastAsia="宋体" w:cs="宋体"/>
          <w:spacing w:val="-16"/>
          <w:sz w:val="22"/>
          <w:szCs w:val="22"/>
        </w:rPr>
        <w:t>出资比例为</w:t>
      </w:r>
      <w:r>
        <w:rPr>
          <w:rFonts w:ascii="宋体" w:hAnsi="宋体" w:eastAsia="宋体" w:cs="宋体"/>
          <w:spacing w:val="-95"/>
          <w:sz w:val="22"/>
          <w:szCs w:val="22"/>
        </w:rPr>
        <w:t xml:space="preserve"> </w:t>
      </w:r>
      <w:r>
        <w:rPr>
          <w:rFonts w:ascii="宋体" w:hAnsi="宋体" w:eastAsia="宋体" w:cs="宋体"/>
          <w:spacing w:val="-86"/>
          <w:sz w:val="22"/>
          <w:szCs w:val="22"/>
          <w:u w:val="single" w:color="auto"/>
        </w:rPr>
        <w:t xml:space="preserve"> </w:t>
      </w:r>
      <w:r>
        <w:rPr>
          <w:rFonts w:ascii="宋体" w:hAnsi="宋体" w:eastAsia="宋体" w:cs="宋体"/>
          <w:spacing w:val="-16"/>
          <w:sz w:val="22"/>
          <w:szCs w:val="22"/>
          <w:u w:val="single" w:color="auto"/>
        </w:rPr>
        <w:t>100%,</w:t>
      </w:r>
      <w:r>
        <w:rPr>
          <w:rFonts w:ascii="宋体" w:hAnsi="宋体" w:eastAsia="宋体" w:cs="宋体"/>
          <w:spacing w:val="-25"/>
          <w:sz w:val="22"/>
          <w:szCs w:val="22"/>
        </w:rPr>
        <w:t xml:space="preserve"> </w:t>
      </w:r>
      <w:r>
        <w:rPr>
          <w:rFonts w:ascii="宋体" w:hAnsi="宋体" w:eastAsia="宋体" w:cs="宋体"/>
          <w:spacing w:val="-16"/>
          <w:sz w:val="22"/>
          <w:szCs w:val="22"/>
        </w:rPr>
        <w:t>招标</w:t>
      </w:r>
      <w:r>
        <w:rPr>
          <w:rFonts w:ascii="宋体" w:hAnsi="宋体" w:eastAsia="宋体" w:cs="宋体"/>
          <w:spacing w:val="-14"/>
          <w:sz w:val="22"/>
          <w:szCs w:val="22"/>
        </w:rPr>
        <w:t>人为</w:t>
      </w:r>
      <w:r>
        <w:rPr>
          <w:rFonts w:ascii="宋体" w:hAnsi="宋体" w:eastAsia="宋体" w:cs="宋体"/>
          <w:spacing w:val="-8"/>
          <w:sz w:val="22"/>
          <w:szCs w:val="22"/>
          <w:u w:val="single" w:color="auto"/>
          <w:lang w:val="en-US" w:eastAsia="zh-CN"/>
        </w:rPr>
        <w:t>广州市从化区城郊街道办事处</w:t>
      </w:r>
      <w:r>
        <w:rPr>
          <w:rFonts w:ascii="宋体" w:hAnsi="宋体" w:eastAsia="宋体" w:cs="宋体"/>
          <w:spacing w:val="-14"/>
          <w:sz w:val="22"/>
          <w:szCs w:val="22"/>
        </w:rPr>
        <w:t>。项目已具备招标条件，现对该项目的施工进行公开招标。</w:t>
      </w:r>
      <w:bookmarkStart w:id="3" w:name="_GoBack"/>
      <w:bookmarkEnd w:id="3"/>
    </w:p>
    <w:p>
      <w:pPr>
        <w:spacing w:before="127" w:line="219" w:lineRule="auto"/>
        <w:ind w:left="68"/>
        <w:outlineLvl w:val="0"/>
        <w:rPr>
          <w:rFonts w:ascii="宋体" w:hAnsi="宋体" w:eastAsia="宋体" w:cs="宋体"/>
          <w:sz w:val="22"/>
          <w:szCs w:val="22"/>
        </w:rPr>
      </w:pPr>
      <w:r>
        <w:rPr>
          <w:rFonts w:ascii="宋体" w:hAnsi="宋体" w:eastAsia="宋体" w:cs="宋体"/>
          <w:b/>
          <w:bCs/>
          <w:spacing w:val="-8"/>
          <w:sz w:val="22"/>
          <w:szCs w:val="22"/>
        </w:rPr>
        <w:t>2.项目概况与招标范围</w:t>
      </w:r>
    </w:p>
    <w:p>
      <w:pPr>
        <w:spacing w:before="152" w:line="219" w:lineRule="auto"/>
        <w:ind w:left="285"/>
        <w:rPr>
          <w:rFonts w:ascii="宋体" w:hAnsi="宋体" w:eastAsia="宋体" w:cs="宋体"/>
          <w:sz w:val="22"/>
          <w:szCs w:val="22"/>
        </w:rPr>
      </w:pPr>
      <w:r>
        <w:rPr>
          <w:rFonts w:ascii="宋体" w:hAnsi="宋体" w:eastAsia="宋体" w:cs="宋体"/>
          <w:spacing w:val="-3"/>
          <w:sz w:val="22"/>
          <w:szCs w:val="22"/>
        </w:rPr>
        <w:t>2.1项目概况与招标范围</w:t>
      </w:r>
    </w:p>
    <w:p>
      <w:pPr>
        <w:spacing w:before="128" w:line="360" w:lineRule="auto"/>
        <w:ind w:left="285"/>
        <w:rPr>
          <w:rFonts w:ascii="宋体" w:hAnsi="宋体" w:eastAsia="宋体" w:cs="宋体"/>
          <w:sz w:val="22"/>
          <w:szCs w:val="22"/>
        </w:rPr>
      </w:pPr>
      <w:r>
        <w:rPr>
          <w:rFonts w:ascii="宋体" w:hAnsi="宋体" w:eastAsia="宋体" w:cs="宋体"/>
          <w:spacing w:val="-5"/>
          <w:sz w:val="22"/>
          <w:szCs w:val="22"/>
        </w:rPr>
        <w:t>(1)建设地点：</w:t>
      </w:r>
      <w:r>
        <w:rPr>
          <w:rFonts w:hint="eastAsia" w:ascii="宋体" w:hAnsi="宋体"/>
          <w:color w:val="auto"/>
          <w:sz w:val="24"/>
          <w:szCs w:val="24"/>
          <w:u w:val="none"/>
        </w:rPr>
        <w:t>广州市从化区城郊街道城康村、新开村</w:t>
      </w:r>
      <w:r>
        <w:rPr>
          <w:rFonts w:ascii="宋体" w:hAnsi="宋体" w:eastAsia="宋体" w:cs="宋体"/>
          <w:spacing w:val="-5"/>
          <w:sz w:val="22"/>
          <w:szCs w:val="22"/>
        </w:rPr>
        <w:t>。</w:t>
      </w:r>
    </w:p>
    <w:p>
      <w:pPr>
        <w:spacing w:line="360" w:lineRule="auto"/>
        <w:ind w:left="65"/>
        <w:rPr>
          <w:rFonts w:ascii="宋体" w:hAnsi="宋体" w:eastAsia="宋体" w:cs="宋体"/>
          <w:sz w:val="22"/>
          <w:szCs w:val="22"/>
        </w:rPr>
      </w:pPr>
      <w:r>
        <w:rPr>
          <w:rFonts w:ascii="宋体" w:hAnsi="宋体" w:eastAsia="宋体" w:cs="宋体"/>
          <w:spacing w:val="-9"/>
          <w:sz w:val="22"/>
          <w:szCs w:val="22"/>
        </w:rPr>
        <w:t>(2)项目规模：</w:t>
      </w:r>
      <w:r>
        <w:rPr>
          <w:rFonts w:hint="eastAsia" w:ascii="宋体" w:hAnsi="宋体" w:eastAsia="宋体" w:cs="宋体"/>
          <w:spacing w:val="-9"/>
          <w:sz w:val="22"/>
          <w:szCs w:val="22"/>
        </w:rPr>
        <w:t>本项目包括拆除重建东坑桥节点和新建邦塘桥节点：其中东坑桥节点路线总长约338米，道路段长约306.96米，宽度6.5米，桥长32米，桥面宽度6.5米；邦塘桥节点路线总长约112米，道路段长67米，宽度3.5米，桥长50米，桥面宽度3.5米，同时配套照明、交通等工程。</w:t>
      </w:r>
      <w:r>
        <w:rPr>
          <w:rFonts w:ascii="宋体" w:hAnsi="宋体" w:eastAsia="宋体" w:cs="宋体"/>
          <w:spacing w:val="-12"/>
          <w:sz w:val="22"/>
          <w:szCs w:val="22"/>
        </w:rPr>
        <w:t>(具体以工程量清单及图纸为准)。</w:t>
      </w:r>
    </w:p>
    <w:p>
      <w:pPr>
        <w:spacing w:before="127" w:line="218" w:lineRule="auto"/>
        <w:ind w:left="285"/>
        <w:rPr>
          <w:rFonts w:ascii="宋体" w:hAnsi="宋体" w:eastAsia="宋体" w:cs="宋体"/>
          <w:sz w:val="22"/>
          <w:szCs w:val="22"/>
        </w:rPr>
      </w:pPr>
      <w:r>
        <w:rPr>
          <w:rFonts w:ascii="宋体" w:hAnsi="宋体" w:eastAsia="宋体" w:cs="宋体"/>
          <w:spacing w:val="-4"/>
          <w:sz w:val="22"/>
          <w:szCs w:val="22"/>
        </w:rPr>
        <w:t>(3)招标范围：拆除重建工程，项目估算总投资约</w:t>
      </w:r>
      <w:r>
        <w:rPr>
          <w:rFonts w:hint="eastAsia" w:ascii="宋体" w:hAnsi="宋体" w:eastAsia="宋体" w:cs="宋体"/>
          <w:spacing w:val="-4"/>
          <w:sz w:val="22"/>
          <w:szCs w:val="22"/>
          <w:lang w:val="en-US" w:eastAsia="zh-CN"/>
        </w:rPr>
        <w:t>700</w:t>
      </w:r>
      <w:r>
        <w:rPr>
          <w:rFonts w:ascii="宋体" w:hAnsi="宋体" w:eastAsia="宋体" w:cs="宋体"/>
          <w:spacing w:val="-5"/>
          <w:sz w:val="22"/>
          <w:szCs w:val="22"/>
        </w:rPr>
        <w:t>万元。</w:t>
      </w:r>
    </w:p>
    <w:p>
      <w:pPr>
        <w:spacing w:before="130" w:line="218" w:lineRule="auto"/>
        <w:ind w:left="285"/>
        <w:rPr>
          <w:rFonts w:ascii="宋体" w:hAnsi="宋体" w:eastAsia="宋体" w:cs="宋体"/>
          <w:sz w:val="22"/>
          <w:szCs w:val="22"/>
        </w:rPr>
      </w:pPr>
      <w:r>
        <w:rPr>
          <w:rFonts w:ascii="宋体" w:hAnsi="宋体" w:eastAsia="宋体" w:cs="宋体"/>
          <w:spacing w:val="-2"/>
          <w:sz w:val="22"/>
          <w:szCs w:val="22"/>
        </w:rPr>
        <w:t>(4)招标控制价：</w:t>
      </w:r>
      <w:r>
        <w:rPr>
          <w:rFonts w:hint="eastAsia" w:ascii="宋体" w:hAnsi="宋体" w:eastAsia="宋体" w:cs="宋体"/>
          <w:spacing w:val="-2"/>
          <w:sz w:val="22"/>
          <w:szCs w:val="22"/>
        </w:rPr>
        <w:t>534</w:t>
      </w:r>
      <w:r>
        <w:rPr>
          <w:rFonts w:hint="eastAsia" w:ascii="宋体" w:hAnsi="宋体" w:eastAsia="宋体" w:cs="宋体"/>
          <w:spacing w:val="-2"/>
          <w:sz w:val="22"/>
          <w:szCs w:val="22"/>
          <w:lang w:val="en-US" w:eastAsia="zh-CN"/>
        </w:rPr>
        <w:t>.</w:t>
      </w:r>
      <w:r>
        <w:rPr>
          <w:rFonts w:hint="eastAsia" w:ascii="宋体" w:hAnsi="宋体" w:eastAsia="宋体" w:cs="宋体"/>
          <w:spacing w:val="-2"/>
          <w:sz w:val="22"/>
          <w:szCs w:val="22"/>
        </w:rPr>
        <w:t>5027</w:t>
      </w:r>
      <w:r>
        <w:rPr>
          <w:rFonts w:hint="eastAsia" w:ascii="宋体" w:hAnsi="宋体" w:eastAsia="宋体" w:cs="宋体"/>
          <w:spacing w:val="-2"/>
          <w:sz w:val="22"/>
          <w:szCs w:val="22"/>
          <w:lang w:val="en-US" w:eastAsia="zh-CN"/>
        </w:rPr>
        <w:t>万</w:t>
      </w:r>
      <w:r>
        <w:rPr>
          <w:rFonts w:ascii="宋体" w:hAnsi="宋体" w:eastAsia="宋体" w:cs="宋体"/>
          <w:spacing w:val="-2"/>
          <w:sz w:val="22"/>
          <w:szCs w:val="22"/>
        </w:rPr>
        <w:t>元，</w:t>
      </w:r>
      <w:r>
        <w:rPr>
          <w:rFonts w:ascii="宋体" w:hAnsi="宋体" w:eastAsia="宋体" w:cs="宋体"/>
          <w:spacing w:val="-3"/>
          <w:sz w:val="22"/>
          <w:szCs w:val="22"/>
        </w:rPr>
        <w:t>其中安全生产费</w:t>
      </w:r>
      <w:r>
        <w:rPr>
          <w:rFonts w:hint="eastAsia" w:ascii="宋体" w:hAnsi="宋体" w:eastAsia="宋体" w:cs="宋体"/>
          <w:spacing w:val="-3"/>
          <w:sz w:val="22"/>
          <w:szCs w:val="22"/>
          <w:lang w:val="en-US" w:eastAsia="zh-CN"/>
        </w:rPr>
        <w:t>7.6124万</w:t>
      </w:r>
      <w:r>
        <w:rPr>
          <w:rFonts w:ascii="宋体" w:hAnsi="宋体" w:eastAsia="宋体" w:cs="宋体"/>
          <w:spacing w:val="-3"/>
          <w:sz w:val="22"/>
          <w:szCs w:val="22"/>
        </w:rPr>
        <w:t>元。</w:t>
      </w:r>
    </w:p>
    <w:p>
      <w:pPr>
        <w:spacing w:before="132" w:line="295" w:lineRule="auto"/>
        <w:ind w:left="1383" w:leftChars="135" w:right="5844" w:rightChars="0" w:hanging="1100" w:hangingChars="500"/>
        <w:rPr>
          <w:rFonts w:hint="default" w:ascii="宋体" w:hAnsi="宋体" w:eastAsia="宋体" w:cs="宋体"/>
          <w:sz w:val="22"/>
          <w:szCs w:val="22"/>
          <w:lang w:val="en-US" w:eastAsia="zh-CN"/>
        </w:rPr>
      </w:pPr>
      <w:r>
        <w:rPr>
          <w:rFonts w:ascii="宋体" w:hAnsi="宋体" w:eastAsia="宋体" w:cs="宋体"/>
          <w:sz w:val="22"/>
          <w:szCs w:val="22"/>
        </w:rPr>
        <w:t>(5)计划工期：</w:t>
      </w:r>
      <w:r>
        <w:rPr>
          <w:rFonts w:hint="eastAsia" w:ascii="宋体" w:hAnsi="宋体" w:eastAsia="宋体" w:cs="宋体"/>
          <w:sz w:val="22"/>
          <w:szCs w:val="22"/>
          <w:lang w:val="en-US" w:eastAsia="zh-CN"/>
        </w:rPr>
        <w:t>120日历天</w:t>
      </w:r>
    </w:p>
    <w:p>
      <w:pPr>
        <w:spacing w:before="132" w:line="295" w:lineRule="auto"/>
        <w:ind w:left="285" w:right="7104" w:rightChars="0"/>
        <w:rPr>
          <w:rFonts w:ascii="宋体" w:hAnsi="宋体" w:eastAsia="宋体" w:cs="宋体"/>
          <w:sz w:val="22"/>
          <w:szCs w:val="22"/>
        </w:rPr>
      </w:pPr>
      <w:r>
        <w:rPr>
          <w:rFonts w:ascii="宋体" w:hAnsi="宋体" w:eastAsia="宋体" w:cs="宋体"/>
          <w:sz w:val="22"/>
          <w:szCs w:val="22"/>
        </w:rPr>
        <w:t xml:space="preserve"> </w:t>
      </w:r>
      <w:r>
        <w:rPr>
          <w:rFonts w:ascii="宋体" w:hAnsi="宋体" w:eastAsia="宋体" w:cs="宋体"/>
          <w:spacing w:val="1"/>
          <w:sz w:val="22"/>
          <w:szCs w:val="22"/>
        </w:rPr>
        <w:t>2.2标段</w:t>
      </w:r>
      <w:r>
        <w:rPr>
          <w:rFonts w:hint="eastAsia" w:ascii="宋体" w:hAnsi="宋体" w:eastAsia="宋体" w:cs="宋体"/>
          <w:spacing w:val="1"/>
          <w:sz w:val="22"/>
          <w:szCs w:val="22"/>
          <w:lang w:val="en-US" w:eastAsia="zh-CN"/>
        </w:rPr>
        <w:t>划分</w:t>
      </w:r>
    </w:p>
    <w:p>
      <w:pPr>
        <w:spacing w:before="146" w:line="219" w:lineRule="auto"/>
        <w:ind w:left="285"/>
        <w:rPr>
          <w:rFonts w:ascii="宋体" w:hAnsi="宋体" w:eastAsia="宋体" w:cs="宋体"/>
          <w:sz w:val="22"/>
          <w:szCs w:val="22"/>
        </w:rPr>
      </w:pPr>
      <w:r>
        <w:rPr>
          <w:rFonts w:ascii="宋体" w:hAnsi="宋体" w:eastAsia="宋体" w:cs="宋体"/>
          <w:spacing w:val="-1"/>
          <w:sz w:val="22"/>
          <w:szCs w:val="22"/>
        </w:rPr>
        <w:t>本次招标共分</w:t>
      </w:r>
      <w:r>
        <w:rPr>
          <w:rFonts w:hint="eastAsia" w:ascii="宋体" w:hAnsi="宋体" w:eastAsia="宋体" w:cs="宋体"/>
          <w:spacing w:val="-1"/>
          <w:sz w:val="22"/>
          <w:szCs w:val="22"/>
          <w:lang w:val="en-US" w:eastAsia="zh-CN"/>
        </w:rPr>
        <w:t xml:space="preserve"> 1 </w:t>
      </w:r>
      <w:r>
        <w:rPr>
          <w:rFonts w:ascii="宋体" w:hAnsi="宋体" w:eastAsia="宋体" w:cs="宋体"/>
          <w:spacing w:val="-1"/>
          <w:sz w:val="22"/>
          <w:szCs w:val="22"/>
        </w:rPr>
        <w:t>个标段。具体见附件1。</w:t>
      </w:r>
    </w:p>
    <w:p>
      <w:pPr>
        <w:spacing w:line="217" w:lineRule="exact"/>
      </w:pPr>
    </w:p>
    <w:tbl>
      <w:tblPr>
        <w:tblStyle w:val="13"/>
        <w:tblW w:w="9504"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373"/>
        <w:gridCol w:w="1149"/>
        <w:gridCol w:w="960"/>
        <w:gridCol w:w="1477"/>
        <w:gridCol w:w="2925"/>
        <w:gridCol w:w="162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8" w:hRule="atLeast"/>
        </w:trPr>
        <w:tc>
          <w:tcPr>
            <w:tcW w:w="1373" w:type="dxa"/>
            <w:vAlign w:val="top"/>
          </w:tcPr>
          <w:p>
            <w:pPr>
              <w:spacing w:before="124" w:line="409" w:lineRule="exact"/>
              <w:ind w:left="464"/>
              <w:rPr>
                <w:rFonts w:ascii="宋体" w:hAnsi="宋体" w:eastAsia="宋体" w:cs="宋体"/>
                <w:sz w:val="21"/>
                <w:szCs w:val="21"/>
              </w:rPr>
            </w:pPr>
            <w:r>
              <w:rPr>
                <w:rFonts w:ascii="宋体" w:hAnsi="宋体" w:eastAsia="宋体" w:cs="宋体"/>
                <w:spacing w:val="-3"/>
                <w:position w:val="15"/>
                <w:sz w:val="21"/>
                <w:szCs w:val="21"/>
              </w:rPr>
              <w:t>标段</w:t>
            </w:r>
          </w:p>
          <w:p>
            <w:pPr>
              <w:spacing w:line="219" w:lineRule="auto"/>
              <w:ind w:left="464"/>
              <w:rPr>
                <w:rFonts w:ascii="宋体" w:hAnsi="宋体" w:eastAsia="宋体" w:cs="宋体"/>
                <w:sz w:val="21"/>
                <w:szCs w:val="21"/>
              </w:rPr>
            </w:pPr>
            <w:r>
              <w:rPr>
                <w:rFonts w:ascii="宋体" w:hAnsi="宋体" w:eastAsia="宋体" w:cs="宋体"/>
                <w:spacing w:val="8"/>
                <w:sz w:val="21"/>
                <w:szCs w:val="21"/>
              </w:rPr>
              <w:t>类别</w:t>
            </w:r>
          </w:p>
        </w:tc>
        <w:tc>
          <w:tcPr>
            <w:tcW w:w="1149" w:type="dxa"/>
            <w:vAlign w:val="top"/>
          </w:tcPr>
          <w:p>
            <w:pPr>
              <w:spacing w:before="304" w:line="220" w:lineRule="auto"/>
              <w:ind w:left="352"/>
              <w:rPr>
                <w:rFonts w:ascii="宋体" w:hAnsi="宋体" w:eastAsia="宋体" w:cs="宋体"/>
                <w:sz w:val="21"/>
                <w:szCs w:val="21"/>
              </w:rPr>
            </w:pPr>
            <w:r>
              <w:rPr>
                <w:rFonts w:ascii="宋体" w:hAnsi="宋体" w:eastAsia="宋体" w:cs="宋体"/>
                <w:spacing w:val="-3"/>
                <w:sz w:val="21"/>
                <w:szCs w:val="21"/>
              </w:rPr>
              <w:t>标段</w:t>
            </w:r>
          </w:p>
        </w:tc>
        <w:tc>
          <w:tcPr>
            <w:tcW w:w="960" w:type="dxa"/>
            <w:vAlign w:val="top"/>
          </w:tcPr>
          <w:p>
            <w:pPr>
              <w:spacing w:before="114" w:line="432" w:lineRule="exact"/>
              <w:ind w:left="246"/>
              <w:rPr>
                <w:rFonts w:ascii="宋体" w:hAnsi="宋体" w:eastAsia="宋体" w:cs="宋体"/>
                <w:sz w:val="21"/>
                <w:szCs w:val="21"/>
              </w:rPr>
            </w:pPr>
            <w:r>
              <w:rPr>
                <w:rFonts w:ascii="宋体" w:hAnsi="宋体" w:eastAsia="宋体" w:cs="宋体"/>
                <w:spacing w:val="6"/>
                <w:position w:val="16"/>
                <w:sz w:val="21"/>
                <w:szCs w:val="21"/>
              </w:rPr>
              <w:t>长度</w:t>
            </w:r>
          </w:p>
          <w:p>
            <w:pPr>
              <w:spacing w:line="222" w:lineRule="auto"/>
              <w:ind w:left="296"/>
              <w:rPr>
                <w:rFonts w:ascii="宋体" w:hAnsi="宋体" w:eastAsia="宋体" w:cs="宋体"/>
                <w:sz w:val="21"/>
                <w:szCs w:val="21"/>
              </w:rPr>
            </w:pPr>
            <w:r>
              <w:rPr>
                <w:rFonts w:ascii="宋体" w:hAnsi="宋体" w:eastAsia="宋体" w:cs="宋体"/>
                <w:spacing w:val="-11"/>
                <w:sz w:val="21"/>
                <w:szCs w:val="21"/>
              </w:rPr>
              <w:t>(m)</w:t>
            </w:r>
          </w:p>
        </w:tc>
        <w:tc>
          <w:tcPr>
            <w:tcW w:w="1477" w:type="dxa"/>
            <w:vAlign w:val="top"/>
          </w:tcPr>
          <w:p>
            <w:pPr>
              <w:spacing w:before="124" w:line="410" w:lineRule="exact"/>
              <w:ind w:left="117"/>
              <w:rPr>
                <w:rFonts w:ascii="宋体" w:hAnsi="宋体" w:eastAsia="宋体" w:cs="宋体"/>
                <w:spacing w:val="3"/>
                <w:position w:val="15"/>
                <w:sz w:val="21"/>
                <w:szCs w:val="21"/>
              </w:rPr>
            </w:pPr>
            <w:r>
              <w:rPr>
                <w:rFonts w:ascii="宋体" w:hAnsi="宋体" w:eastAsia="宋体" w:cs="宋体"/>
                <w:spacing w:val="3"/>
                <w:position w:val="15"/>
                <w:sz w:val="21"/>
                <w:szCs w:val="21"/>
              </w:rPr>
              <w:t>主要工</w:t>
            </w:r>
          </w:p>
          <w:p>
            <w:pPr>
              <w:spacing w:before="124" w:line="410" w:lineRule="exact"/>
              <w:ind w:left="117"/>
              <w:rPr>
                <w:rFonts w:ascii="宋体" w:hAnsi="宋体" w:eastAsia="宋体" w:cs="宋体"/>
                <w:sz w:val="21"/>
                <w:szCs w:val="21"/>
              </w:rPr>
            </w:pPr>
            <w:r>
              <w:rPr>
                <w:rFonts w:ascii="宋体" w:hAnsi="宋体" w:eastAsia="宋体" w:cs="宋体"/>
                <w:spacing w:val="3"/>
                <w:position w:val="15"/>
                <w:sz w:val="21"/>
                <w:szCs w:val="21"/>
              </w:rPr>
              <w:t>程项目</w:t>
            </w:r>
          </w:p>
        </w:tc>
        <w:tc>
          <w:tcPr>
            <w:tcW w:w="2925" w:type="dxa"/>
            <w:vAlign w:val="top"/>
          </w:tcPr>
          <w:p>
            <w:pPr>
              <w:spacing w:before="124" w:line="410" w:lineRule="exact"/>
              <w:ind w:left="117"/>
              <w:rPr>
                <w:rFonts w:ascii="宋体" w:hAnsi="宋体" w:eastAsia="宋体" w:cs="宋体"/>
                <w:sz w:val="21"/>
                <w:szCs w:val="21"/>
              </w:rPr>
            </w:pPr>
            <w:r>
              <w:rPr>
                <w:rFonts w:ascii="宋体" w:hAnsi="宋体" w:eastAsia="宋体" w:cs="宋体"/>
                <w:spacing w:val="3"/>
                <w:position w:val="15"/>
                <w:sz w:val="21"/>
                <w:szCs w:val="21"/>
              </w:rPr>
              <w:t>对投标人资</w:t>
            </w:r>
          </w:p>
          <w:p>
            <w:pPr>
              <w:spacing w:line="220" w:lineRule="auto"/>
              <w:ind w:left="337"/>
              <w:rPr>
                <w:rFonts w:ascii="宋体" w:hAnsi="宋体" w:eastAsia="宋体" w:cs="宋体"/>
                <w:sz w:val="21"/>
                <w:szCs w:val="21"/>
              </w:rPr>
            </w:pPr>
            <w:r>
              <w:rPr>
                <w:rFonts w:ascii="宋体" w:hAnsi="宋体" w:eastAsia="宋体" w:cs="宋体"/>
                <w:spacing w:val="-3"/>
                <w:sz w:val="21"/>
                <w:szCs w:val="21"/>
              </w:rPr>
              <w:t>质要求</w:t>
            </w:r>
          </w:p>
        </w:tc>
        <w:tc>
          <w:tcPr>
            <w:tcW w:w="1620" w:type="dxa"/>
            <w:vAlign w:val="top"/>
          </w:tcPr>
          <w:p>
            <w:pPr>
              <w:spacing w:before="304" w:line="221" w:lineRule="auto"/>
              <w:ind w:left="369"/>
              <w:rPr>
                <w:rFonts w:ascii="宋体" w:hAnsi="宋体" w:eastAsia="宋体" w:cs="宋体"/>
                <w:sz w:val="21"/>
                <w:szCs w:val="21"/>
              </w:rPr>
            </w:pPr>
            <w:r>
              <w:rPr>
                <w:rFonts w:ascii="宋体" w:hAnsi="宋体" w:eastAsia="宋体" w:cs="宋体"/>
                <w:spacing w:val="5"/>
                <w:sz w:val="21"/>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923" w:hRule="atLeast"/>
        </w:trPr>
        <w:tc>
          <w:tcPr>
            <w:tcW w:w="1373" w:type="dxa"/>
            <w:vAlign w:val="center"/>
          </w:tcPr>
          <w:p>
            <w:pPr>
              <w:spacing w:line="354" w:lineRule="auto"/>
              <w:jc w:val="center"/>
              <w:rPr>
                <w:rFonts w:ascii="Arial"/>
                <w:sz w:val="21"/>
              </w:rPr>
            </w:pPr>
          </w:p>
          <w:p>
            <w:pPr>
              <w:spacing w:before="126" w:line="398" w:lineRule="exact"/>
              <w:jc w:val="center"/>
              <w:rPr>
                <w:rFonts w:ascii="宋体" w:hAnsi="宋体" w:eastAsia="宋体" w:cs="宋体"/>
                <w:spacing w:val="3"/>
                <w:position w:val="14"/>
                <w:sz w:val="21"/>
                <w:szCs w:val="21"/>
              </w:rPr>
            </w:pPr>
            <w:r>
              <w:rPr>
                <w:rFonts w:ascii="宋体" w:hAnsi="宋体" w:eastAsia="宋体" w:cs="宋体"/>
                <w:spacing w:val="3"/>
                <w:position w:val="14"/>
                <w:sz w:val="21"/>
                <w:szCs w:val="21"/>
                <w:lang w:val="en-US" w:eastAsia="zh-CN"/>
              </w:rPr>
              <w:t>城康村东坑桥拆除重建</w:t>
            </w:r>
          </w:p>
          <w:p>
            <w:pPr>
              <w:spacing w:before="82" w:line="222" w:lineRule="auto"/>
              <w:ind w:left="575"/>
              <w:jc w:val="center"/>
              <w:rPr>
                <w:rFonts w:ascii="宋体" w:hAnsi="宋体" w:eastAsia="宋体" w:cs="宋体"/>
                <w:sz w:val="21"/>
                <w:szCs w:val="21"/>
              </w:rPr>
            </w:pPr>
          </w:p>
        </w:tc>
        <w:tc>
          <w:tcPr>
            <w:tcW w:w="1149" w:type="dxa"/>
            <w:vAlign w:val="center"/>
          </w:tcPr>
          <w:p>
            <w:pPr>
              <w:spacing w:line="268" w:lineRule="auto"/>
              <w:jc w:val="center"/>
              <w:rPr>
                <w:rFonts w:ascii="Arial"/>
                <w:sz w:val="21"/>
              </w:rPr>
            </w:pPr>
          </w:p>
          <w:p>
            <w:pPr>
              <w:spacing w:before="68" w:line="184" w:lineRule="auto"/>
              <w:ind w:left="512"/>
              <w:jc w:val="both"/>
              <w:rPr>
                <w:rFonts w:ascii="宋体" w:hAnsi="宋体" w:eastAsia="宋体" w:cs="宋体"/>
                <w:sz w:val="21"/>
                <w:szCs w:val="21"/>
              </w:rPr>
            </w:pPr>
            <w:r>
              <w:rPr>
                <w:rFonts w:ascii="宋体" w:hAnsi="宋体" w:eastAsia="宋体" w:cs="宋体"/>
                <w:sz w:val="21"/>
                <w:szCs w:val="21"/>
              </w:rPr>
              <w:t>1</w:t>
            </w:r>
          </w:p>
        </w:tc>
        <w:tc>
          <w:tcPr>
            <w:tcW w:w="960" w:type="dxa"/>
            <w:vAlign w:val="center"/>
          </w:tcPr>
          <w:p>
            <w:pPr>
              <w:spacing w:line="268" w:lineRule="auto"/>
              <w:jc w:val="center"/>
              <w:rPr>
                <w:rFonts w:ascii="Arial"/>
                <w:sz w:val="21"/>
              </w:rPr>
            </w:pPr>
          </w:p>
          <w:p>
            <w:pPr>
              <w:spacing w:before="69" w:line="183" w:lineRule="auto"/>
              <w:ind w:left="136" w:firstLine="210" w:firstLineChars="100"/>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26</w:t>
            </w:r>
          </w:p>
        </w:tc>
        <w:tc>
          <w:tcPr>
            <w:tcW w:w="1477" w:type="dxa"/>
            <w:vAlign w:val="center"/>
          </w:tcPr>
          <w:p>
            <w:pPr>
              <w:spacing w:before="126" w:line="398" w:lineRule="exact"/>
              <w:jc w:val="center"/>
              <w:rPr>
                <w:rFonts w:ascii="宋体" w:hAnsi="宋体" w:eastAsia="宋体" w:cs="宋体"/>
                <w:spacing w:val="3"/>
                <w:position w:val="14"/>
                <w:sz w:val="21"/>
                <w:szCs w:val="21"/>
              </w:rPr>
            </w:pPr>
          </w:p>
          <w:p>
            <w:pPr>
              <w:spacing w:before="126" w:line="398" w:lineRule="exact"/>
              <w:jc w:val="center"/>
              <w:rPr>
                <w:rFonts w:hint="default" w:ascii="宋体" w:hAnsi="宋体" w:eastAsia="宋体" w:cs="宋体"/>
                <w:spacing w:val="3"/>
                <w:position w:val="14"/>
                <w:sz w:val="21"/>
                <w:szCs w:val="21"/>
                <w:lang w:val="en-US"/>
              </w:rPr>
            </w:pPr>
            <w:r>
              <w:rPr>
                <w:rFonts w:ascii="宋体" w:hAnsi="宋体" w:eastAsia="宋体" w:cs="宋体"/>
                <w:spacing w:val="3"/>
                <w:position w:val="14"/>
                <w:sz w:val="21"/>
                <w:szCs w:val="21"/>
                <w:lang w:val="en-US" w:eastAsia="zh-CN"/>
              </w:rPr>
              <w:t>拆除重建</w:t>
            </w:r>
            <w:r>
              <w:rPr>
                <w:rFonts w:hint="eastAsia" w:ascii="宋体" w:hAnsi="宋体" w:eastAsia="宋体" w:cs="宋体"/>
                <w:spacing w:val="3"/>
                <w:position w:val="14"/>
                <w:sz w:val="21"/>
                <w:szCs w:val="21"/>
                <w:lang w:val="en-US" w:eastAsia="zh-CN"/>
              </w:rPr>
              <w:t>桥梁</w:t>
            </w:r>
          </w:p>
          <w:p>
            <w:pPr>
              <w:spacing w:before="126" w:line="398" w:lineRule="exact"/>
              <w:ind w:left="187"/>
              <w:jc w:val="center"/>
              <w:rPr>
                <w:rFonts w:ascii="宋体" w:hAnsi="宋体" w:eastAsia="宋体" w:cs="宋体"/>
                <w:spacing w:val="3"/>
                <w:position w:val="14"/>
                <w:sz w:val="21"/>
                <w:szCs w:val="21"/>
              </w:rPr>
            </w:pPr>
          </w:p>
        </w:tc>
        <w:tc>
          <w:tcPr>
            <w:tcW w:w="2925" w:type="dxa"/>
            <w:vAlign w:val="center"/>
          </w:tcPr>
          <w:p>
            <w:pPr>
              <w:spacing w:before="126" w:line="398" w:lineRule="exact"/>
              <w:ind w:left="187"/>
              <w:jc w:val="center"/>
              <w:rPr>
                <w:rFonts w:ascii="宋体" w:hAnsi="宋体" w:eastAsia="宋体" w:cs="宋体"/>
                <w:spacing w:val="3"/>
                <w:position w:val="14"/>
                <w:sz w:val="21"/>
                <w:szCs w:val="21"/>
              </w:rPr>
            </w:pPr>
            <w:r>
              <w:rPr>
                <w:rFonts w:ascii="宋体" w:hAnsi="宋体" w:eastAsia="宋体" w:cs="宋体"/>
                <w:spacing w:val="3"/>
                <w:position w:val="14"/>
                <w:sz w:val="21"/>
                <w:szCs w:val="21"/>
                <w:lang w:val="en-US" w:eastAsia="zh-CN"/>
              </w:rPr>
              <w:t>具备建设行政主管部门核发的公路工程施工总承包三级或以上资质</w:t>
            </w:r>
          </w:p>
        </w:tc>
        <w:tc>
          <w:tcPr>
            <w:tcW w:w="1620" w:type="dxa"/>
            <w:vAlign w:val="top"/>
          </w:tcPr>
          <w:p>
            <w:pPr>
              <w:spacing w:line="294" w:lineRule="auto"/>
              <w:jc w:val="center"/>
              <w:rPr>
                <w:rFonts w:ascii="Arial"/>
                <w:sz w:val="21"/>
              </w:rPr>
            </w:pPr>
          </w:p>
          <w:p>
            <w:pPr>
              <w:spacing w:line="295" w:lineRule="auto"/>
              <w:jc w:val="center"/>
              <w:rPr>
                <w:rFonts w:ascii="Arial"/>
                <w:sz w:val="21"/>
              </w:rPr>
            </w:pPr>
          </w:p>
          <w:p>
            <w:pPr>
              <w:spacing w:before="69" w:line="250" w:lineRule="auto"/>
              <w:ind w:left="109" w:right="203"/>
              <w:jc w:val="center"/>
              <w:rPr>
                <w:rFonts w:ascii="宋体" w:hAnsi="宋体" w:eastAsia="宋体" w:cs="宋体"/>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92" w:hRule="atLeast"/>
        </w:trPr>
        <w:tc>
          <w:tcPr>
            <w:tcW w:w="1373" w:type="dxa"/>
            <w:vAlign w:val="center"/>
          </w:tcPr>
          <w:p>
            <w:pPr>
              <w:spacing w:before="82" w:line="222" w:lineRule="auto"/>
              <w:jc w:val="center"/>
              <w:rPr>
                <w:rFonts w:hint="eastAsia"/>
                <w:lang w:val="en-US" w:eastAsia="zh-CN"/>
              </w:rPr>
            </w:pPr>
          </w:p>
          <w:p>
            <w:pPr>
              <w:pStyle w:val="10"/>
              <w:rPr>
                <w:rFonts w:hint="eastAsia"/>
                <w:lang w:val="en-US" w:eastAsia="zh-CN"/>
              </w:rPr>
            </w:pPr>
          </w:p>
          <w:p>
            <w:pPr>
              <w:spacing w:before="82" w:line="222" w:lineRule="auto"/>
              <w:jc w:val="both"/>
              <w:rPr>
                <w:rFonts w:hint="eastAsia"/>
                <w:lang w:val="en-US" w:eastAsia="zh-CN"/>
              </w:rPr>
            </w:pPr>
            <w:r>
              <w:rPr>
                <w:rFonts w:hint="eastAsia"/>
                <w:lang w:val="en-US" w:eastAsia="zh-CN"/>
              </w:rPr>
              <w:t>新开村邦塘桥新建砼路面</w:t>
            </w:r>
          </w:p>
          <w:p>
            <w:pPr>
              <w:pStyle w:val="10"/>
              <w:rPr>
                <w:rFonts w:hint="eastAsia" w:ascii="宋体" w:hAnsi="宋体" w:eastAsia="宋体" w:cs="宋体"/>
                <w:spacing w:val="3"/>
                <w:position w:val="14"/>
                <w:sz w:val="21"/>
                <w:szCs w:val="21"/>
                <w:lang w:val="en-US" w:eastAsia="zh-CN"/>
              </w:rPr>
            </w:pPr>
          </w:p>
          <w:p>
            <w:pPr>
              <w:pStyle w:val="10"/>
              <w:rPr>
                <w:rFonts w:hint="eastAsia" w:ascii="宋体" w:hAnsi="宋体" w:eastAsia="宋体" w:cs="宋体"/>
                <w:spacing w:val="3"/>
                <w:position w:val="14"/>
                <w:sz w:val="21"/>
                <w:szCs w:val="21"/>
                <w:lang w:val="en-US" w:eastAsia="zh-CN"/>
              </w:rPr>
            </w:pPr>
          </w:p>
        </w:tc>
        <w:tc>
          <w:tcPr>
            <w:tcW w:w="1149" w:type="dxa"/>
            <w:vAlign w:val="center"/>
          </w:tcPr>
          <w:p>
            <w:pPr>
              <w:spacing w:before="68" w:line="184" w:lineRule="auto"/>
              <w:jc w:val="center"/>
              <w:rPr>
                <w:rFonts w:hint="eastAsia" w:ascii="宋体" w:hAnsi="宋体" w:eastAsia="宋体" w:cs="宋体"/>
                <w:sz w:val="21"/>
                <w:szCs w:val="21"/>
                <w:lang w:val="en-US" w:eastAsia="zh-CN"/>
              </w:rPr>
            </w:pPr>
          </w:p>
          <w:p>
            <w:pPr>
              <w:spacing w:before="68" w:line="184" w:lineRule="auto"/>
              <w:ind w:left="512"/>
              <w:jc w:val="center"/>
              <w:rPr>
                <w:rFonts w:hint="eastAsia" w:ascii="宋体" w:hAnsi="宋体" w:eastAsia="宋体" w:cs="宋体"/>
                <w:sz w:val="21"/>
                <w:szCs w:val="21"/>
                <w:lang w:val="en-US" w:eastAsia="zh-CN"/>
              </w:rPr>
            </w:pPr>
          </w:p>
          <w:p>
            <w:pPr>
              <w:spacing w:before="68" w:line="184" w:lineRule="auto"/>
              <w:ind w:left="512"/>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w:t>
            </w:r>
          </w:p>
        </w:tc>
        <w:tc>
          <w:tcPr>
            <w:tcW w:w="960" w:type="dxa"/>
            <w:vAlign w:val="center"/>
          </w:tcPr>
          <w:p>
            <w:pPr>
              <w:spacing w:before="69" w:line="183" w:lineRule="auto"/>
              <w:jc w:val="center"/>
              <w:rPr>
                <w:rFonts w:hint="eastAsia" w:ascii="宋体" w:hAnsi="宋体" w:eastAsia="宋体" w:cs="宋体"/>
                <w:sz w:val="21"/>
                <w:szCs w:val="21"/>
                <w:lang w:val="en-US" w:eastAsia="zh-CN"/>
              </w:rPr>
            </w:pPr>
          </w:p>
          <w:p>
            <w:pPr>
              <w:spacing w:before="69" w:line="183" w:lineRule="auto"/>
              <w:ind w:left="136" w:firstLine="210" w:firstLineChars="100"/>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70</w:t>
            </w:r>
          </w:p>
        </w:tc>
        <w:tc>
          <w:tcPr>
            <w:tcW w:w="1477" w:type="dxa"/>
            <w:vAlign w:val="center"/>
          </w:tcPr>
          <w:p>
            <w:pPr>
              <w:spacing w:before="126" w:line="398" w:lineRule="exact"/>
              <w:ind w:firstLine="196" w:firstLineChars="100"/>
              <w:jc w:val="center"/>
              <w:rPr>
                <w:rFonts w:ascii="宋体" w:hAnsi="宋体" w:eastAsia="宋体" w:cs="宋体"/>
                <w:spacing w:val="3"/>
                <w:position w:val="14"/>
                <w:sz w:val="21"/>
                <w:szCs w:val="21"/>
              </w:rPr>
            </w:pPr>
            <w:r>
              <w:rPr>
                <w:rFonts w:hint="eastAsia" w:ascii="宋体" w:hAnsi="宋体" w:eastAsia="宋体" w:cs="宋体"/>
                <w:spacing w:val="-12"/>
                <w:sz w:val="22"/>
                <w:szCs w:val="22"/>
                <w:lang w:val="en-US" w:eastAsia="zh-CN"/>
              </w:rPr>
              <w:t>新建砼路面</w:t>
            </w:r>
          </w:p>
        </w:tc>
        <w:tc>
          <w:tcPr>
            <w:tcW w:w="2925" w:type="dxa"/>
            <w:vAlign w:val="center"/>
          </w:tcPr>
          <w:p>
            <w:pPr>
              <w:spacing w:before="126" w:line="398" w:lineRule="exact"/>
              <w:ind w:left="187"/>
              <w:jc w:val="center"/>
              <w:rPr>
                <w:rFonts w:ascii="宋体" w:hAnsi="宋体" w:eastAsia="宋体" w:cs="宋体"/>
                <w:spacing w:val="3"/>
                <w:position w:val="14"/>
                <w:sz w:val="21"/>
                <w:szCs w:val="21"/>
              </w:rPr>
            </w:pPr>
            <w:r>
              <w:rPr>
                <w:rFonts w:ascii="宋体" w:hAnsi="宋体" w:eastAsia="宋体" w:cs="宋体"/>
                <w:spacing w:val="3"/>
                <w:position w:val="14"/>
                <w:sz w:val="21"/>
                <w:szCs w:val="21"/>
                <w:lang w:val="en-US" w:eastAsia="zh-CN"/>
              </w:rPr>
              <w:t>具备建设行政主管部门核发的公路工程施工总承包三级或以上资质</w:t>
            </w:r>
          </w:p>
        </w:tc>
        <w:tc>
          <w:tcPr>
            <w:tcW w:w="1620" w:type="dxa"/>
            <w:vAlign w:val="top"/>
          </w:tcPr>
          <w:p>
            <w:pPr>
              <w:spacing w:before="69" w:line="250" w:lineRule="auto"/>
              <w:ind w:left="109" w:right="203"/>
              <w:jc w:val="center"/>
              <w:rPr>
                <w:rFonts w:ascii="宋体" w:hAnsi="宋体" w:eastAsia="宋体" w:cs="宋体"/>
                <w:sz w:val="21"/>
                <w:szCs w:val="21"/>
              </w:rPr>
            </w:pPr>
          </w:p>
        </w:tc>
      </w:tr>
    </w:tbl>
    <w:p>
      <w:pPr>
        <w:spacing w:before="180" w:line="217" w:lineRule="auto"/>
        <w:ind w:left="285"/>
        <w:rPr>
          <w:rFonts w:ascii="宋体" w:hAnsi="宋体" w:eastAsia="宋体" w:cs="宋体"/>
          <w:sz w:val="18"/>
          <w:szCs w:val="18"/>
        </w:rPr>
      </w:pPr>
      <w:r>
        <w:rPr>
          <w:rFonts w:ascii="宋体" w:hAnsi="宋体" w:eastAsia="宋体" w:cs="宋体"/>
          <w:sz w:val="18"/>
          <w:szCs w:val="18"/>
        </w:rPr>
        <w:t>注：①具体工程数量以招标文件工程量清单为准。</w:t>
      </w:r>
    </w:p>
    <w:p>
      <w:pPr>
        <w:spacing w:before="69" w:line="219" w:lineRule="auto"/>
        <w:ind w:left="3"/>
        <w:outlineLvl w:val="0"/>
        <w:rPr>
          <w:rFonts w:ascii="宋体" w:hAnsi="宋体" w:eastAsia="宋体" w:cs="宋体"/>
          <w:b/>
          <w:bCs/>
          <w:spacing w:val="7"/>
          <w:sz w:val="21"/>
          <w:szCs w:val="21"/>
        </w:rPr>
      </w:pPr>
    </w:p>
    <w:p>
      <w:pPr>
        <w:spacing w:before="69" w:line="219" w:lineRule="auto"/>
        <w:ind w:left="3"/>
        <w:outlineLvl w:val="0"/>
        <w:rPr>
          <w:rFonts w:ascii="宋体" w:hAnsi="宋体" w:eastAsia="宋体" w:cs="宋体"/>
          <w:b/>
          <w:bCs/>
          <w:spacing w:val="7"/>
          <w:sz w:val="21"/>
          <w:szCs w:val="21"/>
        </w:rPr>
      </w:pPr>
      <w:r>
        <w:rPr>
          <w:rFonts w:ascii="宋体" w:hAnsi="宋体" w:eastAsia="宋体" w:cs="宋体"/>
          <w:b/>
          <w:bCs/>
          <w:spacing w:val="7"/>
          <w:sz w:val="21"/>
          <w:szCs w:val="21"/>
        </w:rPr>
        <w:t>3.投标人资格要求</w:t>
      </w:r>
    </w:p>
    <w:p>
      <w:pPr>
        <w:spacing w:before="57" w:line="360" w:lineRule="auto"/>
        <w:ind w:left="409"/>
        <w:rPr>
          <w:rFonts w:ascii="宋体" w:hAnsi="宋体" w:eastAsia="宋体" w:cs="宋体"/>
          <w:sz w:val="21"/>
          <w:szCs w:val="21"/>
        </w:rPr>
      </w:pPr>
      <w:r>
        <w:rPr>
          <w:rFonts w:ascii="宋体" w:hAnsi="宋体" w:eastAsia="宋体" w:cs="宋体"/>
          <w:sz w:val="21"/>
          <w:szCs w:val="21"/>
        </w:rPr>
        <w:t>3.1投标人参加投标的意思表达清楚，法定代表人证明书及投标人代表被授权有效；</w:t>
      </w:r>
    </w:p>
    <w:p>
      <w:pPr>
        <w:spacing w:before="57" w:line="360" w:lineRule="auto"/>
        <w:ind w:left="409"/>
        <w:rPr>
          <w:rFonts w:ascii="宋体" w:hAnsi="宋体" w:eastAsia="宋体" w:cs="宋体"/>
          <w:sz w:val="21"/>
          <w:szCs w:val="21"/>
        </w:rPr>
      </w:pPr>
      <w:r>
        <w:rPr>
          <w:rFonts w:ascii="宋体" w:hAnsi="宋体" w:eastAsia="宋体" w:cs="宋体"/>
          <w:sz w:val="21"/>
          <w:szCs w:val="21"/>
        </w:rPr>
        <w:t>3.2投标人均具有中华人民共和国注册的独立法人资格，持有工商行政管理部门核发的法人营业执</w:t>
      </w:r>
    </w:p>
    <w:p>
      <w:pPr>
        <w:spacing w:before="57" w:line="360" w:lineRule="auto"/>
        <w:ind w:left="409"/>
        <w:rPr>
          <w:rFonts w:ascii="宋体" w:hAnsi="宋体" w:eastAsia="宋体" w:cs="宋体"/>
          <w:sz w:val="21"/>
          <w:szCs w:val="21"/>
        </w:rPr>
      </w:pPr>
      <w:r>
        <w:rPr>
          <w:rFonts w:ascii="宋体" w:hAnsi="宋体" w:eastAsia="宋体" w:cs="宋体"/>
          <w:sz w:val="21"/>
          <w:szCs w:val="21"/>
        </w:rPr>
        <w:t>照或各级政府事业单位登记管理机构颁发的事业单位法人证书，按国家法律经营；</w:t>
      </w:r>
    </w:p>
    <w:p>
      <w:pPr>
        <w:spacing w:before="57" w:line="360" w:lineRule="auto"/>
        <w:ind w:left="409"/>
        <w:rPr>
          <w:rFonts w:ascii="宋体" w:hAnsi="宋体" w:eastAsia="宋体" w:cs="宋体"/>
          <w:sz w:val="21"/>
          <w:szCs w:val="21"/>
        </w:rPr>
      </w:pPr>
      <w:r>
        <w:rPr>
          <w:rFonts w:ascii="宋体" w:hAnsi="宋体" w:eastAsia="宋体" w:cs="宋体"/>
          <w:sz w:val="21"/>
          <w:szCs w:val="21"/>
        </w:rPr>
        <w:t>3.3投标人应满足本公告附件1中所列相应资质、财务、业绩、信誉、人员的要求；</w:t>
      </w:r>
    </w:p>
    <w:p>
      <w:pPr>
        <w:spacing w:before="57" w:line="360" w:lineRule="auto"/>
        <w:ind w:left="409"/>
        <w:rPr>
          <w:rFonts w:ascii="宋体" w:hAnsi="宋体" w:eastAsia="宋体" w:cs="宋体"/>
          <w:sz w:val="21"/>
          <w:szCs w:val="21"/>
        </w:rPr>
      </w:pPr>
      <w:r>
        <w:rPr>
          <w:rFonts w:ascii="宋体" w:hAnsi="宋体" w:eastAsia="宋体" w:cs="宋体"/>
          <w:sz w:val="21"/>
          <w:szCs w:val="21"/>
        </w:rPr>
        <w:t>3.4投标人应进入交通运输部“全国公路建设市场信用信息管理系统(</w:t>
      </w:r>
      <w:r>
        <w:rPr>
          <w:rFonts w:ascii="宋体" w:hAnsi="宋体" w:eastAsia="宋体" w:cs="宋体"/>
          <w:sz w:val="21"/>
          <w:szCs w:val="21"/>
        </w:rPr>
        <w:fldChar w:fldCharType="begin"/>
      </w:r>
      <w:r>
        <w:rPr>
          <w:rFonts w:ascii="宋体" w:hAnsi="宋体" w:eastAsia="宋体" w:cs="宋体"/>
          <w:sz w:val="21"/>
          <w:szCs w:val="21"/>
        </w:rPr>
        <w:instrText xml:space="preserve"> HYPERLINK "http://glxy.mot.gov.cn" </w:instrText>
      </w:r>
      <w:r>
        <w:rPr>
          <w:rFonts w:ascii="宋体" w:hAnsi="宋体" w:eastAsia="宋体" w:cs="宋体"/>
          <w:sz w:val="21"/>
          <w:szCs w:val="21"/>
        </w:rPr>
        <w:fldChar w:fldCharType="separate"/>
      </w:r>
      <w:r>
        <w:rPr>
          <w:rFonts w:ascii="宋体" w:hAnsi="宋体" w:eastAsia="宋体" w:cs="宋体"/>
          <w:sz w:val="21"/>
          <w:szCs w:val="21"/>
        </w:rPr>
        <w:t>http://glxy.mot.gov.cn</w:t>
      </w:r>
      <w:r>
        <w:rPr>
          <w:rFonts w:ascii="宋体" w:hAnsi="宋体" w:eastAsia="宋体" w:cs="宋体"/>
          <w:sz w:val="21"/>
          <w:szCs w:val="21"/>
        </w:rPr>
        <w:fldChar w:fldCharType="end"/>
      </w:r>
      <w:r>
        <w:rPr>
          <w:rFonts w:ascii="宋体" w:hAnsi="宋体" w:eastAsia="宋体" w:cs="宋体"/>
          <w:sz w:val="21"/>
          <w:szCs w:val="21"/>
        </w:rPr>
        <w:t>)”</w:t>
      </w:r>
    </w:p>
    <w:p>
      <w:pPr>
        <w:spacing w:before="57" w:line="360" w:lineRule="auto"/>
        <w:ind w:left="409"/>
      </w:pPr>
      <w:r>
        <w:rPr>
          <w:rFonts w:ascii="宋体" w:hAnsi="宋体" w:eastAsia="宋体" w:cs="宋体"/>
          <w:sz w:val="21"/>
          <w:szCs w:val="21"/>
        </w:rPr>
        <w:t>中的公路工程施工资质企业名录，且投标人名称和资质与该名录中的相应企业名称和资质完全一致；</w:t>
      </w:r>
    </w:p>
    <w:p>
      <w:pPr>
        <w:spacing w:before="57" w:line="360" w:lineRule="auto"/>
        <w:ind w:left="409"/>
        <w:rPr>
          <w:rFonts w:ascii="宋体" w:hAnsi="宋体" w:eastAsia="宋体" w:cs="宋体"/>
          <w:sz w:val="21"/>
          <w:szCs w:val="21"/>
        </w:rPr>
      </w:pPr>
      <w:r>
        <w:rPr>
          <w:rFonts w:ascii="宋体" w:hAnsi="宋体" w:eastAsia="宋体" w:cs="宋体"/>
          <w:sz w:val="21"/>
          <w:szCs w:val="21"/>
        </w:rPr>
        <w:t>3.5本次招标不接受联合体投标；</w:t>
      </w:r>
    </w:p>
    <w:p>
      <w:pPr>
        <w:spacing w:before="57" w:line="360" w:lineRule="auto"/>
        <w:ind w:left="409"/>
        <w:rPr>
          <w:rFonts w:ascii="宋体" w:hAnsi="宋体" w:eastAsia="宋体" w:cs="宋体"/>
          <w:sz w:val="21"/>
          <w:szCs w:val="21"/>
        </w:rPr>
      </w:pPr>
      <w:r>
        <w:rPr>
          <w:rFonts w:ascii="宋体" w:hAnsi="宋体" w:eastAsia="宋体" w:cs="宋体"/>
          <w:sz w:val="21"/>
          <w:szCs w:val="21"/>
        </w:rPr>
        <w:t>3.6与招标人存在利害关系可能影响招标公正性的法人，不得参加投标；若单位负责人为同一人、</w:t>
      </w:r>
    </w:p>
    <w:p>
      <w:pPr>
        <w:spacing w:before="57" w:line="360" w:lineRule="auto"/>
        <w:ind w:left="409"/>
        <w:rPr>
          <w:rFonts w:ascii="宋体" w:hAnsi="宋体" w:eastAsia="宋体" w:cs="宋体"/>
          <w:sz w:val="21"/>
          <w:szCs w:val="21"/>
        </w:rPr>
      </w:pPr>
      <w:r>
        <w:rPr>
          <w:rFonts w:ascii="宋体" w:hAnsi="宋体" w:eastAsia="宋体" w:cs="宋体"/>
          <w:sz w:val="21"/>
          <w:szCs w:val="21"/>
        </w:rPr>
        <w:t>或者存在控股、管理关系的不同单位，不得参加同一标段投标或者未划分标段的同一招标项目投标；</w:t>
      </w:r>
    </w:p>
    <w:p>
      <w:pPr>
        <w:spacing w:before="57" w:line="360" w:lineRule="auto"/>
        <w:ind w:left="409"/>
        <w:rPr>
          <w:rFonts w:ascii="宋体" w:hAnsi="宋体" w:eastAsia="宋体" w:cs="宋体"/>
          <w:sz w:val="21"/>
          <w:szCs w:val="21"/>
        </w:rPr>
      </w:pPr>
      <w:r>
        <w:rPr>
          <w:rFonts w:ascii="宋体" w:hAnsi="宋体" w:eastAsia="宋体" w:cs="宋体"/>
          <w:sz w:val="21"/>
          <w:szCs w:val="21"/>
        </w:rPr>
        <w:t>(注：1、单位负责人是指单位的法定代表人或者法律、行政法规规定代表单位行使职权的主要负  责人。2、控股是指：股份占股份有限公司股本总额的50%以上的绝对控股、相对控股或协议控股。3、管理关系是指不具有出资持股关系的其它单位之间存在的管理与被管理关系。)</w:t>
      </w:r>
    </w:p>
    <w:p>
      <w:pPr>
        <w:spacing w:before="57" w:line="360" w:lineRule="auto"/>
        <w:ind w:left="409"/>
        <w:rPr>
          <w:rFonts w:ascii="宋体" w:hAnsi="宋体" w:eastAsia="宋体" w:cs="宋体"/>
          <w:sz w:val="21"/>
          <w:szCs w:val="21"/>
        </w:rPr>
      </w:pPr>
      <w:r>
        <w:rPr>
          <w:rFonts w:ascii="宋体" w:hAnsi="宋体" w:eastAsia="宋体" w:cs="宋体"/>
          <w:sz w:val="21"/>
          <w:szCs w:val="21"/>
        </w:rPr>
        <w:t>3.7在“信用中国”网站(</w:t>
      </w:r>
      <w:r>
        <w:rPr>
          <w:rFonts w:ascii="宋体" w:hAnsi="宋体" w:eastAsia="宋体" w:cs="宋体"/>
          <w:sz w:val="21"/>
          <w:szCs w:val="21"/>
        </w:rPr>
        <w:fldChar w:fldCharType="begin"/>
      </w:r>
      <w:r>
        <w:rPr>
          <w:rFonts w:ascii="宋体" w:hAnsi="宋体" w:eastAsia="宋体" w:cs="宋体"/>
          <w:sz w:val="21"/>
          <w:szCs w:val="21"/>
        </w:rPr>
        <w:instrText xml:space="preserve"> HYPERLINK "http://www.creditchina.gov.cn/" </w:instrText>
      </w:r>
      <w:r>
        <w:rPr>
          <w:rFonts w:ascii="宋体" w:hAnsi="宋体" w:eastAsia="宋体" w:cs="宋体"/>
          <w:sz w:val="21"/>
          <w:szCs w:val="21"/>
        </w:rPr>
        <w:fldChar w:fldCharType="separate"/>
      </w:r>
      <w:r>
        <w:rPr>
          <w:rFonts w:ascii="宋体" w:hAnsi="宋体" w:eastAsia="宋体" w:cs="宋体"/>
          <w:sz w:val="21"/>
          <w:szCs w:val="21"/>
        </w:rPr>
        <w:t>http://www.creditchina.gov.cn/</w:t>
      </w:r>
      <w:r>
        <w:rPr>
          <w:rFonts w:ascii="宋体" w:hAnsi="宋体" w:eastAsia="宋体" w:cs="宋体"/>
          <w:sz w:val="21"/>
          <w:szCs w:val="21"/>
        </w:rPr>
        <w:fldChar w:fldCharType="end"/>
      </w:r>
      <w:r>
        <w:rPr>
          <w:rFonts w:ascii="宋体" w:hAnsi="宋体" w:eastAsia="宋体" w:cs="宋体"/>
          <w:sz w:val="21"/>
          <w:szCs w:val="21"/>
        </w:rPr>
        <w:t>)中被列入失信被执行人名单的投标人， 在国家企业信用信息公示系统(</w:t>
      </w:r>
      <w:r>
        <w:rPr>
          <w:rFonts w:ascii="宋体" w:hAnsi="宋体" w:eastAsia="宋体" w:cs="宋体"/>
          <w:sz w:val="21"/>
          <w:szCs w:val="21"/>
        </w:rPr>
        <w:fldChar w:fldCharType="begin"/>
      </w:r>
      <w:r>
        <w:rPr>
          <w:rFonts w:ascii="宋体" w:hAnsi="宋体" w:eastAsia="宋体" w:cs="宋体"/>
          <w:sz w:val="21"/>
          <w:szCs w:val="21"/>
        </w:rPr>
        <w:instrText xml:space="preserve"> HYPERLINK "http://www.gsxt.gov.cn/index.html" </w:instrText>
      </w:r>
      <w:r>
        <w:rPr>
          <w:rFonts w:ascii="宋体" w:hAnsi="宋体" w:eastAsia="宋体" w:cs="宋体"/>
          <w:sz w:val="21"/>
          <w:szCs w:val="21"/>
        </w:rPr>
        <w:fldChar w:fldCharType="separate"/>
      </w:r>
      <w:r>
        <w:rPr>
          <w:rFonts w:ascii="宋体" w:hAnsi="宋体" w:eastAsia="宋体" w:cs="宋体"/>
          <w:sz w:val="21"/>
          <w:szCs w:val="21"/>
        </w:rPr>
        <w:t>http://www.gsxt.gov.cn/index.html</w:t>
      </w:r>
      <w:r>
        <w:rPr>
          <w:rFonts w:ascii="宋体" w:hAnsi="宋体" w:eastAsia="宋体" w:cs="宋体"/>
          <w:sz w:val="21"/>
          <w:szCs w:val="21"/>
        </w:rPr>
        <w:fldChar w:fldCharType="end"/>
      </w:r>
      <w:r>
        <w:rPr>
          <w:rFonts w:ascii="宋体" w:hAnsi="宋体" w:eastAsia="宋体" w:cs="宋体"/>
          <w:sz w:val="21"/>
          <w:szCs w:val="21"/>
        </w:rPr>
        <w:t>) 中被列入严重违法失信企业名单的投标人。</w:t>
      </w:r>
    </w:p>
    <w:p>
      <w:pPr>
        <w:spacing w:before="57" w:line="219" w:lineRule="auto"/>
        <w:ind w:left="409"/>
        <w:rPr>
          <w:rFonts w:ascii="宋体" w:hAnsi="宋体" w:eastAsia="宋体" w:cs="宋体"/>
          <w:sz w:val="21"/>
          <w:szCs w:val="21"/>
        </w:rPr>
      </w:pPr>
    </w:p>
    <w:p>
      <w:pPr>
        <w:spacing w:before="69" w:line="219" w:lineRule="auto"/>
        <w:ind w:left="3"/>
        <w:outlineLvl w:val="0"/>
        <w:rPr>
          <w:rFonts w:ascii="宋体" w:hAnsi="宋体" w:eastAsia="宋体" w:cs="宋体"/>
          <w:sz w:val="21"/>
          <w:szCs w:val="21"/>
        </w:rPr>
      </w:pPr>
      <w:r>
        <w:rPr>
          <w:rFonts w:ascii="宋体" w:hAnsi="宋体" w:eastAsia="宋体" w:cs="宋体"/>
          <w:b/>
          <w:bCs/>
          <w:spacing w:val="7"/>
          <w:sz w:val="21"/>
          <w:szCs w:val="21"/>
        </w:rPr>
        <w:t>4.投标登记及招标文件的获取</w:t>
      </w:r>
    </w:p>
    <w:p>
      <w:pPr>
        <w:keepNext w:val="0"/>
        <w:keepLines w:val="0"/>
        <w:pageBreakBefore w:val="0"/>
        <w:widowControl w:val="0"/>
        <w:numPr>
          <w:ilvl w:val="1"/>
          <w:numId w:val="1"/>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Cs w:val="21"/>
          <w:lang w:val="en-US" w:eastAsia="zh-CN"/>
        </w:rPr>
      </w:pPr>
      <w:r>
        <w:rPr>
          <w:rFonts w:hint="eastAsia" w:ascii="宋体" w:hAnsi="宋体" w:eastAsia="宋体" w:cs="宋体"/>
          <w:szCs w:val="21"/>
          <w:lang w:val="en-US" w:eastAsia="zh-CN"/>
        </w:rPr>
        <w:t>凡有意参加投标者，请于2023年</w:t>
      </w:r>
      <w:r>
        <w:rPr>
          <w:rFonts w:hint="eastAsia" w:ascii="宋体" w:hAnsi="宋体" w:eastAsia="宋体" w:cs="宋体"/>
          <w:szCs w:val="21"/>
          <w:u w:val="single"/>
          <w:lang w:val="en-US" w:eastAsia="zh-CN"/>
        </w:rPr>
        <w:t xml:space="preserve">   </w:t>
      </w:r>
      <w:r>
        <w:rPr>
          <w:rFonts w:hint="eastAsia" w:ascii="宋体" w:hAnsi="宋体" w:eastAsia="宋体" w:cs="宋体"/>
          <w:szCs w:val="21"/>
          <w:lang w:val="en-US" w:eastAsia="zh-CN"/>
        </w:rPr>
        <w:t>月</w:t>
      </w:r>
      <w:r>
        <w:rPr>
          <w:rFonts w:hint="eastAsia" w:ascii="宋体" w:hAnsi="宋体" w:eastAsia="宋体" w:cs="宋体"/>
          <w:szCs w:val="21"/>
          <w:u w:val="single"/>
          <w:lang w:val="en-US" w:eastAsia="zh-CN"/>
        </w:rPr>
        <w:t xml:space="preserve">   </w:t>
      </w:r>
      <w:r>
        <w:rPr>
          <w:rFonts w:hint="eastAsia" w:ascii="宋体" w:hAnsi="宋体" w:eastAsia="宋体" w:cs="宋体"/>
          <w:szCs w:val="21"/>
          <w:lang w:val="en-US" w:eastAsia="zh-CN"/>
        </w:rPr>
        <w:t>日00时00分至2023年</w:t>
      </w:r>
      <w:r>
        <w:rPr>
          <w:rFonts w:hint="eastAsia" w:ascii="宋体" w:hAnsi="宋体" w:eastAsia="宋体" w:cs="宋体"/>
          <w:szCs w:val="21"/>
          <w:u w:val="single"/>
          <w:lang w:val="en-US" w:eastAsia="zh-CN"/>
        </w:rPr>
        <w:t xml:space="preserve">   </w:t>
      </w:r>
      <w:r>
        <w:rPr>
          <w:rFonts w:hint="eastAsia" w:ascii="宋体" w:hAnsi="宋体" w:eastAsia="宋体" w:cs="宋体"/>
          <w:szCs w:val="21"/>
          <w:lang w:val="en-US" w:eastAsia="zh-CN"/>
        </w:rPr>
        <w:t>月</w:t>
      </w:r>
      <w:r>
        <w:rPr>
          <w:rFonts w:hint="eastAsia" w:ascii="宋体" w:hAnsi="宋体" w:eastAsia="宋体" w:cs="宋体"/>
          <w:szCs w:val="21"/>
          <w:u w:val="single"/>
          <w:lang w:val="en-US" w:eastAsia="zh-CN"/>
        </w:rPr>
        <w:t xml:space="preserve">   </w:t>
      </w:r>
      <w:r>
        <w:rPr>
          <w:rFonts w:hint="eastAsia" w:ascii="宋体" w:hAnsi="宋体" w:eastAsia="宋体" w:cs="宋体"/>
          <w:szCs w:val="21"/>
          <w:lang w:val="en-US" w:eastAsia="zh-CN"/>
        </w:rPr>
        <w:t>日18时00分登录广州公共资源交易中心网站（http://www.gzggzy.cn/）进行网上投标登记，同时将相关资料（见4.2项）盖单位公章彩色扫描件发送至招标代理邮箱：</w:t>
      </w:r>
      <w:r>
        <w:rPr>
          <w:rFonts w:hint="eastAsia" w:ascii="宋体" w:hAnsi="宋体" w:eastAsia="宋体" w:cs="宋体"/>
          <w:szCs w:val="21"/>
          <w:lang w:val="en-US" w:eastAsia="zh-CN"/>
        </w:rPr>
        <w:fldChar w:fldCharType="begin"/>
      </w:r>
      <w:r>
        <w:rPr>
          <w:rFonts w:hint="eastAsia" w:ascii="宋体" w:hAnsi="宋体" w:eastAsia="宋体" w:cs="宋体"/>
          <w:szCs w:val="21"/>
          <w:lang w:val="en-US" w:eastAsia="zh-CN"/>
        </w:rPr>
        <w:instrText xml:space="preserve"> HYPERLINK "mailto:310935999@qq.com，并同时拨打招标代理联系电话进行登记（拨打联系电话时间请于办公时间内），即2023年" </w:instrText>
      </w:r>
      <w:r>
        <w:rPr>
          <w:rFonts w:hint="eastAsia" w:ascii="宋体" w:hAnsi="宋体" w:eastAsia="宋体" w:cs="宋体"/>
          <w:szCs w:val="21"/>
          <w:lang w:val="en-US" w:eastAsia="zh-CN"/>
        </w:rPr>
        <w:fldChar w:fldCharType="separate"/>
      </w:r>
      <w:r>
        <w:rPr>
          <w:rFonts w:hint="eastAsia" w:ascii="宋体" w:hAnsi="宋体" w:eastAsia="宋体" w:cs="宋体"/>
          <w:szCs w:val="21"/>
          <w:highlight w:val="none"/>
          <w:lang w:val="en-US" w:eastAsia="zh-CN"/>
        </w:rPr>
        <w:t>260198433@qq.com</w:t>
      </w:r>
      <w:r>
        <w:rPr>
          <w:rFonts w:hint="eastAsia" w:ascii="宋体" w:hAnsi="宋体" w:eastAsia="宋体" w:cs="宋体"/>
          <w:szCs w:val="21"/>
          <w:lang w:val="en-US" w:eastAsia="zh-CN"/>
        </w:rPr>
        <w:t xml:space="preserve"> ，并同时拨打招标代理联系电话进行登记（拨打联系电话时间请于办公时间内，即2023年</w:t>
      </w:r>
      <w:r>
        <w:rPr>
          <w:rFonts w:hint="eastAsia" w:ascii="宋体" w:hAnsi="宋体" w:eastAsia="宋体" w:cs="宋体"/>
          <w:szCs w:val="21"/>
          <w:lang w:val="en-US" w:eastAsia="zh-CN"/>
        </w:rPr>
        <w:fldChar w:fldCharType="end"/>
      </w:r>
      <w:r>
        <w:rPr>
          <w:rFonts w:hint="eastAsia" w:ascii="宋体" w:hAnsi="宋体" w:eastAsia="宋体" w:cs="宋体"/>
          <w:szCs w:val="21"/>
          <w:u w:val="single"/>
          <w:lang w:val="en-US" w:eastAsia="zh-CN"/>
        </w:rPr>
        <w:t xml:space="preserve">   </w:t>
      </w:r>
      <w:r>
        <w:rPr>
          <w:rFonts w:hint="eastAsia" w:ascii="宋体" w:hAnsi="宋体" w:eastAsia="宋体" w:cs="宋体"/>
          <w:szCs w:val="21"/>
          <w:lang w:val="en-US" w:eastAsia="zh-CN"/>
        </w:rPr>
        <w:t>月</w:t>
      </w:r>
      <w:r>
        <w:rPr>
          <w:rFonts w:hint="eastAsia" w:ascii="宋体" w:hAnsi="宋体" w:eastAsia="宋体" w:cs="宋体"/>
          <w:szCs w:val="21"/>
          <w:u w:val="single"/>
          <w:lang w:val="en-US" w:eastAsia="zh-CN"/>
        </w:rPr>
        <w:t xml:space="preserve">   </w:t>
      </w:r>
      <w:r>
        <w:rPr>
          <w:rFonts w:hint="eastAsia" w:ascii="宋体" w:hAnsi="宋体" w:eastAsia="宋体" w:cs="宋体"/>
          <w:szCs w:val="21"/>
          <w:lang w:val="en-US" w:eastAsia="zh-CN"/>
        </w:rPr>
        <w:t>日至2023年</w:t>
      </w:r>
      <w:r>
        <w:rPr>
          <w:rFonts w:hint="eastAsia" w:ascii="宋体" w:hAnsi="宋体" w:eastAsia="宋体" w:cs="宋体"/>
          <w:szCs w:val="21"/>
          <w:u w:val="single"/>
          <w:lang w:val="en-US" w:eastAsia="zh-CN"/>
        </w:rPr>
        <w:t xml:space="preserve">   </w:t>
      </w:r>
      <w:r>
        <w:rPr>
          <w:rFonts w:hint="eastAsia" w:ascii="宋体" w:hAnsi="宋体" w:eastAsia="宋体" w:cs="宋体"/>
          <w:szCs w:val="21"/>
          <w:lang w:val="en-US" w:eastAsia="zh-CN"/>
        </w:rPr>
        <w:t>月</w:t>
      </w:r>
      <w:r>
        <w:rPr>
          <w:rFonts w:hint="eastAsia" w:ascii="宋体" w:hAnsi="宋体" w:eastAsia="宋体" w:cs="宋体"/>
          <w:szCs w:val="21"/>
          <w:u w:val="single"/>
          <w:lang w:val="en-US" w:eastAsia="zh-CN"/>
        </w:rPr>
        <w:t xml:space="preserve">   </w:t>
      </w:r>
      <w:r>
        <w:rPr>
          <w:rFonts w:hint="eastAsia" w:ascii="宋体" w:hAnsi="宋体" w:eastAsia="宋体" w:cs="宋体"/>
          <w:szCs w:val="21"/>
          <w:lang w:val="en-US" w:eastAsia="zh-CN"/>
        </w:rPr>
        <w:t>日（法定公休日、法定节假日除外）每日上午9时00分至12时00分，下午14时00分至18时00分）；网上投标登记及上述相关资料的电子邮件需由招标代理确认，被确认的投标人成为正式投标人，才可在系统中下载招标文件及施工图等相关资料。如投标人未按本项规定进行投标登记和领取招标文件的，投标登记无效。</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Cs w:val="21"/>
          <w:lang w:val="en-US" w:eastAsia="zh-CN"/>
        </w:rPr>
      </w:pPr>
      <w:r>
        <w:rPr>
          <w:rFonts w:hint="eastAsia" w:ascii="宋体" w:hAnsi="宋体" w:eastAsia="宋体" w:cs="宋体"/>
          <w:szCs w:val="21"/>
          <w:lang w:val="en-US" w:eastAsia="zh-CN"/>
        </w:rPr>
        <w:t>4.2投标登记和领取招标文件时需提供以下资料：</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Cs w:val="21"/>
          <w:lang w:val="en-US" w:eastAsia="zh-CN"/>
        </w:rPr>
      </w:pPr>
      <w:r>
        <w:rPr>
          <w:rFonts w:hint="eastAsia" w:ascii="宋体" w:hAnsi="宋体" w:eastAsia="宋体" w:cs="宋体"/>
          <w:szCs w:val="21"/>
          <w:lang w:val="en-US" w:eastAsia="zh-CN"/>
        </w:rPr>
        <w:t>《投标登记申请表》扫描件，可在广州公共资源交易中心网站→服务指南→资料下载→建设工程→《投标登记申请表》自行下载。</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Cs w:val="21"/>
          <w:lang w:val="en-US" w:eastAsia="zh-CN"/>
        </w:rPr>
      </w:pPr>
      <w:r>
        <w:rPr>
          <w:rFonts w:hint="eastAsia" w:ascii="宋体" w:hAnsi="宋体" w:eastAsia="宋体" w:cs="宋体"/>
          <w:szCs w:val="21"/>
          <w:lang w:val="en-US" w:eastAsia="zh-CN"/>
        </w:rPr>
        <w:t>法定代表人证明书、法定代表人授权委托书（由法定代表人投标登记的不需要提交法定代表人授权书）、经办人第二代身份证以及附录1-6的扫描件。</w:t>
      </w:r>
    </w:p>
    <w:p>
      <w:pPr>
        <w:spacing w:before="159" w:line="219" w:lineRule="auto"/>
        <w:ind w:left="3"/>
        <w:outlineLvl w:val="0"/>
        <w:rPr>
          <w:rFonts w:hint="eastAsia" w:ascii="宋体" w:hAnsi="宋体" w:eastAsia="宋体" w:cs="宋体"/>
          <w:szCs w:val="21"/>
          <w:lang w:val="en-US" w:eastAsia="zh-CN"/>
        </w:rPr>
      </w:pPr>
      <w:r>
        <w:rPr>
          <w:rFonts w:hint="eastAsia" w:ascii="宋体" w:hAnsi="宋体" w:eastAsia="宋体" w:cs="宋体"/>
          <w:szCs w:val="21"/>
          <w:lang w:val="en-US" w:eastAsia="zh-CN"/>
        </w:rPr>
        <w:t>企业法人营业执照副本（按照“三证合一”或“五证合一”登记制度进行登记的，可仅提供营业执照副本）、企业资质证书、企业安全生产许可证的扫描件。</w:t>
      </w:r>
    </w:p>
    <w:p>
      <w:pPr>
        <w:spacing w:before="159" w:line="219" w:lineRule="auto"/>
        <w:ind w:left="3"/>
        <w:outlineLvl w:val="0"/>
        <w:rPr>
          <w:rFonts w:ascii="宋体" w:hAnsi="宋体" w:eastAsia="宋体" w:cs="宋体"/>
          <w:b/>
          <w:bCs/>
          <w:spacing w:val="-3"/>
          <w:sz w:val="21"/>
          <w:szCs w:val="21"/>
        </w:rPr>
      </w:pPr>
    </w:p>
    <w:p>
      <w:pPr>
        <w:spacing w:before="159" w:line="219" w:lineRule="auto"/>
        <w:ind w:left="3"/>
        <w:outlineLvl w:val="0"/>
        <w:rPr>
          <w:rFonts w:ascii="宋体" w:hAnsi="宋体" w:eastAsia="宋体" w:cs="宋体"/>
          <w:sz w:val="21"/>
          <w:szCs w:val="21"/>
        </w:rPr>
      </w:pPr>
      <w:r>
        <w:rPr>
          <w:rFonts w:ascii="宋体" w:hAnsi="宋体" w:eastAsia="宋体" w:cs="宋体"/>
          <w:b/>
          <w:bCs/>
          <w:spacing w:val="-3"/>
          <w:sz w:val="21"/>
          <w:szCs w:val="21"/>
        </w:rPr>
        <w:t>5.投标文件的递交及相关事宜</w:t>
      </w:r>
    </w:p>
    <w:p>
      <w:pPr>
        <w:spacing w:before="132" w:line="219" w:lineRule="auto"/>
        <w:ind w:left="409"/>
        <w:rPr>
          <w:rFonts w:ascii="宋体" w:hAnsi="宋体" w:eastAsia="宋体" w:cs="宋体"/>
          <w:sz w:val="21"/>
          <w:szCs w:val="21"/>
        </w:rPr>
      </w:pPr>
      <w:r>
        <w:rPr>
          <w:rFonts w:ascii="宋体" w:hAnsi="宋体" w:eastAsia="宋体" w:cs="宋体"/>
          <w:spacing w:val="1"/>
          <w:sz w:val="21"/>
          <w:szCs w:val="21"/>
        </w:rPr>
        <w:t>5.1招标人不统一组织进行工程现场踏勘及召开投标预备会。</w:t>
      </w:r>
    </w:p>
    <w:p>
      <w:pPr>
        <w:spacing w:before="145" w:line="219" w:lineRule="auto"/>
        <w:ind w:left="409"/>
        <w:rPr>
          <w:rFonts w:ascii="宋体" w:hAnsi="宋体" w:eastAsia="宋体" w:cs="宋体"/>
          <w:sz w:val="21"/>
          <w:szCs w:val="21"/>
        </w:rPr>
      </w:pPr>
      <w:r>
        <w:rPr>
          <w:rFonts w:ascii="宋体" w:hAnsi="宋体" w:eastAsia="宋体" w:cs="宋体"/>
          <w:spacing w:val="11"/>
          <w:sz w:val="21"/>
          <w:szCs w:val="21"/>
        </w:rPr>
        <w:t>5.2投标文件递交的截止时间(投标截止时间，下同)为202</w:t>
      </w:r>
      <w:r>
        <w:rPr>
          <w:rFonts w:hint="eastAsia" w:ascii="宋体" w:hAnsi="宋体" w:eastAsia="宋体" w:cs="宋体"/>
          <w:spacing w:val="11"/>
          <w:sz w:val="21"/>
          <w:szCs w:val="21"/>
          <w:lang w:val="en-US" w:eastAsia="zh-CN"/>
        </w:rPr>
        <w:t>3</w:t>
      </w:r>
      <w:r>
        <w:rPr>
          <w:rFonts w:ascii="宋体" w:hAnsi="宋体" w:eastAsia="宋体" w:cs="宋体"/>
          <w:spacing w:val="11"/>
          <w:sz w:val="21"/>
          <w:szCs w:val="21"/>
        </w:rPr>
        <w:t>年</w:t>
      </w:r>
      <w:r>
        <w:rPr>
          <w:rFonts w:ascii="宋体" w:hAnsi="宋体" w:eastAsia="宋体" w:cs="宋体"/>
          <w:spacing w:val="-77"/>
          <w:sz w:val="21"/>
          <w:szCs w:val="21"/>
        </w:rPr>
        <w:t xml:space="preserve"> </w:t>
      </w:r>
      <w:r>
        <w:rPr>
          <w:rFonts w:ascii="宋体" w:hAnsi="宋体" w:eastAsia="宋体" w:cs="宋体"/>
          <w:sz w:val="21"/>
          <w:szCs w:val="21"/>
          <w:u w:val="single" w:color="auto"/>
        </w:rPr>
        <w:t xml:space="preserve"> </w:t>
      </w:r>
      <w:r>
        <w:rPr>
          <w:rFonts w:ascii="宋体" w:hAnsi="宋体" w:eastAsia="宋体" w:cs="宋体"/>
          <w:spacing w:val="-89"/>
          <w:sz w:val="21"/>
          <w:szCs w:val="21"/>
        </w:rPr>
        <w:t xml:space="preserve"> </w:t>
      </w:r>
      <w:r>
        <w:rPr>
          <w:rFonts w:ascii="宋体" w:hAnsi="宋体" w:eastAsia="宋体" w:cs="宋体"/>
          <w:sz w:val="21"/>
          <w:szCs w:val="21"/>
          <w:u w:val="single" w:color="auto"/>
        </w:rPr>
        <w:t xml:space="preserve"> </w:t>
      </w:r>
      <w:r>
        <w:rPr>
          <w:rFonts w:ascii="宋体" w:hAnsi="宋体" w:eastAsia="宋体" w:cs="宋体"/>
          <w:spacing w:val="-75"/>
          <w:sz w:val="21"/>
          <w:szCs w:val="21"/>
        </w:rPr>
        <w:t xml:space="preserve"> </w:t>
      </w:r>
      <w:r>
        <w:rPr>
          <w:rFonts w:ascii="宋体" w:hAnsi="宋体" w:eastAsia="宋体" w:cs="宋体"/>
          <w:spacing w:val="11"/>
          <w:sz w:val="21"/>
          <w:szCs w:val="21"/>
        </w:rPr>
        <w:t>月</w:t>
      </w:r>
      <w:r>
        <w:rPr>
          <w:rFonts w:ascii="宋体" w:hAnsi="宋体" w:eastAsia="宋体" w:cs="宋体"/>
          <w:spacing w:val="-89"/>
          <w:sz w:val="21"/>
          <w:szCs w:val="21"/>
        </w:rPr>
        <w:t xml:space="preserve"> </w:t>
      </w:r>
      <w:r>
        <w:rPr>
          <w:rFonts w:ascii="宋体" w:hAnsi="宋体" w:eastAsia="宋体" w:cs="宋体"/>
          <w:sz w:val="21"/>
          <w:szCs w:val="21"/>
          <w:u w:val="single" w:color="auto"/>
        </w:rPr>
        <w:t xml:space="preserve"> </w:t>
      </w:r>
      <w:r>
        <w:rPr>
          <w:rFonts w:ascii="宋体" w:hAnsi="宋体" w:eastAsia="宋体" w:cs="宋体"/>
          <w:spacing w:val="-45"/>
          <w:sz w:val="21"/>
          <w:szCs w:val="21"/>
        </w:rPr>
        <w:t xml:space="preserve"> </w:t>
      </w:r>
      <w:r>
        <w:rPr>
          <w:rFonts w:ascii="宋体" w:hAnsi="宋体" w:eastAsia="宋体" w:cs="宋体"/>
          <w:spacing w:val="11"/>
          <w:sz w:val="21"/>
          <w:szCs w:val="21"/>
        </w:rPr>
        <w:t>日</w:t>
      </w:r>
      <w:r>
        <w:rPr>
          <w:rFonts w:ascii="宋体" w:hAnsi="宋体" w:eastAsia="宋体" w:cs="宋体"/>
          <w:spacing w:val="11"/>
          <w:sz w:val="21"/>
          <w:szCs w:val="21"/>
          <w:u w:val="single" w:color="auto"/>
        </w:rPr>
        <w:t>10</w:t>
      </w:r>
      <w:r>
        <w:rPr>
          <w:rFonts w:ascii="宋体" w:hAnsi="宋体" w:eastAsia="宋体" w:cs="宋体"/>
          <w:spacing w:val="-1"/>
          <w:sz w:val="21"/>
          <w:szCs w:val="21"/>
        </w:rPr>
        <w:t xml:space="preserve"> </w:t>
      </w:r>
      <w:r>
        <w:rPr>
          <w:rFonts w:ascii="宋体" w:hAnsi="宋体" w:eastAsia="宋体" w:cs="宋体"/>
          <w:spacing w:val="11"/>
          <w:sz w:val="21"/>
          <w:szCs w:val="21"/>
        </w:rPr>
        <w:t>时00分。</w:t>
      </w:r>
    </w:p>
    <w:p>
      <w:pPr>
        <w:spacing w:before="149" w:line="354" w:lineRule="auto"/>
        <w:ind w:right="83"/>
        <w:rPr>
          <w:rFonts w:ascii="宋体" w:hAnsi="宋体" w:eastAsia="宋体" w:cs="宋体"/>
          <w:sz w:val="21"/>
          <w:szCs w:val="21"/>
        </w:rPr>
      </w:pPr>
      <w:r>
        <w:rPr>
          <w:rFonts w:ascii="宋体" w:hAnsi="宋体" w:eastAsia="宋体" w:cs="宋体"/>
          <w:spacing w:val="3"/>
          <w:sz w:val="21"/>
          <w:szCs w:val="21"/>
        </w:rPr>
        <w:t>投标文件电子文件统一采用网络上传的方式，投标人于202</w:t>
      </w:r>
      <w:r>
        <w:rPr>
          <w:rFonts w:hint="eastAsia" w:ascii="宋体" w:hAnsi="宋体" w:eastAsia="宋体" w:cs="宋体"/>
          <w:spacing w:val="3"/>
          <w:sz w:val="21"/>
          <w:szCs w:val="21"/>
          <w:lang w:val="en-US" w:eastAsia="zh-CN"/>
        </w:rPr>
        <w:t>3</w:t>
      </w:r>
      <w:r>
        <w:rPr>
          <w:rFonts w:ascii="宋体" w:hAnsi="宋体" w:eastAsia="宋体" w:cs="宋体"/>
          <w:spacing w:val="3"/>
          <w:sz w:val="21"/>
          <w:szCs w:val="21"/>
        </w:rPr>
        <w:t>年</w:t>
      </w:r>
      <w:r>
        <w:rPr>
          <w:rFonts w:ascii="宋体" w:hAnsi="宋体" w:eastAsia="宋体" w:cs="宋体"/>
          <w:spacing w:val="-104"/>
          <w:sz w:val="21"/>
          <w:szCs w:val="21"/>
        </w:rPr>
        <w:t xml:space="preserve"> </w:t>
      </w:r>
      <w:r>
        <w:rPr>
          <w:rFonts w:ascii="宋体" w:hAnsi="宋体" w:eastAsia="宋体" w:cs="宋体"/>
          <w:spacing w:val="8"/>
          <w:sz w:val="21"/>
          <w:szCs w:val="21"/>
          <w:u w:val="single" w:color="auto"/>
        </w:rPr>
        <w:t xml:space="preserve">  </w:t>
      </w:r>
      <w:r>
        <w:rPr>
          <w:rFonts w:ascii="宋体" w:hAnsi="宋体" w:eastAsia="宋体" w:cs="宋体"/>
          <w:spacing w:val="3"/>
          <w:sz w:val="21"/>
          <w:szCs w:val="21"/>
        </w:rPr>
        <w:t>月</w:t>
      </w:r>
      <w:r>
        <w:rPr>
          <w:rFonts w:ascii="宋体" w:hAnsi="宋体" w:eastAsia="宋体" w:cs="宋体"/>
          <w:spacing w:val="-104"/>
          <w:sz w:val="21"/>
          <w:szCs w:val="21"/>
        </w:rPr>
        <w:t xml:space="preserve"> </w:t>
      </w:r>
      <w:r>
        <w:rPr>
          <w:rFonts w:ascii="宋体" w:hAnsi="宋体" w:eastAsia="宋体" w:cs="宋体"/>
          <w:sz w:val="21"/>
          <w:szCs w:val="21"/>
          <w:u w:val="single" w:color="auto"/>
        </w:rPr>
        <w:t xml:space="preserve"> </w:t>
      </w:r>
      <w:r>
        <w:rPr>
          <w:rFonts w:ascii="宋体" w:hAnsi="宋体" w:eastAsia="宋体" w:cs="宋体"/>
          <w:spacing w:val="-104"/>
          <w:sz w:val="21"/>
          <w:szCs w:val="21"/>
        </w:rPr>
        <w:t xml:space="preserve"> </w:t>
      </w:r>
      <w:r>
        <w:rPr>
          <w:rFonts w:ascii="宋体" w:hAnsi="宋体" w:eastAsia="宋体" w:cs="宋体"/>
          <w:sz w:val="21"/>
          <w:szCs w:val="21"/>
          <w:u w:val="single" w:color="auto"/>
        </w:rPr>
        <w:t xml:space="preserve"> </w:t>
      </w:r>
      <w:r>
        <w:rPr>
          <w:rFonts w:ascii="宋体" w:hAnsi="宋体" w:eastAsia="宋体" w:cs="宋体"/>
          <w:spacing w:val="-60"/>
          <w:sz w:val="21"/>
          <w:szCs w:val="21"/>
        </w:rPr>
        <w:t xml:space="preserve"> </w:t>
      </w:r>
      <w:r>
        <w:rPr>
          <w:rFonts w:ascii="宋体" w:hAnsi="宋体" w:eastAsia="宋体" w:cs="宋体"/>
          <w:spacing w:val="3"/>
          <w:sz w:val="21"/>
          <w:szCs w:val="21"/>
        </w:rPr>
        <w:t>日</w:t>
      </w:r>
      <w:r>
        <w:rPr>
          <w:rFonts w:ascii="宋体" w:hAnsi="宋体" w:eastAsia="宋体" w:cs="宋体"/>
          <w:spacing w:val="3"/>
          <w:sz w:val="21"/>
          <w:szCs w:val="21"/>
          <w:u w:val="single" w:color="auto"/>
        </w:rPr>
        <w:t>00时00</w:t>
      </w:r>
      <w:r>
        <w:rPr>
          <w:rFonts w:ascii="宋体" w:hAnsi="宋体" w:eastAsia="宋体" w:cs="宋体"/>
          <w:spacing w:val="3"/>
          <w:sz w:val="21"/>
          <w:szCs w:val="21"/>
        </w:rPr>
        <w:t>分至202</w:t>
      </w:r>
      <w:r>
        <w:rPr>
          <w:rFonts w:hint="eastAsia" w:ascii="宋体" w:hAnsi="宋体" w:eastAsia="宋体" w:cs="宋体"/>
          <w:spacing w:val="3"/>
          <w:sz w:val="21"/>
          <w:szCs w:val="21"/>
          <w:lang w:val="en-US" w:eastAsia="zh-CN"/>
        </w:rPr>
        <w:t>3</w:t>
      </w:r>
      <w:r>
        <w:rPr>
          <w:rFonts w:ascii="宋体" w:hAnsi="宋体" w:eastAsia="宋体" w:cs="宋体"/>
          <w:spacing w:val="3"/>
          <w:sz w:val="21"/>
          <w:szCs w:val="21"/>
        </w:rPr>
        <w:t>年</w:t>
      </w:r>
      <w:r>
        <w:rPr>
          <w:rFonts w:ascii="宋体" w:hAnsi="宋体" w:eastAsia="宋体" w:cs="宋体"/>
          <w:spacing w:val="-95"/>
          <w:sz w:val="21"/>
          <w:szCs w:val="21"/>
        </w:rPr>
        <w:t xml:space="preserve"> </w:t>
      </w:r>
      <w:r>
        <w:rPr>
          <w:rFonts w:ascii="宋体" w:hAnsi="宋体" w:eastAsia="宋体" w:cs="宋体"/>
          <w:spacing w:val="16"/>
          <w:sz w:val="21"/>
          <w:szCs w:val="21"/>
          <w:u w:val="single" w:color="auto"/>
        </w:rPr>
        <w:t xml:space="preserve">  </w:t>
      </w:r>
      <w:r>
        <w:rPr>
          <w:rFonts w:ascii="宋体" w:hAnsi="宋体" w:eastAsia="宋体" w:cs="宋体"/>
          <w:spacing w:val="3"/>
          <w:sz w:val="21"/>
          <w:szCs w:val="21"/>
        </w:rPr>
        <w:t>月</w:t>
      </w:r>
      <w:r>
        <w:rPr>
          <w:rFonts w:ascii="宋体" w:hAnsi="宋体" w:eastAsia="宋体" w:cs="宋体"/>
          <w:spacing w:val="-94"/>
          <w:sz w:val="21"/>
          <w:szCs w:val="21"/>
        </w:rPr>
        <w:t xml:space="preserve"> </w:t>
      </w:r>
      <w:r>
        <w:rPr>
          <w:rFonts w:ascii="宋体" w:hAnsi="宋体" w:eastAsia="宋体" w:cs="宋体"/>
          <w:sz w:val="21"/>
          <w:szCs w:val="21"/>
          <w:u w:val="single" w:color="auto"/>
        </w:rPr>
        <w:t xml:space="preserve"> </w:t>
      </w:r>
      <w:r>
        <w:rPr>
          <w:rFonts w:ascii="宋体" w:hAnsi="宋体" w:eastAsia="宋体" w:cs="宋体"/>
          <w:spacing w:val="-95"/>
          <w:sz w:val="21"/>
          <w:szCs w:val="21"/>
        </w:rPr>
        <w:t xml:space="preserve"> </w:t>
      </w:r>
      <w:r>
        <w:rPr>
          <w:rFonts w:ascii="宋体" w:hAnsi="宋体" w:eastAsia="宋体" w:cs="宋体"/>
          <w:sz w:val="21"/>
          <w:szCs w:val="21"/>
          <w:u w:val="single" w:color="auto"/>
        </w:rPr>
        <w:t xml:space="preserve"> </w:t>
      </w:r>
      <w:r>
        <w:rPr>
          <w:rFonts w:ascii="宋体" w:hAnsi="宋体" w:eastAsia="宋体" w:cs="宋体"/>
          <w:spacing w:val="-51"/>
          <w:sz w:val="21"/>
          <w:szCs w:val="21"/>
        </w:rPr>
        <w:t xml:space="preserve"> </w:t>
      </w:r>
      <w:r>
        <w:rPr>
          <w:rFonts w:ascii="宋体" w:hAnsi="宋体" w:eastAsia="宋体" w:cs="宋体"/>
          <w:spacing w:val="3"/>
          <w:sz w:val="21"/>
          <w:szCs w:val="21"/>
        </w:rPr>
        <w:t>日</w:t>
      </w:r>
      <w:r>
        <w:rPr>
          <w:rFonts w:ascii="宋体" w:hAnsi="宋体" w:eastAsia="宋体" w:cs="宋体"/>
          <w:sz w:val="21"/>
          <w:szCs w:val="21"/>
        </w:rPr>
        <w:t xml:space="preserve"> </w:t>
      </w:r>
      <w:r>
        <w:rPr>
          <w:rFonts w:ascii="宋体" w:hAnsi="宋体" w:eastAsia="宋体" w:cs="宋体"/>
          <w:spacing w:val="4"/>
          <w:sz w:val="21"/>
          <w:szCs w:val="21"/>
          <w:u w:val="single" w:color="auto"/>
        </w:rPr>
        <w:t>10时00</w:t>
      </w:r>
      <w:r>
        <w:rPr>
          <w:rFonts w:ascii="宋体" w:hAnsi="宋体" w:eastAsia="宋体" w:cs="宋体"/>
          <w:spacing w:val="4"/>
          <w:sz w:val="21"/>
          <w:szCs w:val="21"/>
        </w:rPr>
        <w:t>分将电子文件完整上传(操作详见广州公共资源交易中心网站→服务指南→系统帮肋→操作手</w:t>
      </w:r>
      <w:r>
        <w:rPr>
          <w:rFonts w:ascii="宋体" w:hAnsi="宋体" w:eastAsia="宋体" w:cs="宋体"/>
          <w:sz w:val="21"/>
          <w:szCs w:val="21"/>
        </w:rPr>
        <w:t xml:space="preserve"> </w:t>
      </w:r>
      <w:r>
        <w:rPr>
          <w:rFonts w:ascii="宋体" w:hAnsi="宋体" w:eastAsia="宋体" w:cs="宋体"/>
          <w:spacing w:val="-4"/>
          <w:sz w:val="21"/>
          <w:szCs w:val="21"/>
        </w:rPr>
        <w:t>册→</w:t>
      </w:r>
      <w:r>
        <w:rPr>
          <w:rFonts w:ascii="宋体" w:hAnsi="宋体" w:eastAsia="宋体" w:cs="宋体"/>
          <w:sz w:val="21"/>
          <w:szCs w:val="21"/>
        </w:rPr>
        <w:t xml:space="preserve"> </w:t>
      </w:r>
      <w:r>
        <w:rPr>
          <w:rFonts w:ascii="宋体" w:hAnsi="宋体" w:eastAsia="宋体" w:cs="宋体"/>
          <w:spacing w:val="-4"/>
          <w:sz w:val="21"/>
          <w:szCs w:val="21"/>
        </w:rPr>
        <w:t>【专业工程】新数字交易平台操作指引(含交易系统、文件编制工具、开评标系</w:t>
      </w:r>
      <w:r>
        <w:rPr>
          <w:rFonts w:ascii="宋体" w:hAnsi="宋体" w:eastAsia="宋体" w:cs="宋体"/>
          <w:spacing w:val="-5"/>
          <w:sz w:val="21"/>
          <w:szCs w:val="21"/>
        </w:rPr>
        <w:t>统等)</w:t>
      </w:r>
      <w:r>
        <w:rPr>
          <w:rFonts w:ascii="宋体" w:hAnsi="宋体" w:eastAsia="宋体" w:cs="宋体"/>
          <w:spacing w:val="-39"/>
          <w:sz w:val="21"/>
          <w:szCs w:val="21"/>
        </w:rPr>
        <w:t xml:space="preserve"> </w:t>
      </w:r>
      <w:r>
        <w:rPr>
          <w:rFonts w:ascii="宋体" w:hAnsi="宋体" w:eastAsia="宋体" w:cs="宋体"/>
          <w:spacing w:val="-5"/>
          <w:sz w:val="21"/>
          <w:szCs w:val="21"/>
        </w:rPr>
        <w:t>→</w:t>
      </w:r>
      <w:r>
        <w:rPr>
          <w:rFonts w:ascii="宋体" w:hAnsi="宋体" w:eastAsia="宋体" w:cs="宋体"/>
          <w:spacing w:val="1"/>
          <w:sz w:val="21"/>
          <w:szCs w:val="21"/>
        </w:rPr>
        <w:t xml:space="preserve"> </w:t>
      </w:r>
      <w:r>
        <w:rPr>
          <w:rFonts w:ascii="宋体" w:hAnsi="宋体" w:eastAsia="宋体" w:cs="宋体"/>
          <w:spacing w:val="-5"/>
          <w:sz w:val="21"/>
          <w:szCs w:val="21"/>
        </w:rPr>
        <w:t>【交通公</w:t>
      </w:r>
      <w:r>
        <w:rPr>
          <w:rFonts w:ascii="宋体" w:hAnsi="宋体" w:eastAsia="宋体" w:cs="宋体"/>
          <w:sz w:val="21"/>
          <w:szCs w:val="21"/>
        </w:rPr>
        <w:t xml:space="preserve"> 路工程】广州公共资源交易中心建设工程交易平台用户操作手册(交通公路工程-施工-投</w:t>
      </w:r>
      <w:r>
        <w:rPr>
          <w:rFonts w:ascii="宋体" w:hAnsi="宋体" w:eastAsia="宋体" w:cs="宋体"/>
          <w:spacing w:val="-1"/>
          <w:sz w:val="21"/>
          <w:szCs w:val="21"/>
        </w:rPr>
        <w:t>标人-交易系</w:t>
      </w:r>
    </w:p>
    <w:p>
      <w:pPr>
        <w:spacing w:before="1" w:line="220" w:lineRule="auto"/>
        <w:rPr>
          <w:rFonts w:ascii="宋体" w:hAnsi="宋体" w:eastAsia="宋体" w:cs="宋体"/>
          <w:sz w:val="21"/>
          <w:szCs w:val="21"/>
        </w:rPr>
      </w:pPr>
      <w:r>
        <w:rPr>
          <w:rFonts w:ascii="宋体" w:hAnsi="宋体" w:eastAsia="宋体" w:cs="宋体"/>
          <w:spacing w:val="-3"/>
          <w:sz w:val="21"/>
          <w:szCs w:val="21"/>
        </w:rPr>
        <w:t>统)。</w:t>
      </w:r>
    </w:p>
    <w:p>
      <w:pPr>
        <w:spacing w:before="146" w:line="219" w:lineRule="auto"/>
        <w:ind w:left="409"/>
        <w:rPr>
          <w:rFonts w:ascii="宋体" w:hAnsi="宋体" w:eastAsia="宋体" w:cs="宋体"/>
          <w:sz w:val="21"/>
          <w:szCs w:val="21"/>
        </w:rPr>
      </w:pPr>
      <w:r>
        <w:rPr>
          <w:rFonts w:ascii="宋体" w:hAnsi="宋体" w:eastAsia="宋体" w:cs="宋体"/>
          <w:sz w:val="21"/>
          <w:szCs w:val="21"/>
        </w:rPr>
        <w:t>5.3逾期送达的、未按照招标文件要求上传的投标文件无效。</w:t>
      </w:r>
    </w:p>
    <w:p>
      <w:pPr>
        <w:spacing w:line="301" w:lineRule="auto"/>
        <w:rPr>
          <w:rFonts w:ascii="Arial"/>
          <w:sz w:val="21"/>
        </w:rPr>
      </w:pPr>
    </w:p>
    <w:p>
      <w:pPr>
        <w:spacing w:before="68" w:line="219" w:lineRule="auto"/>
        <w:ind w:left="3"/>
        <w:outlineLvl w:val="0"/>
        <w:rPr>
          <w:rFonts w:ascii="宋体" w:hAnsi="宋体" w:eastAsia="宋体" w:cs="宋体"/>
          <w:sz w:val="21"/>
          <w:szCs w:val="21"/>
        </w:rPr>
      </w:pPr>
      <w:r>
        <w:rPr>
          <w:rFonts w:ascii="宋体" w:hAnsi="宋体" w:eastAsia="宋体" w:cs="宋体"/>
          <w:b/>
          <w:bCs/>
          <w:spacing w:val="-2"/>
          <w:sz w:val="21"/>
          <w:szCs w:val="21"/>
        </w:rPr>
        <w:t>6.</w:t>
      </w:r>
      <w:r>
        <w:rPr>
          <w:rFonts w:ascii="宋体" w:hAnsi="宋体" w:eastAsia="宋体" w:cs="宋体"/>
          <w:spacing w:val="29"/>
          <w:sz w:val="21"/>
          <w:szCs w:val="21"/>
        </w:rPr>
        <w:t xml:space="preserve"> </w:t>
      </w:r>
      <w:r>
        <w:rPr>
          <w:rFonts w:ascii="宋体" w:hAnsi="宋体" w:eastAsia="宋体" w:cs="宋体"/>
          <w:b/>
          <w:bCs/>
          <w:spacing w:val="-2"/>
          <w:sz w:val="21"/>
          <w:szCs w:val="21"/>
        </w:rPr>
        <w:t>投标文件解密</w:t>
      </w:r>
    </w:p>
    <w:p>
      <w:pPr>
        <w:spacing w:before="122" w:line="352" w:lineRule="auto"/>
        <w:ind w:right="11" w:firstLine="639"/>
        <w:jc w:val="both"/>
        <w:rPr>
          <w:rFonts w:ascii="宋体" w:hAnsi="宋体" w:eastAsia="宋体" w:cs="宋体"/>
          <w:sz w:val="21"/>
          <w:szCs w:val="21"/>
        </w:rPr>
      </w:pPr>
      <w:r>
        <w:rPr>
          <w:rFonts w:ascii="宋体" w:hAnsi="宋体" w:eastAsia="宋体" w:cs="宋体"/>
          <w:spacing w:val="1"/>
          <w:sz w:val="21"/>
          <w:szCs w:val="21"/>
        </w:rPr>
        <w:t>6.1投标人解密：投标人在递交电子投标文件截止时间到达后的半小时内使用制作该电子投标文</w:t>
      </w:r>
      <w:r>
        <w:rPr>
          <w:rFonts w:ascii="宋体" w:hAnsi="宋体" w:eastAsia="宋体" w:cs="宋体"/>
          <w:spacing w:val="12"/>
          <w:sz w:val="21"/>
          <w:szCs w:val="21"/>
        </w:rPr>
        <w:t xml:space="preserve"> </w:t>
      </w:r>
      <w:r>
        <w:rPr>
          <w:rFonts w:ascii="宋体" w:hAnsi="宋体" w:eastAsia="宋体" w:cs="宋体"/>
          <w:spacing w:val="-1"/>
          <w:sz w:val="21"/>
          <w:szCs w:val="21"/>
        </w:rPr>
        <w:t>件的单位业务数字证书对电子投标文件进行解密。逾期未解密或因投标人原因造成电子投标文件解密不</w:t>
      </w:r>
    </w:p>
    <w:p>
      <w:pPr>
        <w:spacing w:line="219" w:lineRule="auto"/>
        <w:rPr>
          <w:rFonts w:ascii="宋体" w:hAnsi="宋体" w:eastAsia="宋体" w:cs="宋体"/>
          <w:sz w:val="21"/>
          <w:szCs w:val="21"/>
        </w:rPr>
      </w:pPr>
      <w:r>
        <w:rPr>
          <w:rFonts w:ascii="宋体" w:hAnsi="宋体" w:eastAsia="宋体" w:cs="宋体"/>
          <w:spacing w:val="-3"/>
          <w:sz w:val="21"/>
          <w:szCs w:val="21"/>
        </w:rPr>
        <w:t>成功的，视为投标人未递交电子投标文件。</w:t>
      </w:r>
    </w:p>
    <w:p>
      <w:pPr>
        <w:spacing w:before="149" w:line="401" w:lineRule="exact"/>
        <w:ind w:left="639"/>
        <w:rPr>
          <w:rFonts w:ascii="宋体" w:hAnsi="宋体" w:eastAsia="宋体" w:cs="宋体"/>
          <w:sz w:val="21"/>
          <w:szCs w:val="21"/>
        </w:rPr>
      </w:pPr>
      <w:r>
        <w:rPr>
          <w:rFonts w:ascii="宋体" w:hAnsi="宋体" w:eastAsia="宋体" w:cs="宋体"/>
          <w:spacing w:val="2"/>
          <w:position w:val="14"/>
          <w:sz w:val="21"/>
          <w:szCs w:val="21"/>
        </w:rPr>
        <w:t>6.2招标人解密：招标人用打包电子招标文件的机构业务数字证书对电子投标文件进行解密。</w:t>
      </w:r>
    </w:p>
    <w:p>
      <w:pPr>
        <w:spacing w:line="219" w:lineRule="auto"/>
        <w:ind w:left="639"/>
        <w:rPr>
          <w:rFonts w:ascii="宋体" w:hAnsi="宋体" w:eastAsia="宋体" w:cs="宋体"/>
          <w:sz w:val="21"/>
          <w:szCs w:val="21"/>
        </w:rPr>
      </w:pPr>
      <w:r>
        <w:rPr>
          <w:rFonts w:ascii="宋体" w:hAnsi="宋体" w:eastAsia="宋体" w:cs="宋体"/>
          <w:spacing w:val="2"/>
          <w:sz w:val="21"/>
          <w:szCs w:val="21"/>
        </w:rPr>
        <w:t>6.3因投标人原因造成电子投标文件未解密的不参与投标文件</w:t>
      </w:r>
      <w:r>
        <w:rPr>
          <w:rFonts w:ascii="宋体" w:hAnsi="宋体" w:eastAsia="宋体" w:cs="宋体"/>
          <w:spacing w:val="1"/>
          <w:sz w:val="21"/>
          <w:szCs w:val="21"/>
        </w:rPr>
        <w:t>评审。</w:t>
      </w:r>
    </w:p>
    <w:p>
      <w:pPr>
        <w:spacing w:before="176" w:line="218" w:lineRule="auto"/>
        <w:ind w:left="3"/>
        <w:outlineLvl w:val="0"/>
        <w:rPr>
          <w:rFonts w:ascii="宋体" w:hAnsi="宋体" w:eastAsia="宋体" w:cs="宋体"/>
          <w:b/>
          <w:bCs/>
          <w:spacing w:val="-3"/>
          <w:sz w:val="21"/>
          <w:szCs w:val="21"/>
        </w:rPr>
      </w:pPr>
    </w:p>
    <w:p>
      <w:pPr>
        <w:spacing w:before="176" w:line="218" w:lineRule="auto"/>
        <w:ind w:left="3"/>
        <w:outlineLvl w:val="0"/>
        <w:rPr>
          <w:rFonts w:ascii="宋体" w:hAnsi="宋体" w:eastAsia="宋体" w:cs="宋体"/>
          <w:sz w:val="21"/>
          <w:szCs w:val="21"/>
        </w:rPr>
      </w:pPr>
      <w:r>
        <w:rPr>
          <w:rFonts w:ascii="宋体" w:hAnsi="宋体" w:eastAsia="宋体" w:cs="宋体"/>
          <w:b/>
          <w:bCs/>
          <w:spacing w:val="-3"/>
          <w:sz w:val="21"/>
          <w:szCs w:val="21"/>
        </w:rPr>
        <w:t>7.发布公告的媒介</w:t>
      </w:r>
    </w:p>
    <w:p>
      <w:pPr>
        <w:spacing w:before="120" w:line="400" w:lineRule="exact"/>
        <w:ind w:left="639"/>
        <w:rPr>
          <w:rFonts w:ascii="宋体" w:hAnsi="宋体" w:eastAsia="宋体" w:cs="宋体"/>
          <w:sz w:val="21"/>
          <w:szCs w:val="21"/>
        </w:rPr>
      </w:pPr>
      <w:r>
        <w:rPr>
          <w:rFonts w:ascii="宋体" w:hAnsi="宋体" w:eastAsia="宋体" w:cs="宋体"/>
          <w:spacing w:val="-2"/>
          <w:position w:val="14"/>
          <w:sz w:val="21"/>
          <w:szCs w:val="21"/>
        </w:rPr>
        <w:t>本次招标公告同时在广州公共资源交易中心网站(网址：</w:t>
      </w:r>
      <w:r>
        <w:rPr>
          <w:rFonts w:ascii="宋体" w:hAnsi="宋体" w:eastAsia="宋体" w:cs="宋体"/>
          <w:spacing w:val="-15"/>
          <w:position w:val="14"/>
          <w:sz w:val="21"/>
          <w:szCs w:val="21"/>
        </w:rPr>
        <w:t xml:space="preserve"> </w:t>
      </w:r>
      <w:r>
        <w:rPr>
          <w:rFonts w:ascii="宋体" w:hAnsi="宋体" w:eastAsia="宋体" w:cs="宋体"/>
          <w:spacing w:val="-2"/>
          <w:position w:val="14"/>
          <w:sz w:val="21"/>
          <w:szCs w:val="21"/>
        </w:rPr>
        <w:t>http://www.gzggzy.cn)、</w:t>
      </w:r>
      <w:r>
        <w:rPr>
          <w:rFonts w:ascii="宋体" w:hAnsi="宋体" w:eastAsia="宋体" w:cs="宋体"/>
          <w:spacing w:val="51"/>
          <w:position w:val="14"/>
          <w:sz w:val="21"/>
          <w:szCs w:val="21"/>
        </w:rPr>
        <w:t xml:space="preserve"> </w:t>
      </w:r>
      <w:r>
        <w:rPr>
          <w:rFonts w:ascii="宋体" w:hAnsi="宋体" w:eastAsia="宋体" w:cs="宋体"/>
          <w:spacing w:val="-2"/>
          <w:position w:val="14"/>
          <w:sz w:val="21"/>
          <w:szCs w:val="21"/>
        </w:rPr>
        <w:t>广东省招标</w:t>
      </w:r>
    </w:p>
    <w:p>
      <w:pPr>
        <w:spacing w:before="1" w:line="213" w:lineRule="auto"/>
        <w:rPr>
          <w:rFonts w:ascii="宋体" w:hAnsi="宋体" w:eastAsia="宋体" w:cs="宋体"/>
          <w:sz w:val="21"/>
          <w:szCs w:val="21"/>
        </w:rPr>
      </w:pPr>
      <w:r>
        <w:rPr>
          <w:rFonts w:ascii="宋体" w:hAnsi="宋体" w:eastAsia="宋体" w:cs="宋体"/>
          <w:spacing w:val="2"/>
          <w:sz w:val="21"/>
          <w:szCs w:val="21"/>
        </w:rPr>
        <w:t>投标监管网(网址：</w:t>
      </w:r>
      <w:r>
        <w:rPr>
          <w:rFonts w:ascii="宋体" w:hAnsi="宋体" w:eastAsia="宋体" w:cs="宋体"/>
          <w:spacing w:val="15"/>
          <w:sz w:val="21"/>
          <w:szCs w:val="21"/>
        </w:rPr>
        <w:t xml:space="preserve"> </w:t>
      </w:r>
      <w:r>
        <w:rPr>
          <w:rFonts w:ascii="宋体" w:hAnsi="宋体" w:eastAsia="宋体" w:cs="宋体"/>
          <w:sz w:val="21"/>
          <w:szCs w:val="21"/>
        </w:rPr>
        <w:t>http</w:t>
      </w:r>
      <w:r>
        <w:rPr>
          <w:rFonts w:ascii="宋体" w:hAnsi="宋体" w:eastAsia="宋体" w:cs="宋体"/>
          <w:spacing w:val="2"/>
          <w:sz w:val="21"/>
          <w:szCs w:val="21"/>
        </w:rPr>
        <w:t>://</w:t>
      </w:r>
      <w:r>
        <w:rPr>
          <w:rFonts w:ascii="宋体" w:hAnsi="宋体" w:eastAsia="宋体" w:cs="宋体"/>
          <w:sz w:val="21"/>
          <w:szCs w:val="21"/>
        </w:rPr>
        <w:t>zbtb</w:t>
      </w:r>
      <w:r>
        <w:rPr>
          <w:rFonts w:ascii="宋体" w:hAnsi="宋体" w:eastAsia="宋体" w:cs="宋体"/>
          <w:spacing w:val="2"/>
          <w:sz w:val="21"/>
          <w:szCs w:val="21"/>
        </w:rPr>
        <w:t>.</w:t>
      </w:r>
      <w:r>
        <w:rPr>
          <w:rFonts w:ascii="宋体" w:hAnsi="宋体" w:eastAsia="宋体" w:cs="宋体"/>
          <w:sz w:val="21"/>
          <w:szCs w:val="21"/>
        </w:rPr>
        <w:t>gd</w:t>
      </w:r>
      <w:r>
        <w:rPr>
          <w:rFonts w:ascii="宋体" w:hAnsi="宋体" w:eastAsia="宋体" w:cs="宋体"/>
          <w:spacing w:val="2"/>
          <w:sz w:val="21"/>
          <w:szCs w:val="21"/>
        </w:rPr>
        <w:t>.</w:t>
      </w:r>
      <w:r>
        <w:rPr>
          <w:rFonts w:ascii="宋体" w:hAnsi="宋体" w:eastAsia="宋体" w:cs="宋体"/>
          <w:sz w:val="21"/>
          <w:szCs w:val="21"/>
        </w:rPr>
        <w:t>gov</w:t>
      </w:r>
      <w:r>
        <w:rPr>
          <w:rFonts w:ascii="宋体" w:hAnsi="宋体" w:eastAsia="宋体" w:cs="宋体"/>
          <w:spacing w:val="2"/>
          <w:sz w:val="21"/>
          <w:szCs w:val="21"/>
        </w:rPr>
        <w:t>.</w:t>
      </w:r>
      <w:r>
        <w:rPr>
          <w:rFonts w:ascii="宋体" w:hAnsi="宋体" w:eastAsia="宋体" w:cs="宋体"/>
          <w:sz w:val="21"/>
          <w:szCs w:val="21"/>
        </w:rPr>
        <w:t>cn</w:t>
      </w:r>
      <w:r>
        <w:rPr>
          <w:rFonts w:ascii="宋体" w:hAnsi="宋体" w:eastAsia="宋体" w:cs="宋体"/>
          <w:spacing w:val="2"/>
          <w:sz w:val="21"/>
          <w:szCs w:val="21"/>
        </w:rPr>
        <w:t>/</w:t>
      </w:r>
      <w:r>
        <w:rPr>
          <w:rFonts w:ascii="宋体" w:hAnsi="宋体" w:eastAsia="宋体" w:cs="宋体"/>
          <w:sz w:val="21"/>
          <w:szCs w:val="21"/>
        </w:rPr>
        <w:t>login</w:t>
      </w:r>
      <w:r>
        <w:rPr>
          <w:rFonts w:ascii="宋体" w:hAnsi="宋体" w:eastAsia="宋体" w:cs="宋体"/>
          <w:spacing w:val="2"/>
          <w:sz w:val="21"/>
          <w:szCs w:val="21"/>
        </w:rPr>
        <w:t>)</w:t>
      </w:r>
      <w:r>
        <w:rPr>
          <w:rFonts w:ascii="宋体" w:hAnsi="宋体" w:eastAsia="宋体" w:cs="宋体"/>
          <w:sz w:val="21"/>
          <w:szCs w:val="21"/>
        </w:rPr>
        <w:t xml:space="preserve"> </w:t>
      </w:r>
      <w:r>
        <w:rPr>
          <w:rFonts w:ascii="宋体" w:hAnsi="宋体" w:eastAsia="宋体" w:cs="宋体"/>
          <w:spacing w:val="2"/>
          <w:sz w:val="21"/>
          <w:szCs w:val="21"/>
        </w:rPr>
        <w:t>和中国招标投标公共服务平台(网址：</w:t>
      </w:r>
    </w:p>
    <w:p>
      <w:pPr>
        <w:spacing w:before="158" w:line="404" w:lineRule="exact"/>
        <w:rPr>
          <w:rFonts w:ascii="宋体" w:hAnsi="宋体" w:eastAsia="宋体" w:cs="宋体"/>
          <w:sz w:val="21"/>
          <w:szCs w:val="21"/>
        </w:rPr>
      </w:pPr>
      <w:r>
        <w:fldChar w:fldCharType="begin"/>
      </w:r>
      <w:r>
        <w:instrText xml:space="preserve"> HYPERLINK "http://www.cebpubservice.com/" </w:instrText>
      </w:r>
      <w:r>
        <w:fldChar w:fldCharType="separate"/>
      </w:r>
      <w:r>
        <w:rPr>
          <w:rFonts w:ascii="宋体" w:hAnsi="宋体" w:eastAsia="宋体" w:cs="宋体"/>
          <w:position w:val="15"/>
          <w:sz w:val="21"/>
          <w:szCs w:val="21"/>
        </w:rPr>
        <w:t>http</w:t>
      </w:r>
      <w:r>
        <w:rPr>
          <w:rFonts w:ascii="宋体" w:hAnsi="宋体" w:eastAsia="宋体" w:cs="宋体"/>
          <w:spacing w:val="2"/>
          <w:position w:val="15"/>
          <w:sz w:val="21"/>
          <w:szCs w:val="21"/>
        </w:rPr>
        <w:t>://</w:t>
      </w:r>
      <w:r>
        <w:rPr>
          <w:rFonts w:ascii="宋体" w:hAnsi="宋体" w:eastAsia="宋体" w:cs="宋体"/>
          <w:position w:val="15"/>
          <w:sz w:val="21"/>
          <w:szCs w:val="21"/>
        </w:rPr>
        <w:t>www</w:t>
      </w:r>
      <w:r>
        <w:rPr>
          <w:rFonts w:ascii="宋体" w:hAnsi="宋体" w:eastAsia="宋体" w:cs="宋体"/>
          <w:spacing w:val="2"/>
          <w:position w:val="15"/>
          <w:sz w:val="21"/>
          <w:szCs w:val="21"/>
        </w:rPr>
        <w:t>.</w:t>
      </w:r>
      <w:r>
        <w:rPr>
          <w:rFonts w:ascii="宋体" w:hAnsi="宋体" w:eastAsia="宋体" w:cs="宋体"/>
          <w:position w:val="15"/>
          <w:sz w:val="21"/>
          <w:szCs w:val="21"/>
        </w:rPr>
        <w:t>cebpubservice</w:t>
      </w:r>
      <w:r>
        <w:rPr>
          <w:rFonts w:ascii="宋体" w:hAnsi="宋体" w:eastAsia="宋体" w:cs="宋体"/>
          <w:spacing w:val="2"/>
          <w:position w:val="15"/>
          <w:sz w:val="21"/>
          <w:szCs w:val="21"/>
        </w:rPr>
        <w:t>.</w:t>
      </w:r>
      <w:r>
        <w:rPr>
          <w:rFonts w:ascii="宋体" w:hAnsi="宋体" w:eastAsia="宋体" w:cs="宋体"/>
          <w:position w:val="15"/>
          <w:sz w:val="21"/>
          <w:szCs w:val="21"/>
        </w:rPr>
        <w:t>com</w:t>
      </w:r>
      <w:r>
        <w:rPr>
          <w:rFonts w:ascii="宋体" w:hAnsi="宋体" w:eastAsia="宋体" w:cs="宋体"/>
          <w:spacing w:val="2"/>
          <w:position w:val="15"/>
          <w:sz w:val="21"/>
          <w:szCs w:val="21"/>
        </w:rPr>
        <w:t>/</w:t>
      </w:r>
      <w:r>
        <w:rPr>
          <w:rFonts w:ascii="宋体" w:hAnsi="宋体" w:eastAsia="宋体" w:cs="宋体"/>
          <w:spacing w:val="2"/>
          <w:position w:val="15"/>
          <w:sz w:val="21"/>
          <w:szCs w:val="21"/>
        </w:rPr>
        <w:fldChar w:fldCharType="end"/>
      </w:r>
      <w:r>
        <w:rPr>
          <w:rFonts w:ascii="宋体" w:hAnsi="宋体" w:eastAsia="宋体" w:cs="宋体"/>
          <w:spacing w:val="2"/>
          <w:position w:val="15"/>
          <w:sz w:val="21"/>
          <w:szCs w:val="21"/>
        </w:rPr>
        <w:t>)</w:t>
      </w:r>
      <w:r>
        <w:rPr>
          <w:rFonts w:ascii="宋体" w:hAnsi="宋体" w:eastAsia="宋体" w:cs="宋体"/>
          <w:spacing w:val="5"/>
          <w:position w:val="15"/>
          <w:sz w:val="21"/>
          <w:szCs w:val="21"/>
        </w:rPr>
        <w:t xml:space="preserve"> </w:t>
      </w:r>
      <w:r>
        <w:rPr>
          <w:rFonts w:ascii="宋体" w:hAnsi="宋体" w:eastAsia="宋体" w:cs="宋体"/>
          <w:spacing w:val="2"/>
          <w:position w:val="15"/>
          <w:sz w:val="21"/>
          <w:szCs w:val="21"/>
        </w:rPr>
        <w:t>等媒体上发布。如公告详细内容不一致者，以广州公共资源交易中</w:t>
      </w:r>
    </w:p>
    <w:p>
      <w:pPr>
        <w:spacing w:before="1" w:line="217" w:lineRule="auto"/>
        <w:rPr>
          <w:rFonts w:ascii="宋体" w:hAnsi="宋体" w:eastAsia="宋体" w:cs="宋体"/>
          <w:sz w:val="21"/>
          <w:szCs w:val="21"/>
        </w:rPr>
      </w:pPr>
      <w:r>
        <w:rPr>
          <w:rFonts w:ascii="宋体" w:hAnsi="宋体" w:eastAsia="宋体" w:cs="宋体"/>
          <w:spacing w:val="-1"/>
          <w:sz w:val="21"/>
          <w:szCs w:val="21"/>
        </w:rPr>
        <w:t>心网站公告为准，本公告的修改、补充，在广州公共资源交易中心网站上发布。</w:t>
      </w:r>
    </w:p>
    <w:p>
      <w:pPr>
        <w:spacing w:before="143" w:line="409" w:lineRule="exact"/>
        <w:ind w:left="639"/>
        <w:rPr>
          <w:rFonts w:ascii="宋体" w:hAnsi="宋体" w:eastAsia="宋体" w:cs="宋体"/>
          <w:sz w:val="21"/>
          <w:szCs w:val="21"/>
        </w:rPr>
      </w:pPr>
      <w:r>
        <w:rPr>
          <w:rFonts w:ascii="宋体" w:hAnsi="宋体" w:eastAsia="宋体" w:cs="宋体"/>
          <w:spacing w:val="4"/>
          <w:position w:val="15"/>
          <w:sz w:val="21"/>
          <w:szCs w:val="21"/>
        </w:rPr>
        <w:t>在规定的投标登记期间，如某个标段投标登记的潜在投标人不足3</w:t>
      </w:r>
      <w:r>
        <w:rPr>
          <w:rFonts w:ascii="宋体" w:hAnsi="宋体" w:eastAsia="宋体" w:cs="宋体"/>
          <w:spacing w:val="-6"/>
          <w:position w:val="15"/>
          <w:sz w:val="21"/>
          <w:szCs w:val="21"/>
        </w:rPr>
        <w:t xml:space="preserve"> </w:t>
      </w:r>
      <w:r>
        <w:rPr>
          <w:rFonts w:ascii="宋体" w:hAnsi="宋体" w:eastAsia="宋体" w:cs="宋体"/>
          <w:spacing w:val="4"/>
          <w:position w:val="15"/>
          <w:sz w:val="21"/>
          <w:szCs w:val="21"/>
        </w:rPr>
        <w:t>家时，招标人依法有权选择</w:t>
      </w:r>
    </w:p>
    <w:p>
      <w:pPr>
        <w:spacing w:before="1" w:line="217" w:lineRule="auto"/>
        <w:rPr>
          <w:rFonts w:ascii="宋体" w:hAnsi="宋体" w:eastAsia="宋体" w:cs="宋体"/>
          <w:sz w:val="21"/>
          <w:szCs w:val="21"/>
        </w:rPr>
      </w:pPr>
      <w:r>
        <w:rPr>
          <w:rFonts w:ascii="宋体" w:hAnsi="宋体" w:eastAsia="宋体" w:cs="宋体"/>
          <w:spacing w:val="2"/>
          <w:sz w:val="21"/>
          <w:szCs w:val="21"/>
        </w:rPr>
        <w:t>以下任一方式：</w:t>
      </w:r>
      <w:r>
        <w:rPr>
          <w:rFonts w:ascii="宋体" w:hAnsi="宋体" w:eastAsia="宋体" w:cs="宋体"/>
          <w:spacing w:val="1"/>
          <w:sz w:val="21"/>
          <w:szCs w:val="21"/>
        </w:rPr>
        <w:t xml:space="preserve">  </w:t>
      </w:r>
      <w:r>
        <w:rPr>
          <w:rFonts w:ascii="宋体" w:hAnsi="宋体" w:eastAsia="宋体" w:cs="宋体"/>
          <w:spacing w:val="2"/>
          <w:sz w:val="21"/>
          <w:szCs w:val="21"/>
        </w:rPr>
        <w:t>(1)在广州公共资源交易中心网站发布公告延</w:t>
      </w:r>
      <w:r>
        <w:rPr>
          <w:rFonts w:ascii="宋体" w:hAnsi="宋体" w:eastAsia="宋体" w:cs="宋体"/>
          <w:spacing w:val="1"/>
          <w:sz w:val="21"/>
          <w:szCs w:val="21"/>
        </w:rPr>
        <w:t>长投标登记时间，在延期投标登记时间</w:t>
      </w:r>
    </w:p>
    <w:p>
      <w:pPr>
        <w:spacing w:before="162" w:line="218" w:lineRule="auto"/>
        <w:rPr>
          <w:rFonts w:ascii="宋体" w:hAnsi="宋体" w:eastAsia="宋体" w:cs="宋体"/>
          <w:sz w:val="21"/>
          <w:szCs w:val="21"/>
        </w:rPr>
      </w:pPr>
      <w:r>
        <w:rPr>
          <w:rFonts w:ascii="宋体" w:hAnsi="宋体" w:eastAsia="宋体" w:cs="宋体"/>
          <w:spacing w:val="-1"/>
          <w:sz w:val="21"/>
          <w:szCs w:val="21"/>
        </w:rPr>
        <w:t>内，已投标登记投标人的资料仍有效并可自行</w:t>
      </w:r>
      <w:r>
        <w:rPr>
          <w:rFonts w:ascii="宋体" w:hAnsi="宋体" w:eastAsia="宋体" w:cs="宋体"/>
          <w:spacing w:val="-2"/>
          <w:sz w:val="21"/>
          <w:szCs w:val="21"/>
        </w:rPr>
        <w:t>补充资料，未投标登记的投标人可根据公告的约定参与投</w:t>
      </w:r>
    </w:p>
    <w:p>
      <w:pPr>
        <w:spacing w:before="162" w:line="219" w:lineRule="auto"/>
        <w:rPr>
          <w:rFonts w:ascii="宋体" w:hAnsi="宋体" w:eastAsia="宋体" w:cs="宋体"/>
          <w:sz w:val="21"/>
          <w:szCs w:val="21"/>
        </w:rPr>
      </w:pPr>
      <w:r>
        <w:rPr>
          <w:rFonts w:ascii="宋体" w:hAnsi="宋体" w:eastAsia="宋体" w:cs="宋体"/>
          <w:spacing w:val="-2"/>
          <w:sz w:val="21"/>
          <w:szCs w:val="21"/>
        </w:rPr>
        <w:t>标登记；</w:t>
      </w:r>
      <w:r>
        <w:rPr>
          <w:rFonts w:ascii="宋体" w:hAnsi="宋体" w:eastAsia="宋体" w:cs="宋体"/>
          <w:spacing w:val="10"/>
          <w:sz w:val="21"/>
          <w:szCs w:val="21"/>
        </w:rPr>
        <w:t xml:space="preserve">  </w:t>
      </w:r>
      <w:r>
        <w:rPr>
          <w:rFonts w:ascii="宋体" w:hAnsi="宋体" w:eastAsia="宋体" w:cs="宋体"/>
          <w:spacing w:val="-2"/>
          <w:sz w:val="21"/>
          <w:szCs w:val="21"/>
        </w:rPr>
        <w:t>(2)依法重新组织招标或不再招标。</w:t>
      </w:r>
    </w:p>
    <w:p>
      <w:pPr>
        <w:spacing w:before="131" w:line="221" w:lineRule="auto"/>
        <w:ind w:left="3"/>
        <w:outlineLvl w:val="0"/>
        <w:rPr>
          <w:rFonts w:ascii="宋体" w:hAnsi="宋体" w:eastAsia="宋体" w:cs="宋体"/>
          <w:b/>
          <w:bCs/>
          <w:spacing w:val="-2"/>
          <w:sz w:val="21"/>
          <w:szCs w:val="21"/>
        </w:rPr>
      </w:pPr>
    </w:p>
    <w:p>
      <w:pPr>
        <w:spacing w:before="131" w:line="221" w:lineRule="auto"/>
        <w:ind w:left="3"/>
        <w:outlineLvl w:val="0"/>
        <w:rPr>
          <w:rFonts w:ascii="宋体" w:hAnsi="宋体" w:eastAsia="宋体" w:cs="宋体"/>
          <w:b/>
          <w:bCs/>
          <w:spacing w:val="-2"/>
          <w:sz w:val="21"/>
          <w:szCs w:val="21"/>
        </w:rPr>
      </w:pPr>
    </w:p>
    <w:p>
      <w:pPr>
        <w:spacing w:before="131" w:line="221" w:lineRule="auto"/>
        <w:ind w:left="3"/>
        <w:outlineLvl w:val="0"/>
        <w:rPr>
          <w:rFonts w:ascii="宋体" w:hAnsi="宋体" w:eastAsia="宋体" w:cs="宋体"/>
          <w:b/>
          <w:bCs/>
          <w:spacing w:val="-2"/>
          <w:sz w:val="21"/>
          <w:szCs w:val="21"/>
        </w:rPr>
      </w:pPr>
    </w:p>
    <w:p>
      <w:pPr>
        <w:spacing w:before="131" w:line="221" w:lineRule="auto"/>
        <w:ind w:left="3"/>
        <w:outlineLvl w:val="0"/>
        <w:rPr>
          <w:rFonts w:ascii="宋体" w:hAnsi="宋体" w:eastAsia="宋体" w:cs="宋体"/>
          <w:b/>
          <w:bCs/>
          <w:spacing w:val="-2"/>
          <w:sz w:val="21"/>
          <w:szCs w:val="21"/>
        </w:rPr>
      </w:pPr>
    </w:p>
    <w:p>
      <w:pPr>
        <w:spacing w:before="131" w:line="221" w:lineRule="auto"/>
        <w:ind w:left="3"/>
        <w:outlineLvl w:val="0"/>
        <w:rPr>
          <w:rFonts w:ascii="宋体" w:hAnsi="宋体" w:eastAsia="宋体" w:cs="宋体"/>
          <w:b/>
          <w:bCs/>
          <w:spacing w:val="-2"/>
          <w:sz w:val="21"/>
          <w:szCs w:val="21"/>
        </w:rPr>
      </w:pPr>
    </w:p>
    <w:p>
      <w:pPr>
        <w:spacing w:before="131" w:line="221" w:lineRule="auto"/>
        <w:ind w:left="3"/>
        <w:outlineLvl w:val="0"/>
        <w:rPr>
          <w:rFonts w:ascii="宋体" w:hAnsi="宋体" w:eastAsia="宋体" w:cs="宋体"/>
          <w:sz w:val="21"/>
          <w:szCs w:val="21"/>
        </w:rPr>
      </w:pPr>
      <w:r>
        <w:rPr>
          <w:rFonts w:ascii="宋体" w:hAnsi="宋体" w:eastAsia="宋体" w:cs="宋体"/>
          <w:b/>
          <w:bCs/>
          <w:spacing w:val="-2"/>
          <w:sz w:val="21"/>
          <w:szCs w:val="21"/>
        </w:rPr>
        <w:t>8.联系方式</w:t>
      </w:r>
    </w:p>
    <w:p>
      <w:pPr>
        <w:spacing w:line="480" w:lineRule="auto"/>
        <w:ind w:left="7200" w:hanging="6120" w:hangingChars="3000"/>
        <w:jc w:val="both"/>
        <w:rPr>
          <w:rFonts w:ascii="宋体" w:hAnsi="宋体" w:eastAsia="宋体" w:cs="宋体"/>
          <w:spacing w:val="6"/>
          <w:position w:val="-1"/>
          <w:sz w:val="21"/>
          <w:szCs w:val="21"/>
        </w:rPr>
      </w:pPr>
      <w:r>
        <w:rPr>
          <w:rFonts w:ascii="宋体" w:hAnsi="宋体" w:eastAsia="宋体" w:cs="宋体"/>
          <w:spacing w:val="-3"/>
          <w:position w:val="-1"/>
          <w:sz w:val="21"/>
          <w:szCs w:val="21"/>
        </w:rPr>
        <w:t>招标人：</w:t>
      </w:r>
      <w:r>
        <w:rPr>
          <w:rFonts w:hint="eastAsia" w:ascii="宋体" w:hAnsi="宋体" w:eastAsia="宋体" w:cs="宋体"/>
          <w:spacing w:val="6"/>
          <w:position w:val="-1"/>
          <w:sz w:val="21"/>
          <w:szCs w:val="21"/>
          <w:lang w:eastAsia="zh-CN"/>
        </w:rPr>
        <w:t>广州市从化区城郊街道办事处</w:t>
      </w:r>
      <w:r>
        <w:rPr>
          <w:rFonts w:ascii="宋体" w:hAnsi="宋体" w:eastAsia="宋体" w:cs="宋体"/>
          <w:spacing w:val="6"/>
          <w:position w:val="-1"/>
          <w:sz w:val="21"/>
          <w:szCs w:val="21"/>
        </w:rPr>
        <w:t xml:space="preserve">  </w:t>
      </w:r>
      <w:r>
        <w:rPr>
          <w:rFonts w:ascii="宋体" w:hAnsi="宋体" w:eastAsia="宋体" w:cs="宋体"/>
          <w:spacing w:val="13"/>
          <w:position w:val="-1"/>
          <w:sz w:val="21"/>
          <w:szCs w:val="21"/>
        </w:rPr>
        <w:t xml:space="preserve">   </w:t>
      </w:r>
      <w:r>
        <w:rPr>
          <w:rFonts w:ascii="宋体" w:hAnsi="宋体" w:eastAsia="宋体" w:cs="宋体"/>
          <w:spacing w:val="-3"/>
          <w:position w:val="1"/>
          <w:sz w:val="21"/>
          <w:szCs w:val="21"/>
        </w:rPr>
        <w:t>招标代理机构：</w:t>
      </w:r>
      <w:r>
        <w:rPr>
          <w:rFonts w:hint="eastAsia" w:ascii="宋体" w:hAnsi="宋体" w:eastAsia="宋体" w:cs="宋体"/>
          <w:spacing w:val="6"/>
          <w:position w:val="1"/>
          <w:sz w:val="21"/>
          <w:szCs w:val="21"/>
          <w:lang w:eastAsia="zh-CN"/>
        </w:rPr>
        <w:t>广州至恒工程管理有限公司</w:t>
      </w:r>
    </w:p>
    <w:p>
      <w:pPr>
        <w:keepNext w:val="0"/>
        <w:keepLines w:val="0"/>
        <w:pageBreakBefore w:val="0"/>
        <w:widowControl/>
        <w:kinsoku w:val="0"/>
        <w:wordWrap/>
        <w:overflowPunct/>
        <w:topLinePunct w:val="0"/>
        <w:autoSpaceDE w:val="0"/>
        <w:autoSpaceDN w:val="0"/>
        <w:bidi w:val="0"/>
        <w:adjustRightInd w:val="0"/>
        <w:snapToGrid w:val="0"/>
        <w:spacing w:line="240" w:lineRule="auto"/>
        <w:ind w:left="5880" w:hanging="6216" w:hangingChars="2800"/>
        <w:jc w:val="both"/>
        <w:textAlignment w:val="baseline"/>
        <w:rPr>
          <w:rFonts w:hint="eastAsia" w:ascii="宋体" w:hAnsi="宋体" w:eastAsia="宋体" w:cs="宋体"/>
          <w:spacing w:val="6"/>
          <w:position w:val="-1"/>
          <w:sz w:val="21"/>
          <w:szCs w:val="21"/>
          <w:lang w:val="en-US" w:eastAsia="zh-CN"/>
        </w:rPr>
      </w:pPr>
      <w:r>
        <w:rPr>
          <w:rFonts w:ascii="宋体" w:hAnsi="宋体" w:eastAsia="宋体" w:cs="宋体"/>
          <w:spacing w:val="6"/>
          <w:position w:val="-1"/>
          <w:sz w:val="21"/>
          <w:szCs w:val="21"/>
        </w:rPr>
        <w:t>地</w:t>
      </w:r>
      <w:r>
        <w:rPr>
          <w:rFonts w:hint="eastAsia" w:ascii="宋体" w:hAnsi="宋体" w:eastAsia="宋体" w:cs="宋体"/>
          <w:spacing w:val="6"/>
          <w:position w:val="-1"/>
          <w:sz w:val="21"/>
          <w:szCs w:val="21"/>
          <w:lang w:val="en-US" w:eastAsia="zh-CN"/>
        </w:rPr>
        <w:t xml:space="preserve"> </w:t>
      </w:r>
      <w:r>
        <w:rPr>
          <w:rFonts w:ascii="宋体" w:hAnsi="宋体" w:eastAsia="宋体" w:cs="宋体"/>
          <w:spacing w:val="6"/>
          <w:position w:val="-1"/>
          <w:sz w:val="21"/>
          <w:szCs w:val="21"/>
        </w:rPr>
        <w:t>址：</w:t>
      </w:r>
      <w:r>
        <w:rPr>
          <w:rFonts w:hint="eastAsia" w:ascii="宋体" w:hAnsi="宋体" w:eastAsia="宋体" w:cs="宋体"/>
          <w:spacing w:val="6"/>
          <w:position w:val="-1"/>
          <w:sz w:val="21"/>
          <w:szCs w:val="21"/>
          <w:lang w:val="en-US" w:eastAsia="zh-CN"/>
        </w:rPr>
        <w:t xml:space="preserve">广州市从化区新村北路55号       </w:t>
      </w:r>
      <w:r>
        <w:rPr>
          <w:rFonts w:ascii="宋体" w:hAnsi="宋体" w:eastAsia="宋体" w:cs="宋体"/>
          <w:spacing w:val="6"/>
          <w:position w:val="1"/>
          <w:sz w:val="21"/>
          <w:szCs w:val="21"/>
        </w:rPr>
        <w:t>地址：</w:t>
      </w:r>
      <w:r>
        <w:rPr>
          <w:rFonts w:hint="eastAsia" w:ascii="宋体" w:hAnsi="宋体" w:eastAsia="宋体" w:cs="宋体"/>
          <w:spacing w:val="6"/>
          <w:position w:val="1"/>
          <w:sz w:val="21"/>
          <w:szCs w:val="21"/>
          <w:lang w:eastAsia="zh-CN"/>
        </w:rPr>
        <w:t>广州市从化区城郊旺城上横北路四巷17号</w:t>
      </w:r>
    </w:p>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666" w:firstLineChars="300"/>
        <w:jc w:val="left"/>
        <w:textAlignment w:val="baseline"/>
        <w:rPr>
          <w:rFonts w:ascii="宋体" w:hAnsi="宋体" w:eastAsia="宋体" w:cs="宋体"/>
          <w:sz w:val="21"/>
          <w:szCs w:val="21"/>
        </w:rPr>
      </w:pPr>
      <w:r>
        <w:rPr>
          <w:rFonts w:hint="eastAsia" w:ascii="宋体" w:hAnsi="宋体" w:eastAsia="宋体" w:cs="宋体"/>
          <w:spacing w:val="6"/>
          <w:position w:val="-1"/>
          <w:sz w:val="21"/>
          <w:szCs w:val="21"/>
          <w:lang w:val="en-US" w:eastAsia="zh-CN"/>
        </w:rPr>
        <w:t xml:space="preserve">  </w:t>
      </w:r>
      <w:r>
        <w:rPr>
          <w:rFonts w:ascii="宋体" w:hAnsi="宋体" w:eastAsia="宋体" w:cs="宋体"/>
          <w:spacing w:val="15"/>
          <w:position w:val="-1"/>
          <w:sz w:val="21"/>
          <w:szCs w:val="21"/>
        </w:rPr>
        <w:t xml:space="preserve"> </w:t>
      </w:r>
    </w:p>
    <w:p>
      <w:pPr>
        <w:snapToGrid w:val="0"/>
        <w:spacing w:line="480" w:lineRule="auto"/>
        <w:jc w:val="both"/>
        <w:rPr>
          <w:rFonts w:ascii="宋体" w:hAnsi="宋体" w:eastAsia="宋体" w:cs="宋体"/>
          <w:spacing w:val="-1"/>
          <w:position w:val="1"/>
          <w:sz w:val="21"/>
          <w:szCs w:val="21"/>
        </w:rPr>
      </w:pPr>
      <w:r>
        <w:rPr>
          <w:rFonts w:ascii="宋体" w:hAnsi="宋体" w:eastAsia="宋体" w:cs="宋体"/>
          <w:spacing w:val="-1"/>
          <w:position w:val="-1"/>
          <w:sz w:val="21"/>
          <w:szCs w:val="21"/>
        </w:rPr>
        <w:t>邮政编码：</w:t>
      </w:r>
      <w:r>
        <w:rPr>
          <w:rFonts w:hint="eastAsia" w:ascii="宋体" w:hAnsi="宋体" w:eastAsia="宋体" w:cs="宋体"/>
          <w:spacing w:val="-1"/>
          <w:position w:val="-1"/>
          <w:sz w:val="21"/>
          <w:szCs w:val="21"/>
          <w:lang w:val="en-US" w:eastAsia="zh-CN"/>
        </w:rPr>
        <w:t xml:space="preserve">         </w:t>
      </w:r>
      <w:r>
        <w:rPr>
          <w:rFonts w:ascii="宋体" w:hAnsi="宋体" w:eastAsia="宋体" w:cs="宋体"/>
          <w:spacing w:val="4"/>
          <w:position w:val="-1"/>
          <w:sz w:val="21"/>
          <w:szCs w:val="21"/>
        </w:rPr>
        <w:t xml:space="preserve">                     </w:t>
      </w:r>
      <w:r>
        <w:rPr>
          <w:rFonts w:ascii="宋体" w:hAnsi="宋体" w:eastAsia="宋体" w:cs="宋体"/>
          <w:spacing w:val="-1"/>
          <w:position w:val="1"/>
          <w:sz w:val="21"/>
          <w:szCs w:val="21"/>
        </w:rPr>
        <w:t>邮政编码：</w:t>
      </w:r>
      <w:r>
        <w:rPr>
          <w:rFonts w:hint="eastAsia" w:ascii="宋体" w:hAnsi="宋体" w:eastAsia="宋体" w:cs="宋体"/>
          <w:spacing w:val="-1"/>
          <w:position w:val="1"/>
          <w:sz w:val="21"/>
          <w:szCs w:val="21"/>
        </w:rPr>
        <w:t>510900</w:t>
      </w:r>
    </w:p>
    <w:p>
      <w:pPr>
        <w:spacing w:before="104" w:line="234" w:lineRule="auto"/>
        <w:rPr>
          <w:rFonts w:ascii="宋体" w:hAnsi="宋体" w:eastAsia="宋体" w:cs="宋体"/>
          <w:sz w:val="21"/>
          <w:szCs w:val="21"/>
        </w:rPr>
      </w:pPr>
      <w:r>
        <w:rPr>
          <w:rFonts w:ascii="宋体" w:hAnsi="宋体" w:eastAsia="宋体" w:cs="宋体"/>
          <w:spacing w:val="-6"/>
          <w:position w:val="-2"/>
          <w:sz w:val="21"/>
          <w:szCs w:val="21"/>
        </w:rPr>
        <w:t>电子邮件：/</w:t>
      </w:r>
      <w:r>
        <w:rPr>
          <w:rFonts w:ascii="宋体" w:hAnsi="宋体" w:eastAsia="宋体" w:cs="宋体"/>
          <w:spacing w:val="4"/>
          <w:position w:val="-2"/>
          <w:sz w:val="21"/>
          <w:szCs w:val="21"/>
        </w:rPr>
        <w:t xml:space="preserve">                    </w:t>
      </w:r>
      <w:r>
        <w:rPr>
          <w:rFonts w:ascii="宋体" w:hAnsi="宋体" w:eastAsia="宋体" w:cs="宋体"/>
          <w:spacing w:val="3"/>
          <w:position w:val="-2"/>
          <w:sz w:val="21"/>
          <w:szCs w:val="21"/>
        </w:rPr>
        <w:t xml:space="preserve">         </w:t>
      </w:r>
      <w:r>
        <w:rPr>
          <w:rFonts w:ascii="宋体" w:hAnsi="宋体" w:eastAsia="宋体" w:cs="宋体"/>
          <w:spacing w:val="-6"/>
          <w:sz w:val="21"/>
          <w:szCs w:val="21"/>
        </w:rPr>
        <w:t>电子邮件：</w:t>
      </w:r>
      <w:r>
        <w:rPr>
          <w:rFonts w:hint="eastAsia" w:ascii="宋体" w:hAnsi="宋体" w:eastAsia="宋体" w:cs="宋体"/>
          <w:spacing w:val="-6"/>
          <w:sz w:val="21"/>
          <w:szCs w:val="21"/>
          <w:lang w:val="en-US" w:eastAsia="zh-CN"/>
        </w:rPr>
        <w:t>/</w:t>
      </w:r>
      <w:r>
        <w:rPr>
          <w:rFonts w:ascii="宋体" w:hAnsi="宋体" w:eastAsia="宋体" w:cs="宋体"/>
          <w:spacing w:val="15"/>
          <w:sz w:val="21"/>
          <w:szCs w:val="21"/>
        </w:rPr>
        <w:t xml:space="preserve"> </w:t>
      </w:r>
    </w:p>
    <w:p>
      <w:pPr>
        <w:spacing w:before="111" w:line="230" w:lineRule="auto"/>
        <w:rPr>
          <w:rFonts w:hint="default" w:ascii="宋体" w:hAnsi="宋体" w:eastAsia="宋体" w:cs="宋体"/>
          <w:sz w:val="21"/>
          <w:szCs w:val="21"/>
          <w:lang w:val="en-US" w:eastAsia="zh-CN"/>
        </w:rPr>
      </w:pPr>
      <w:r>
        <w:rPr>
          <w:rFonts w:ascii="宋体" w:hAnsi="宋体" w:eastAsia="宋体" w:cs="宋体"/>
          <w:spacing w:val="1"/>
          <w:position w:val="-1"/>
          <w:sz w:val="21"/>
          <w:szCs w:val="21"/>
        </w:rPr>
        <w:t>联系人：</w:t>
      </w:r>
      <w:r>
        <w:rPr>
          <w:rFonts w:hint="eastAsia" w:ascii="宋体" w:hAnsi="宋体" w:eastAsia="宋体" w:cs="宋体"/>
          <w:spacing w:val="1"/>
          <w:position w:val="-1"/>
          <w:sz w:val="21"/>
          <w:szCs w:val="21"/>
          <w:lang w:val="en-US" w:eastAsia="zh-CN"/>
        </w:rPr>
        <w:t>黄工</w:t>
      </w:r>
      <w:r>
        <w:rPr>
          <w:rFonts w:ascii="宋体" w:hAnsi="宋体" w:eastAsia="宋体" w:cs="宋体"/>
          <w:spacing w:val="2"/>
          <w:position w:val="-1"/>
          <w:sz w:val="21"/>
          <w:szCs w:val="21"/>
        </w:rPr>
        <w:t xml:space="preserve">                           </w:t>
      </w:r>
      <w:r>
        <w:rPr>
          <w:rFonts w:hint="eastAsia" w:ascii="宋体" w:hAnsi="宋体" w:eastAsia="宋体" w:cs="宋体"/>
          <w:spacing w:val="2"/>
          <w:position w:val="-1"/>
          <w:sz w:val="21"/>
          <w:szCs w:val="21"/>
          <w:lang w:val="en-US" w:eastAsia="zh-CN"/>
        </w:rPr>
        <w:t xml:space="preserve"> </w:t>
      </w:r>
      <w:r>
        <w:rPr>
          <w:rFonts w:ascii="宋体" w:hAnsi="宋体" w:eastAsia="宋体" w:cs="宋体"/>
          <w:spacing w:val="1"/>
          <w:position w:val="1"/>
          <w:sz w:val="21"/>
          <w:szCs w:val="21"/>
        </w:rPr>
        <w:t>联系人：</w:t>
      </w:r>
      <w:r>
        <w:rPr>
          <w:rFonts w:hint="eastAsia" w:ascii="宋体" w:hAnsi="宋体" w:eastAsia="宋体" w:cs="宋体"/>
          <w:spacing w:val="1"/>
          <w:position w:val="1"/>
          <w:sz w:val="21"/>
          <w:szCs w:val="21"/>
          <w:lang w:val="en-US" w:eastAsia="zh-CN"/>
        </w:rPr>
        <w:t>朱工</w:t>
      </w:r>
    </w:p>
    <w:p>
      <w:pPr>
        <w:spacing w:before="110" w:line="230" w:lineRule="auto"/>
        <w:rPr>
          <w:rFonts w:hint="default" w:ascii="Arial" w:eastAsia="宋体"/>
          <w:sz w:val="21"/>
          <w:lang w:val="en-US" w:eastAsia="zh-CN"/>
        </w:rPr>
      </w:pPr>
      <w:r>
        <w:rPr>
          <w:rFonts w:ascii="宋体" w:hAnsi="宋体" w:eastAsia="宋体" w:cs="宋体"/>
          <w:spacing w:val="-1"/>
          <w:position w:val="-1"/>
          <w:sz w:val="21"/>
          <w:szCs w:val="21"/>
        </w:rPr>
        <w:t>电</w:t>
      </w:r>
      <w:r>
        <w:rPr>
          <w:rFonts w:ascii="宋体" w:hAnsi="宋体" w:eastAsia="宋体" w:cs="宋体"/>
          <w:spacing w:val="11"/>
          <w:position w:val="-1"/>
          <w:sz w:val="21"/>
          <w:szCs w:val="21"/>
        </w:rPr>
        <w:t xml:space="preserve">  </w:t>
      </w:r>
      <w:r>
        <w:rPr>
          <w:rFonts w:ascii="宋体" w:hAnsi="宋体" w:eastAsia="宋体" w:cs="宋体"/>
          <w:spacing w:val="-1"/>
          <w:position w:val="-1"/>
          <w:sz w:val="21"/>
          <w:szCs w:val="21"/>
        </w:rPr>
        <w:t>话：</w:t>
      </w:r>
      <w:r>
        <w:rPr>
          <w:rFonts w:hint="eastAsia" w:ascii="宋体" w:hAnsi="宋体" w:eastAsia="宋体" w:cs="宋体"/>
          <w:spacing w:val="-1"/>
          <w:position w:val="-1"/>
          <w:sz w:val="21"/>
          <w:szCs w:val="21"/>
          <w:lang w:val="en-US" w:eastAsia="zh-CN"/>
        </w:rPr>
        <w:t xml:space="preserve">020-87910788                 </w:t>
      </w:r>
      <w:r>
        <w:rPr>
          <w:rFonts w:ascii="宋体" w:hAnsi="宋体" w:eastAsia="宋体" w:cs="宋体"/>
          <w:spacing w:val="2"/>
          <w:position w:val="-1"/>
          <w:sz w:val="21"/>
          <w:szCs w:val="21"/>
        </w:rPr>
        <w:t xml:space="preserve">    </w:t>
      </w:r>
      <w:r>
        <w:rPr>
          <w:rFonts w:ascii="宋体" w:hAnsi="宋体" w:eastAsia="宋体" w:cs="宋体"/>
          <w:spacing w:val="-1"/>
          <w:position w:val="1"/>
          <w:sz w:val="21"/>
          <w:szCs w:val="21"/>
        </w:rPr>
        <w:t>电</w:t>
      </w:r>
      <w:r>
        <w:rPr>
          <w:rFonts w:ascii="宋体" w:hAnsi="宋体" w:eastAsia="宋体" w:cs="宋体"/>
          <w:spacing w:val="14"/>
          <w:position w:val="1"/>
          <w:sz w:val="21"/>
          <w:szCs w:val="21"/>
        </w:rPr>
        <w:t xml:space="preserve">  </w:t>
      </w:r>
      <w:r>
        <w:rPr>
          <w:rFonts w:ascii="宋体" w:hAnsi="宋体" w:eastAsia="宋体" w:cs="宋体"/>
          <w:spacing w:val="-1"/>
          <w:position w:val="1"/>
          <w:sz w:val="21"/>
          <w:szCs w:val="21"/>
        </w:rPr>
        <w:t>话：</w:t>
      </w:r>
      <w:r>
        <w:rPr>
          <w:rFonts w:hint="eastAsia" w:ascii="宋体" w:hAnsi="宋体" w:eastAsia="宋体" w:cs="宋体"/>
          <w:spacing w:val="-1"/>
          <w:position w:val="1"/>
          <w:sz w:val="21"/>
          <w:szCs w:val="21"/>
          <w:lang w:val="en-US" w:eastAsia="zh-CN"/>
        </w:rPr>
        <w:t>13602219118</w:t>
      </w:r>
    </w:p>
    <w:p>
      <w:pPr>
        <w:spacing w:line="252" w:lineRule="auto"/>
        <w:rPr>
          <w:rFonts w:ascii="Arial"/>
          <w:sz w:val="21"/>
        </w:rPr>
      </w:pPr>
    </w:p>
    <w:p>
      <w:pPr>
        <w:pStyle w:val="10"/>
      </w:pPr>
    </w:p>
    <w:p>
      <w:pPr>
        <w:pStyle w:val="10"/>
      </w:pPr>
    </w:p>
    <w:p>
      <w:pPr>
        <w:spacing w:before="69" w:line="219" w:lineRule="auto"/>
        <w:rPr>
          <w:rFonts w:ascii="宋体" w:hAnsi="宋体" w:eastAsia="宋体" w:cs="宋体"/>
          <w:sz w:val="21"/>
          <w:szCs w:val="21"/>
        </w:rPr>
      </w:pPr>
      <w:r>
        <w:rPr>
          <w:rFonts w:ascii="宋体" w:hAnsi="宋体" w:eastAsia="宋体" w:cs="宋体"/>
          <w:sz w:val="21"/>
          <w:szCs w:val="21"/>
        </w:rPr>
        <w:t>招标投标监督部门：广州市从化区交通运输局</w:t>
      </w:r>
    </w:p>
    <w:p>
      <w:pPr>
        <w:spacing w:before="131" w:line="230" w:lineRule="auto"/>
        <w:rPr>
          <w:rFonts w:ascii="宋体" w:hAnsi="宋体" w:eastAsia="宋体" w:cs="宋体"/>
          <w:sz w:val="21"/>
          <w:szCs w:val="21"/>
        </w:rPr>
      </w:pPr>
      <w:r>
        <w:rPr>
          <w:rFonts w:ascii="宋体" w:hAnsi="宋体" w:eastAsia="宋体" w:cs="宋体"/>
          <w:spacing w:val="3"/>
          <w:position w:val="-1"/>
          <w:sz w:val="21"/>
          <w:szCs w:val="21"/>
        </w:rPr>
        <w:t>投诉电话：020-37508215</w:t>
      </w:r>
      <w:r>
        <w:rPr>
          <w:rFonts w:ascii="宋体" w:hAnsi="宋体" w:eastAsia="宋体" w:cs="宋体"/>
          <w:spacing w:val="2"/>
          <w:position w:val="-1"/>
          <w:sz w:val="21"/>
          <w:szCs w:val="21"/>
        </w:rPr>
        <w:t xml:space="preserve">                  </w:t>
      </w:r>
      <w:r>
        <w:rPr>
          <w:rFonts w:ascii="宋体" w:hAnsi="宋体" w:eastAsia="宋体" w:cs="宋体"/>
          <w:spacing w:val="3"/>
          <w:sz w:val="21"/>
          <w:szCs w:val="21"/>
        </w:rPr>
        <w:t>地址：广州市从化区街口街青云路289号</w:t>
      </w:r>
    </w:p>
    <w:p>
      <w:pPr>
        <w:spacing w:line="468" w:lineRule="auto"/>
        <w:rPr>
          <w:rFonts w:ascii="Arial"/>
          <w:sz w:val="21"/>
        </w:rPr>
      </w:pPr>
    </w:p>
    <w:p>
      <w:pPr>
        <w:pStyle w:val="10"/>
      </w:pPr>
    </w:p>
    <w:p>
      <w:pPr>
        <w:pStyle w:val="10"/>
      </w:pPr>
    </w:p>
    <w:p>
      <w:pPr>
        <w:spacing w:before="69" w:line="227" w:lineRule="auto"/>
        <w:rPr>
          <w:rFonts w:ascii="宋体" w:hAnsi="宋体" w:eastAsia="宋体" w:cs="宋体"/>
          <w:sz w:val="21"/>
          <w:szCs w:val="21"/>
        </w:rPr>
      </w:pPr>
      <w:r>
        <w:rPr>
          <w:rFonts w:ascii="宋体" w:hAnsi="宋体" w:eastAsia="宋体" w:cs="宋体"/>
          <w:sz w:val="21"/>
          <w:szCs w:val="21"/>
        </w:rPr>
        <w:t>招标投标监察部门：从化区纪委监委</w:t>
      </w:r>
      <w:r>
        <w:rPr>
          <w:rFonts w:ascii="宋体" w:hAnsi="宋体" w:eastAsia="宋体" w:cs="宋体"/>
          <w:spacing w:val="8"/>
          <w:sz w:val="21"/>
          <w:szCs w:val="21"/>
        </w:rPr>
        <w:t xml:space="preserve">        </w:t>
      </w:r>
      <w:r>
        <w:rPr>
          <w:rFonts w:ascii="宋体" w:hAnsi="宋体" w:eastAsia="宋体" w:cs="宋体"/>
          <w:sz w:val="21"/>
          <w:szCs w:val="21"/>
        </w:rPr>
        <w:t>投诉电话：020-87933260</w:t>
      </w:r>
    </w:p>
    <w:p>
      <w:pPr>
        <w:spacing w:before="140" w:line="219" w:lineRule="auto"/>
        <w:rPr>
          <w:rFonts w:ascii="宋体" w:hAnsi="宋体" w:eastAsia="宋体" w:cs="宋体"/>
          <w:sz w:val="21"/>
          <w:szCs w:val="21"/>
        </w:rPr>
      </w:pPr>
      <w:r>
        <w:rPr>
          <w:rFonts w:ascii="宋体" w:hAnsi="宋体" w:eastAsia="宋体" w:cs="宋体"/>
          <w:spacing w:val="5"/>
          <w:sz w:val="21"/>
          <w:szCs w:val="21"/>
        </w:rPr>
        <w:t>地址：广州市从化区街口街新城东路99号</w:t>
      </w:r>
    </w:p>
    <w:p>
      <w:pPr>
        <w:spacing w:before="142" w:line="219" w:lineRule="auto"/>
        <w:ind w:right="353"/>
        <w:jc w:val="right"/>
        <w:rPr>
          <w:rFonts w:ascii="宋体" w:hAnsi="宋体" w:eastAsia="宋体" w:cs="宋体"/>
          <w:sz w:val="21"/>
          <w:szCs w:val="21"/>
        </w:rPr>
      </w:pPr>
      <w:r>
        <w:rPr>
          <w:rFonts w:ascii="宋体" w:hAnsi="宋体" w:eastAsia="宋体" w:cs="宋体"/>
          <w:spacing w:val="24"/>
          <w:sz w:val="21"/>
          <w:szCs w:val="21"/>
        </w:rPr>
        <w:t>202</w:t>
      </w:r>
      <w:r>
        <w:rPr>
          <w:rFonts w:hint="eastAsia" w:ascii="宋体" w:hAnsi="宋体" w:eastAsia="宋体" w:cs="宋体"/>
          <w:spacing w:val="24"/>
          <w:sz w:val="21"/>
          <w:szCs w:val="21"/>
          <w:lang w:val="en-US" w:eastAsia="zh-CN"/>
        </w:rPr>
        <w:t>3</w:t>
      </w:r>
      <w:r>
        <w:rPr>
          <w:rFonts w:ascii="宋体" w:hAnsi="宋体" w:eastAsia="宋体" w:cs="宋体"/>
          <w:spacing w:val="24"/>
          <w:sz w:val="21"/>
          <w:szCs w:val="21"/>
        </w:rPr>
        <w:t>年</w:t>
      </w:r>
      <w:r>
        <w:rPr>
          <w:rFonts w:hint="eastAsia" w:ascii="宋体" w:hAnsi="宋体" w:eastAsia="宋体" w:cs="宋体"/>
          <w:spacing w:val="24"/>
          <w:sz w:val="21"/>
          <w:szCs w:val="21"/>
          <w:lang w:val="en-US" w:eastAsia="zh-CN"/>
        </w:rPr>
        <w:t xml:space="preserve">5 </w:t>
      </w:r>
      <w:r>
        <w:rPr>
          <w:rFonts w:ascii="宋体" w:hAnsi="宋体" w:eastAsia="宋体" w:cs="宋体"/>
          <w:spacing w:val="24"/>
          <w:sz w:val="21"/>
          <w:szCs w:val="21"/>
        </w:rPr>
        <w:t>月</w:t>
      </w:r>
      <w:r>
        <w:rPr>
          <w:rFonts w:ascii="宋体" w:hAnsi="宋体" w:eastAsia="宋体" w:cs="宋体"/>
          <w:spacing w:val="6"/>
          <w:sz w:val="21"/>
          <w:szCs w:val="21"/>
        </w:rPr>
        <w:t xml:space="preserve"> </w:t>
      </w:r>
      <w:r>
        <w:rPr>
          <w:rFonts w:hint="eastAsia" w:ascii="宋体" w:hAnsi="宋体" w:eastAsia="宋体" w:cs="宋体"/>
          <w:spacing w:val="6"/>
          <w:sz w:val="21"/>
          <w:szCs w:val="21"/>
          <w:lang w:val="en-US" w:eastAsia="zh-CN"/>
        </w:rPr>
        <w:t xml:space="preserve">16 </w:t>
      </w:r>
      <w:r>
        <w:rPr>
          <w:rFonts w:ascii="宋体" w:hAnsi="宋体" w:eastAsia="宋体" w:cs="宋体"/>
          <w:spacing w:val="6"/>
          <w:sz w:val="21"/>
          <w:szCs w:val="21"/>
        </w:rPr>
        <w:t xml:space="preserve"> </w:t>
      </w:r>
      <w:r>
        <w:rPr>
          <w:rFonts w:ascii="宋体" w:hAnsi="宋体" w:eastAsia="宋体" w:cs="宋体"/>
          <w:spacing w:val="24"/>
          <w:sz w:val="21"/>
          <w:szCs w:val="21"/>
        </w:rPr>
        <w:t>日</w:t>
      </w:r>
    </w:p>
    <w:p>
      <w:pPr>
        <w:spacing w:line="348" w:lineRule="auto"/>
        <w:rPr>
          <w:rFonts w:ascii="Arial"/>
          <w:sz w:val="21"/>
        </w:rPr>
      </w:pPr>
    </w:p>
    <w:p>
      <w:pPr>
        <w:spacing w:line="348" w:lineRule="auto"/>
        <w:rPr>
          <w:rFonts w:ascii="Arial"/>
          <w:sz w:val="21"/>
        </w:rPr>
      </w:pPr>
    </w:p>
    <w:p>
      <w:pPr>
        <w:spacing w:before="69" w:line="550" w:lineRule="exact"/>
        <w:rPr>
          <w:rFonts w:ascii="仿宋" w:hAnsi="仿宋" w:eastAsia="仿宋" w:cs="仿宋"/>
          <w:sz w:val="21"/>
          <w:szCs w:val="21"/>
        </w:rPr>
      </w:pPr>
      <w:r>
        <w:rPr>
          <w:rFonts w:ascii="仿宋" w:hAnsi="仿宋" w:eastAsia="仿宋" w:cs="仿宋"/>
          <w:spacing w:val="18"/>
          <w:position w:val="26"/>
          <w:sz w:val="21"/>
          <w:szCs w:val="21"/>
        </w:rPr>
        <w:t>附件1:资格审查条件附录1至附录6</w:t>
      </w:r>
    </w:p>
    <w:p>
      <w:pPr>
        <w:spacing w:line="222" w:lineRule="auto"/>
        <w:rPr>
          <w:rFonts w:ascii="仿宋" w:hAnsi="仿宋" w:eastAsia="仿宋" w:cs="仿宋"/>
          <w:sz w:val="21"/>
          <w:szCs w:val="21"/>
        </w:rPr>
      </w:pPr>
      <w:r>
        <w:rPr>
          <w:rFonts w:ascii="仿宋" w:hAnsi="仿宋" w:eastAsia="仿宋" w:cs="仿宋"/>
          <w:spacing w:val="21"/>
          <w:sz w:val="21"/>
          <w:szCs w:val="21"/>
        </w:rPr>
        <w:t>附件2:评标办法</w:t>
      </w:r>
    </w:p>
    <w:p>
      <w:pPr>
        <w:sectPr>
          <w:footerReference r:id="rId5" w:type="default"/>
          <w:pgSz w:w="12100" w:h="16960"/>
          <w:pgMar w:top="1241" w:right="1376" w:bottom="599" w:left="1300" w:header="0" w:footer="640" w:gutter="0"/>
          <w:cols w:space="720" w:num="1"/>
        </w:sectPr>
      </w:pPr>
    </w:p>
    <w:p>
      <w:pPr>
        <w:spacing w:before="97" w:line="222" w:lineRule="auto"/>
        <w:rPr>
          <w:rFonts w:ascii="仿宋" w:hAnsi="仿宋" w:eastAsia="仿宋" w:cs="仿宋"/>
          <w:sz w:val="22"/>
          <w:szCs w:val="22"/>
        </w:rPr>
      </w:pPr>
      <w:r>
        <w:rPr>
          <w:rFonts w:ascii="仿宋" w:hAnsi="仿宋" w:eastAsia="仿宋" w:cs="仿宋"/>
          <w:spacing w:val="6"/>
          <w:sz w:val="22"/>
          <w:szCs w:val="22"/>
        </w:rPr>
        <w:t>附件1:</w:t>
      </w:r>
    </w:p>
    <w:p>
      <w:pPr>
        <w:spacing w:line="367" w:lineRule="auto"/>
        <w:rPr>
          <w:rFonts w:ascii="Arial"/>
          <w:color w:val="FF0000"/>
          <w:sz w:val="21"/>
        </w:rPr>
      </w:pPr>
    </w:p>
    <w:p>
      <w:pPr>
        <w:spacing w:line="360" w:lineRule="auto"/>
        <w:jc w:val="center"/>
        <w:rPr>
          <w:rFonts w:hint="eastAsia" w:ascii="宋体" w:hAnsi="宋体" w:eastAsia="宋体" w:cs="宋体"/>
          <w:b/>
          <w:color w:val="auto"/>
          <w:kern w:val="44"/>
          <w:sz w:val="28"/>
          <w:szCs w:val="28"/>
        </w:rPr>
      </w:pPr>
      <w:r>
        <w:rPr>
          <w:rFonts w:hint="eastAsia" w:ascii="宋体" w:hAnsi="宋体" w:eastAsia="宋体" w:cs="宋体"/>
          <w:b/>
          <w:color w:val="auto"/>
          <w:kern w:val="44"/>
          <w:sz w:val="28"/>
          <w:szCs w:val="28"/>
        </w:rPr>
        <w:t>附录1  资格审查条件(资质最低要求)</w:t>
      </w:r>
    </w:p>
    <w:tbl>
      <w:tblPr>
        <w:tblStyle w:val="11"/>
        <w:tblW w:w="9072"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907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6" w:hRule="atLeast"/>
          <w:jc w:val="center"/>
        </w:trPr>
        <w:tc>
          <w:tcPr>
            <w:tcW w:w="9072" w:type="dxa"/>
            <w:noWrap w:val="0"/>
            <w:vAlign w:val="center"/>
          </w:tcPr>
          <w:p>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施工企业资质等级要求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2" w:hRule="atLeast"/>
          <w:jc w:val="center"/>
        </w:trPr>
        <w:tc>
          <w:tcPr>
            <w:tcW w:w="9072" w:type="dxa"/>
            <w:noWrap w:val="0"/>
            <w:vAlign w:val="center"/>
          </w:tcPr>
          <w:p>
            <w:pPr>
              <w:wordWrap w:val="0"/>
              <w:topLinePunct/>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1、具有独立法人资格、有效的营业执照；</w:t>
            </w:r>
          </w:p>
          <w:p>
            <w:pPr>
              <w:wordWrap w:val="0"/>
              <w:topLinePunct/>
              <w:spacing w:line="360" w:lineRule="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2、具备公路工程施工总承包叁级（或以上）资质</w:t>
            </w:r>
            <w:r>
              <w:rPr>
                <w:rFonts w:hint="eastAsia" w:ascii="宋体" w:hAnsi="宋体" w:eastAsia="宋体" w:cs="宋体"/>
                <w:color w:val="auto"/>
                <w:sz w:val="24"/>
                <w:szCs w:val="24"/>
                <w:lang w:val="en-US" w:eastAsia="zh-CN"/>
              </w:rPr>
              <w:t>或</w:t>
            </w:r>
            <w:r>
              <w:rPr>
                <w:rFonts w:hint="eastAsia" w:ascii="宋体" w:hAnsi="宋体" w:eastAsia="宋体" w:cs="宋体"/>
                <w:color w:val="auto"/>
                <w:sz w:val="24"/>
                <w:szCs w:val="24"/>
              </w:rPr>
              <w:t>桥梁工程</w:t>
            </w:r>
            <w:r>
              <w:rPr>
                <w:rFonts w:hint="eastAsia" w:ascii="宋体" w:hAnsi="宋体" w:eastAsia="宋体" w:cs="宋体"/>
                <w:color w:val="auto"/>
                <w:sz w:val="24"/>
                <w:szCs w:val="24"/>
                <w:lang w:val="en-US" w:eastAsia="zh-CN"/>
              </w:rPr>
              <w:t>专业承包</w:t>
            </w:r>
            <w:r>
              <w:rPr>
                <w:rFonts w:hint="eastAsia" w:ascii="宋体" w:hAnsi="宋体" w:eastAsia="宋体" w:cs="宋体"/>
                <w:color w:val="auto"/>
                <w:sz w:val="24"/>
                <w:szCs w:val="24"/>
              </w:rPr>
              <w:t>叁级（或以上）资质</w:t>
            </w:r>
            <w:r>
              <w:rPr>
                <w:rFonts w:hint="eastAsia" w:ascii="宋体" w:hAnsi="宋体" w:eastAsia="宋体" w:cs="宋体"/>
                <w:color w:val="auto"/>
                <w:sz w:val="24"/>
                <w:szCs w:val="24"/>
                <w:lang w:eastAsia="zh-CN"/>
              </w:rPr>
              <w:t>；</w:t>
            </w:r>
          </w:p>
          <w:p>
            <w:pPr>
              <w:spacing w:line="360" w:lineRule="auto"/>
              <w:rPr>
                <w:rFonts w:hint="eastAsia" w:ascii="宋体" w:hAnsi="宋体" w:eastAsia="宋体" w:cs="宋体"/>
                <w:color w:val="auto"/>
                <w:spacing w:val="2"/>
                <w:sz w:val="24"/>
                <w:szCs w:val="24"/>
              </w:rPr>
            </w:pPr>
            <w:r>
              <w:rPr>
                <w:rFonts w:hint="eastAsia" w:ascii="宋体" w:hAnsi="宋体" w:eastAsia="宋体" w:cs="宋体"/>
                <w:color w:val="auto"/>
                <w:sz w:val="24"/>
                <w:szCs w:val="24"/>
              </w:rPr>
              <w:t>3、具有有效的施工企业安全生产许可证。</w:t>
            </w:r>
          </w:p>
        </w:tc>
      </w:tr>
    </w:tbl>
    <w:p>
      <w:pPr>
        <w:spacing w:line="360" w:lineRule="auto"/>
        <w:ind w:firstLine="214" w:firstLineChars="100"/>
        <w:rPr>
          <w:rFonts w:hint="eastAsia" w:ascii="宋体" w:hAnsi="宋体" w:eastAsia="宋体" w:cs="宋体"/>
          <w:color w:val="auto"/>
          <w:sz w:val="21"/>
          <w:szCs w:val="18"/>
        </w:rPr>
      </w:pPr>
      <w:r>
        <w:rPr>
          <w:rFonts w:hint="eastAsia" w:ascii="宋体" w:hAnsi="宋体" w:eastAsia="宋体" w:cs="宋体"/>
          <w:color w:val="auto"/>
          <w:spacing w:val="2"/>
          <w:sz w:val="21"/>
          <w:szCs w:val="21"/>
        </w:rPr>
        <w:t>注：1.、投标人应根据投标文件第二章“投标人须知”第 3.5.1 项的要求附相关证明材料。</w:t>
      </w:r>
    </w:p>
    <w:p>
      <w:pPr>
        <w:pStyle w:val="9"/>
        <w:spacing w:line="360" w:lineRule="auto"/>
        <w:rPr>
          <w:rFonts w:hint="eastAsia" w:ascii="宋体" w:hAnsi="宋体" w:eastAsia="宋体" w:cs="宋体"/>
        </w:rPr>
      </w:pPr>
    </w:p>
    <w:p>
      <w:pPr>
        <w:spacing w:line="249" w:lineRule="auto"/>
        <w:rPr>
          <w:rFonts w:hint="eastAsia" w:ascii="Arial"/>
          <w:sz w:val="21"/>
        </w:rPr>
      </w:pPr>
    </w:p>
    <w:p>
      <w:pPr>
        <w:spacing w:line="249" w:lineRule="auto"/>
        <w:rPr>
          <w:rFonts w:ascii="Arial"/>
          <w:sz w:val="21"/>
        </w:rPr>
      </w:pPr>
    </w:p>
    <w:p>
      <w:pPr>
        <w:spacing w:line="249" w:lineRule="auto"/>
        <w:rPr>
          <w:rFonts w:ascii="Arial"/>
          <w:sz w:val="21"/>
        </w:rPr>
      </w:pPr>
    </w:p>
    <w:p>
      <w:pPr>
        <w:pStyle w:val="10"/>
        <w:rPr>
          <w:rFonts w:ascii="Arial"/>
          <w:sz w:val="21"/>
        </w:rPr>
      </w:pPr>
    </w:p>
    <w:p>
      <w:pPr>
        <w:pStyle w:val="10"/>
        <w:rPr>
          <w:rFonts w:ascii="Arial"/>
          <w:sz w:val="21"/>
        </w:rPr>
      </w:pPr>
    </w:p>
    <w:p>
      <w:pPr>
        <w:pStyle w:val="10"/>
        <w:rPr>
          <w:rFonts w:ascii="Arial"/>
          <w:sz w:val="21"/>
        </w:rPr>
      </w:pPr>
    </w:p>
    <w:p>
      <w:pPr>
        <w:pStyle w:val="10"/>
        <w:rPr>
          <w:rFonts w:ascii="Arial"/>
          <w:sz w:val="21"/>
        </w:rPr>
      </w:pPr>
    </w:p>
    <w:p>
      <w:pPr>
        <w:pStyle w:val="10"/>
        <w:rPr>
          <w:rFonts w:ascii="Arial"/>
          <w:sz w:val="21"/>
        </w:rPr>
      </w:pPr>
    </w:p>
    <w:p>
      <w:pPr>
        <w:pStyle w:val="10"/>
        <w:rPr>
          <w:rFonts w:ascii="Arial"/>
          <w:sz w:val="21"/>
        </w:rPr>
      </w:pPr>
    </w:p>
    <w:p>
      <w:pPr>
        <w:pStyle w:val="10"/>
        <w:rPr>
          <w:rFonts w:ascii="Arial"/>
          <w:sz w:val="21"/>
        </w:rPr>
      </w:pPr>
    </w:p>
    <w:p>
      <w:pPr>
        <w:pStyle w:val="10"/>
        <w:rPr>
          <w:rFonts w:ascii="Arial"/>
          <w:sz w:val="21"/>
        </w:rPr>
      </w:pPr>
    </w:p>
    <w:p>
      <w:pPr>
        <w:pStyle w:val="10"/>
        <w:rPr>
          <w:rFonts w:ascii="Arial"/>
          <w:sz w:val="21"/>
        </w:rPr>
      </w:pPr>
    </w:p>
    <w:p>
      <w:pPr>
        <w:pStyle w:val="10"/>
        <w:rPr>
          <w:rFonts w:ascii="Arial"/>
          <w:sz w:val="21"/>
        </w:rPr>
      </w:pPr>
    </w:p>
    <w:p>
      <w:pPr>
        <w:pStyle w:val="10"/>
        <w:rPr>
          <w:rFonts w:ascii="Arial"/>
          <w:sz w:val="21"/>
        </w:rPr>
      </w:pPr>
    </w:p>
    <w:p>
      <w:pPr>
        <w:pStyle w:val="10"/>
        <w:rPr>
          <w:rFonts w:ascii="Arial"/>
          <w:sz w:val="21"/>
        </w:rPr>
      </w:pPr>
    </w:p>
    <w:p>
      <w:pPr>
        <w:pStyle w:val="10"/>
        <w:rPr>
          <w:rFonts w:ascii="Arial"/>
          <w:sz w:val="21"/>
        </w:rPr>
      </w:pPr>
    </w:p>
    <w:p>
      <w:pPr>
        <w:pStyle w:val="10"/>
        <w:rPr>
          <w:rFonts w:ascii="Arial"/>
          <w:sz w:val="21"/>
        </w:rPr>
      </w:pPr>
    </w:p>
    <w:p>
      <w:pPr>
        <w:pStyle w:val="10"/>
        <w:rPr>
          <w:rFonts w:ascii="Arial"/>
          <w:sz w:val="21"/>
        </w:rPr>
      </w:pPr>
    </w:p>
    <w:p>
      <w:pPr>
        <w:pStyle w:val="10"/>
        <w:rPr>
          <w:rFonts w:ascii="Arial"/>
          <w:sz w:val="21"/>
        </w:rPr>
      </w:pPr>
    </w:p>
    <w:p>
      <w:pPr>
        <w:pStyle w:val="10"/>
        <w:rPr>
          <w:rFonts w:ascii="Arial"/>
          <w:sz w:val="21"/>
        </w:rPr>
      </w:pPr>
    </w:p>
    <w:p>
      <w:pPr>
        <w:pStyle w:val="10"/>
        <w:rPr>
          <w:rFonts w:ascii="Arial"/>
          <w:sz w:val="21"/>
        </w:rPr>
      </w:pPr>
    </w:p>
    <w:p>
      <w:pPr>
        <w:pStyle w:val="10"/>
        <w:rPr>
          <w:rFonts w:ascii="Arial"/>
          <w:sz w:val="21"/>
        </w:rPr>
      </w:pPr>
    </w:p>
    <w:p>
      <w:pPr>
        <w:pStyle w:val="10"/>
        <w:rPr>
          <w:rFonts w:ascii="Arial"/>
          <w:sz w:val="21"/>
        </w:rPr>
      </w:pPr>
    </w:p>
    <w:p>
      <w:pPr>
        <w:pStyle w:val="10"/>
        <w:rPr>
          <w:rFonts w:ascii="Arial"/>
          <w:sz w:val="21"/>
        </w:rPr>
      </w:pPr>
    </w:p>
    <w:p>
      <w:pPr>
        <w:pStyle w:val="10"/>
        <w:rPr>
          <w:rFonts w:ascii="Arial"/>
          <w:sz w:val="21"/>
        </w:rPr>
      </w:pPr>
    </w:p>
    <w:p>
      <w:pPr>
        <w:pStyle w:val="10"/>
        <w:rPr>
          <w:rFonts w:ascii="Arial"/>
          <w:sz w:val="21"/>
        </w:rPr>
      </w:pPr>
    </w:p>
    <w:p>
      <w:pPr>
        <w:pStyle w:val="10"/>
        <w:rPr>
          <w:rFonts w:ascii="Arial"/>
          <w:sz w:val="21"/>
        </w:rPr>
      </w:pPr>
    </w:p>
    <w:p>
      <w:pPr>
        <w:pStyle w:val="10"/>
        <w:rPr>
          <w:rFonts w:ascii="Arial"/>
          <w:sz w:val="21"/>
        </w:rPr>
      </w:pPr>
    </w:p>
    <w:p>
      <w:pPr>
        <w:pStyle w:val="10"/>
        <w:ind w:left="0" w:leftChars="0" w:firstLine="0" w:firstLineChars="0"/>
        <w:rPr>
          <w:rFonts w:hint="eastAsia" w:eastAsia="宋体"/>
          <w:sz w:val="21"/>
          <w:lang w:eastAsia="zh-CN"/>
        </w:rPr>
      </w:pPr>
    </w:p>
    <w:p>
      <w:pPr>
        <w:spacing w:line="250" w:lineRule="auto"/>
        <w:rPr>
          <w:rFonts w:ascii="Arial"/>
          <w:sz w:val="21"/>
        </w:rPr>
      </w:pPr>
    </w:p>
    <w:p>
      <w:pPr>
        <w:spacing w:before="94" w:line="219" w:lineRule="auto"/>
        <w:ind w:left="2504"/>
        <w:rPr>
          <w:rFonts w:ascii="宋体" w:hAnsi="宋体" w:eastAsia="宋体" w:cs="宋体"/>
          <w:sz w:val="29"/>
          <w:szCs w:val="29"/>
        </w:rPr>
      </w:pPr>
      <w:r>
        <w:rPr>
          <w:rFonts w:ascii="宋体" w:hAnsi="宋体" w:eastAsia="宋体" w:cs="宋体"/>
          <w:b/>
          <w:bCs/>
          <w:spacing w:val="-1"/>
          <w:sz w:val="29"/>
          <w:szCs w:val="29"/>
        </w:rPr>
        <w:t>附录2资格审查条件(财务最低要求)</w:t>
      </w:r>
    </w:p>
    <w:p>
      <w:pPr>
        <w:spacing w:line="15" w:lineRule="exact"/>
      </w:pPr>
    </w:p>
    <w:tbl>
      <w:tblPr>
        <w:tblStyle w:val="13"/>
        <w:tblW w:w="9069" w:type="dxa"/>
        <w:tblInd w:w="10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06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2" w:hRule="atLeast"/>
        </w:trPr>
        <w:tc>
          <w:tcPr>
            <w:tcW w:w="9069" w:type="dxa"/>
            <w:vAlign w:val="top"/>
          </w:tcPr>
          <w:p>
            <w:pPr>
              <w:spacing w:before="144" w:line="219" w:lineRule="auto"/>
              <w:ind w:left="4024"/>
              <w:rPr>
                <w:rFonts w:ascii="宋体" w:hAnsi="宋体" w:eastAsia="宋体" w:cs="宋体"/>
                <w:sz w:val="24"/>
                <w:szCs w:val="24"/>
              </w:rPr>
            </w:pPr>
            <w:r>
              <w:rPr>
                <w:rFonts w:ascii="宋体" w:hAnsi="宋体" w:eastAsia="宋体" w:cs="宋体"/>
                <w:spacing w:val="2"/>
                <w:sz w:val="24"/>
                <w:szCs w:val="24"/>
              </w:rPr>
              <w:t>财务要求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68" w:hRule="atLeast"/>
        </w:trPr>
        <w:tc>
          <w:tcPr>
            <w:tcW w:w="9069" w:type="dxa"/>
            <w:vAlign w:val="top"/>
          </w:tcPr>
          <w:p>
            <w:pPr>
              <w:spacing w:line="360" w:lineRule="auto"/>
              <w:rPr>
                <w:rFonts w:hint="eastAsia" w:ascii="宋体" w:hAnsi="宋体" w:eastAsia="宋体" w:cs="宋体"/>
                <w:color w:val="auto"/>
                <w:spacing w:val="2"/>
                <w:sz w:val="24"/>
                <w:szCs w:val="24"/>
                <w:highlight w:val="none"/>
              </w:rPr>
            </w:pPr>
            <w:r>
              <w:rPr>
                <w:rFonts w:hint="eastAsia" w:ascii="宋体" w:hAnsi="宋体" w:eastAsia="宋体" w:cs="宋体"/>
                <w:spacing w:val="2"/>
                <w:sz w:val="24"/>
                <w:szCs w:val="24"/>
              </w:rPr>
              <w:t>1、企业净资产（总资产-总负债）</w:t>
            </w:r>
            <w:r>
              <w:rPr>
                <w:rFonts w:hint="eastAsia" w:ascii="宋体" w:hAnsi="宋体" w:eastAsia="宋体" w:cs="宋体"/>
                <w:color w:val="auto"/>
                <w:spacing w:val="2"/>
                <w:sz w:val="24"/>
                <w:szCs w:val="24"/>
                <w:highlight w:val="none"/>
              </w:rPr>
              <w:t>不少于</w:t>
            </w:r>
            <w:r>
              <w:rPr>
                <w:rFonts w:hint="eastAsia" w:ascii="宋体" w:hAnsi="宋体" w:eastAsia="宋体" w:cs="宋体"/>
                <w:color w:val="auto"/>
                <w:spacing w:val="2"/>
                <w:sz w:val="24"/>
                <w:szCs w:val="24"/>
                <w:highlight w:val="none"/>
                <w:u w:val="single"/>
                <w:lang w:val="en-US" w:eastAsia="zh-CN"/>
              </w:rPr>
              <w:t>8</w:t>
            </w:r>
            <w:r>
              <w:rPr>
                <w:rFonts w:hint="eastAsia" w:ascii="宋体" w:hAnsi="宋体" w:eastAsia="宋体" w:cs="宋体"/>
                <w:color w:val="auto"/>
                <w:spacing w:val="2"/>
                <w:sz w:val="24"/>
                <w:szCs w:val="24"/>
                <w:highlight w:val="none"/>
                <w:u w:val="single"/>
              </w:rPr>
              <w:t>00</w:t>
            </w:r>
            <w:r>
              <w:rPr>
                <w:rFonts w:hint="eastAsia" w:ascii="宋体" w:hAnsi="宋体" w:eastAsia="宋体" w:cs="宋体"/>
                <w:color w:val="auto"/>
                <w:spacing w:val="2"/>
                <w:sz w:val="24"/>
                <w:szCs w:val="24"/>
                <w:highlight w:val="none"/>
              </w:rPr>
              <w:t xml:space="preserve">万元人民币。 </w:t>
            </w:r>
          </w:p>
          <w:p>
            <w:pPr>
              <w:spacing w:line="360" w:lineRule="auto"/>
              <w:rPr>
                <w:rFonts w:hint="eastAsia" w:ascii="宋体" w:hAnsi="宋体" w:eastAsia="宋体" w:cs="宋体"/>
                <w:spacing w:val="2"/>
                <w:sz w:val="24"/>
                <w:szCs w:val="24"/>
                <w:highlight w:val="none"/>
              </w:rPr>
            </w:pPr>
            <w:r>
              <w:rPr>
                <w:rFonts w:hint="eastAsia" w:ascii="宋体" w:hAnsi="宋体" w:eastAsia="宋体" w:cs="宋体"/>
                <w:color w:val="auto"/>
                <w:spacing w:val="2"/>
                <w:sz w:val="24"/>
                <w:szCs w:val="24"/>
                <w:highlight w:val="none"/>
              </w:rPr>
              <w:t>2、营运资金（流动资产－流动负债）不少于</w:t>
            </w:r>
            <w:r>
              <w:rPr>
                <w:rFonts w:hint="eastAsia" w:ascii="宋体" w:hAnsi="宋体" w:eastAsia="宋体" w:cs="宋体"/>
                <w:color w:val="auto"/>
                <w:spacing w:val="2"/>
                <w:sz w:val="24"/>
                <w:szCs w:val="24"/>
                <w:highlight w:val="none"/>
                <w:u w:val="single"/>
                <w:lang w:val="en-US" w:eastAsia="zh-CN"/>
              </w:rPr>
              <w:t>8</w:t>
            </w:r>
            <w:r>
              <w:rPr>
                <w:rFonts w:hint="eastAsia" w:ascii="宋体" w:hAnsi="宋体" w:eastAsia="宋体" w:cs="宋体"/>
                <w:color w:val="auto"/>
                <w:spacing w:val="2"/>
                <w:sz w:val="24"/>
                <w:szCs w:val="24"/>
                <w:highlight w:val="none"/>
                <w:u w:val="single"/>
              </w:rPr>
              <w:t>00</w:t>
            </w:r>
            <w:r>
              <w:rPr>
                <w:rFonts w:hint="eastAsia" w:ascii="宋体" w:hAnsi="宋体" w:eastAsia="宋体" w:cs="宋体"/>
                <w:color w:val="auto"/>
                <w:spacing w:val="2"/>
                <w:sz w:val="24"/>
                <w:szCs w:val="24"/>
                <w:highlight w:val="none"/>
              </w:rPr>
              <w:t>万元人民币。</w:t>
            </w:r>
            <w:r>
              <w:rPr>
                <w:rFonts w:hint="eastAsia" w:ascii="宋体" w:hAnsi="宋体" w:eastAsia="宋体" w:cs="宋体"/>
                <w:spacing w:val="2"/>
                <w:sz w:val="24"/>
                <w:szCs w:val="24"/>
                <w:highlight w:val="none"/>
              </w:rPr>
              <w:t xml:space="preserve"> </w:t>
            </w:r>
          </w:p>
          <w:p>
            <w:pPr>
              <w:spacing w:line="360" w:lineRule="auto"/>
              <w:rPr>
                <w:rFonts w:hint="eastAsia" w:ascii="宋体" w:hAnsi="宋体" w:eastAsia="宋体" w:cs="宋体"/>
                <w:spacing w:val="2"/>
                <w:sz w:val="24"/>
                <w:szCs w:val="24"/>
              </w:rPr>
            </w:pPr>
            <w:r>
              <w:rPr>
                <w:rFonts w:hint="eastAsia" w:ascii="宋体" w:hAnsi="宋体" w:eastAsia="宋体" w:cs="宋体"/>
                <w:spacing w:val="2"/>
                <w:sz w:val="24"/>
                <w:szCs w:val="24"/>
              </w:rPr>
              <w:t>3、近三年度的年平均营业总收入不少于</w:t>
            </w:r>
            <w:r>
              <w:rPr>
                <w:rFonts w:hint="eastAsia" w:ascii="宋体" w:hAnsi="宋体" w:eastAsia="宋体" w:cs="宋体"/>
                <w:spacing w:val="2"/>
                <w:sz w:val="24"/>
                <w:szCs w:val="24"/>
                <w:u w:val="single"/>
              </w:rPr>
              <w:t>2000</w:t>
            </w:r>
            <w:r>
              <w:rPr>
                <w:rFonts w:hint="eastAsia" w:ascii="宋体" w:hAnsi="宋体" w:eastAsia="宋体" w:cs="宋体"/>
                <w:spacing w:val="2"/>
                <w:sz w:val="24"/>
                <w:szCs w:val="24"/>
              </w:rPr>
              <w:t>万元人民币。</w:t>
            </w:r>
          </w:p>
          <w:p>
            <w:pPr>
              <w:spacing w:before="26" w:line="219" w:lineRule="auto"/>
              <w:ind w:left="84"/>
              <w:rPr>
                <w:rFonts w:ascii="宋体" w:hAnsi="宋体" w:eastAsia="宋体" w:cs="宋体"/>
                <w:sz w:val="24"/>
                <w:szCs w:val="24"/>
              </w:rPr>
            </w:pPr>
            <w:r>
              <w:rPr>
                <w:rFonts w:hint="eastAsia" w:ascii="宋体" w:hAnsi="宋体" w:eastAsia="宋体" w:cs="宋体"/>
                <w:spacing w:val="2"/>
                <w:sz w:val="24"/>
                <w:szCs w:val="24"/>
              </w:rPr>
              <w:t>4、近三年度至少有两年盈利，且202</w:t>
            </w:r>
            <w:r>
              <w:rPr>
                <w:rFonts w:hint="eastAsia" w:ascii="宋体" w:hAnsi="宋体" w:eastAsia="宋体" w:cs="宋体"/>
                <w:spacing w:val="2"/>
                <w:sz w:val="24"/>
                <w:szCs w:val="24"/>
                <w:lang w:val="en-US" w:eastAsia="zh-CN"/>
              </w:rPr>
              <w:t>2</w:t>
            </w:r>
            <w:r>
              <w:rPr>
                <w:rFonts w:hint="eastAsia" w:ascii="宋体" w:hAnsi="宋体" w:eastAsia="宋体" w:cs="宋体"/>
                <w:spacing w:val="2"/>
                <w:sz w:val="24"/>
                <w:szCs w:val="24"/>
              </w:rPr>
              <w:t>年的负债率低于30%</w:t>
            </w:r>
          </w:p>
        </w:tc>
      </w:tr>
    </w:tbl>
    <w:p>
      <w:pPr>
        <w:keepNext w:val="0"/>
        <w:keepLines w:val="0"/>
        <w:pageBreakBefore w:val="0"/>
        <w:widowControl/>
        <w:kinsoku/>
        <w:wordWrap/>
        <w:overflowPunct/>
        <w:topLinePunct w:val="0"/>
        <w:autoSpaceDE/>
        <w:autoSpaceDN/>
        <w:bidi w:val="0"/>
        <w:adjustRightInd/>
        <w:spacing w:line="360" w:lineRule="auto"/>
        <w:jc w:val="left"/>
        <w:textAlignment w:val="auto"/>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注：1.</w:t>
      </w:r>
      <w:r>
        <w:rPr>
          <w:rFonts w:hint="eastAsia" w:ascii="宋体" w:hAnsi="宋体" w:eastAsia="宋体" w:cs="宋体"/>
          <w:color w:val="auto"/>
          <w:sz w:val="21"/>
          <w:szCs w:val="21"/>
        </w:rPr>
        <w:t>企业净资产、营运资金是按交通运输部“全国公路建设市场信用信息管理系统”登记的最新年度</w:t>
      </w:r>
      <w:r>
        <w:rPr>
          <w:rFonts w:hint="eastAsia" w:ascii="宋体" w:hAnsi="宋体" w:eastAsia="宋体" w:cs="宋体"/>
          <w:color w:val="auto"/>
          <w:sz w:val="21"/>
          <w:szCs w:val="21"/>
          <w:highlight w:val="none"/>
          <w:lang w:bidi="ar"/>
        </w:rPr>
        <w:t>（202</w:t>
      </w:r>
      <w:r>
        <w:rPr>
          <w:rFonts w:hint="eastAsia" w:ascii="宋体" w:hAnsi="宋体" w:eastAsia="宋体" w:cs="宋体"/>
          <w:color w:val="auto"/>
          <w:sz w:val="21"/>
          <w:szCs w:val="21"/>
          <w:highlight w:val="none"/>
          <w:lang w:val="en-US" w:eastAsia="zh-CN" w:bidi="ar"/>
        </w:rPr>
        <w:t>2</w:t>
      </w:r>
      <w:r>
        <w:rPr>
          <w:rFonts w:hint="eastAsia" w:ascii="宋体" w:hAnsi="宋体" w:eastAsia="宋体" w:cs="宋体"/>
          <w:color w:val="auto"/>
          <w:sz w:val="21"/>
          <w:szCs w:val="21"/>
          <w:highlight w:val="none"/>
          <w:lang w:bidi="ar"/>
        </w:rPr>
        <w:t>年度</w:t>
      </w:r>
      <w:r>
        <w:rPr>
          <w:rFonts w:hint="eastAsia" w:ascii="宋体" w:hAnsi="宋体" w:eastAsia="宋体" w:cs="宋体"/>
          <w:color w:val="auto"/>
          <w:sz w:val="21"/>
          <w:szCs w:val="21"/>
          <w:lang w:bidi="ar"/>
        </w:rPr>
        <w:t>）</w:t>
      </w:r>
      <w:r>
        <w:rPr>
          <w:rFonts w:hint="eastAsia" w:ascii="宋体" w:hAnsi="宋体" w:eastAsia="宋体" w:cs="宋体"/>
          <w:color w:val="auto"/>
          <w:sz w:val="21"/>
          <w:szCs w:val="21"/>
        </w:rPr>
        <w:t>数据计算得出。</w:t>
      </w:r>
    </w:p>
    <w:p>
      <w:pPr>
        <w:keepNext w:val="0"/>
        <w:keepLines w:val="0"/>
        <w:pageBreakBefore w:val="0"/>
        <w:widowControl/>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2.近三个年度(</w:t>
      </w:r>
      <w:r>
        <w:rPr>
          <w:rFonts w:hint="eastAsia" w:ascii="宋体" w:hAnsi="宋体" w:eastAsia="宋体" w:cs="宋体"/>
          <w:color w:val="auto"/>
          <w:sz w:val="21"/>
          <w:szCs w:val="21"/>
          <w:highlight w:val="none"/>
        </w:rPr>
        <w:t>近三年指的是20</w:t>
      </w:r>
      <w:r>
        <w:rPr>
          <w:rFonts w:hint="eastAsia" w:ascii="宋体" w:hAnsi="宋体" w:eastAsia="宋体" w:cs="宋体"/>
          <w:color w:val="auto"/>
          <w:sz w:val="21"/>
          <w:szCs w:val="21"/>
          <w:highlight w:val="none"/>
          <w:lang w:val="en-US" w:eastAsia="zh-CN"/>
        </w:rPr>
        <w:t>20</w:t>
      </w:r>
      <w:r>
        <w:rPr>
          <w:rFonts w:hint="eastAsia" w:ascii="宋体" w:hAnsi="宋体" w:eastAsia="宋体" w:cs="宋体"/>
          <w:color w:val="auto"/>
          <w:sz w:val="21"/>
          <w:szCs w:val="21"/>
          <w:highlight w:val="none"/>
        </w:rPr>
        <w:t>年、20</w:t>
      </w:r>
      <w:r>
        <w:rPr>
          <w:rFonts w:hint="eastAsia" w:ascii="宋体" w:hAnsi="宋体" w:eastAsia="宋体" w:cs="宋体"/>
          <w:color w:val="auto"/>
          <w:sz w:val="21"/>
          <w:szCs w:val="21"/>
          <w:highlight w:val="none"/>
          <w:lang w:val="en-US" w:eastAsia="zh-CN"/>
        </w:rPr>
        <w:t>21</w:t>
      </w:r>
      <w:r>
        <w:rPr>
          <w:rFonts w:hint="eastAsia" w:ascii="宋体" w:hAnsi="宋体" w:eastAsia="宋体" w:cs="宋体"/>
          <w:color w:val="auto"/>
          <w:sz w:val="21"/>
          <w:szCs w:val="21"/>
          <w:highlight w:val="none"/>
        </w:rPr>
        <w:t>年、20</w:t>
      </w:r>
      <w:r>
        <w:rPr>
          <w:rFonts w:hint="eastAsia" w:ascii="宋体" w:hAnsi="宋体" w:eastAsia="宋体" w:cs="宋体"/>
          <w:color w:val="auto"/>
          <w:sz w:val="21"/>
          <w:szCs w:val="21"/>
          <w:highlight w:val="none"/>
          <w:lang w:val="en-US" w:eastAsia="zh-CN"/>
        </w:rPr>
        <w:t>22</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lang w:bidi="ar"/>
        </w:rPr>
        <w:t>)财务信息以投标人提供的“全国公路建设市场信用信息管理系统”企业所填的信息截图为准。</w:t>
      </w:r>
    </w:p>
    <w:p>
      <w:pPr>
        <w:keepNext w:val="0"/>
        <w:keepLines w:val="0"/>
        <w:pageBreakBefore w:val="0"/>
        <w:widowControl/>
        <w:kinsoku/>
        <w:wordWrap/>
        <w:overflowPunct/>
        <w:topLinePunct w:val="0"/>
        <w:autoSpaceDE/>
        <w:autoSpaceDN/>
        <w:bidi w:val="0"/>
        <w:adjustRightInd/>
        <w:spacing w:line="360" w:lineRule="auto"/>
        <w:ind w:right="-20" w:firstLine="420" w:firstLineChars="200"/>
        <w:textAlignment w:val="auto"/>
        <w:rPr>
          <w:rFonts w:hint="eastAsia" w:ascii="宋体" w:hAnsi="宋体" w:eastAsia="宋体" w:cs="宋体"/>
          <w:sz w:val="21"/>
          <w:szCs w:val="21"/>
        </w:rPr>
      </w:pPr>
      <w:r>
        <w:rPr>
          <w:rFonts w:hint="eastAsia" w:ascii="宋体" w:hAnsi="宋体" w:eastAsia="宋体" w:cs="宋体"/>
          <w:color w:val="auto"/>
          <w:sz w:val="21"/>
          <w:szCs w:val="21"/>
        </w:rPr>
        <w:t>3</w:t>
      </w:r>
      <w:r>
        <w:rPr>
          <w:rFonts w:hint="eastAsia" w:ascii="宋体" w:hAnsi="宋体" w:eastAsia="宋体" w:cs="宋体"/>
          <w:color w:val="auto"/>
          <w:sz w:val="21"/>
          <w:szCs w:val="21"/>
          <w:lang w:bidi="ar"/>
        </w:rPr>
        <w:t>.</w:t>
      </w:r>
      <w:r>
        <w:rPr>
          <w:rFonts w:hint="eastAsia" w:ascii="宋体" w:hAnsi="宋体" w:eastAsia="宋体" w:cs="宋体"/>
          <w:color w:val="auto"/>
          <w:sz w:val="21"/>
          <w:szCs w:val="21"/>
        </w:rPr>
        <w:t>若投标人成立不足三年，则提供成立以来的财务信息截图或网页打印件的扫描件</w:t>
      </w:r>
      <w:r>
        <w:rPr>
          <w:rFonts w:hint="eastAsia" w:ascii="宋体" w:hAnsi="宋体" w:eastAsia="宋体" w:cs="宋体"/>
          <w:color w:val="auto"/>
          <w:sz w:val="21"/>
          <w:szCs w:val="21"/>
          <w:lang w:eastAsia="zh-CN"/>
        </w:rPr>
        <w:t>或</w:t>
      </w:r>
      <w:r>
        <w:rPr>
          <w:rFonts w:hint="eastAsia" w:ascii="宋体" w:hAnsi="宋体" w:eastAsia="宋体" w:cs="宋体"/>
          <w:color w:val="auto"/>
          <w:sz w:val="21"/>
          <w:szCs w:val="21"/>
        </w:rPr>
        <w:t>财务状况表。</w:t>
      </w:r>
    </w:p>
    <w:p>
      <w:pPr>
        <w:spacing w:before="286" w:line="219" w:lineRule="auto"/>
        <w:ind w:left="2384"/>
        <w:rPr>
          <w:rFonts w:ascii="宋体" w:hAnsi="宋体" w:eastAsia="宋体" w:cs="宋体"/>
          <w:b/>
          <w:bCs/>
          <w:spacing w:val="-6"/>
          <w:sz w:val="29"/>
          <w:szCs w:val="29"/>
        </w:rPr>
      </w:pPr>
    </w:p>
    <w:p>
      <w:pPr>
        <w:spacing w:before="286" w:line="219" w:lineRule="auto"/>
        <w:ind w:left="2384"/>
        <w:rPr>
          <w:rFonts w:ascii="宋体" w:hAnsi="宋体" w:eastAsia="宋体" w:cs="宋体"/>
          <w:b/>
          <w:bCs/>
          <w:spacing w:val="-6"/>
          <w:sz w:val="29"/>
          <w:szCs w:val="29"/>
        </w:rPr>
      </w:pPr>
    </w:p>
    <w:p>
      <w:pPr>
        <w:spacing w:before="286" w:line="219" w:lineRule="auto"/>
        <w:ind w:left="2384"/>
        <w:rPr>
          <w:rFonts w:ascii="宋体" w:hAnsi="宋体" w:eastAsia="宋体" w:cs="宋体"/>
          <w:b/>
          <w:bCs/>
          <w:spacing w:val="-6"/>
          <w:sz w:val="29"/>
          <w:szCs w:val="29"/>
        </w:rPr>
      </w:pPr>
    </w:p>
    <w:p>
      <w:pPr>
        <w:spacing w:before="286" w:line="219" w:lineRule="auto"/>
        <w:ind w:left="2384"/>
        <w:rPr>
          <w:rFonts w:ascii="宋体" w:hAnsi="宋体" w:eastAsia="宋体" w:cs="宋体"/>
          <w:b/>
          <w:bCs/>
          <w:spacing w:val="-6"/>
          <w:sz w:val="29"/>
          <w:szCs w:val="29"/>
        </w:rPr>
      </w:pPr>
    </w:p>
    <w:p>
      <w:pPr>
        <w:spacing w:before="286" w:line="219" w:lineRule="auto"/>
        <w:ind w:left="2384"/>
        <w:rPr>
          <w:rFonts w:ascii="宋体" w:hAnsi="宋体" w:eastAsia="宋体" w:cs="宋体"/>
          <w:b/>
          <w:bCs/>
          <w:spacing w:val="-6"/>
          <w:sz w:val="29"/>
          <w:szCs w:val="29"/>
        </w:rPr>
      </w:pPr>
    </w:p>
    <w:p>
      <w:pPr>
        <w:spacing w:before="286" w:line="219" w:lineRule="auto"/>
        <w:ind w:left="2384"/>
        <w:rPr>
          <w:rFonts w:ascii="宋体" w:hAnsi="宋体" w:eastAsia="宋体" w:cs="宋体"/>
          <w:b/>
          <w:bCs/>
          <w:spacing w:val="-6"/>
          <w:sz w:val="29"/>
          <w:szCs w:val="29"/>
        </w:rPr>
      </w:pPr>
    </w:p>
    <w:p>
      <w:pPr>
        <w:spacing w:before="286" w:line="219" w:lineRule="auto"/>
        <w:ind w:left="2384"/>
        <w:rPr>
          <w:rFonts w:ascii="宋体" w:hAnsi="宋体" w:eastAsia="宋体" w:cs="宋体"/>
          <w:b/>
          <w:bCs/>
          <w:spacing w:val="-6"/>
          <w:sz w:val="29"/>
          <w:szCs w:val="29"/>
        </w:rPr>
      </w:pPr>
    </w:p>
    <w:p>
      <w:pPr>
        <w:pStyle w:val="10"/>
        <w:rPr>
          <w:rFonts w:ascii="宋体" w:hAnsi="宋体" w:eastAsia="宋体" w:cs="宋体"/>
          <w:b/>
          <w:bCs/>
          <w:spacing w:val="-6"/>
          <w:sz w:val="29"/>
          <w:szCs w:val="29"/>
        </w:rPr>
      </w:pPr>
    </w:p>
    <w:p>
      <w:pPr>
        <w:pStyle w:val="10"/>
        <w:rPr>
          <w:rFonts w:ascii="宋体" w:hAnsi="宋体" w:eastAsia="宋体" w:cs="宋体"/>
          <w:b/>
          <w:bCs/>
          <w:spacing w:val="-6"/>
          <w:sz w:val="29"/>
          <w:szCs w:val="29"/>
        </w:rPr>
      </w:pPr>
    </w:p>
    <w:p>
      <w:pPr>
        <w:pStyle w:val="10"/>
        <w:rPr>
          <w:rFonts w:ascii="宋体" w:hAnsi="宋体" w:eastAsia="宋体" w:cs="宋体"/>
          <w:b/>
          <w:bCs/>
          <w:spacing w:val="-6"/>
          <w:sz w:val="29"/>
          <w:szCs w:val="29"/>
        </w:rPr>
      </w:pPr>
    </w:p>
    <w:p>
      <w:pPr>
        <w:pStyle w:val="10"/>
        <w:rPr>
          <w:rFonts w:ascii="宋体" w:hAnsi="宋体" w:eastAsia="宋体" w:cs="宋体"/>
          <w:b/>
          <w:bCs/>
          <w:spacing w:val="-6"/>
          <w:sz w:val="29"/>
          <w:szCs w:val="29"/>
        </w:rPr>
      </w:pPr>
    </w:p>
    <w:p>
      <w:pPr>
        <w:pStyle w:val="10"/>
        <w:rPr>
          <w:rFonts w:ascii="宋体" w:hAnsi="宋体" w:eastAsia="宋体" w:cs="宋体"/>
          <w:b/>
          <w:bCs/>
          <w:spacing w:val="-6"/>
          <w:sz w:val="29"/>
          <w:szCs w:val="29"/>
        </w:rPr>
      </w:pPr>
    </w:p>
    <w:p>
      <w:pPr>
        <w:pStyle w:val="10"/>
        <w:rPr>
          <w:rFonts w:ascii="宋体" w:hAnsi="宋体" w:eastAsia="宋体" w:cs="宋体"/>
          <w:b/>
          <w:bCs/>
          <w:spacing w:val="-6"/>
          <w:sz w:val="29"/>
          <w:szCs w:val="29"/>
        </w:rPr>
      </w:pPr>
    </w:p>
    <w:p>
      <w:pPr>
        <w:pStyle w:val="10"/>
        <w:rPr>
          <w:rFonts w:ascii="宋体" w:hAnsi="宋体" w:eastAsia="宋体" w:cs="宋体"/>
          <w:b/>
          <w:bCs/>
          <w:spacing w:val="-6"/>
          <w:sz w:val="29"/>
          <w:szCs w:val="29"/>
        </w:rPr>
      </w:pPr>
    </w:p>
    <w:p>
      <w:pPr>
        <w:spacing w:before="286" w:line="219" w:lineRule="auto"/>
        <w:ind w:left="2384"/>
        <w:rPr>
          <w:rFonts w:ascii="宋体" w:hAnsi="宋体" w:eastAsia="宋体" w:cs="宋体"/>
          <w:b/>
          <w:bCs/>
          <w:spacing w:val="-6"/>
          <w:sz w:val="29"/>
          <w:szCs w:val="29"/>
        </w:rPr>
      </w:pPr>
    </w:p>
    <w:p>
      <w:pPr>
        <w:spacing w:before="286" w:line="219" w:lineRule="auto"/>
        <w:ind w:left="2384"/>
        <w:rPr>
          <w:rFonts w:ascii="宋体" w:hAnsi="宋体" w:eastAsia="宋体" w:cs="宋体"/>
          <w:sz w:val="29"/>
          <w:szCs w:val="29"/>
        </w:rPr>
      </w:pPr>
      <w:r>
        <w:rPr>
          <w:rFonts w:ascii="宋体" w:hAnsi="宋体" w:eastAsia="宋体" w:cs="宋体"/>
          <w:b/>
          <w:bCs/>
          <w:spacing w:val="-6"/>
          <w:sz w:val="29"/>
          <w:szCs w:val="29"/>
        </w:rPr>
        <w:t>附录3</w:t>
      </w:r>
      <w:r>
        <w:rPr>
          <w:rFonts w:ascii="宋体" w:hAnsi="宋体" w:eastAsia="宋体" w:cs="宋体"/>
          <w:spacing w:val="107"/>
          <w:sz w:val="29"/>
          <w:szCs w:val="29"/>
        </w:rPr>
        <w:t xml:space="preserve"> </w:t>
      </w:r>
      <w:r>
        <w:rPr>
          <w:rFonts w:ascii="宋体" w:hAnsi="宋体" w:eastAsia="宋体" w:cs="宋体"/>
          <w:b/>
          <w:bCs/>
          <w:spacing w:val="-6"/>
          <w:sz w:val="29"/>
          <w:szCs w:val="29"/>
        </w:rPr>
        <w:t>资格审查条件(业绩最低要求)</w:t>
      </w:r>
    </w:p>
    <w:p/>
    <w:p/>
    <w:p>
      <w:pPr>
        <w:spacing w:line="42" w:lineRule="exact"/>
      </w:pPr>
    </w:p>
    <w:tbl>
      <w:tblPr>
        <w:tblStyle w:val="13"/>
        <w:tblW w:w="9089" w:type="dxa"/>
        <w:tblInd w:w="10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08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0" w:hRule="atLeast"/>
        </w:trPr>
        <w:tc>
          <w:tcPr>
            <w:tcW w:w="9089" w:type="dxa"/>
            <w:vAlign w:val="top"/>
          </w:tcPr>
          <w:p>
            <w:pPr>
              <w:spacing w:before="136" w:line="220" w:lineRule="auto"/>
              <w:ind w:left="4054"/>
              <w:rPr>
                <w:rFonts w:ascii="宋体" w:hAnsi="宋体" w:eastAsia="宋体" w:cs="宋体"/>
                <w:sz w:val="25"/>
                <w:szCs w:val="25"/>
              </w:rPr>
            </w:pPr>
            <w:r>
              <w:rPr>
                <w:rFonts w:ascii="宋体" w:hAnsi="宋体" w:eastAsia="宋体" w:cs="宋体"/>
                <w:spacing w:val="2"/>
                <w:sz w:val="25"/>
                <w:szCs w:val="25"/>
              </w:rPr>
              <w:t>业绩要求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trPr>
        <w:tc>
          <w:tcPr>
            <w:tcW w:w="9089" w:type="dxa"/>
            <w:vAlign w:val="top"/>
          </w:tcPr>
          <w:p>
            <w:pPr>
              <w:spacing w:before="46" w:line="220" w:lineRule="auto"/>
              <w:ind w:left="565"/>
              <w:rPr>
                <w:rFonts w:ascii="宋体" w:hAnsi="宋体" w:eastAsia="宋体" w:cs="宋体"/>
                <w:sz w:val="25"/>
                <w:szCs w:val="25"/>
              </w:rPr>
            </w:pPr>
            <w:r>
              <w:rPr>
                <w:rFonts w:hint="eastAsia" w:ascii="宋体" w:hAnsi="宋体" w:eastAsia="宋体" w:cs="宋体"/>
                <w:kern w:val="2"/>
                <w:sz w:val="24"/>
                <w:szCs w:val="24"/>
              </w:rPr>
              <w:t>近五年内（近五年指2018年5月1日至投标文件递交截止日止），完成过</w:t>
            </w:r>
            <w:r>
              <w:rPr>
                <w:rFonts w:hint="eastAsia" w:ascii="宋体" w:hAnsi="宋体" w:eastAsia="宋体" w:cs="宋体"/>
                <w:kern w:val="2"/>
                <w:sz w:val="24"/>
                <w:szCs w:val="24"/>
                <w:lang w:val="en-US" w:eastAsia="zh-CN"/>
              </w:rPr>
              <w:t>四级公路或以上的</w:t>
            </w:r>
            <w:r>
              <w:rPr>
                <w:rFonts w:hint="eastAsia" w:ascii="宋体" w:hAnsi="宋体" w:eastAsia="宋体" w:cs="宋体"/>
                <w:kern w:val="2"/>
                <w:sz w:val="24"/>
                <w:szCs w:val="24"/>
              </w:rPr>
              <w:t>公路</w:t>
            </w:r>
            <w:r>
              <w:rPr>
                <w:rFonts w:hint="eastAsia" w:ascii="宋体" w:hAnsi="宋体" w:eastAsia="宋体" w:cs="宋体"/>
                <w:kern w:val="2"/>
                <w:sz w:val="24"/>
                <w:szCs w:val="24"/>
                <w:lang w:val="en-US" w:eastAsia="zh-CN"/>
              </w:rPr>
              <w:t>工程施工业绩</w:t>
            </w:r>
            <w:r>
              <w:rPr>
                <w:rFonts w:hint="eastAsia" w:ascii="宋体" w:hAnsi="宋体" w:eastAsia="宋体" w:cs="宋体"/>
                <w:kern w:val="2"/>
                <w:sz w:val="24"/>
                <w:szCs w:val="24"/>
              </w:rPr>
              <w:t>至少</w:t>
            </w:r>
            <w:r>
              <w:rPr>
                <w:rFonts w:hint="eastAsia" w:ascii="宋体" w:hAnsi="宋体" w:eastAsia="宋体" w:cs="宋体"/>
                <w:kern w:val="2"/>
                <w:sz w:val="24"/>
                <w:szCs w:val="24"/>
                <w:lang w:val="en-US" w:eastAsia="zh-CN"/>
              </w:rPr>
              <w:t>2</w:t>
            </w:r>
            <w:r>
              <w:rPr>
                <w:rFonts w:hint="eastAsia" w:ascii="宋体" w:hAnsi="宋体" w:eastAsia="宋体" w:cs="宋体"/>
                <w:kern w:val="2"/>
                <w:sz w:val="24"/>
                <w:szCs w:val="24"/>
              </w:rPr>
              <w:t>个合同段，施工内容</w:t>
            </w:r>
            <w:r>
              <w:rPr>
                <w:rFonts w:hint="eastAsia" w:ascii="宋体" w:hAnsi="宋体" w:eastAsia="宋体" w:cs="宋体"/>
                <w:kern w:val="2"/>
                <w:sz w:val="24"/>
                <w:szCs w:val="24"/>
                <w:lang w:val="en-US" w:eastAsia="zh-CN"/>
              </w:rPr>
              <w:t>须</w:t>
            </w:r>
            <w:r>
              <w:rPr>
                <w:rFonts w:hint="eastAsia" w:ascii="宋体" w:hAnsi="宋体" w:eastAsia="宋体" w:cs="宋体"/>
                <w:kern w:val="2"/>
                <w:sz w:val="24"/>
                <w:szCs w:val="24"/>
              </w:rPr>
              <w:t>同时包括水泥混凝土路面</w:t>
            </w:r>
            <w:r>
              <w:rPr>
                <w:rFonts w:hint="eastAsia" w:ascii="宋体" w:hAnsi="宋体" w:eastAsia="宋体" w:cs="宋体"/>
                <w:kern w:val="2"/>
                <w:sz w:val="24"/>
                <w:szCs w:val="24"/>
                <w:lang w:eastAsia="zh-CN"/>
              </w:rPr>
              <w:t>、</w:t>
            </w:r>
            <w:r>
              <w:rPr>
                <w:rFonts w:hint="eastAsia" w:ascii="宋体" w:hAnsi="宋体" w:eastAsia="宋体" w:cs="宋体"/>
                <w:kern w:val="2"/>
                <w:sz w:val="24"/>
                <w:szCs w:val="24"/>
                <w:lang w:val="en-US" w:eastAsia="zh-CN"/>
              </w:rPr>
              <w:t>新建或拆除重建</w:t>
            </w:r>
            <w:r>
              <w:rPr>
                <w:rFonts w:hint="eastAsia" w:ascii="宋体" w:hAnsi="宋体" w:eastAsia="宋体" w:cs="宋体"/>
                <w:kern w:val="2"/>
                <w:sz w:val="24"/>
                <w:szCs w:val="24"/>
              </w:rPr>
              <w:t>桥梁工程及路灯工程等。并经交/竣工验收合格。</w:t>
            </w:r>
          </w:p>
        </w:tc>
      </w:tr>
    </w:tbl>
    <w:p>
      <w:pPr>
        <w:pStyle w:val="9"/>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sz w:val="22"/>
          <w:szCs w:val="22"/>
        </w:rPr>
      </w:pPr>
      <w:r>
        <w:rPr>
          <w:rFonts w:hint="eastAsia" w:ascii="宋体" w:hAnsi="宋体" w:eastAsia="宋体" w:cs="宋体"/>
          <w:sz w:val="22"/>
          <w:szCs w:val="22"/>
        </w:rPr>
        <w:t>注：1、业绩计算以“全国公路建设市场信用信息管理系统”上的交工验收或未交工验收一次性竣工验收的时间为准。</w:t>
      </w:r>
    </w:p>
    <w:p>
      <w:pPr>
        <w:pStyle w:val="9"/>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rFonts w:ascii="宋体" w:hAnsi="宋体" w:eastAsia="宋体" w:cs="宋体"/>
          <w:b/>
          <w:bCs/>
          <w:spacing w:val="-1"/>
          <w:sz w:val="29"/>
          <w:szCs w:val="29"/>
        </w:rPr>
      </w:pPr>
      <w:r>
        <w:rPr>
          <w:rFonts w:hint="eastAsia" w:ascii="宋体" w:hAnsi="宋体" w:eastAsia="宋体" w:cs="宋体"/>
          <w:sz w:val="21"/>
          <w:szCs w:val="21"/>
          <w:lang w:val="en-US" w:eastAsia="zh-CN"/>
        </w:rPr>
        <w:t>2</w:t>
      </w:r>
      <w:r>
        <w:rPr>
          <w:rFonts w:hint="eastAsia" w:ascii="宋体" w:hAnsi="宋体" w:eastAsia="宋体" w:cs="宋体"/>
          <w:sz w:val="21"/>
          <w:szCs w:val="21"/>
        </w:rPr>
        <w:t>、提供业绩网页截图复印件或网页打印件。除网页截图复印件或网页打印件外，投标人无需再提供任何业绩证明材料。业绩网页截图必须清晰体现所完成的工程量</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否则不予认定。</w:t>
      </w:r>
    </w:p>
    <w:p>
      <w:pPr>
        <w:spacing w:before="331" w:line="219" w:lineRule="auto"/>
        <w:ind w:left="2394"/>
        <w:rPr>
          <w:rFonts w:ascii="宋体" w:hAnsi="宋体" w:eastAsia="宋体" w:cs="宋体"/>
          <w:b/>
          <w:bCs/>
          <w:spacing w:val="-1"/>
          <w:sz w:val="29"/>
          <w:szCs w:val="29"/>
        </w:rPr>
      </w:pPr>
    </w:p>
    <w:p>
      <w:pPr>
        <w:spacing w:before="331" w:line="219" w:lineRule="auto"/>
        <w:ind w:left="2394"/>
        <w:rPr>
          <w:rFonts w:ascii="宋体" w:hAnsi="宋体" w:eastAsia="宋体" w:cs="宋体"/>
          <w:b/>
          <w:bCs/>
          <w:spacing w:val="-1"/>
          <w:sz w:val="29"/>
          <w:szCs w:val="29"/>
        </w:rPr>
      </w:pPr>
    </w:p>
    <w:p>
      <w:pPr>
        <w:spacing w:before="331" w:line="219" w:lineRule="auto"/>
        <w:ind w:left="2394"/>
        <w:rPr>
          <w:rFonts w:ascii="宋体" w:hAnsi="宋体" w:eastAsia="宋体" w:cs="宋体"/>
          <w:b/>
          <w:bCs/>
          <w:spacing w:val="-1"/>
          <w:sz w:val="29"/>
          <w:szCs w:val="29"/>
        </w:rPr>
      </w:pPr>
    </w:p>
    <w:p>
      <w:pPr>
        <w:spacing w:before="331" w:line="219" w:lineRule="auto"/>
        <w:ind w:left="2394"/>
        <w:rPr>
          <w:rFonts w:ascii="宋体" w:hAnsi="宋体" w:eastAsia="宋体" w:cs="宋体"/>
          <w:b/>
          <w:bCs/>
          <w:spacing w:val="-1"/>
          <w:sz w:val="29"/>
          <w:szCs w:val="29"/>
        </w:rPr>
      </w:pPr>
    </w:p>
    <w:p>
      <w:pPr>
        <w:spacing w:before="331" w:line="219" w:lineRule="auto"/>
        <w:ind w:left="2394"/>
        <w:rPr>
          <w:rFonts w:ascii="宋体" w:hAnsi="宋体" w:eastAsia="宋体" w:cs="宋体"/>
          <w:b/>
          <w:bCs/>
          <w:spacing w:val="-1"/>
          <w:sz w:val="29"/>
          <w:szCs w:val="29"/>
        </w:rPr>
      </w:pPr>
    </w:p>
    <w:p>
      <w:pPr>
        <w:spacing w:before="331" w:line="219" w:lineRule="auto"/>
        <w:ind w:left="2394"/>
        <w:rPr>
          <w:rFonts w:ascii="宋体" w:hAnsi="宋体" w:eastAsia="宋体" w:cs="宋体"/>
          <w:b/>
          <w:bCs/>
          <w:spacing w:val="-1"/>
          <w:sz w:val="29"/>
          <w:szCs w:val="29"/>
        </w:rPr>
      </w:pPr>
    </w:p>
    <w:p>
      <w:pPr>
        <w:spacing w:before="331" w:line="219" w:lineRule="auto"/>
        <w:ind w:left="2394"/>
        <w:rPr>
          <w:rFonts w:ascii="宋体" w:hAnsi="宋体" w:eastAsia="宋体" w:cs="宋体"/>
          <w:b/>
          <w:bCs/>
          <w:spacing w:val="-1"/>
          <w:sz w:val="29"/>
          <w:szCs w:val="29"/>
        </w:rPr>
      </w:pPr>
    </w:p>
    <w:p>
      <w:pPr>
        <w:spacing w:before="331" w:line="219" w:lineRule="auto"/>
        <w:ind w:left="2394"/>
        <w:rPr>
          <w:rFonts w:ascii="宋体" w:hAnsi="宋体" w:eastAsia="宋体" w:cs="宋体"/>
          <w:b/>
          <w:bCs/>
          <w:spacing w:val="-1"/>
          <w:sz w:val="29"/>
          <w:szCs w:val="29"/>
        </w:rPr>
      </w:pPr>
    </w:p>
    <w:p>
      <w:pPr>
        <w:spacing w:before="331" w:line="219" w:lineRule="auto"/>
        <w:ind w:left="2394"/>
        <w:rPr>
          <w:rFonts w:ascii="宋体" w:hAnsi="宋体" w:eastAsia="宋体" w:cs="宋体"/>
          <w:b/>
          <w:bCs/>
          <w:spacing w:val="-1"/>
          <w:sz w:val="29"/>
          <w:szCs w:val="29"/>
        </w:rPr>
      </w:pPr>
    </w:p>
    <w:p>
      <w:pPr>
        <w:spacing w:before="331" w:line="219" w:lineRule="auto"/>
        <w:ind w:left="2394"/>
        <w:rPr>
          <w:rFonts w:ascii="宋体" w:hAnsi="宋体" w:eastAsia="宋体" w:cs="宋体"/>
          <w:b/>
          <w:bCs/>
          <w:spacing w:val="-1"/>
          <w:sz w:val="29"/>
          <w:szCs w:val="29"/>
        </w:rPr>
      </w:pPr>
    </w:p>
    <w:p>
      <w:pPr>
        <w:spacing w:before="331" w:line="219" w:lineRule="auto"/>
        <w:ind w:left="2394"/>
        <w:rPr>
          <w:rFonts w:ascii="宋体" w:hAnsi="宋体" w:eastAsia="宋体" w:cs="宋体"/>
          <w:b/>
          <w:bCs/>
          <w:spacing w:val="-1"/>
          <w:sz w:val="29"/>
          <w:szCs w:val="29"/>
        </w:rPr>
      </w:pPr>
    </w:p>
    <w:p>
      <w:pPr>
        <w:spacing w:before="331" w:line="219" w:lineRule="auto"/>
        <w:ind w:left="2394"/>
        <w:rPr>
          <w:rFonts w:ascii="宋体" w:hAnsi="宋体" w:eastAsia="宋体" w:cs="宋体"/>
          <w:b/>
          <w:bCs/>
          <w:spacing w:val="-1"/>
          <w:sz w:val="29"/>
          <w:szCs w:val="29"/>
        </w:rPr>
      </w:pPr>
    </w:p>
    <w:p>
      <w:pPr>
        <w:spacing w:before="331" w:line="219" w:lineRule="auto"/>
        <w:ind w:left="2394"/>
        <w:rPr>
          <w:rFonts w:ascii="宋体" w:hAnsi="宋体" w:eastAsia="宋体" w:cs="宋体"/>
          <w:b/>
          <w:bCs/>
          <w:spacing w:val="-1"/>
          <w:sz w:val="29"/>
          <w:szCs w:val="29"/>
        </w:rPr>
      </w:pPr>
    </w:p>
    <w:p>
      <w:pPr>
        <w:spacing w:before="331" w:line="219" w:lineRule="auto"/>
        <w:ind w:left="2394"/>
        <w:rPr>
          <w:rFonts w:ascii="宋体" w:hAnsi="宋体" w:eastAsia="宋体" w:cs="宋体"/>
          <w:b/>
          <w:bCs/>
          <w:spacing w:val="-1"/>
          <w:sz w:val="29"/>
          <w:szCs w:val="29"/>
        </w:rPr>
      </w:pPr>
    </w:p>
    <w:p>
      <w:pPr>
        <w:spacing w:before="331" w:line="219" w:lineRule="auto"/>
        <w:ind w:left="2394"/>
        <w:rPr>
          <w:rFonts w:ascii="宋体" w:hAnsi="宋体" w:eastAsia="宋体" w:cs="宋体"/>
          <w:b/>
          <w:bCs/>
          <w:spacing w:val="-1"/>
          <w:sz w:val="29"/>
          <w:szCs w:val="29"/>
        </w:rPr>
      </w:pPr>
    </w:p>
    <w:p>
      <w:pPr>
        <w:spacing w:before="331" w:line="219" w:lineRule="auto"/>
        <w:ind w:left="2394"/>
        <w:rPr>
          <w:rFonts w:ascii="宋体" w:hAnsi="宋体" w:eastAsia="宋体" w:cs="宋体"/>
          <w:sz w:val="29"/>
          <w:szCs w:val="29"/>
        </w:rPr>
      </w:pPr>
      <w:r>
        <w:rPr>
          <w:rFonts w:ascii="宋体" w:hAnsi="宋体" w:eastAsia="宋体" w:cs="宋体"/>
          <w:b/>
          <w:bCs/>
          <w:spacing w:val="-1"/>
          <w:sz w:val="29"/>
          <w:szCs w:val="29"/>
        </w:rPr>
        <w:t>附录4资格审查条件(信誉最低要求)</w:t>
      </w:r>
    </w:p>
    <w:p>
      <w:pPr>
        <w:spacing w:line="15" w:lineRule="exact"/>
      </w:pPr>
    </w:p>
    <w:tbl>
      <w:tblPr>
        <w:tblStyle w:val="13"/>
        <w:tblW w:w="9109" w:type="dxa"/>
        <w:tblInd w:w="8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10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2" w:hRule="atLeast"/>
        </w:trPr>
        <w:tc>
          <w:tcPr>
            <w:tcW w:w="9109" w:type="dxa"/>
            <w:vAlign w:val="top"/>
          </w:tcPr>
          <w:p>
            <w:pPr>
              <w:spacing w:before="182" w:line="219" w:lineRule="auto"/>
              <w:ind w:left="4044"/>
              <w:rPr>
                <w:rFonts w:ascii="宋体" w:hAnsi="宋体" w:eastAsia="宋体" w:cs="宋体"/>
                <w:sz w:val="21"/>
                <w:szCs w:val="21"/>
              </w:rPr>
            </w:pPr>
            <w:r>
              <w:rPr>
                <w:rFonts w:ascii="宋体" w:hAnsi="宋体" w:eastAsia="宋体" w:cs="宋体"/>
                <w:spacing w:val="-2"/>
                <w:sz w:val="21"/>
                <w:szCs w:val="21"/>
              </w:rPr>
              <w:t>信誉要求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37" w:hRule="atLeast"/>
        </w:trPr>
        <w:tc>
          <w:tcPr>
            <w:tcW w:w="9109" w:type="dxa"/>
            <w:vAlign w:val="top"/>
          </w:tcPr>
          <w:p>
            <w:pPr>
              <w:spacing w:before="102" w:line="264" w:lineRule="auto"/>
              <w:ind w:left="104" w:right="381" w:firstLine="429"/>
              <w:rPr>
                <w:rFonts w:ascii="宋体" w:hAnsi="宋体" w:eastAsia="宋体" w:cs="宋体"/>
                <w:sz w:val="21"/>
                <w:szCs w:val="21"/>
              </w:rPr>
            </w:pPr>
            <w:r>
              <w:rPr>
                <w:rFonts w:hint="eastAsia" w:ascii="宋体" w:hAnsi="宋体" w:eastAsia="宋体" w:cs="宋体"/>
                <w:sz w:val="24"/>
                <w:szCs w:val="24"/>
              </w:rPr>
              <w:t>在最新年度广东省公路工程从业单位（施工单位）信用评价（含无最新年度而上一年度有信用评价）中，信用等级未被评为D级；初次进入广东省的投标人，在最新年度的全国公路从业单位（施工单位）信用评价结果中未被评为D级。</w:t>
            </w:r>
          </w:p>
        </w:tc>
      </w:tr>
    </w:tbl>
    <w:p>
      <w:pPr>
        <w:spacing w:line="360" w:lineRule="auto"/>
        <w:ind w:left="116" w:right="-20" w:firstLine="428" w:firstLineChars="200"/>
        <w:rPr>
          <w:rFonts w:hint="eastAsia" w:ascii="宋体" w:hAnsi="宋体" w:eastAsia="宋体" w:cs="宋体"/>
          <w:spacing w:val="2"/>
          <w:sz w:val="21"/>
          <w:szCs w:val="21"/>
        </w:rPr>
      </w:pPr>
      <w:r>
        <w:rPr>
          <w:rFonts w:hint="eastAsia" w:ascii="宋体" w:hAnsi="宋体" w:eastAsia="宋体" w:cs="宋体"/>
          <w:spacing w:val="2"/>
          <w:sz w:val="21"/>
          <w:szCs w:val="21"/>
        </w:rPr>
        <w:t>注：1、信用等级的确定原则遵遁投标人须知前附表 10.2 款的规定。</w:t>
      </w:r>
    </w:p>
    <w:p>
      <w:pPr>
        <w:sectPr>
          <w:footerReference r:id="rId6" w:type="default"/>
          <w:pgSz w:w="11900" w:h="16820"/>
          <w:pgMar w:top="1429" w:right="1275" w:bottom="812" w:left="1269" w:header="0" w:footer="653" w:gutter="0"/>
          <w:cols w:space="720" w:num="1"/>
        </w:sectPr>
      </w:pPr>
    </w:p>
    <w:p>
      <w:pPr>
        <w:spacing w:line="468" w:lineRule="auto"/>
        <w:rPr>
          <w:rFonts w:ascii="Arial"/>
          <w:sz w:val="21"/>
        </w:rPr>
      </w:pPr>
    </w:p>
    <w:p>
      <w:pPr>
        <w:spacing w:before="107" w:line="219" w:lineRule="auto"/>
        <w:ind w:left="689"/>
        <w:rPr>
          <w:rFonts w:ascii="宋体" w:hAnsi="宋体" w:eastAsia="宋体" w:cs="宋体"/>
          <w:sz w:val="33"/>
          <w:szCs w:val="33"/>
        </w:rPr>
      </w:pPr>
      <w:r>
        <w:rPr>
          <w:rFonts w:ascii="宋体" w:hAnsi="宋体" w:eastAsia="宋体" w:cs="宋体"/>
          <w:b/>
          <w:bCs/>
          <w:spacing w:val="2"/>
          <w:sz w:val="33"/>
          <w:szCs w:val="33"/>
        </w:rPr>
        <w:t>附录5</w:t>
      </w:r>
      <w:r>
        <w:rPr>
          <w:rFonts w:ascii="宋体" w:hAnsi="宋体" w:eastAsia="宋体" w:cs="宋体"/>
          <w:spacing w:val="72"/>
          <w:sz w:val="33"/>
          <w:szCs w:val="33"/>
        </w:rPr>
        <w:t xml:space="preserve">  </w:t>
      </w:r>
      <w:r>
        <w:rPr>
          <w:rFonts w:ascii="宋体" w:hAnsi="宋体" w:eastAsia="宋体" w:cs="宋体"/>
          <w:b/>
          <w:bCs/>
          <w:spacing w:val="2"/>
          <w:sz w:val="33"/>
          <w:szCs w:val="33"/>
        </w:rPr>
        <w:t>资格审查条件(项目经理和项目总工最低要求)</w:t>
      </w:r>
    </w:p>
    <w:p>
      <w:pPr>
        <w:spacing w:line="70" w:lineRule="auto"/>
        <w:rPr>
          <w:rFonts w:ascii="Arial"/>
          <w:sz w:val="2"/>
        </w:rPr>
      </w:pPr>
    </w:p>
    <w:tbl>
      <w:tblPr>
        <w:tblStyle w:val="13"/>
        <w:tblW w:w="9200" w:type="dxa"/>
        <w:tblInd w:w="4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533"/>
        <w:gridCol w:w="959"/>
        <w:gridCol w:w="4775"/>
        <w:gridCol w:w="193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3" w:hRule="atLeast"/>
        </w:trPr>
        <w:tc>
          <w:tcPr>
            <w:tcW w:w="1533" w:type="dxa"/>
            <w:vAlign w:val="top"/>
          </w:tcPr>
          <w:p>
            <w:pPr>
              <w:spacing w:before="114" w:line="221" w:lineRule="auto"/>
              <w:ind w:left="545"/>
              <w:rPr>
                <w:rFonts w:ascii="宋体" w:hAnsi="宋体" w:eastAsia="宋体" w:cs="宋体"/>
                <w:sz w:val="21"/>
                <w:szCs w:val="21"/>
              </w:rPr>
            </w:pPr>
            <w:r>
              <w:rPr>
                <w:rFonts w:ascii="宋体" w:hAnsi="宋体" w:eastAsia="宋体" w:cs="宋体"/>
                <w:spacing w:val="14"/>
                <w:sz w:val="21"/>
                <w:szCs w:val="21"/>
              </w:rPr>
              <w:t>人员</w:t>
            </w:r>
          </w:p>
        </w:tc>
        <w:tc>
          <w:tcPr>
            <w:tcW w:w="959" w:type="dxa"/>
            <w:vAlign w:val="top"/>
          </w:tcPr>
          <w:p>
            <w:pPr>
              <w:spacing w:before="113" w:line="219" w:lineRule="auto"/>
              <w:ind w:left="262"/>
              <w:rPr>
                <w:rFonts w:ascii="宋体" w:hAnsi="宋体" w:eastAsia="宋体" w:cs="宋体"/>
                <w:sz w:val="21"/>
                <w:szCs w:val="21"/>
              </w:rPr>
            </w:pPr>
            <w:r>
              <w:rPr>
                <w:rFonts w:ascii="宋体" w:hAnsi="宋体" w:eastAsia="宋体" w:cs="宋体"/>
                <w:spacing w:val="-3"/>
                <w:sz w:val="21"/>
                <w:szCs w:val="21"/>
              </w:rPr>
              <w:t>数量</w:t>
            </w:r>
          </w:p>
        </w:tc>
        <w:tc>
          <w:tcPr>
            <w:tcW w:w="4775" w:type="dxa"/>
            <w:vAlign w:val="top"/>
          </w:tcPr>
          <w:p>
            <w:pPr>
              <w:spacing w:before="113" w:line="219" w:lineRule="auto"/>
              <w:ind w:left="1803"/>
              <w:rPr>
                <w:rFonts w:ascii="宋体" w:hAnsi="宋体" w:eastAsia="宋体" w:cs="宋体"/>
                <w:sz w:val="21"/>
                <w:szCs w:val="21"/>
              </w:rPr>
            </w:pPr>
            <w:r>
              <w:rPr>
                <w:rFonts w:ascii="宋体" w:hAnsi="宋体" w:eastAsia="宋体" w:cs="宋体"/>
                <w:spacing w:val="-9"/>
                <w:sz w:val="21"/>
                <w:szCs w:val="21"/>
              </w:rPr>
              <w:t>资</w:t>
            </w:r>
            <w:r>
              <w:rPr>
                <w:rFonts w:ascii="宋体" w:hAnsi="宋体" w:eastAsia="宋体" w:cs="宋体"/>
                <w:spacing w:val="19"/>
                <w:sz w:val="21"/>
                <w:szCs w:val="21"/>
              </w:rPr>
              <w:t xml:space="preserve"> </w:t>
            </w:r>
            <w:r>
              <w:rPr>
                <w:rFonts w:ascii="宋体" w:hAnsi="宋体" w:eastAsia="宋体" w:cs="宋体"/>
                <w:spacing w:val="-9"/>
                <w:sz w:val="21"/>
                <w:szCs w:val="21"/>
              </w:rPr>
              <w:t>格</w:t>
            </w:r>
            <w:r>
              <w:rPr>
                <w:rFonts w:ascii="宋体" w:hAnsi="宋体" w:eastAsia="宋体" w:cs="宋体"/>
                <w:spacing w:val="20"/>
                <w:sz w:val="21"/>
                <w:szCs w:val="21"/>
              </w:rPr>
              <w:t xml:space="preserve"> </w:t>
            </w:r>
            <w:r>
              <w:rPr>
                <w:rFonts w:ascii="宋体" w:hAnsi="宋体" w:eastAsia="宋体" w:cs="宋体"/>
                <w:spacing w:val="-9"/>
                <w:sz w:val="21"/>
                <w:szCs w:val="21"/>
              </w:rPr>
              <w:t>要</w:t>
            </w:r>
            <w:r>
              <w:rPr>
                <w:rFonts w:ascii="宋体" w:hAnsi="宋体" w:eastAsia="宋体" w:cs="宋体"/>
                <w:spacing w:val="20"/>
                <w:sz w:val="21"/>
                <w:szCs w:val="21"/>
              </w:rPr>
              <w:t xml:space="preserve"> </w:t>
            </w:r>
            <w:r>
              <w:rPr>
                <w:rFonts w:ascii="宋体" w:hAnsi="宋体" w:eastAsia="宋体" w:cs="宋体"/>
                <w:spacing w:val="-9"/>
                <w:sz w:val="21"/>
                <w:szCs w:val="21"/>
              </w:rPr>
              <w:t>求</w:t>
            </w:r>
          </w:p>
        </w:tc>
        <w:tc>
          <w:tcPr>
            <w:tcW w:w="1933" w:type="dxa"/>
            <w:vAlign w:val="top"/>
          </w:tcPr>
          <w:p>
            <w:pPr>
              <w:spacing w:before="114" w:line="220" w:lineRule="auto"/>
              <w:ind w:left="538"/>
              <w:rPr>
                <w:rFonts w:ascii="宋体" w:hAnsi="宋体" w:eastAsia="宋体" w:cs="宋体"/>
                <w:sz w:val="21"/>
                <w:szCs w:val="21"/>
              </w:rPr>
            </w:pPr>
            <w:r>
              <w:rPr>
                <w:rFonts w:ascii="宋体" w:hAnsi="宋体" w:eastAsia="宋体" w:cs="宋体"/>
                <w:spacing w:val="-2"/>
                <w:sz w:val="21"/>
                <w:szCs w:val="21"/>
              </w:rPr>
              <w:t>在岗要求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54" w:hRule="atLeast"/>
        </w:trPr>
        <w:tc>
          <w:tcPr>
            <w:tcW w:w="1533" w:type="dxa"/>
            <w:vAlign w:val="top"/>
          </w:tcPr>
          <w:p>
            <w:pPr>
              <w:spacing w:line="269" w:lineRule="auto"/>
              <w:rPr>
                <w:rFonts w:ascii="Arial"/>
                <w:sz w:val="21"/>
              </w:rPr>
            </w:pPr>
          </w:p>
          <w:p>
            <w:pPr>
              <w:spacing w:line="269" w:lineRule="auto"/>
              <w:rPr>
                <w:rFonts w:ascii="Arial"/>
                <w:sz w:val="21"/>
              </w:rPr>
            </w:pPr>
          </w:p>
          <w:p>
            <w:pPr>
              <w:spacing w:line="269" w:lineRule="auto"/>
              <w:rPr>
                <w:rFonts w:ascii="Arial"/>
                <w:sz w:val="21"/>
              </w:rPr>
            </w:pPr>
          </w:p>
          <w:p>
            <w:pPr>
              <w:spacing w:before="69" w:line="220" w:lineRule="auto"/>
              <w:ind w:left="335"/>
              <w:rPr>
                <w:rFonts w:ascii="宋体" w:hAnsi="宋体" w:eastAsia="宋体" w:cs="宋体"/>
                <w:sz w:val="21"/>
                <w:szCs w:val="21"/>
              </w:rPr>
            </w:pPr>
            <w:r>
              <w:rPr>
                <w:rFonts w:ascii="宋体" w:hAnsi="宋体" w:eastAsia="宋体" w:cs="宋体"/>
                <w:spacing w:val="-3"/>
                <w:sz w:val="21"/>
                <w:szCs w:val="21"/>
              </w:rPr>
              <w:t>项目经理</w:t>
            </w:r>
          </w:p>
        </w:tc>
        <w:tc>
          <w:tcPr>
            <w:tcW w:w="959" w:type="dxa"/>
            <w:vAlign w:val="top"/>
          </w:tcPr>
          <w:p>
            <w:pPr>
              <w:spacing w:line="286" w:lineRule="auto"/>
              <w:rPr>
                <w:rFonts w:ascii="Arial"/>
                <w:sz w:val="21"/>
              </w:rPr>
            </w:pPr>
          </w:p>
          <w:p>
            <w:pPr>
              <w:spacing w:line="287" w:lineRule="auto"/>
              <w:rPr>
                <w:rFonts w:ascii="Arial"/>
                <w:sz w:val="21"/>
              </w:rPr>
            </w:pPr>
          </w:p>
          <w:p>
            <w:pPr>
              <w:spacing w:line="287" w:lineRule="auto"/>
              <w:rPr>
                <w:rFonts w:ascii="Arial"/>
                <w:sz w:val="21"/>
              </w:rPr>
            </w:pPr>
          </w:p>
          <w:p>
            <w:pPr>
              <w:spacing w:before="68" w:line="184" w:lineRule="auto"/>
              <w:ind w:left="412"/>
              <w:rPr>
                <w:rFonts w:ascii="宋体" w:hAnsi="宋体" w:eastAsia="宋体" w:cs="宋体"/>
                <w:sz w:val="21"/>
                <w:szCs w:val="21"/>
              </w:rPr>
            </w:pPr>
            <w:r>
              <w:rPr>
                <w:rFonts w:ascii="宋体" w:hAnsi="宋体" w:eastAsia="宋体" w:cs="宋体"/>
                <w:sz w:val="21"/>
                <w:szCs w:val="21"/>
              </w:rPr>
              <w:t>1</w:t>
            </w:r>
          </w:p>
        </w:tc>
        <w:tc>
          <w:tcPr>
            <w:tcW w:w="4775" w:type="dxa"/>
            <w:vAlign w:val="top"/>
          </w:tcPr>
          <w:p>
            <w:pPr>
              <w:spacing w:before="79" w:line="219" w:lineRule="auto"/>
              <w:ind w:left="93"/>
              <w:rPr>
                <w:rFonts w:ascii="宋体" w:hAnsi="宋体" w:eastAsia="宋体" w:cs="宋体"/>
                <w:sz w:val="21"/>
                <w:szCs w:val="21"/>
              </w:rPr>
            </w:pPr>
            <w:r>
              <w:rPr>
                <w:rFonts w:hint="eastAsia" w:ascii="宋体" w:hAnsi="宋体" w:eastAsia="宋体" w:cs="宋体"/>
                <w:sz w:val="24"/>
                <w:szCs w:val="24"/>
                <w:lang w:val="en-US" w:eastAsia="zh-CN"/>
              </w:rPr>
              <w:t>路桥</w:t>
            </w:r>
            <w:r>
              <w:rPr>
                <w:rFonts w:hint="eastAsia" w:ascii="宋体" w:hAnsi="宋体" w:eastAsia="宋体" w:cs="宋体"/>
                <w:sz w:val="24"/>
                <w:szCs w:val="24"/>
              </w:rPr>
              <w:t>相关专业工程师或以上职称，持有有效的公路工程专业二级（或以上）建造师注册证书（不含临时资格证书，广东省外的投标人拟派项目经理需持有公路工程专业一级注册建造师注册证书），担任</w:t>
            </w:r>
            <w:r>
              <w:rPr>
                <w:rFonts w:hint="eastAsia" w:ascii="宋体" w:hAnsi="宋体" w:eastAsia="宋体" w:cs="宋体"/>
                <w:sz w:val="24"/>
                <w:szCs w:val="24"/>
                <w:lang w:val="en-US" w:eastAsia="zh-CN"/>
              </w:rPr>
              <w:t>公路</w:t>
            </w:r>
            <w:r>
              <w:rPr>
                <w:rFonts w:hint="eastAsia" w:ascii="宋体" w:hAnsi="宋体" w:eastAsia="宋体" w:cs="宋体"/>
                <w:sz w:val="24"/>
                <w:szCs w:val="24"/>
              </w:rPr>
              <w:t>工程施工项目经理（或项目副经理或项目总工）岗位累计不少于</w:t>
            </w:r>
            <w:r>
              <w:rPr>
                <w:rFonts w:hint="eastAsia" w:ascii="宋体" w:hAnsi="宋体" w:eastAsia="宋体" w:cs="宋体"/>
                <w:sz w:val="24"/>
                <w:szCs w:val="24"/>
                <w:lang w:val="en-US" w:eastAsia="zh-CN"/>
              </w:rPr>
              <w:t>48</w:t>
            </w:r>
            <w:r>
              <w:rPr>
                <w:rFonts w:hint="eastAsia" w:ascii="宋体" w:hAnsi="宋体" w:eastAsia="宋体" w:cs="宋体"/>
                <w:sz w:val="24"/>
                <w:szCs w:val="24"/>
              </w:rPr>
              <w:t>个月，具有交通运输主管部门颁发的有效安全生产“三类人员”B 类证书。</w:t>
            </w:r>
          </w:p>
        </w:tc>
        <w:tc>
          <w:tcPr>
            <w:tcW w:w="1933" w:type="dxa"/>
            <w:vMerge w:val="restart"/>
            <w:tcBorders>
              <w:bottom w:val="nil"/>
            </w:tcBorders>
            <w:vAlign w:val="top"/>
          </w:tcPr>
          <w:p>
            <w:pPr>
              <w:spacing w:line="449" w:lineRule="auto"/>
              <w:rPr>
                <w:rFonts w:ascii="Arial"/>
                <w:sz w:val="21"/>
              </w:rPr>
            </w:pPr>
          </w:p>
          <w:p>
            <w:pPr>
              <w:spacing w:before="69" w:line="277" w:lineRule="auto"/>
              <w:ind w:left="118" w:right="111" w:firstLine="50"/>
              <w:jc w:val="both"/>
              <w:rPr>
                <w:rFonts w:ascii="宋体" w:hAnsi="宋体" w:eastAsia="宋体" w:cs="宋体"/>
                <w:sz w:val="21"/>
                <w:szCs w:val="21"/>
              </w:rPr>
            </w:pPr>
            <w:r>
              <w:rPr>
                <w:rFonts w:hint="eastAsia" w:ascii="宋体" w:hAnsi="宋体" w:eastAsia="宋体" w:cs="宋体"/>
                <w:sz w:val="24"/>
                <w:szCs w:val="24"/>
              </w:rPr>
              <w:t>无在岗项目（指目前未在其他项目上任职，或虽在其他项目上任职但本项 目中标后能够从该项目撤离）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02" w:hRule="atLeast"/>
        </w:trPr>
        <w:tc>
          <w:tcPr>
            <w:tcW w:w="1533" w:type="dxa"/>
            <w:vAlign w:val="top"/>
          </w:tcPr>
          <w:p>
            <w:pPr>
              <w:spacing w:line="336" w:lineRule="auto"/>
              <w:rPr>
                <w:rFonts w:ascii="Arial"/>
                <w:sz w:val="21"/>
              </w:rPr>
            </w:pPr>
          </w:p>
          <w:p>
            <w:pPr>
              <w:spacing w:before="69" w:line="220" w:lineRule="auto"/>
              <w:ind w:left="335"/>
              <w:rPr>
                <w:rFonts w:ascii="宋体" w:hAnsi="宋体" w:eastAsia="宋体" w:cs="宋体"/>
                <w:sz w:val="21"/>
                <w:szCs w:val="21"/>
              </w:rPr>
            </w:pPr>
            <w:r>
              <w:rPr>
                <w:rFonts w:ascii="宋体" w:hAnsi="宋体" w:eastAsia="宋体" w:cs="宋体"/>
                <w:spacing w:val="2"/>
                <w:sz w:val="21"/>
                <w:szCs w:val="21"/>
              </w:rPr>
              <w:t>项目总工</w:t>
            </w:r>
          </w:p>
        </w:tc>
        <w:tc>
          <w:tcPr>
            <w:tcW w:w="959" w:type="dxa"/>
            <w:vAlign w:val="top"/>
          </w:tcPr>
          <w:p>
            <w:pPr>
              <w:spacing w:line="388" w:lineRule="auto"/>
              <w:rPr>
                <w:rFonts w:ascii="Arial"/>
                <w:sz w:val="21"/>
              </w:rPr>
            </w:pPr>
          </w:p>
          <w:p>
            <w:pPr>
              <w:spacing w:before="69" w:line="184" w:lineRule="auto"/>
              <w:ind w:left="412"/>
              <w:rPr>
                <w:rFonts w:ascii="宋体" w:hAnsi="宋体" w:eastAsia="宋体" w:cs="宋体"/>
                <w:sz w:val="21"/>
                <w:szCs w:val="21"/>
              </w:rPr>
            </w:pPr>
            <w:r>
              <w:rPr>
                <w:rFonts w:ascii="宋体" w:hAnsi="宋体" w:eastAsia="宋体" w:cs="宋体"/>
                <w:sz w:val="21"/>
                <w:szCs w:val="21"/>
              </w:rPr>
              <w:t>1</w:t>
            </w:r>
          </w:p>
        </w:tc>
        <w:tc>
          <w:tcPr>
            <w:tcW w:w="4775" w:type="dxa"/>
            <w:vAlign w:val="top"/>
          </w:tcPr>
          <w:p>
            <w:pPr>
              <w:spacing w:before="24" w:line="268" w:lineRule="auto"/>
              <w:ind w:left="93" w:right="40"/>
              <w:jc w:val="both"/>
              <w:rPr>
                <w:rFonts w:ascii="宋体" w:hAnsi="宋体" w:eastAsia="宋体" w:cs="宋体"/>
                <w:sz w:val="21"/>
                <w:szCs w:val="21"/>
              </w:rPr>
            </w:pPr>
            <w:r>
              <w:rPr>
                <w:rFonts w:hint="eastAsia" w:ascii="宋体" w:hAnsi="宋体" w:eastAsia="宋体" w:cs="宋体"/>
                <w:sz w:val="24"/>
                <w:szCs w:val="24"/>
                <w:lang w:val="en-US" w:eastAsia="zh-CN"/>
              </w:rPr>
              <w:t>路桥</w:t>
            </w:r>
            <w:r>
              <w:rPr>
                <w:rFonts w:hint="eastAsia" w:ascii="宋体" w:hAnsi="宋体" w:eastAsia="宋体" w:cs="宋体"/>
                <w:sz w:val="24"/>
                <w:szCs w:val="24"/>
              </w:rPr>
              <w:t>相关专业工程师或以上职称，担任</w:t>
            </w:r>
            <w:r>
              <w:rPr>
                <w:rFonts w:hint="eastAsia" w:ascii="宋体" w:hAnsi="宋体" w:eastAsia="宋体" w:cs="宋体"/>
                <w:sz w:val="24"/>
                <w:szCs w:val="24"/>
                <w:lang w:val="en-US" w:eastAsia="zh-CN"/>
              </w:rPr>
              <w:t>公路</w:t>
            </w:r>
            <w:r>
              <w:rPr>
                <w:rFonts w:hint="eastAsia" w:ascii="宋体" w:hAnsi="宋体" w:eastAsia="宋体" w:cs="宋体"/>
                <w:sz w:val="24"/>
                <w:szCs w:val="24"/>
              </w:rPr>
              <w:t>工程施工主管技术工作岗位累计不少于</w:t>
            </w:r>
            <w:r>
              <w:rPr>
                <w:rFonts w:hint="eastAsia" w:ascii="宋体" w:hAnsi="宋体" w:eastAsia="宋体" w:cs="宋体"/>
                <w:sz w:val="24"/>
                <w:szCs w:val="24"/>
                <w:lang w:val="en-US" w:eastAsia="zh-CN"/>
              </w:rPr>
              <w:t>48</w:t>
            </w:r>
            <w:r>
              <w:rPr>
                <w:rFonts w:hint="eastAsia" w:ascii="宋体" w:hAnsi="宋体" w:eastAsia="宋体" w:cs="宋体"/>
                <w:sz w:val="24"/>
                <w:szCs w:val="24"/>
              </w:rPr>
              <w:t>个月，具有交通运输主管部门颁发的有效安全生产“三类人员”B 类证书。</w:t>
            </w:r>
          </w:p>
        </w:tc>
        <w:tc>
          <w:tcPr>
            <w:tcW w:w="1933" w:type="dxa"/>
            <w:vMerge w:val="continue"/>
            <w:tcBorders>
              <w:top w:val="nil"/>
            </w:tcBorders>
            <w:vAlign w:val="top"/>
          </w:tcPr>
          <w:p>
            <w:pPr>
              <w:rPr>
                <w:rFonts w:ascii="Arial"/>
                <w:sz w:val="21"/>
              </w:rPr>
            </w:pPr>
          </w:p>
        </w:tc>
      </w:tr>
    </w:tbl>
    <w:p>
      <w:pPr>
        <w:widowControl w:val="0"/>
        <w:spacing w:line="360" w:lineRule="auto"/>
        <w:rPr>
          <w:rFonts w:hint="eastAsia" w:ascii="宋体" w:hAnsi="宋体" w:eastAsia="宋体" w:cs="宋体"/>
          <w:sz w:val="21"/>
          <w:szCs w:val="21"/>
        </w:rPr>
      </w:pPr>
      <w:r>
        <w:rPr>
          <w:rFonts w:hint="eastAsia" w:ascii="宋体" w:hAnsi="宋体" w:eastAsia="宋体" w:cs="宋体"/>
          <w:sz w:val="21"/>
          <w:szCs w:val="21"/>
        </w:rPr>
        <w:t>注：1、资格要求的人员建造师注册证书、安全生产“三类人员”B 类证书均应在投标人所在单位， 否则视为无效。</w:t>
      </w:r>
    </w:p>
    <w:p>
      <w:pPr>
        <w:widowControl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2、主管技术工作指：担任过项目经理、项目副经理、</w:t>
      </w:r>
      <w:r>
        <w:rPr>
          <w:rFonts w:hint="eastAsia" w:ascii="宋体" w:hAnsi="宋体" w:eastAsia="宋体" w:cs="宋体"/>
          <w:color w:val="auto"/>
          <w:sz w:val="21"/>
          <w:szCs w:val="21"/>
          <w:lang w:val="en-US" w:eastAsia="zh-CN"/>
        </w:rPr>
        <w:t>项目总</w:t>
      </w:r>
      <w:r>
        <w:rPr>
          <w:rFonts w:hint="eastAsia" w:ascii="宋体" w:hAnsi="宋体" w:eastAsia="宋体" w:cs="宋体"/>
          <w:color w:val="auto"/>
          <w:sz w:val="21"/>
          <w:szCs w:val="21"/>
        </w:rPr>
        <w:t>工</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项目副总工</w:t>
      </w:r>
      <w:r>
        <w:rPr>
          <w:rFonts w:hint="eastAsia" w:ascii="宋体" w:hAnsi="宋体" w:eastAsia="宋体" w:cs="宋体"/>
          <w:color w:val="auto"/>
          <w:sz w:val="21"/>
          <w:szCs w:val="21"/>
        </w:rPr>
        <w:t>、质检负责人、工程部门负责人。担任</w:t>
      </w:r>
      <w:r>
        <w:rPr>
          <w:rFonts w:hint="eastAsia" w:ascii="宋体" w:hAnsi="宋体" w:eastAsia="宋体" w:cs="宋体"/>
          <w:color w:val="auto"/>
          <w:sz w:val="21"/>
          <w:szCs w:val="21"/>
          <w:lang w:val="en-US" w:eastAsia="zh-CN"/>
        </w:rPr>
        <w:t>公路</w:t>
      </w:r>
      <w:r>
        <w:rPr>
          <w:rFonts w:hint="eastAsia" w:ascii="宋体" w:hAnsi="宋体" w:eastAsia="宋体" w:cs="宋体"/>
          <w:color w:val="auto"/>
          <w:sz w:val="21"/>
          <w:szCs w:val="21"/>
        </w:rPr>
        <w:t>工程项目经理（或项目副经理或项目总工）岗位经验累计时间、公路工程施工主管技术工作岗位经验累计时间统计至月，计算时尾数如不少于 15 天的按 1 个月计，不足 15 天部分</w:t>
      </w:r>
      <w:r>
        <w:rPr>
          <w:rFonts w:hint="eastAsia" w:ascii="宋体" w:hAnsi="宋体" w:eastAsia="宋体" w:cs="宋体"/>
          <w:sz w:val="21"/>
          <w:szCs w:val="21"/>
        </w:rPr>
        <w:t>不计。</w:t>
      </w:r>
    </w:p>
    <w:p>
      <w:pPr>
        <w:pStyle w:val="9"/>
        <w:spacing w:line="360" w:lineRule="auto"/>
        <w:ind w:left="0" w:leftChars="0" w:firstLine="420" w:firstLineChars="200"/>
        <w:rPr>
          <w:rFonts w:hint="eastAsia" w:ascii="宋体" w:hAnsi="宋体" w:eastAsia="宋体" w:cs="宋体"/>
          <w:sz w:val="21"/>
          <w:szCs w:val="21"/>
        </w:rPr>
      </w:pPr>
      <w:r>
        <w:rPr>
          <w:rFonts w:hint="eastAsia" w:ascii="宋体" w:hAnsi="宋体" w:eastAsia="宋体" w:cs="宋体"/>
          <w:sz w:val="21"/>
          <w:szCs w:val="21"/>
        </w:rPr>
        <w:t>3、</w:t>
      </w:r>
      <w:r>
        <w:rPr>
          <w:rFonts w:hint="eastAsia" w:ascii="宋体" w:hAnsi="宋体" w:eastAsia="宋体" w:cs="宋体"/>
          <w:bCs/>
          <w:sz w:val="21"/>
          <w:szCs w:val="21"/>
        </w:rPr>
        <w:t>路桥相关专业职称包括路桥相关专业包括交通行业、市政行业及铁路行业中相关的公路、桥梁、公路与桥梁、交通土建、市政道路、市政桥梁、市政道路与桥梁、市政隧道、铁路桥梁、铁路隧道、道路工程、桥梁工程、道桥工程、路桥工程、交通工程、隧道工程、市政路桥等专业。</w:t>
      </w:r>
    </w:p>
    <w:p>
      <w:pPr>
        <w:widowControl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4、投标人应根据招标文件第二章“投标人须知”第 3.5.5 项的要求附相关证明材料。</w:t>
      </w:r>
    </w:p>
    <w:p>
      <w:pPr>
        <w:spacing w:line="272" w:lineRule="auto"/>
        <w:rPr>
          <w:rFonts w:ascii="Arial"/>
          <w:sz w:val="21"/>
        </w:rPr>
      </w:pPr>
    </w:p>
    <w:p>
      <w:pPr>
        <w:spacing w:before="94" w:line="219" w:lineRule="auto"/>
        <w:ind w:left="739"/>
        <w:rPr>
          <w:rFonts w:ascii="宋体" w:hAnsi="宋体" w:eastAsia="宋体" w:cs="宋体"/>
          <w:b/>
          <w:bCs/>
          <w:spacing w:val="4"/>
          <w:sz w:val="29"/>
          <w:szCs w:val="29"/>
        </w:rPr>
      </w:pPr>
    </w:p>
    <w:p>
      <w:pPr>
        <w:spacing w:before="94" w:line="219" w:lineRule="auto"/>
        <w:ind w:left="739"/>
        <w:rPr>
          <w:rFonts w:ascii="宋体" w:hAnsi="宋体" w:eastAsia="宋体" w:cs="宋体"/>
          <w:b/>
          <w:bCs/>
          <w:spacing w:val="4"/>
          <w:sz w:val="29"/>
          <w:szCs w:val="29"/>
        </w:rPr>
      </w:pPr>
    </w:p>
    <w:p>
      <w:pPr>
        <w:spacing w:before="94" w:line="219" w:lineRule="auto"/>
        <w:ind w:left="739"/>
        <w:rPr>
          <w:rFonts w:ascii="宋体" w:hAnsi="宋体" w:eastAsia="宋体" w:cs="宋体"/>
          <w:b/>
          <w:bCs/>
          <w:spacing w:val="4"/>
          <w:sz w:val="29"/>
          <w:szCs w:val="29"/>
        </w:rPr>
      </w:pPr>
    </w:p>
    <w:p>
      <w:pPr>
        <w:spacing w:before="94" w:line="219" w:lineRule="auto"/>
        <w:ind w:left="739"/>
        <w:rPr>
          <w:rFonts w:ascii="宋体" w:hAnsi="宋体" w:eastAsia="宋体" w:cs="宋体"/>
          <w:b/>
          <w:bCs/>
          <w:spacing w:val="4"/>
          <w:sz w:val="29"/>
          <w:szCs w:val="29"/>
        </w:rPr>
      </w:pPr>
    </w:p>
    <w:p>
      <w:pPr>
        <w:spacing w:before="94" w:line="219" w:lineRule="auto"/>
        <w:ind w:left="739"/>
        <w:rPr>
          <w:rFonts w:ascii="宋体" w:hAnsi="宋体" w:eastAsia="宋体" w:cs="宋体"/>
          <w:b/>
          <w:bCs/>
          <w:spacing w:val="4"/>
          <w:sz w:val="29"/>
          <w:szCs w:val="29"/>
        </w:rPr>
      </w:pPr>
    </w:p>
    <w:p>
      <w:pPr>
        <w:spacing w:before="94" w:line="219" w:lineRule="auto"/>
        <w:ind w:left="739"/>
        <w:rPr>
          <w:rFonts w:ascii="宋体" w:hAnsi="宋体" w:eastAsia="宋体" w:cs="宋体"/>
          <w:b/>
          <w:bCs/>
          <w:spacing w:val="4"/>
          <w:sz w:val="29"/>
          <w:szCs w:val="29"/>
        </w:rPr>
      </w:pPr>
    </w:p>
    <w:p>
      <w:pPr>
        <w:spacing w:before="94" w:line="219" w:lineRule="auto"/>
        <w:ind w:left="739"/>
        <w:rPr>
          <w:rFonts w:ascii="宋体" w:hAnsi="宋体" w:eastAsia="宋体" w:cs="宋体"/>
          <w:b/>
          <w:bCs/>
          <w:spacing w:val="4"/>
          <w:sz w:val="29"/>
          <w:szCs w:val="29"/>
        </w:rPr>
      </w:pPr>
    </w:p>
    <w:p>
      <w:pPr>
        <w:spacing w:before="94" w:line="219" w:lineRule="auto"/>
        <w:ind w:left="739"/>
        <w:rPr>
          <w:rFonts w:ascii="宋体" w:hAnsi="宋体" w:eastAsia="宋体" w:cs="宋体"/>
          <w:b/>
          <w:bCs/>
          <w:spacing w:val="4"/>
          <w:sz w:val="29"/>
          <w:szCs w:val="29"/>
        </w:rPr>
      </w:pPr>
    </w:p>
    <w:p>
      <w:pPr>
        <w:spacing w:before="94" w:line="219" w:lineRule="auto"/>
        <w:ind w:left="739"/>
        <w:rPr>
          <w:rFonts w:ascii="宋体" w:hAnsi="宋体" w:eastAsia="宋体" w:cs="宋体"/>
          <w:b/>
          <w:bCs/>
          <w:spacing w:val="4"/>
          <w:sz w:val="29"/>
          <w:szCs w:val="29"/>
        </w:rPr>
      </w:pPr>
    </w:p>
    <w:p>
      <w:pPr>
        <w:spacing w:before="94" w:line="219" w:lineRule="auto"/>
        <w:ind w:left="739"/>
        <w:rPr>
          <w:rFonts w:ascii="宋体" w:hAnsi="宋体" w:eastAsia="宋体" w:cs="宋体"/>
          <w:b/>
          <w:bCs/>
          <w:spacing w:val="4"/>
          <w:sz w:val="29"/>
          <w:szCs w:val="29"/>
        </w:rPr>
      </w:pPr>
    </w:p>
    <w:p>
      <w:pPr>
        <w:spacing w:before="94" w:line="219" w:lineRule="auto"/>
        <w:ind w:left="739"/>
        <w:rPr>
          <w:rFonts w:ascii="宋体" w:hAnsi="宋体" w:eastAsia="宋体" w:cs="宋体"/>
          <w:b/>
          <w:bCs/>
          <w:spacing w:val="4"/>
          <w:sz w:val="29"/>
          <w:szCs w:val="29"/>
        </w:rPr>
      </w:pPr>
    </w:p>
    <w:p>
      <w:pPr>
        <w:spacing w:before="94" w:line="219" w:lineRule="auto"/>
        <w:ind w:left="739"/>
        <w:rPr>
          <w:rFonts w:ascii="宋体" w:hAnsi="宋体" w:eastAsia="宋体" w:cs="宋体"/>
          <w:b/>
          <w:bCs/>
          <w:spacing w:val="4"/>
          <w:sz w:val="29"/>
          <w:szCs w:val="29"/>
        </w:rPr>
      </w:pPr>
    </w:p>
    <w:p>
      <w:pPr>
        <w:spacing w:before="94" w:line="219" w:lineRule="auto"/>
        <w:ind w:left="739"/>
        <w:rPr>
          <w:rFonts w:ascii="宋体" w:hAnsi="宋体" w:eastAsia="宋体" w:cs="宋体"/>
          <w:sz w:val="29"/>
          <w:szCs w:val="29"/>
        </w:rPr>
      </w:pPr>
      <w:r>
        <w:rPr>
          <w:rFonts w:ascii="宋体" w:hAnsi="宋体" w:eastAsia="宋体" w:cs="宋体"/>
          <w:b/>
          <w:bCs/>
          <w:spacing w:val="4"/>
          <w:sz w:val="29"/>
          <w:szCs w:val="29"/>
        </w:rPr>
        <w:t>附录6资格审查条件(其他主要管理人员和技术人员最低要求)</w:t>
      </w:r>
    </w:p>
    <w:p>
      <w:pPr>
        <w:spacing w:line="53" w:lineRule="auto"/>
        <w:rPr>
          <w:rFonts w:ascii="Arial"/>
          <w:sz w:val="2"/>
        </w:rPr>
      </w:pPr>
    </w:p>
    <w:tbl>
      <w:tblPr>
        <w:tblStyle w:val="13"/>
        <w:tblW w:w="926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813"/>
        <w:gridCol w:w="799"/>
        <w:gridCol w:w="665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1813" w:type="dxa"/>
            <w:vAlign w:val="top"/>
          </w:tcPr>
          <w:p>
            <w:pPr>
              <w:spacing w:before="124" w:line="221" w:lineRule="auto"/>
              <w:ind w:left="685"/>
              <w:rPr>
                <w:rFonts w:ascii="宋体" w:hAnsi="宋体" w:eastAsia="宋体" w:cs="宋体"/>
                <w:sz w:val="21"/>
                <w:szCs w:val="21"/>
              </w:rPr>
            </w:pPr>
            <w:r>
              <w:rPr>
                <w:rFonts w:ascii="宋体" w:hAnsi="宋体" w:eastAsia="宋体" w:cs="宋体"/>
                <w:spacing w:val="14"/>
                <w:sz w:val="21"/>
                <w:szCs w:val="21"/>
              </w:rPr>
              <w:t>人员</w:t>
            </w:r>
          </w:p>
        </w:tc>
        <w:tc>
          <w:tcPr>
            <w:tcW w:w="799" w:type="dxa"/>
            <w:vAlign w:val="top"/>
          </w:tcPr>
          <w:p>
            <w:pPr>
              <w:spacing w:before="123" w:line="219" w:lineRule="auto"/>
              <w:ind w:left="182"/>
              <w:rPr>
                <w:rFonts w:ascii="宋体" w:hAnsi="宋体" w:eastAsia="宋体" w:cs="宋体"/>
                <w:sz w:val="21"/>
                <w:szCs w:val="21"/>
              </w:rPr>
            </w:pPr>
            <w:r>
              <w:rPr>
                <w:rFonts w:ascii="宋体" w:hAnsi="宋体" w:eastAsia="宋体" w:cs="宋体"/>
                <w:spacing w:val="-3"/>
                <w:sz w:val="21"/>
                <w:szCs w:val="21"/>
              </w:rPr>
              <w:t>数量</w:t>
            </w:r>
          </w:p>
        </w:tc>
        <w:tc>
          <w:tcPr>
            <w:tcW w:w="6657" w:type="dxa"/>
            <w:vAlign w:val="top"/>
          </w:tcPr>
          <w:p>
            <w:pPr>
              <w:spacing w:before="123" w:line="219" w:lineRule="auto"/>
              <w:ind w:left="2733"/>
              <w:rPr>
                <w:rFonts w:ascii="宋体" w:hAnsi="宋体" w:eastAsia="宋体" w:cs="宋体"/>
                <w:sz w:val="21"/>
                <w:szCs w:val="21"/>
              </w:rPr>
            </w:pPr>
            <w:r>
              <w:rPr>
                <w:rFonts w:ascii="宋体" w:hAnsi="宋体" w:eastAsia="宋体" w:cs="宋体"/>
                <w:spacing w:val="-9"/>
                <w:sz w:val="21"/>
                <w:szCs w:val="21"/>
              </w:rPr>
              <w:t>资</w:t>
            </w:r>
            <w:r>
              <w:rPr>
                <w:rFonts w:ascii="宋体" w:hAnsi="宋体" w:eastAsia="宋体" w:cs="宋体"/>
                <w:spacing w:val="12"/>
                <w:sz w:val="21"/>
                <w:szCs w:val="21"/>
              </w:rPr>
              <w:t xml:space="preserve"> </w:t>
            </w:r>
            <w:r>
              <w:rPr>
                <w:rFonts w:ascii="宋体" w:hAnsi="宋体" w:eastAsia="宋体" w:cs="宋体"/>
                <w:spacing w:val="-9"/>
                <w:sz w:val="21"/>
                <w:szCs w:val="21"/>
              </w:rPr>
              <w:t>格</w:t>
            </w:r>
            <w:r>
              <w:rPr>
                <w:rFonts w:ascii="宋体" w:hAnsi="宋体" w:eastAsia="宋体" w:cs="宋体"/>
                <w:spacing w:val="13"/>
                <w:sz w:val="21"/>
                <w:szCs w:val="21"/>
              </w:rPr>
              <w:t xml:space="preserve"> </w:t>
            </w:r>
            <w:r>
              <w:rPr>
                <w:rFonts w:ascii="宋体" w:hAnsi="宋体" w:eastAsia="宋体" w:cs="宋体"/>
                <w:spacing w:val="-9"/>
                <w:sz w:val="21"/>
                <w:szCs w:val="21"/>
              </w:rPr>
              <w:t>要</w:t>
            </w:r>
            <w:r>
              <w:rPr>
                <w:rFonts w:ascii="宋体" w:hAnsi="宋体" w:eastAsia="宋体" w:cs="宋体"/>
                <w:spacing w:val="14"/>
                <w:sz w:val="21"/>
                <w:szCs w:val="21"/>
              </w:rPr>
              <w:t xml:space="preserve"> </w:t>
            </w:r>
            <w:r>
              <w:rPr>
                <w:rFonts w:ascii="宋体" w:hAnsi="宋体" w:eastAsia="宋体" w:cs="宋体"/>
                <w:spacing w:val="-9"/>
                <w:sz w:val="21"/>
                <w:szCs w:val="21"/>
              </w:rPr>
              <w:t>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68" w:hRule="atLeast"/>
        </w:trPr>
        <w:tc>
          <w:tcPr>
            <w:tcW w:w="1813" w:type="dxa"/>
            <w:vAlign w:val="center"/>
          </w:tcPr>
          <w:p>
            <w:pPr>
              <w:spacing w:line="360" w:lineRule="auto"/>
              <w:jc w:val="center"/>
              <w:rPr>
                <w:rFonts w:ascii="宋体" w:hAnsi="宋体" w:eastAsia="宋体" w:cs="宋体"/>
                <w:sz w:val="21"/>
                <w:szCs w:val="21"/>
              </w:rPr>
            </w:pPr>
            <w:r>
              <w:rPr>
                <w:rFonts w:hint="eastAsia" w:ascii="宋体" w:hAnsi="宋体" w:eastAsia="宋体" w:cs="宋体"/>
                <w:sz w:val="24"/>
                <w:szCs w:val="24"/>
              </w:rPr>
              <w:t>安全负责人</w:t>
            </w:r>
          </w:p>
        </w:tc>
        <w:tc>
          <w:tcPr>
            <w:tcW w:w="799" w:type="dxa"/>
            <w:vAlign w:val="center"/>
          </w:tcPr>
          <w:p>
            <w:pPr>
              <w:adjustRightInd w:val="0"/>
              <w:snapToGrid w:val="0"/>
              <w:spacing w:line="360" w:lineRule="auto"/>
              <w:jc w:val="center"/>
              <w:rPr>
                <w:rFonts w:ascii="宋体" w:hAnsi="宋体" w:eastAsia="宋体" w:cs="宋体"/>
                <w:sz w:val="21"/>
                <w:szCs w:val="21"/>
              </w:rPr>
            </w:pPr>
            <w:r>
              <w:rPr>
                <w:rFonts w:hint="eastAsia" w:ascii="宋体" w:hAnsi="宋体" w:eastAsia="宋体" w:cs="宋体"/>
                <w:sz w:val="24"/>
                <w:szCs w:val="24"/>
              </w:rPr>
              <w:t>1</w:t>
            </w:r>
          </w:p>
        </w:tc>
        <w:tc>
          <w:tcPr>
            <w:tcW w:w="6657" w:type="dxa"/>
            <w:vAlign w:val="center"/>
          </w:tcPr>
          <w:p>
            <w:pPr>
              <w:snapToGrid w:val="0"/>
              <w:spacing w:line="360" w:lineRule="auto"/>
              <w:rPr>
                <w:rFonts w:ascii="宋体" w:hAnsi="宋体" w:eastAsia="宋体" w:cs="宋体"/>
                <w:sz w:val="21"/>
                <w:szCs w:val="21"/>
              </w:rPr>
            </w:pPr>
            <w:r>
              <w:rPr>
                <w:rFonts w:hint="eastAsia" w:ascii="宋体" w:hAnsi="宋体" w:eastAsia="宋体" w:cs="宋体"/>
                <w:sz w:val="24"/>
                <w:szCs w:val="24"/>
              </w:rPr>
              <w:t>具有交通运输部门颁发的有效安全生产“三类人员”C类证书，且累计从事公路工程安全负责人岗位不少于</w:t>
            </w:r>
            <w:r>
              <w:rPr>
                <w:rFonts w:hint="eastAsia" w:ascii="宋体" w:hAnsi="宋体" w:eastAsia="宋体" w:cs="宋体"/>
                <w:sz w:val="24"/>
                <w:szCs w:val="24"/>
                <w:lang w:val="en-US" w:eastAsia="zh-CN"/>
              </w:rPr>
              <w:t>48</w:t>
            </w:r>
            <w:r>
              <w:rPr>
                <w:rFonts w:hint="eastAsia" w:ascii="宋体" w:hAnsi="宋体" w:eastAsia="宋体" w:cs="宋体"/>
                <w:sz w:val="24"/>
                <w:szCs w:val="24"/>
              </w:rPr>
              <w:t>个月。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63" w:hRule="atLeast"/>
        </w:trPr>
        <w:tc>
          <w:tcPr>
            <w:tcW w:w="1813" w:type="dxa"/>
            <w:vAlign w:val="center"/>
          </w:tcPr>
          <w:p>
            <w:pPr>
              <w:spacing w:line="360" w:lineRule="auto"/>
              <w:jc w:val="center"/>
              <w:rPr>
                <w:rFonts w:ascii="宋体" w:hAnsi="宋体" w:eastAsia="宋体" w:cs="宋体"/>
                <w:sz w:val="21"/>
                <w:szCs w:val="21"/>
              </w:rPr>
            </w:pPr>
            <w:r>
              <w:rPr>
                <w:rFonts w:hint="eastAsia" w:ascii="宋体" w:hAnsi="宋体" w:eastAsia="宋体" w:cs="宋体"/>
                <w:sz w:val="24"/>
                <w:szCs w:val="24"/>
                <w:lang w:eastAsia="zh-CN"/>
              </w:rPr>
              <w:t>质检负责人</w:t>
            </w:r>
          </w:p>
        </w:tc>
        <w:tc>
          <w:tcPr>
            <w:tcW w:w="799" w:type="dxa"/>
            <w:vAlign w:val="center"/>
          </w:tcPr>
          <w:p>
            <w:pPr>
              <w:adjustRightInd w:val="0"/>
              <w:snapToGrid w:val="0"/>
              <w:spacing w:line="360" w:lineRule="auto"/>
              <w:jc w:val="center"/>
              <w:rPr>
                <w:rFonts w:ascii="宋体" w:hAnsi="宋体" w:eastAsia="宋体" w:cs="宋体"/>
                <w:sz w:val="21"/>
                <w:szCs w:val="21"/>
              </w:rPr>
            </w:pPr>
            <w:r>
              <w:rPr>
                <w:rFonts w:hint="eastAsia" w:ascii="宋体" w:hAnsi="宋体" w:eastAsia="宋体" w:cs="宋体"/>
                <w:sz w:val="24"/>
                <w:szCs w:val="24"/>
                <w:lang w:val="en-US" w:eastAsia="zh-CN"/>
              </w:rPr>
              <w:t>1</w:t>
            </w:r>
          </w:p>
        </w:tc>
        <w:tc>
          <w:tcPr>
            <w:tcW w:w="6657" w:type="dxa"/>
            <w:vAlign w:val="center"/>
          </w:tcPr>
          <w:p>
            <w:pPr>
              <w:snapToGrid w:val="0"/>
              <w:spacing w:line="360" w:lineRule="auto"/>
              <w:rPr>
                <w:rFonts w:ascii="宋体" w:hAnsi="宋体" w:eastAsia="宋体" w:cs="宋体"/>
                <w:sz w:val="21"/>
                <w:szCs w:val="21"/>
              </w:rPr>
            </w:pPr>
            <w:r>
              <w:rPr>
                <w:rFonts w:hint="eastAsia" w:ascii="宋体" w:hAnsi="宋体" w:eastAsia="宋体" w:cs="宋体"/>
                <w:sz w:val="24"/>
                <w:szCs w:val="24"/>
                <w:lang w:val="en-US" w:eastAsia="zh-CN"/>
              </w:rPr>
              <w:t>路桥</w:t>
            </w:r>
            <w:r>
              <w:rPr>
                <w:rFonts w:hint="eastAsia" w:ascii="宋体" w:hAnsi="宋体" w:eastAsia="宋体" w:cs="宋体"/>
                <w:sz w:val="24"/>
                <w:szCs w:val="24"/>
              </w:rPr>
              <w:t>相关专业工程师或以上职称，</w:t>
            </w:r>
            <w:r>
              <w:rPr>
                <w:rFonts w:hint="eastAsia" w:ascii="宋体" w:hAnsi="宋体" w:eastAsia="宋体" w:cs="宋体"/>
                <w:sz w:val="24"/>
                <w:szCs w:val="24"/>
                <w:lang w:val="en-US"/>
              </w:rPr>
              <w:t>且</w:t>
            </w:r>
            <w:r>
              <w:rPr>
                <w:rFonts w:hint="eastAsia" w:ascii="宋体" w:hAnsi="宋体" w:eastAsia="宋体" w:cs="宋体"/>
                <w:sz w:val="24"/>
                <w:szCs w:val="24"/>
              </w:rPr>
              <w:t>累计从事公路工程</w:t>
            </w:r>
            <w:r>
              <w:rPr>
                <w:rFonts w:hint="eastAsia" w:ascii="宋体" w:hAnsi="宋体" w:eastAsia="宋体" w:cs="宋体"/>
                <w:sz w:val="24"/>
                <w:szCs w:val="24"/>
                <w:lang w:eastAsia="zh-CN"/>
              </w:rPr>
              <w:t>质检负责人</w:t>
            </w:r>
            <w:r>
              <w:rPr>
                <w:rFonts w:hint="eastAsia" w:ascii="宋体" w:hAnsi="宋体" w:eastAsia="宋体" w:cs="宋体"/>
                <w:sz w:val="24"/>
                <w:szCs w:val="24"/>
              </w:rPr>
              <w:t>岗位不少于</w:t>
            </w:r>
            <w:r>
              <w:rPr>
                <w:rFonts w:hint="eastAsia" w:ascii="宋体" w:hAnsi="宋体" w:eastAsia="宋体" w:cs="宋体"/>
                <w:sz w:val="24"/>
                <w:szCs w:val="24"/>
                <w:lang w:val="en-US" w:eastAsia="zh-CN"/>
              </w:rPr>
              <w:t>48</w:t>
            </w:r>
            <w:r>
              <w:rPr>
                <w:rFonts w:hint="eastAsia" w:ascii="宋体" w:hAnsi="宋体" w:eastAsia="宋体" w:cs="宋体"/>
                <w:sz w:val="24"/>
                <w:szCs w:val="24"/>
              </w:rPr>
              <w:t>个月。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73" w:hRule="atLeast"/>
        </w:trPr>
        <w:tc>
          <w:tcPr>
            <w:tcW w:w="1813" w:type="dxa"/>
            <w:vAlign w:val="center"/>
          </w:tcPr>
          <w:p>
            <w:pPr>
              <w:spacing w:line="360" w:lineRule="auto"/>
              <w:jc w:val="center"/>
              <w:rPr>
                <w:rFonts w:ascii="宋体" w:hAnsi="宋体" w:eastAsia="宋体" w:cs="宋体"/>
                <w:sz w:val="21"/>
                <w:szCs w:val="21"/>
              </w:rPr>
            </w:pPr>
            <w:r>
              <w:rPr>
                <w:rFonts w:hint="eastAsia" w:ascii="宋体" w:hAnsi="宋体" w:eastAsia="宋体" w:cs="宋体"/>
                <w:sz w:val="24"/>
                <w:szCs w:val="24"/>
              </w:rPr>
              <w:t>工程部门负责人</w:t>
            </w:r>
          </w:p>
        </w:tc>
        <w:tc>
          <w:tcPr>
            <w:tcW w:w="799" w:type="dxa"/>
            <w:vAlign w:val="center"/>
          </w:tcPr>
          <w:p>
            <w:pPr>
              <w:adjustRightInd w:val="0"/>
              <w:snapToGrid w:val="0"/>
              <w:spacing w:line="360" w:lineRule="auto"/>
              <w:jc w:val="center"/>
              <w:rPr>
                <w:rFonts w:ascii="宋体" w:hAnsi="宋体" w:eastAsia="宋体" w:cs="宋体"/>
                <w:sz w:val="21"/>
                <w:szCs w:val="21"/>
              </w:rPr>
            </w:pPr>
            <w:r>
              <w:rPr>
                <w:rFonts w:hint="eastAsia" w:ascii="宋体" w:hAnsi="宋体" w:eastAsia="宋体" w:cs="宋体"/>
                <w:sz w:val="24"/>
                <w:szCs w:val="24"/>
              </w:rPr>
              <w:t>1</w:t>
            </w:r>
          </w:p>
        </w:tc>
        <w:tc>
          <w:tcPr>
            <w:tcW w:w="6657" w:type="dxa"/>
            <w:vAlign w:val="center"/>
          </w:tcPr>
          <w:p>
            <w:pPr>
              <w:snapToGrid w:val="0"/>
              <w:spacing w:line="360" w:lineRule="auto"/>
              <w:rPr>
                <w:rFonts w:ascii="宋体" w:hAnsi="宋体" w:eastAsia="宋体" w:cs="宋体"/>
                <w:sz w:val="21"/>
                <w:szCs w:val="21"/>
              </w:rPr>
            </w:pPr>
            <w:r>
              <w:rPr>
                <w:rFonts w:hint="eastAsia" w:ascii="宋体" w:hAnsi="宋体" w:eastAsia="宋体" w:cs="宋体"/>
                <w:sz w:val="24"/>
                <w:szCs w:val="24"/>
                <w:lang w:val="en-US" w:eastAsia="zh-CN"/>
              </w:rPr>
              <w:t>路桥</w:t>
            </w:r>
            <w:r>
              <w:rPr>
                <w:rFonts w:hint="eastAsia" w:ascii="宋体" w:hAnsi="宋体" w:eastAsia="宋体" w:cs="宋体"/>
                <w:sz w:val="24"/>
                <w:szCs w:val="24"/>
              </w:rPr>
              <w:t>相关专业工程师或以上职称，且累计从事公路工程工程部门负责人岗位不少于</w:t>
            </w:r>
            <w:r>
              <w:rPr>
                <w:rFonts w:hint="eastAsia" w:ascii="宋体" w:hAnsi="宋体" w:eastAsia="宋体" w:cs="宋体"/>
                <w:sz w:val="24"/>
                <w:szCs w:val="24"/>
                <w:lang w:val="en-US" w:eastAsia="zh-CN"/>
              </w:rPr>
              <w:t>48</w:t>
            </w:r>
            <w:r>
              <w:rPr>
                <w:rFonts w:hint="eastAsia" w:ascii="宋体" w:hAnsi="宋体" w:eastAsia="宋体" w:cs="宋体"/>
                <w:sz w:val="24"/>
                <w:szCs w:val="24"/>
              </w:rPr>
              <w:t>个月。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45" w:hRule="atLeast"/>
        </w:trPr>
        <w:tc>
          <w:tcPr>
            <w:tcW w:w="1813" w:type="dxa"/>
            <w:vAlign w:val="center"/>
          </w:tcPr>
          <w:p>
            <w:pPr>
              <w:spacing w:line="360" w:lineRule="auto"/>
              <w:jc w:val="center"/>
              <w:rPr>
                <w:rFonts w:hint="eastAsia" w:ascii="宋体" w:hAnsi="宋体" w:eastAsia="宋体" w:cs="宋体"/>
                <w:sz w:val="24"/>
                <w:szCs w:val="24"/>
                <w:lang w:eastAsia="zh-CN"/>
              </w:rPr>
            </w:pPr>
            <w:r>
              <w:rPr>
                <w:rFonts w:hint="eastAsia" w:ascii="宋体" w:hAnsi="宋体" w:eastAsia="宋体" w:cs="宋体"/>
                <w:sz w:val="24"/>
                <w:szCs w:val="24"/>
                <w:lang w:val="en-US"/>
              </w:rPr>
              <w:t>计划工程师</w:t>
            </w:r>
          </w:p>
        </w:tc>
        <w:tc>
          <w:tcPr>
            <w:tcW w:w="799" w:type="dxa"/>
            <w:vAlign w:val="center"/>
          </w:tcPr>
          <w:p>
            <w:pPr>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rPr>
              <w:t>1</w:t>
            </w:r>
          </w:p>
        </w:tc>
        <w:tc>
          <w:tcPr>
            <w:tcW w:w="6657" w:type="dxa"/>
            <w:vAlign w:val="center"/>
          </w:tcPr>
          <w:p>
            <w:pPr>
              <w:snapToGrid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路桥相关专业工程师或以上职称，且同时具有住房与城乡建设部颁发的注册造价工程师证书或交通运输部（原交通部）颁发的甲级造价人员证书，主管技术工作经验累计不少于48个月（以工作岗位累计时间为准）。</w:t>
            </w:r>
          </w:p>
        </w:tc>
      </w:tr>
    </w:tbl>
    <w:p>
      <w:pPr>
        <w:spacing w:before="4" w:line="360" w:lineRule="auto"/>
        <w:ind w:left="116" w:right="53" w:firstLine="420"/>
        <w:jc w:val="both"/>
        <w:rPr>
          <w:rFonts w:hint="eastAsia" w:ascii="宋体" w:hAnsi="宋体" w:eastAsia="宋体" w:cs="宋体"/>
          <w:sz w:val="21"/>
          <w:szCs w:val="21"/>
        </w:rPr>
      </w:pPr>
      <w:r>
        <w:rPr>
          <w:rFonts w:hint="eastAsia" w:ascii="宋体" w:hAnsi="宋体" w:eastAsia="宋体" w:cs="宋体"/>
          <w:sz w:val="21"/>
          <w:szCs w:val="21"/>
        </w:rPr>
        <w:t>注：1、投标人中标后专职安全生产管理人员的配备应按照交通部《公路水运工程安全生产监督管理办法（交通运输部令 2017 年第 25 号）的要求执行。</w:t>
      </w:r>
    </w:p>
    <w:p>
      <w:pPr>
        <w:spacing w:before="4" w:line="360" w:lineRule="auto"/>
        <w:ind w:left="116" w:right="53" w:firstLine="420"/>
        <w:jc w:val="both"/>
        <w:rPr>
          <w:rFonts w:hint="eastAsia" w:ascii="宋体" w:hAnsi="宋体" w:eastAsia="宋体" w:cs="宋体"/>
          <w:sz w:val="21"/>
          <w:szCs w:val="21"/>
        </w:rPr>
      </w:pPr>
      <w:r>
        <w:rPr>
          <w:rFonts w:hint="eastAsia" w:ascii="宋体" w:hAnsi="宋体" w:eastAsia="宋体" w:cs="宋体"/>
          <w:sz w:val="21"/>
          <w:szCs w:val="21"/>
        </w:rPr>
        <w:t>2、路桥相关专业职称包括路桥相关专业包括交通行业、市政行业及铁路行业中相关的公路、桥梁、公路与桥梁、交通土建、市政道路、市政桥梁、市政道路与桥梁、市政隧道、铁路桥梁、铁路隧道、道路工程、桥梁工程、道桥工程、路桥工程、交通工程、隧道工程、市政路桥等专业。</w:t>
      </w:r>
    </w:p>
    <w:p>
      <w:pPr>
        <w:spacing w:before="4" w:line="360" w:lineRule="auto"/>
        <w:ind w:left="116" w:right="53" w:firstLine="420"/>
        <w:jc w:val="both"/>
        <w:sectPr>
          <w:footerReference r:id="rId7" w:type="default"/>
          <w:pgSz w:w="12050" w:h="16920"/>
          <w:pgMar w:top="1438" w:right="1326" w:bottom="747" w:left="1264" w:header="0" w:footer="609" w:gutter="0"/>
          <w:cols w:space="720" w:num="1"/>
        </w:sectPr>
      </w:pPr>
      <w:r>
        <w:rPr>
          <w:rFonts w:hint="eastAsia" w:ascii="宋体" w:hAnsi="宋体" w:eastAsia="宋体" w:cs="宋体"/>
          <w:sz w:val="21"/>
          <w:szCs w:val="21"/>
        </w:rPr>
        <w:t>3、“拟委任的其他管理和技术人员资历表”后应同时附①交通运输部“全国公路建设市场信用信息管理系统”中载明的、能够证明以上人员满足附录 6 所提出的各项指标（即包括人员的“基本信息”、“职称信息”、“执业资格” 、“个人业绩”等栏目在内）的网页截图复印件或网页打印件、②安全生产考核合格证书在交通运输部公路水运工程施工企业安全生产管理人员信息公共查询平台上公开信息的网页截图复印件或网页打印件、③安全负责人、质检负责人</w:t>
      </w:r>
      <w:r>
        <w:rPr>
          <w:rFonts w:hint="eastAsia" w:ascii="宋体" w:hAnsi="宋体" w:eastAsia="宋体" w:cs="宋体"/>
          <w:sz w:val="21"/>
          <w:szCs w:val="21"/>
          <w:lang w:eastAsia="zh-CN"/>
        </w:rPr>
        <w:t>、</w:t>
      </w:r>
      <w:r>
        <w:rPr>
          <w:rFonts w:hint="eastAsia" w:ascii="宋体" w:hAnsi="宋体" w:eastAsia="宋体" w:cs="宋体"/>
          <w:sz w:val="21"/>
          <w:szCs w:val="21"/>
        </w:rPr>
        <w:t>工程部门负责人的岗位经验以“全国公路建设市场信用信息管理系统”的人员信息中的网页截图“个人业绩”相对应工作岗位时间为准，岗位经验累计时间统计至月，计算时尾数如不少于 15 天的按 1 个月计，不足 15 天部分不计。岗位工作经历以“全国公路建设市场信用信息管理系统”中“个人业绩”的“起始日期”和“截止日期”。④投标人所属社保机构出具的其他管理和技术人员的社保缴费证明或其他能够证明其他管理和技术人员参加社保的有效证明材料复印件（社保时段为投标文件递交截止日前半年时间内连续不少于三个月）。</w:t>
      </w:r>
    </w:p>
    <w:p>
      <w:pPr>
        <w:spacing w:before="71" w:line="219" w:lineRule="auto"/>
        <w:rPr>
          <w:rFonts w:ascii="宋体" w:hAnsi="宋体" w:eastAsia="宋体" w:cs="宋体"/>
          <w:sz w:val="22"/>
          <w:szCs w:val="22"/>
        </w:rPr>
      </w:pPr>
      <w:r>
        <w:rPr>
          <w:rFonts w:ascii="宋体" w:hAnsi="宋体" w:eastAsia="宋体" w:cs="宋体"/>
          <w:spacing w:val="6"/>
          <w:sz w:val="22"/>
          <w:szCs w:val="22"/>
        </w:rPr>
        <w:t>附件2:</w:t>
      </w:r>
    </w:p>
    <w:p>
      <w:pPr>
        <w:spacing w:line="295" w:lineRule="auto"/>
        <w:rPr>
          <w:rFonts w:ascii="Arial"/>
          <w:sz w:val="21"/>
        </w:rPr>
      </w:pPr>
    </w:p>
    <w:p>
      <w:pPr>
        <w:rPr>
          <w:rFonts w:ascii="Arial"/>
          <w:sz w:val="21"/>
        </w:rPr>
      </w:pPr>
    </w:p>
    <w:p>
      <w:pPr>
        <w:widowControl/>
        <w:autoSpaceDN w:val="0"/>
        <w:jc w:val="center"/>
        <w:rPr>
          <w:rFonts w:hint="eastAsia" w:ascii="宋体" w:hAnsi="宋体" w:cs="宋体"/>
          <w:b/>
          <w:bCs/>
          <w:color w:val="auto"/>
          <w:kern w:val="44"/>
          <w:sz w:val="36"/>
          <w:szCs w:val="36"/>
          <w:highlight w:val="none"/>
        </w:rPr>
      </w:pPr>
      <w:r>
        <w:rPr>
          <w:rFonts w:hint="eastAsia" w:ascii="宋体" w:hAnsi="宋体" w:cs="宋体"/>
          <w:b/>
          <w:bCs/>
          <w:color w:val="auto"/>
          <w:kern w:val="44"/>
          <w:sz w:val="36"/>
          <w:szCs w:val="36"/>
          <w:highlight w:val="none"/>
        </w:rPr>
        <w:t>第三章评标办法</w:t>
      </w:r>
    </w:p>
    <w:p>
      <w:pPr>
        <w:widowControl/>
        <w:autoSpaceDN w:val="0"/>
        <w:jc w:val="center"/>
        <w:rPr>
          <w:rFonts w:hint="eastAsia" w:ascii="宋体" w:hAnsi="宋体" w:cs="宋体"/>
          <w:b/>
          <w:bCs/>
          <w:color w:val="auto"/>
          <w:kern w:val="44"/>
          <w:sz w:val="36"/>
          <w:szCs w:val="36"/>
          <w:highlight w:val="none"/>
        </w:rPr>
      </w:pPr>
      <w:r>
        <w:rPr>
          <w:rFonts w:hint="eastAsia" w:ascii="宋体" w:hAnsi="宋体" w:cs="宋体"/>
          <w:b/>
          <w:bCs/>
          <w:color w:val="auto"/>
          <w:kern w:val="44"/>
          <w:sz w:val="36"/>
          <w:szCs w:val="36"/>
          <w:highlight w:val="none"/>
        </w:rPr>
        <w:t>（</w:t>
      </w:r>
      <w:r>
        <w:rPr>
          <w:rFonts w:hint="eastAsia" w:ascii="宋体" w:hAnsi="宋体" w:eastAsia="宋体" w:cs="宋体"/>
          <w:b/>
          <w:bCs/>
          <w:color w:val="auto"/>
          <w:kern w:val="44"/>
          <w:sz w:val="36"/>
          <w:szCs w:val="36"/>
          <w:highlight w:val="none"/>
          <w:lang w:val="en-US" w:eastAsia="zh-CN"/>
        </w:rPr>
        <w:t>双信封的</w:t>
      </w:r>
      <w:r>
        <w:rPr>
          <w:rFonts w:hint="eastAsia" w:ascii="宋体" w:hAnsi="宋体" w:eastAsia="宋体" w:cs="宋体"/>
          <w:b/>
          <w:bCs/>
          <w:color w:val="auto"/>
          <w:kern w:val="44"/>
          <w:sz w:val="36"/>
          <w:szCs w:val="36"/>
          <w:highlight w:val="none"/>
        </w:rPr>
        <w:t>技术评分最低标价</w:t>
      </w:r>
      <w:r>
        <w:rPr>
          <w:rFonts w:hint="eastAsia" w:ascii="黑体" w:eastAsia="黑体"/>
          <w:b/>
          <w:bCs w:val="0"/>
          <w:color w:val="auto"/>
          <w:sz w:val="36"/>
          <w:szCs w:val="36"/>
        </w:rPr>
        <w:t>法</w:t>
      </w:r>
      <w:r>
        <w:rPr>
          <w:rFonts w:hint="eastAsia" w:ascii="宋体" w:hAnsi="宋体" w:cs="宋体"/>
          <w:b/>
          <w:bCs/>
          <w:color w:val="auto"/>
          <w:kern w:val="44"/>
          <w:sz w:val="36"/>
          <w:szCs w:val="36"/>
          <w:highlight w:val="none"/>
        </w:rPr>
        <w:t>）</w:t>
      </w:r>
    </w:p>
    <w:p>
      <w:pPr>
        <w:rPr>
          <w:rFonts w:hint="eastAsia" w:ascii="新宋体" w:hAnsi="新宋体" w:eastAsia="新宋体" w:cs="新宋体"/>
          <w:b/>
          <w:sz w:val="24"/>
          <w:szCs w:val="24"/>
          <w:highlight w:val="none"/>
        </w:rPr>
      </w:pPr>
      <w:bookmarkStart w:id="0" w:name="_Toc238976041"/>
      <w:bookmarkStart w:id="1" w:name="_Toc247374488"/>
      <w:bookmarkStart w:id="2" w:name="_Toc239220180"/>
      <w:r>
        <w:rPr>
          <w:rFonts w:hint="eastAsia" w:ascii="新宋体" w:hAnsi="新宋体" w:eastAsia="新宋体" w:cs="新宋体"/>
          <w:b/>
          <w:sz w:val="24"/>
          <w:szCs w:val="24"/>
          <w:highlight w:val="none"/>
        </w:rPr>
        <w:t>评标办法前附表</w:t>
      </w:r>
      <w:bookmarkEnd w:id="0"/>
      <w:bookmarkEnd w:id="1"/>
      <w:bookmarkEnd w:id="2"/>
    </w:p>
    <w:tbl>
      <w:tblPr>
        <w:tblStyle w:val="11"/>
        <w:tblW w:w="955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89"/>
        <w:gridCol w:w="1280"/>
        <w:gridCol w:w="728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8" w:hRule="atLeast"/>
          <w:jc w:val="center"/>
        </w:trPr>
        <w:tc>
          <w:tcPr>
            <w:tcW w:w="2269" w:type="dxa"/>
            <w:gridSpan w:val="2"/>
            <w:tcBorders>
              <w:right w:val="single" w:color="000000" w:sz="6" w:space="0"/>
            </w:tcBorders>
            <w:noWrap w:val="0"/>
            <w:vAlign w:val="top"/>
          </w:tcPr>
          <w:p>
            <w:pPr>
              <w:pStyle w:val="14"/>
              <w:spacing w:before="109" w:line="250" w:lineRule="exact"/>
              <w:ind w:left="796" w:right="788"/>
              <w:jc w:val="center"/>
              <w:rPr>
                <w:b/>
                <w:color w:val="auto"/>
                <w:sz w:val="21"/>
              </w:rPr>
            </w:pPr>
            <w:r>
              <w:rPr>
                <w:b/>
                <w:color w:val="auto"/>
                <w:sz w:val="21"/>
              </w:rPr>
              <w:t>条款号</w:t>
            </w:r>
          </w:p>
        </w:tc>
        <w:tc>
          <w:tcPr>
            <w:tcW w:w="7283" w:type="dxa"/>
            <w:tcBorders>
              <w:left w:val="single" w:color="000000" w:sz="6" w:space="0"/>
            </w:tcBorders>
            <w:noWrap w:val="0"/>
            <w:vAlign w:val="top"/>
          </w:tcPr>
          <w:p>
            <w:pPr>
              <w:pStyle w:val="14"/>
              <w:spacing w:before="109" w:line="250" w:lineRule="exact"/>
              <w:ind w:left="2335" w:right="2340"/>
              <w:jc w:val="center"/>
              <w:rPr>
                <w:b/>
                <w:color w:val="auto"/>
                <w:sz w:val="21"/>
              </w:rPr>
            </w:pPr>
            <w:r>
              <w:rPr>
                <w:b/>
                <w:color w:val="auto"/>
                <w:sz w:val="21"/>
              </w:rPr>
              <w:t>评审因素与评审标准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26" w:hRule="atLeast"/>
          <w:jc w:val="center"/>
        </w:trPr>
        <w:tc>
          <w:tcPr>
            <w:tcW w:w="989" w:type="dxa"/>
            <w:noWrap w:val="0"/>
            <w:vAlign w:val="top"/>
          </w:tcPr>
          <w:p>
            <w:pPr>
              <w:pStyle w:val="14"/>
              <w:rPr>
                <w:rFonts w:ascii="黑体"/>
                <w:b/>
                <w:color w:val="auto"/>
                <w:sz w:val="22"/>
              </w:rPr>
            </w:pPr>
          </w:p>
          <w:p>
            <w:pPr>
              <w:pStyle w:val="14"/>
              <w:rPr>
                <w:rFonts w:ascii="黑体"/>
                <w:b/>
                <w:color w:val="auto"/>
                <w:sz w:val="22"/>
              </w:rPr>
            </w:pPr>
          </w:p>
          <w:p>
            <w:pPr>
              <w:pStyle w:val="14"/>
              <w:rPr>
                <w:rFonts w:ascii="黑体"/>
                <w:b/>
                <w:color w:val="auto"/>
                <w:sz w:val="22"/>
              </w:rPr>
            </w:pPr>
          </w:p>
          <w:p>
            <w:pPr>
              <w:pStyle w:val="14"/>
              <w:spacing w:before="8"/>
              <w:rPr>
                <w:rFonts w:ascii="黑体"/>
                <w:b/>
                <w:color w:val="auto"/>
                <w:sz w:val="28"/>
              </w:rPr>
            </w:pPr>
          </w:p>
          <w:p>
            <w:pPr>
              <w:pStyle w:val="14"/>
              <w:ind w:left="9"/>
              <w:jc w:val="center"/>
              <w:rPr>
                <w:color w:val="auto"/>
                <w:sz w:val="21"/>
              </w:rPr>
            </w:pPr>
            <w:r>
              <w:rPr>
                <w:color w:val="auto"/>
                <w:sz w:val="21"/>
              </w:rPr>
              <w:t>1</w:t>
            </w:r>
          </w:p>
        </w:tc>
        <w:tc>
          <w:tcPr>
            <w:tcW w:w="1280" w:type="dxa"/>
            <w:tcBorders>
              <w:right w:val="single" w:color="000000" w:sz="6" w:space="0"/>
            </w:tcBorders>
            <w:noWrap w:val="0"/>
            <w:vAlign w:val="top"/>
          </w:tcPr>
          <w:p>
            <w:pPr>
              <w:pStyle w:val="14"/>
              <w:rPr>
                <w:rFonts w:ascii="黑体"/>
                <w:b/>
                <w:color w:val="auto"/>
                <w:sz w:val="20"/>
              </w:rPr>
            </w:pPr>
          </w:p>
          <w:p>
            <w:pPr>
              <w:pStyle w:val="14"/>
              <w:rPr>
                <w:rFonts w:ascii="黑体"/>
                <w:b/>
                <w:color w:val="auto"/>
                <w:sz w:val="20"/>
              </w:rPr>
            </w:pPr>
          </w:p>
          <w:p>
            <w:pPr>
              <w:pStyle w:val="14"/>
              <w:rPr>
                <w:rFonts w:ascii="黑体"/>
                <w:b/>
                <w:color w:val="auto"/>
                <w:sz w:val="20"/>
              </w:rPr>
            </w:pPr>
          </w:p>
          <w:p>
            <w:pPr>
              <w:pStyle w:val="14"/>
              <w:rPr>
                <w:rFonts w:ascii="黑体"/>
                <w:b/>
                <w:color w:val="auto"/>
                <w:sz w:val="20"/>
              </w:rPr>
            </w:pPr>
          </w:p>
          <w:p>
            <w:pPr>
              <w:pStyle w:val="14"/>
              <w:spacing w:before="164"/>
              <w:ind w:left="217"/>
              <w:rPr>
                <w:color w:val="auto"/>
                <w:sz w:val="21"/>
              </w:rPr>
            </w:pPr>
            <w:r>
              <w:rPr>
                <w:color w:val="auto"/>
                <w:sz w:val="21"/>
              </w:rPr>
              <w:t>评标方法</w:t>
            </w:r>
          </w:p>
        </w:tc>
        <w:tc>
          <w:tcPr>
            <w:tcW w:w="7283" w:type="dxa"/>
            <w:tcBorders>
              <w:left w:val="single" w:color="000000" w:sz="6" w:space="0"/>
            </w:tcBorders>
            <w:noWrap w:val="0"/>
            <w:vAlign w:val="top"/>
          </w:tcPr>
          <w:p>
            <w:pPr>
              <w:pStyle w:val="14"/>
              <w:spacing w:before="89" w:line="321" w:lineRule="auto"/>
              <w:ind w:right="95" w:firstLine="184" w:firstLineChars="100"/>
              <w:rPr>
                <w:color w:val="auto"/>
                <w:sz w:val="21"/>
              </w:rPr>
            </w:pPr>
            <w:r>
              <w:rPr>
                <w:color w:val="auto"/>
                <w:spacing w:val="-13"/>
                <w:sz w:val="21"/>
              </w:rPr>
              <w:t>评标价相等时，评标委员会依次按照以下优先顺序推荐中标候选人</w:t>
            </w:r>
            <w:r>
              <w:rPr>
                <w:color w:val="auto"/>
                <w:spacing w:val="-6"/>
                <w:sz w:val="21"/>
              </w:rPr>
              <w:t>或确定中标人：</w:t>
            </w:r>
          </w:p>
          <w:p>
            <w:pPr>
              <w:pStyle w:val="14"/>
              <w:tabs>
                <w:tab w:val="left" w:pos="1054"/>
              </w:tabs>
              <w:snapToGrid w:val="0"/>
              <w:spacing w:line="360" w:lineRule="auto"/>
              <w:ind w:firstLine="420" w:firstLineChars="200"/>
              <w:rPr>
                <w:rFonts w:eastAsia="Times New Roman"/>
                <w:color w:val="auto"/>
                <w:sz w:val="21"/>
              </w:rPr>
            </w:pPr>
            <w:r>
              <w:rPr>
                <w:rFonts w:ascii="宋体" w:hAnsi="宋体" w:cs="宋体"/>
                <w:color w:val="auto"/>
                <w:sz w:val="21"/>
              </w:rPr>
              <w:t>（</w:t>
            </w:r>
            <w:r>
              <w:rPr>
                <w:rFonts w:eastAsia="Times New Roman"/>
                <w:color w:val="auto"/>
                <w:sz w:val="21"/>
              </w:rPr>
              <w:t>1</w:t>
            </w:r>
            <w:r>
              <w:rPr>
                <w:rFonts w:ascii="宋体" w:hAnsi="宋体" w:cs="宋体"/>
                <w:color w:val="auto"/>
                <w:sz w:val="21"/>
              </w:rPr>
              <w:t>）被广东省交通运输厅最新年度评为较高信用等级的投标人优先；【采用如下的优先顺序：承诺使用的</w:t>
            </w:r>
            <w:r>
              <w:rPr>
                <w:rFonts w:eastAsia="Times New Roman"/>
                <w:color w:val="auto"/>
                <w:sz w:val="21"/>
              </w:rPr>
              <w:t xml:space="preserve"> AA </w:t>
            </w:r>
            <w:r>
              <w:rPr>
                <w:rFonts w:ascii="宋体" w:hAnsi="宋体" w:cs="宋体"/>
                <w:color w:val="auto"/>
                <w:sz w:val="21"/>
              </w:rPr>
              <w:t>级投标人、不承诺使用的</w:t>
            </w:r>
            <w:r>
              <w:rPr>
                <w:rFonts w:eastAsia="Times New Roman"/>
                <w:color w:val="auto"/>
                <w:sz w:val="21"/>
              </w:rPr>
              <w:t xml:space="preserve"> AA </w:t>
            </w:r>
            <w:r>
              <w:rPr>
                <w:rFonts w:ascii="宋体" w:hAnsi="宋体" w:cs="宋体"/>
                <w:color w:val="auto"/>
                <w:sz w:val="21"/>
              </w:rPr>
              <w:t>级投标人、承诺使用的</w:t>
            </w:r>
            <w:r>
              <w:rPr>
                <w:rFonts w:eastAsia="Times New Roman"/>
                <w:color w:val="auto"/>
                <w:sz w:val="21"/>
              </w:rPr>
              <w:t xml:space="preserve"> A </w:t>
            </w:r>
            <w:r>
              <w:rPr>
                <w:rFonts w:ascii="宋体" w:hAnsi="宋体" w:cs="宋体"/>
                <w:color w:val="auto"/>
                <w:sz w:val="21"/>
              </w:rPr>
              <w:t>级投标人、不承诺使用的</w:t>
            </w:r>
            <w:r>
              <w:rPr>
                <w:rFonts w:eastAsia="Times New Roman"/>
                <w:color w:val="auto"/>
                <w:sz w:val="21"/>
              </w:rPr>
              <w:t xml:space="preserve">A </w:t>
            </w:r>
            <w:r>
              <w:rPr>
                <w:rFonts w:ascii="宋体" w:hAnsi="宋体" w:cs="宋体"/>
                <w:color w:val="auto"/>
                <w:sz w:val="21"/>
              </w:rPr>
              <w:t>级投标人、</w:t>
            </w:r>
            <w:r>
              <w:rPr>
                <w:rFonts w:eastAsia="Times New Roman"/>
                <w:color w:val="auto"/>
                <w:sz w:val="21"/>
              </w:rPr>
              <w:t xml:space="preserve">B </w:t>
            </w:r>
            <w:r>
              <w:rPr>
                <w:rFonts w:ascii="宋体" w:hAnsi="宋体" w:cs="宋体"/>
                <w:color w:val="auto"/>
                <w:sz w:val="21"/>
              </w:rPr>
              <w:t>级投标人、未参评且被确定为</w:t>
            </w:r>
            <w:r>
              <w:rPr>
                <w:rFonts w:eastAsia="Times New Roman"/>
                <w:color w:val="auto"/>
                <w:sz w:val="21"/>
              </w:rPr>
              <w:t xml:space="preserve">B </w:t>
            </w:r>
            <w:r>
              <w:rPr>
                <w:rFonts w:ascii="宋体" w:hAnsi="宋体" w:cs="宋体"/>
                <w:color w:val="auto"/>
                <w:sz w:val="21"/>
              </w:rPr>
              <w:t>级投标人】</w:t>
            </w:r>
          </w:p>
          <w:p>
            <w:pPr>
              <w:pStyle w:val="14"/>
              <w:tabs>
                <w:tab w:val="left" w:pos="1054"/>
              </w:tabs>
              <w:snapToGrid w:val="0"/>
              <w:spacing w:line="360" w:lineRule="auto"/>
              <w:ind w:firstLine="420" w:firstLineChars="200"/>
              <w:rPr>
                <w:rFonts w:eastAsia="Times New Roman"/>
                <w:color w:val="auto"/>
                <w:sz w:val="21"/>
              </w:rPr>
            </w:pPr>
            <w:r>
              <w:rPr>
                <w:rFonts w:ascii="宋体" w:hAnsi="宋体" w:cs="宋体"/>
                <w:color w:val="auto"/>
                <w:sz w:val="21"/>
              </w:rPr>
              <w:t>（</w:t>
            </w:r>
            <w:r>
              <w:rPr>
                <w:rFonts w:eastAsia="Times New Roman"/>
                <w:color w:val="auto"/>
                <w:sz w:val="21"/>
              </w:rPr>
              <w:t>2</w:t>
            </w:r>
            <w:r>
              <w:rPr>
                <w:rFonts w:ascii="宋体" w:hAnsi="宋体" w:cs="宋体"/>
                <w:color w:val="auto"/>
                <w:sz w:val="21"/>
              </w:rPr>
              <w:t>）以投标人企业最新年度净资产较高的优先；</w:t>
            </w:r>
          </w:p>
          <w:p>
            <w:pPr>
              <w:pStyle w:val="14"/>
              <w:tabs>
                <w:tab w:val="left" w:pos="1054"/>
              </w:tabs>
              <w:snapToGrid w:val="0"/>
              <w:spacing w:line="360" w:lineRule="auto"/>
              <w:ind w:firstLine="420" w:firstLineChars="200"/>
              <w:rPr>
                <w:rFonts w:eastAsia="Times New Roman"/>
                <w:color w:val="auto"/>
                <w:sz w:val="21"/>
              </w:rPr>
            </w:pPr>
            <w:r>
              <w:rPr>
                <w:rFonts w:ascii="宋体" w:hAnsi="宋体" w:cs="宋体"/>
                <w:color w:val="auto"/>
                <w:sz w:val="21"/>
              </w:rPr>
              <w:t>（</w:t>
            </w:r>
            <w:r>
              <w:rPr>
                <w:rFonts w:eastAsia="Times New Roman"/>
                <w:color w:val="auto"/>
                <w:sz w:val="21"/>
              </w:rPr>
              <w:t>3</w:t>
            </w:r>
            <w:r>
              <w:rPr>
                <w:rFonts w:ascii="宋体" w:hAnsi="宋体" w:cs="宋体"/>
                <w:color w:val="auto"/>
                <w:sz w:val="21"/>
              </w:rPr>
              <w:t>）评标委员会视投标人情况综合比较，投票确定其名次。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86" w:hRule="atLeast"/>
          <w:jc w:val="center"/>
        </w:trPr>
        <w:tc>
          <w:tcPr>
            <w:tcW w:w="989" w:type="dxa"/>
            <w:noWrap w:val="0"/>
            <w:vAlign w:val="top"/>
          </w:tcPr>
          <w:p>
            <w:pPr>
              <w:pStyle w:val="14"/>
              <w:rPr>
                <w:rFonts w:ascii="黑体"/>
                <w:b/>
                <w:color w:val="auto"/>
                <w:sz w:val="22"/>
              </w:rPr>
            </w:pPr>
          </w:p>
          <w:p>
            <w:pPr>
              <w:pStyle w:val="14"/>
              <w:rPr>
                <w:rFonts w:ascii="黑体"/>
                <w:b/>
                <w:color w:val="auto"/>
                <w:sz w:val="22"/>
              </w:rPr>
            </w:pPr>
          </w:p>
          <w:p>
            <w:pPr>
              <w:pStyle w:val="14"/>
              <w:rPr>
                <w:rFonts w:ascii="黑体"/>
                <w:b/>
                <w:color w:val="auto"/>
                <w:sz w:val="22"/>
              </w:rPr>
            </w:pPr>
          </w:p>
          <w:p>
            <w:pPr>
              <w:pStyle w:val="14"/>
              <w:rPr>
                <w:rFonts w:ascii="黑体"/>
                <w:b/>
                <w:color w:val="auto"/>
                <w:sz w:val="22"/>
              </w:rPr>
            </w:pPr>
          </w:p>
          <w:p>
            <w:pPr>
              <w:pStyle w:val="14"/>
              <w:rPr>
                <w:rFonts w:ascii="黑体"/>
                <w:b/>
                <w:color w:val="auto"/>
                <w:sz w:val="22"/>
              </w:rPr>
            </w:pPr>
          </w:p>
          <w:p>
            <w:pPr>
              <w:pStyle w:val="14"/>
              <w:rPr>
                <w:rFonts w:ascii="黑体"/>
                <w:b/>
                <w:color w:val="auto"/>
                <w:sz w:val="22"/>
              </w:rPr>
            </w:pPr>
          </w:p>
          <w:p>
            <w:pPr>
              <w:pStyle w:val="14"/>
              <w:rPr>
                <w:rFonts w:ascii="黑体"/>
                <w:b/>
                <w:color w:val="auto"/>
                <w:sz w:val="22"/>
              </w:rPr>
            </w:pPr>
          </w:p>
          <w:p>
            <w:pPr>
              <w:pStyle w:val="14"/>
              <w:rPr>
                <w:rFonts w:ascii="黑体"/>
                <w:b/>
                <w:color w:val="auto"/>
                <w:sz w:val="22"/>
              </w:rPr>
            </w:pPr>
          </w:p>
          <w:p>
            <w:pPr>
              <w:pStyle w:val="14"/>
              <w:rPr>
                <w:rFonts w:ascii="黑体"/>
                <w:b/>
                <w:color w:val="auto"/>
                <w:sz w:val="22"/>
              </w:rPr>
            </w:pPr>
          </w:p>
          <w:p>
            <w:pPr>
              <w:pStyle w:val="14"/>
              <w:rPr>
                <w:rFonts w:ascii="黑体"/>
                <w:b/>
                <w:color w:val="auto"/>
                <w:sz w:val="22"/>
              </w:rPr>
            </w:pPr>
          </w:p>
          <w:p>
            <w:pPr>
              <w:pStyle w:val="14"/>
              <w:rPr>
                <w:rFonts w:ascii="黑体"/>
                <w:b/>
                <w:color w:val="auto"/>
                <w:sz w:val="22"/>
              </w:rPr>
            </w:pPr>
          </w:p>
          <w:p>
            <w:pPr>
              <w:pStyle w:val="14"/>
              <w:rPr>
                <w:rFonts w:ascii="黑体"/>
                <w:b/>
                <w:color w:val="auto"/>
                <w:sz w:val="22"/>
              </w:rPr>
            </w:pPr>
          </w:p>
          <w:p>
            <w:pPr>
              <w:pStyle w:val="14"/>
              <w:spacing w:before="151"/>
              <w:ind w:left="282"/>
              <w:rPr>
                <w:color w:val="auto"/>
                <w:sz w:val="21"/>
              </w:rPr>
            </w:pPr>
            <w:r>
              <w:rPr>
                <w:color w:val="auto"/>
                <w:sz w:val="21"/>
              </w:rPr>
              <w:t>2.1.1</w:t>
            </w:r>
          </w:p>
          <w:p>
            <w:pPr>
              <w:pStyle w:val="14"/>
              <w:spacing w:before="140"/>
              <w:ind w:left="282"/>
              <w:rPr>
                <w:color w:val="auto"/>
                <w:sz w:val="21"/>
              </w:rPr>
            </w:pPr>
            <w:r>
              <w:rPr>
                <w:color w:val="auto"/>
                <w:sz w:val="21"/>
              </w:rPr>
              <w:t>2.1.3</w:t>
            </w:r>
          </w:p>
        </w:tc>
        <w:tc>
          <w:tcPr>
            <w:tcW w:w="1280" w:type="dxa"/>
            <w:tcBorders>
              <w:right w:val="single" w:color="000000" w:sz="6" w:space="0"/>
            </w:tcBorders>
            <w:noWrap w:val="0"/>
            <w:vAlign w:val="top"/>
          </w:tcPr>
          <w:p>
            <w:pPr>
              <w:pStyle w:val="14"/>
              <w:rPr>
                <w:rFonts w:ascii="黑体"/>
                <w:b/>
                <w:color w:val="auto"/>
                <w:sz w:val="20"/>
              </w:rPr>
            </w:pPr>
          </w:p>
          <w:p>
            <w:pPr>
              <w:pStyle w:val="14"/>
              <w:rPr>
                <w:rFonts w:ascii="黑体"/>
                <w:b/>
                <w:color w:val="auto"/>
                <w:sz w:val="20"/>
              </w:rPr>
            </w:pPr>
          </w:p>
          <w:p>
            <w:pPr>
              <w:pStyle w:val="14"/>
              <w:rPr>
                <w:rFonts w:ascii="黑体"/>
                <w:b/>
                <w:color w:val="auto"/>
                <w:sz w:val="20"/>
              </w:rPr>
            </w:pPr>
          </w:p>
          <w:p>
            <w:pPr>
              <w:pStyle w:val="14"/>
              <w:rPr>
                <w:rFonts w:ascii="黑体"/>
                <w:b/>
                <w:color w:val="auto"/>
                <w:sz w:val="20"/>
              </w:rPr>
            </w:pPr>
          </w:p>
          <w:p>
            <w:pPr>
              <w:pStyle w:val="14"/>
              <w:rPr>
                <w:rFonts w:ascii="黑体"/>
                <w:b/>
                <w:color w:val="auto"/>
                <w:sz w:val="20"/>
              </w:rPr>
            </w:pPr>
          </w:p>
          <w:p>
            <w:pPr>
              <w:pStyle w:val="14"/>
              <w:rPr>
                <w:rFonts w:ascii="黑体"/>
                <w:b/>
                <w:color w:val="auto"/>
                <w:sz w:val="20"/>
              </w:rPr>
            </w:pPr>
          </w:p>
          <w:p>
            <w:pPr>
              <w:pStyle w:val="14"/>
              <w:rPr>
                <w:rFonts w:ascii="黑体"/>
                <w:b/>
                <w:color w:val="auto"/>
                <w:sz w:val="20"/>
              </w:rPr>
            </w:pPr>
          </w:p>
          <w:p>
            <w:pPr>
              <w:pStyle w:val="14"/>
              <w:rPr>
                <w:rFonts w:ascii="黑体"/>
                <w:b/>
                <w:color w:val="auto"/>
                <w:sz w:val="20"/>
              </w:rPr>
            </w:pPr>
          </w:p>
          <w:p>
            <w:pPr>
              <w:pStyle w:val="14"/>
              <w:rPr>
                <w:rFonts w:ascii="黑体"/>
                <w:b/>
                <w:color w:val="auto"/>
                <w:sz w:val="20"/>
              </w:rPr>
            </w:pPr>
          </w:p>
          <w:p>
            <w:pPr>
              <w:pStyle w:val="14"/>
              <w:rPr>
                <w:rFonts w:ascii="黑体"/>
                <w:b/>
                <w:color w:val="auto"/>
                <w:sz w:val="20"/>
              </w:rPr>
            </w:pPr>
          </w:p>
          <w:p>
            <w:pPr>
              <w:pStyle w:val="14"/>
              <w:rPr>
                <w:rFonts w:ascii="黑体"/>
                <w:b/>
                <w:color w:val="auto"/>
                <w:sz w:val="20"/>
              </w:rPr>
            </w:pPr>
          </w:p>
          <w:p>
            <w:pPr>
              <w:pStyle w:val="14"/>
              <w:rPr>
                <w:rFonts w:ascii="黑体"/>
                <w:b/>
                <w:color w:val="auto"/>
                <w:sz w:val="20"/>
              </w:rPr>
            </w:pPr>
          </w:p>
          <w:p>
            <w:pPr>
              <w:pStyle w:val="14"/>
              <w:spacing w:before="2"/>
              <w:rPr>
                <w:rFonts w:ascii="黑体"/>
                <w:b/>
                <w:color w:val="auto"/>
                <w:sz w:val="19"/>
              </w:rPr>
            </w:pPr>
          </w:p>
          <w:p>
            <w:pPr>
              <w:pStyle w:val="14"/>
              <w:spacing w:line="338" w:lineRule="auto"/>
              <w:ind w:left="112" w:right="99"/>
              <w:jc w:val="center"/>
              <w:rPr>
                <w:color w:val="auto"/>
                <w:sz w:val="21"/>
              </w:rPr>
            </w:pPr>
            <w:r>
              <w:rPr>
                <w:color w:val="auto"/>
                <w:sz w:val="21"/>
              </w:rPr>
              <w:t>形式评审与响应性评审标准</w:t>
            </w:r>
          </w:p>
        </w:tc>
        <w:tc>
          <w:tcPr>
            <w:tcW w:w="7283" w:type="dxa"/>
            <w:tcBorders>
              <w:left w:val="single" w:color="000000" w:sz="6" w:space="0"/>
            </w:tcBorders>
            <w:noWrap w:val="0"/>
            <w:vAlign w:val="top"/>
          </w:tcPr>
          <w:p>
            <w:pPr>
              <w:pStyle w:val="14"/>
              <w:spacing w:before="92"/>
              <w:ind w:left="527"/>
              <w:rPr>
                <w:b/>
                <w:color w:val="auto"/>
                <w:sz w:val="21"/>
              </w:rPr>
            </w:pPr>
            <w:r>
              <w:rPr>
                <w:b/>
                <w:color w:val="auto"/>
                <w:sz w:val="21"/>
              </w:rPr>
              <w:t>第一个信封（商务及技术文件）评审标准：</w:t>
            </w:r>
          </w:p>
          <w:p>
            <w:pPr>
              <w:pStyle w:val="14"/>
              <w:spacing w:before="91" w:line="321" w:lineRule="auto"/>
              <w:ind w:left="104" w:right="95" w:firstLine="420"/>
              <w:rPr>
                <w:color w:val="auto"/>
                <w:sz w:val="21"/>
              </w:rPr>
            </w:pPr>
            <w:r>
              <w:rPr>
                <w:color w:val="auto"/>
                <w:sz w:val="21"/>
              </w:rPr>
              <w:t>（</w:t>
            </w:r>
            <w:r>
              <w:rPr>
                <w:rFonts w:eastAsia="Times New Roman"/>
                <w:color w:val="auto"/>
                <w:sz w:val="21"/>
              </w:rPr>
              <w:t>1</w:t>
            </w:r>
            <w:r>
              <w:rPr>
                <w:color w:val="auto"/>
                <w:sz w:val="21"/>
              </w:rPr>
              <w:t>）投标文件按照招标文件规定的格式、内容填写，字迹清晰可辨：</w:t>
            </w:r>
          </w:p>
          <w:p>
            <w:pPr>
              <w:pStyle w:val="14"/>
              <w:numPr>
                <w:ilvl w:val="0"/>
                <w:numId w:val="3"/>
              </w:numPr>
              <w:tabs>
                <w:tab w:val="left" w:pos="673"/>
              </w:tabs>
              <w:spacing w:line="321" w:lineRule="auto"/>
              <w:ind w:right="97" w:firstLine="420"/>
              <w:rPr>
                <w:color w:val="auto"/>
                <w:sz w:val="21"/>
              </w:rPr>
            </w:pPr>
            <w:r>
              <w:rPr>
                <w:color w:val="auto"/>
                <w:spacing w:val="-15"/>
                <w:sz w:val="21"/>
              </w:rPr>
              <w:t>投标函按招标文件规定填报了项目名称、标段号、补遗书编号</w:t>
            </w:r>
            <w:r>
              <w:rPr>
                <w:color w:val="auto"/>
                <w:spacing w:val="-3"/>
                <w:sz w:val="21"/>
              </w:rPr>
              <w:t>（</w:t>
            </w:r>
            <w:r>
              <w:rPr>
                <w:color w:val="auto"/>
                <w:sz w:val="21"/>
              </w:rPr>
              <w:t>如有</w:t>
            </w:r>
            <w:r>
              <w:rPr>
                <w:color w:val="auto"/>
                <w:spacing w:val="-106"/>
                <w:sz w:val="21"/>
              </w:rPr>
              <w:t>）</w:t>
            </w:r>
            <w:r>
              <w:rPr>
                <w:color w:val="auto"/>
                <w:spacing w:val="-3"/>
                <w:sz w:val="21"/>
              </w:rPr>
              <w:t>、工期、工程质量要求及安全目标；</w:t>
            </w:r>
          </w:p>
          <w:p>
            <w:pPr>
              <w:pStyle w:val="14"/>
              <w:numPr>
                <w:ilvl w:val="0"/>
                <w:numId w:val="3"/>
              </w:numPr>
              <w:tabs>
                <w:tab w:val="left" w:pos="685"/>
              </w:tabs>
              <w:spacing w:line="268" w:lineRule="exact"/>
              <w:ind w:left="684" w:hanging="160"/>
              <w:rPr>
                <w:color w:val="auto"/>
                <w:sz w:val="21"/>
              </w:rPr>
            </w:pPr>
            <w:r>
              <w:rPr>
                <w:color w:val="auto"/>
                <w:spacing w:val="-3"/>
                <w:sz w:val="21"/>
              </w:rPr>
              <w:t>投标函附录的所有数据均符合招标文件规定；</w:t>
            </w:r>
          </w:p>
          <w:p>
            <w:pPr>
              <w:pStyle w:val="14"/>
              <w:numPr>
                <w:ilvl w:val="0"/>
                <w:numId w:val="3"/>
              </w:numPr>
              <w:tabs>
                <w:tab w:val="left" w:pos="673"/>
              </w:tabs>
              <w:spacing w:before="90"/>
              <w:ind w:left="672"/>
              <w:rPr>
                <w:color w:val="auto"/>
                <w:sz w:val="21"/>
              </w:rPr>
            </w:pPr>
            <w:r>
              <w:rPr>
                <w:color w:val="auto"/>
                <w:spacing w:val="-3"/>
                <w:sz w:val="21"/>
              </w:rPr>
              <w:t>投标文件组成齐全完整，内容均按规定填写。</w:t>
            </w:r>
          </w:p>
          <w:p>
            <w:pPr>
              <w:pStyle w:val="14"/>
              <w:numPr>
                <w:ilvl w:val="0"/>
                <w:numId w:val="4"/>
              </w:numPr>
              <w:tabs>
                <w:tab w:val="left" w:pos="1054"/>
              </w:tabs>
              <w:spacing w:before="91" w:line="321" w:lineRule="auto"/>
              <w:ind w:right="95" w:firstLine="420"/>
              <w:rPr>
                <w:color w:val="auto"/>
                <w:sz w:val="21"/>
              </w:rPr>
            </w:pPr>
            <w:r>
              <w:rPr>
                <w:color w:val="auto"/>
                <w:spacing w:val="-3"/>
                <w:sz w:val="21"/>
              </w:rPr>
              <w:t>投标文件上法定代表人或其委托代理人的签字、投标人的单位章盖章齐全，符合招标文件规定。</w:t>
            </w:r>
          </w:p>
          <w:p>
            <w:pPr>
              <w:pStyle w:val="14"/>
              <w:spacing w:line="268" w:lineRule="exact"/>
              <w:ind w:left="524"/>
              <w:rPr>
                <w:color w:val="auto"/>
                <w:sz w:val="21"/>
              </w:rPr>
            </w:pPr>
            <w:r>
              <w:rPr>
                <w:color w:val="auto"/>
                <w:sz w:val="21"/>
              </w:rPr>
              <w:t>（3）投标人按照招标文件的规定提供了投标保证金：</w:t>
            </w:r>
          </w:p>
          <w:p>
            <w:pPr>
              <w:pStyle w:val="14"/>
              <w:spacing w:before="13" w:line="360" w:lineRule="exact"/>
              <w:ind w:left="104" w:right="44" w:firstLine="420"/>
              <w:rPr>
                <w:color w:val="auto"/>
                <w:sz w:val="21"/>
              </w:rPr>
            </w:pPr>
            <w:r>
              <w:rPr>
                <w:rFonts w:eastAsia="Times New Roman"/>
                <w:color w:val="auto"/>
                <w:sz w:val="21"/>
              </w:rPr>
              <w:t>a.</w:t>
            </w:r>
            <w:r>
              <w:rPr>
                <w:color w:val="auto"/>
                <w:sz w:val="21"/>
              </w:rPr>
              <w:t>投标保证金金额符合招标文件规定的金额，且投标保证金有效期不少于投标有效期；</w:t>
            </w:r>
          </w:p>
          <w:p>
            <w:pPr>
              <w:pStyle w:val="14"/>
              <w:numPr>
                <w:ilvl w:val="0"/>
                <w:numId w:val="5"/>
              </w:numPr>
              <w:tabs>
                <w:tab w:val="left" w:pos="685"/>
              </w:tabs>
              <w:spacing w:before="90" w:line="321" w:lineRule="auto"/>
              <w:ind w:right="95" w:firstLine="420"/>
              <w:jc w:val="both"/>
              <w:rPr>
                <w:color w:val="auto"/>
                <w:sz w:val="21"/>
              </w:rPr>
            </w:pPr>
            <w:r>
              <w:rPr>
                <w:color w:val="auto"/>
                <w:spacing w:val="-6"/>
                <w:sz w:val="21"/>
              </w:rPr>
              <w:t>若投标保证金采用现金</w:t>
            </w:r>
            <w:r>
              <w:rPr>
                <w:rFonts w:hint="eastAsia"/>
                <w:color w:val="auto"/>
                <w:spacing w:val="-6"/>
                <w:sz w:val="21"/>
                <w:lang w:eastAsia="zh-CN"/>
              </w:rPr>
              <w:t>、</w:t>
            </w:r>
            <w:r>
              <w:rPr>
                <w:color w:val="auto"/>
                <w:spacing w:val="-6"/>
                <w:sz w:val="21"/>
              </w:rPr>
              <w:t>支票</w:t>
            </w:r>
            <w:r>
              <w:rPr>
                <w:rFonts w:hint="eastAsia"/>
                <w:color w:val="auto"/>
                <w:spacing w:val="-6"/>
                <w:sz w:val="21"/>
                <w:lang w:val="en-US" w:eastAsia="zh-CN"/>
              </w:rPr>
              <w:t>或汇票</w:t>
            </w:r>
            <w:r>
              <w:rPr>
                <w:color w:val="auto"/>
                <w:spacing w:val="-6"/>
                <w:sz w:val="21"/>
              </w:rPr>
              <w:t>形式提交，投标人应在</w:t>
            </w:r>
            <w:r>
              <w:rPr>
                <w:color w:val="auto"/>
                <w:spacing w:val="-12"/>
                <w:sz w:val="21"/>
              </w:rPr>
              <w:t>递交投标文件截止时间之前</w:t>
            </w:r>
            <w:r>
              <w:rPr>
                <w:color w:val="auto"/>
                <w:spacing w:val="-13"/>
                <w:sz w:val="21"/>
              </w:rPr>
              <w:t>，将投标保证金由投标人的基本账户转入招标人指定账户；</w:t>
            </w:r>
          </w:p>
          <w:p>
            <w:pPr>
              <w:spacing w:before="35" w:line="321" w:lineRule="auto"/>
              <w:ind w:right="146" w:firstLine="630" w:firstLineChars="300"/>
              <w:rPr>
                <w:color w:val="auto"/>
                <w:sz w:val="21"/>
              </w:rPr>
            </w:pPr>
            <w:r>
              <w:rPr>
                <w:rFonts w:hint="eastAsia" w:ascii="宋体" w:hAnsi="宋体" w:eastAsia="宋体"/>
                <w:color w:val="auto"/>
                <w:sz w:val="21"/>
                <w:szCs w:val="22"/>
                <w:lang w:val="en-US" w:eastAsia="zh-CN"/>
              </w:rPr>
              <w:t>c.</w:t>
            </w:r>
            <w:r>
              <w:rPr>
                <w:rFonts w:ascii="Times New Roman" w:hAnsi="Times New Roman" w:eastAsia="宋体" w:cs="Times New Roman"/>
                <w:color w:val="auto"/>
                <w:spacing w:val="-6"/>
                <w:sz w:val="21"/>
                <w:szCs w:val="24"/>
                <w:lang w:val="zh-CN" w:eastAsia="zh-CN" w:bidi="ar-SA"/>
              </w:rPr>
              <w:t>若投标保证金采用银行保函</w:t>
            </w:r>
            <w:r>
              <w:rPr>
                <w:rFonts w:ascii="Times New Roman" w:hAnsi="Times New Roman" w:eastAsia="宋体" w:cs="Times New Roman"/>
                <w:color w:val="auto"/>
                <w:spacing w:val="-6"/>
                <w:sz w:val="21"/>
                <w:szCs w:val="24"/>
                <w:lang w:val="en-US" w:eastAsia="zh-CN" w:bidi="ar-SA"/>
              </w:rPr>
              <w:t>，出具保函的银行级别： 支行或以上，必须由投标人的基本账户开具，若基本账户银行不能开具，可由上级银行出具并附相关证明材料，否则视为无效。且银行保函原件扫描件按规定放在投标文件中。</w:t>
            </w:r>
          </w:p>
          <w:p>
            <w:pPr>
              <w:pStyle w:val="14"/>
              <w:tabs>
                <w:tab w:val="left" w:pos="1054"/>
              </w:tabs>
              <w:spacing w:line="321" w:lineRule="auto"/>
              <w:ind w:left="105" w:leftChars="50" w:right="-15" w:firstLine="408" w:firstLineChars="200"/>
              <w:rPr>
                <w:color w:val="auto"/>
                <w:sz w:val="21"/>
              </w:rPr>
            </w:pPr>
            <w:r>
              <w:rPr>
                <w:color w:val="auto"/>
                <w:spacing w:val="-3"/>
                <w:sz w:val="21"/>
              </w:rPr>
              <w:t>（4）投标人法定代表人授权委托代理人签署投标文件的，须提交</w:t>
            </w:r>
            <w:r>
              <w:rPr>
                <w:color w:val="auto"/>
                <w:spacing w:val="-17"/>
                <w:sz w:val="21"/>
              </w:rPr>
              <w:t>授权委托书，且授权人和被授权人均在授权委托书上签名，未使用印章、</w:t>
            </w:r>
            <w:r>
              <w:rPr>
                <w:color w:val="auto"/>
                <w:spacing w:val="-7"/>
                <w:sz w:val="21"/>
              </w:rPr>
              <w:t>签名章或其他电子制版签名代替。</w:t>
            </w:r>
          </w:p>
        </w:tc>
      </w:tr>
    </w:tbl>
    <w:p>
      <w:pPr>
        <w:spacing w:line="331" w:lineRule="auto"/>
        <w:jc w:val="left"/>
        <w:rPr>
          <w:rFonts w:hint="eastAsia"/>
          <w:color w:val="auto"/>
          <w:sz w:val="18"/>
        </w:rPr>
        <w:sectPr>
          <w:pgSz w:w="11910" w:h="16850"/>
          <w:pgMar w:top="1480" w:right="1200" w:bottom="1040" w:left="1220" w:header="876" w:footer="853" w:gutter="0"/>
          <w:cols w:space="720" w:num="1"/>
          <w:rtlGutter w:val="0"/>
        </w:sectPr>
      </w:pPr>
    </w:p>
    <w:p>
      <w:pPr>
        <w:spacing w:before="72"/>
        <w:ind w:right="384"/>
        <w:jc w:val="right"/>
        <w:rPr>
          <w:color w:val="auto"/>
        </w:rPr>
      </w:pPr>
      <w:r>
        <w:rPr>
          <w:color w:val="auto"/>
        </w:rPr>
        <w:t>续上表</w:t>
      </w:r>
    </w:p>
    <w:tbl>
      <w:tblPr>
        <w:tblStyle w:val="11"/>
        <w:tblW w:w="9822" w:type="dxa"/>
        <w:tblInd w:w="32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89"/>
        <w:gridCol w:w="1280"/>
        <w:gridCol w:w="755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1" w:hRule="atLeast"/>
        </w:trPr>
        <w:tc>
          <w:tcPr>
            <w:tcW w:w="2269" w:type="dxa"/>
            <w:gridSpan w:val="2"/>
            <w:tcBorders>
              <w:right w:val="single" w:color="000000" w:sz="6" w:space="0"/>
            </w:tcBorders>
            <w:noWrap w:val="0"/>
            <w:vAlign w:val="top"/>
          </w:tcPr>
          <w:p>
            <w:pPr>
              <w:pStyle w:val="14"/>
              <w:spacing w:before="109" w:line="252" w:lineRule="exact"/>
              <w:ind w:left="796" w:right="788"/>
              <w:jc w:val="center"/>
              <w:rPr>
                <w:b/>
                <w:color w:val="auto"/>
                <w:sz w:val="21"/>
              </w:rPr>
            </w:pPr>
            <w:r>
              <w:rPr>
                <w:b/>
                <w:color w:val="auto"/>
                <w:sz w:val="21"/>
              </w:rPr>
              <w:t>条款号</w:t>
            </w:r>
          </w:p>
        </w:tc>
        <w:tc>
          <w:tcPr>
            <w:tcW w:w="7553" w:type="dxa"/>
            <w:tcBorders>
              <w:left w:val="single" w:color="000000" w:sz="6" w:space="0"/>
            </w:tcBorders>
            <w:noWrap w:val="0"/>
            <w:vAlign w:val="top"/>
          </w:tcPr>
          <w:p>
            <w:pPr>
              <w:pStyle w:val="14"/>
              <w:spacing w:before="109" w:line="252" w:lineRule="exact"/>
              <w:ind w:left="2335" w:right="2340"/>
              <w:jc w:val="center"/>
              <w:rPr>
                <w:b/>
                <w:color w:val="auto"/>
                <w:sz w:val="21"/>
              </w:rPr>
            </w:pPr>
            <w:r>
              <w:rPr>
                <w:b/>
                <w:color w:val="auto"/>
                <w:sz w:val="21"/>
              </w:rPr>
              <w:t>评审因素与评审标准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989" w:type="dxa"/>
            <w:noWrap w:val="0"/>
            <w:vAlign w:val="top"/>
          </w:tcPr>
          <w:p>
            <w:pPr>
              <w:pStyle w:val="14"/>
              <w:rPr>
                <w:color w:val="auto"/>
                <w:sz w:val="22"/>
              </w:rPr>
            </w:pPr>
          </w:p>
          <w:p>
            <w:pPr>
              <w:pStyle w:val="14"/>
              <w:rPr>
                <w:color w:val="auto"/>
                <w:sz w:val="22"/>
              </w:rPr>
            </w:pPr>
          </w:p>
          <w:p>
            <w:pPr>
              <w:pStyle w:val="14"/>
              <w:rPr>
                <w:color w:val="auto"/>
                <w:sz w:val="22"/>
              </w:rPr>
            </w:pPr>
          </w:p>
          <w:p>
            <w:pPr>
              <w:pStyle w:val="14"/>
              <w:rPr>
                <w:color w:val="auto"/>
                <w:sz w:val="22"/>
              </w:rPr>
            </w:pPr>
          </w:p>
          <w:p>
            <w:pPr>
              <w:pStyle w:val="14"/>
              <w:rPr>
                <w:color w:val="auto"/>
                <w:sz w:val="22"/>
              </w:rPr>
            </w:pPr>
          </w:p>
          <w:p>
            <w:pPr>
              <w:pStyle w:val="14"/>
              <w:rPr>
                <w:color w:val="auto"/>
                <w:sz w:val="22"/>
              </w:rPr>
            </w:pPr>
          </w:p>
          <w:p>
            <w:pPr>
              <w:pStyle w:val="14"/>
              <w:rPr>
                <w:color w:val="auto"/>
                <w:sz w:val="22"/>
              </w:rPr>
            </w:pPr>
          </w:p>
          <w:p>
            <w:pPr>
              <w:pStyle w:val="14"/>
              <w:rPr>
                <w:color w:val="auto"/>
                <w:sz w:val="22"/>
              </w:rPr>
            </w:pPr>
          </w:p>
          <w:p>
            <w:pPr>
              <w:pStyle w:val="14"/>
              <w:rPr>
                <w:color w:val="auto"/>
                <w:sz w:val="22"/>
              </w:rPr>
            </w:pPr>
          </w:p>
          <w:p>
            <w:pPr>
              <w:pStyle w:val="14"/>
              <w:rPr>
                <w:color w:val="auto"/>
                <w:sz w:val="22"/>
              </w:rPr>
            </w:pPr>
          </w:p>
          <w:p>
            <w:pPr>
              <w:pStyle w:val="14"/>
              <w:rPr>
                <w:color w:val="auto"/>
                <w:sz w:val="22"/>
              </w:rPr>
            </w:pPr>
          </w:p>
          <w:p>
            <w:pPr>
              <w:pStyle w:val="14"/>
              <w:rPr>
                <w:color w:val="auto"/>
                <w:sz w:val="22"/>
              </w:rPr>
            </w:pPr>
          </w:p>
          <w:p>
            <w:pPr>
              <w:pStyle w:val="14"/>
              <w:spacing w:before="1"/>
              <w:rPr>
                <w:color w:val="auto"/>
                <w:sz w:val="21"/>
              </w:rPr>
            </w:pPr>
            <w:r>
              <w:rPr>
                <w:color w:val="auto"/>
                <w:sz w:val="21"/>
              </w:rPr>
              <w:t>2.1.1</w:t>
            </w:r>
          </w:p>
          <w:p>
            <w:pPr>
              <w:pStyle w:val="14"/>
              <w:spacing w:before="137"/>
              <w:rPr>
                <w:color w:val="auto"/>
                <w:sz w:val="21"/>
              </w:rPr>
            </w:pPr>
            <w:r>
              <w:rPr>
                <w:color w:val="auto"/>
                <w:sz w:val="21"/>
              </w:rPr>
              <w:t>2.1.3</w:t>
            </w:r>
          </w:p>
        </w:tc>
        <w:tc>
          <w:tcPr>
            <w:tcW w:w="1280" w:type="dxa"/>
            <w:tcBorders>
              <w:right w:val="single" w:color="000000" w:sz="6" w:space="0"/>
            </w:tcBorders>
            <w:noWrap w:val="0"/>
            <w:vAlign w:val="top"/>
          </w:tcPr>
          <w:p>
            <w:pPr>
              <w:pStyle w:val="14"/>
              <w:rPr>
                <w:color w:val="auto"/>
                <w:sz w:val="20"/>
              </w:rPr>
            </w:pPr>
          </w:p>
          <w:p>
            <w:pPr>
              <w:pStyle w:val="14"/>
              <w:rPr>
                <w:color w:val="auto"/>
                <w:sz w:val="20"/>
              </w:rPr>
            </w:pPr>
          </w:p>
          <w:p>
            <w:pPr>
              <w:pStyle w:val="14"/>
              <w:rPr>
                <w:color w:val="auto"/>
                <w:sz w:val="20"/>
              </w:rPr>
            </w:pPr>
          </w:p>
          <w:p>
            <w:pPr>
              <w:pStyle w:val="14"/>
              <w:rPr>
                <w:color w:val="auto"/>
                <w:sz w:val="20"/>
              </w:rPr>
            </w:pPr>
          </w:p>
          <w:p>
            <w:pPr>
              <w:pStyle w:val="14"/>
              <w:rPr>
                <w:color w:val="auto"/>
                <w:sz w:val="20"/>
              </w:rPr>
            </w:pPr>
          </w:p>
          <w:p>
            <w:pPr>
              <w:pStyle w:val="14"/>
              <w:rPr>
                <w:color w:val="auto"/>
                <w:sz w:val="20"/>
              </w:rPr>
            </w:pPr>
          </w:p>
          <w:p>
            <w:pPr>
              <w:pStyle w:val="14"/>
              <w:rPr>
                <w:color w:val="auto"/>
                <w:sz w:val="20"/>
              </w:rPr>
            </w:pPr>
          </w:p>
          <w:p>
            <w:pPr>
              <w:pStyle w:val="14"/>
              <w:rPr>
                <w:color w:val="auto"/>
                <w:sz w:val="20"/>
              </w:rPr>
            </w:pPr>
          </w:p>
          <w:p>
            <w:pPr>
              <w:pStyle w:val="14"/>
              <w:rPr>
                <w:color w:val="auto"/>
                <w:sz w:val="20"/>
              </w:rPr>
            </w:pPr>
          </w:p>
          <w:p>
            <w:pPr>
              <w:pStyle w:val="14"/>
              <w:rPr>
                <w:color w:val="auto"/>
                <w:sz w:val="20"/>
              </w:rPr>
            </w:pPr>
          </w:p>
          <w:p>
            <w:pPr>
              <w:pStyle w:val="14"/>
              <w:rPr>
                <w:color w:val="auto"/>
                <w:sz w:val="20"/>
              </w:rPr>
            </w:pPr>
          </w:p>
          <w:p>
            <w:pPr>
              <w:pStyle w:val="14"/>
              <w:rPr>
                <w:color w:val="auto"/>
                <w:sz w:val="20"/>
              </w:rPr>
            </w:pPr>
          </w:p>
          <w:p>
            <w:pPr>
              <w:pStyle w:val="14"/>
              <w:rPr>
                <w:color w:val="auto"/>
                <w:sz w:val="20"/>
              </w:rPr>
            </w:pPr>
          </w:p>
          <w:p>
            <w:pPr>
              <w:pStyle w:val="14"/>
              <w:spacing w:line="338" w:lineRule="auto"/>
              <w:ind w:right="99"/>
              <w:jc w:val="both"/>
              <w:rPr>
                <w:color w:val="auto"/>
                <w:sz w:val="21"/>
              </w:rPr>
            </w:pPr>
            <w:r>
              <w:rPr>
                <w:color w:val="auto"/>
                <w:sz w:val="21"/>
              </w:rPr>
              <w:t>形式评审与响应性评审标准</w:t>
            </w:r>
          </w:p>
        </w:tc>
        <w:tc>
          <w:tcPr>
            <w:tcW w:w="7553" w:type="dxa"/>
            <w:tcBorders>
              <w:left w:val="single" w:color="000000" w:sz="6" w:space="0"/>
            </w:tcBorders>
            <w:noWrap w:val="0"/>
            <w:vAlign w:val="top"/>
          </w:tcPr>
          <w:p>
            <w:pPr>
              <w:pStyle w:val="14"/>
              <w:tabs>
                <w:tab w:val="left" w:pos="1054"/>
              </w:tabs>
              <w:spacing w:line="321" w:lineRule="auto"/>
              <w:ind w:right="-15"/>
              <w:rPr>
                <w:color w:val="auto"/>
                <w:sz w:val="21"/>
              </w:rPr>
            </w:pPr>
            <w:r>
              <w:rPr>
                <w:color w:val="auto"/>
                <w:spacing w:val="-3"/>
                <w:sz w:val="21"/>
              </w:rPr>
              <w:t>（5）投标人法定代表人亲自签署投标文件的，提供了法定代表人身份证明，且法定代表人在法定代表人身份证明上签名，未使用印章、签名章或其他电子制版签名代替。</w:t>
            </w:r>
          </w:p>
          <w:p>
            <w:pPr>
              <w:pStyle w:val="14"/>
              <w:tabs>
                <w:tab w:val="left" w:pos="1054"/>
              </w:tabs>
              <w:spacing w:line="321" w:lineRule="auto"/>
              <w:ind w:right="-15"/>
              <w:rPr>
                <w:color w:val="auto"/>
                <w:sz w:val="21"/>
              </w:rPr>
            </w:pPr>
            <w:r>
              <w:rPr>
                <w:color w:val="auto"/>
                <w:sz w:val="21"/>
              </w:rPr>
              <w:t>（6）</w:t>
            </w:r>
            <w:r>
              <w:rPr>
                <w:color w:val="auto"/>
                <w:spacing w:val="-3"/>
                <w:sz w:val="21"/>
              </w:rPr>
              <w:t>同一投标人未提交两个以上不同的投标文件，但招标文件要求提交备选投标的除外。</w:t>
            </w:r>
          </w:p>
          <w:p>
            <w:pPr>
              <w:pStyle w:val="14"/>
              <w:tabs>
                <w:tab w:val="left" w:pos="1054"/>
              </w:tabs>
              <w:spacing w:line="321" w:lineRule="auto"/>
              <w:ind w:right="-15"/>
              <w:rPr>
                <w:color w:val="auto"/>
                <w:sz w:val="21"/>
              </w:rPr>
            </w:pPr>
            <w:r>
              <w:rPr>
                <w:color w:val="auto"/>
                <w:sz w:val="21"/>
              </w:rPr>
              <w:t>（7）</w:t>
            </w:r>
            <w:r>
              <w:rPr>
                <w:color w:val="auto"/>
                <w:spacing w:val="-3"/>
                <w:sz w:val="21"/>
              </w:rPr>
              <w:t>投标文件中未出现有关投标报价的内容。</w:t>
            </w:r>
          </w:p>
          <w:p>
            <w:pPr>
              <w:pStyle w:val="14"/>
              <w:tabs>
                <w:tab w:val="left" w:pos="1054"/>
              </w:tabs>
              <w:spacing w:line="321" w:lineRule="auto"/>
              <w:ind w:right="-15"/>
              <w:rPr>
                <w:color w:val="auto"/>
                <w:sz w:val="21"/>
              </w:rPr>
            </w:pPr>
            <w:r>
              <w:rPr>
                <w:color w:val="auto"/>
                <w:sz w:val="21"/>
              </w:rPr>
              <w:t>（8）</w:t>
            </w:r>
            <w:r>
              <w:rPr>
                <w:color w:val="auto"/>
                <w:spacing w:val="-3"/>
                <w:sz w:val="21"/>
              </w:rPr>
              <w:t>投标文件载明的招标项目完成期限未超过招标文件规定的</w:t>
            </w:r>
            <w:r>
              <w:rPr>
                <w:color w:val="auto"/>
                <w:sz w:val="21"/>
              </w:rPr>
              <w:t>时限。</w:t>
            </w:r>
          </w:p>
          <w:p>
            <w:pPr>
              <w:pStyle w:val="14"/>
              <w:tabs>
                <w:tab w:val="left" w:pos="1054"/>
              </w:tabs>
              <w:spacing w:line="321" w:lineRule="auto"/>
              <w:ind w:right="-15"/>
              <w:rPr>
                <w:color w:val="auto"/>
                <w:sz w:val="21"/>
              </w:rPr>
            </w:pPr>
            <w:r>
              <w:rPr>
                <w:color w:val="auto"/>
                <w:spacing w:val="-3"/>
                <w:sz w:val="21"/>
              </w:rPr>
              <w:t>（9）投标文件对招标文件的实质性要求和条件作出响应。</w:t>
            </w:r>
          </w:p>
          <w:p>
            <w:pPr>
              <w:pStyle w:val="14"/>
              <w:tabs>
                <w:tab w:val="left" w:pos="1054"/>
              </w:tabs>
              <w:spacing w:line="321" w:lineRule="auto"/>
              <w:ind w:right="-15"/>
              <w:rPr>
                <w:color w:val="auto"/>
                <w:sz w:val="21"/>
              </w:rPr>
            </w:pPr>
            <w:r>
              <w:rPr>
                <w:color w:val="auto"/>
                <w:spacing w:val="-3"/>
                <w:sz w:val="21"/>
              </w:rPr>
              <w:t>（10）权利义务符合招标文件规定：</w:t>
            </w:r>
          </w:p>
          <w:p>
            <w:pPr>
              <w:pStyle w:val="14"/>
              <w:numPr>
                <w:ilvl w:val="0"/>
                <w:numId w:val="6"/>
              </w:numPr>
              <w:tabs>
                <w:tab w:val="left" w:pos="673"/>
              </w:tabs>
              <w:spacing w:before="91" w:line="321" w:lineRule="auto"/>
              <w:ind w:right="97" w:firstLine="420"/>
              <w:jc w:val="both"/>
              <w:rPr>
                <w:color w:val="auto"/>
                <w:sz w:val="21"/>
              </w:rPr>
            </w:pPr>
            <w:r>
              <w:rPr>
                <w:color w:val="auto"/>
                <w:spacing w:val="-5"/>
                <w:sz w:val="21"/>
              </w:rPr>
              <w:t>投标人应接受招标文件规定的风险划分原则，未提出新的风险划</w:t>
            </w:r>
            <w:r>
              <w:rPr>
                <w:color w:val="auto"/>
                <w:spacing w:val="-4"/>
                <w:sz w:val="21"/>
              </w:rPr>
              <w:t>分办法；</w:t>
            </w:r>
          </w:p>
          <w:p>
            <w:pPr>
              <w:pStyle w:val="14"/>
              <w:numPr>
                <w:ilvl w:val="0"/>
                <w:numId w:val="6"/>
              </w:numPr>
              <w:tabs>
                <w:tab w:val="left" w:pos="685"/>
              </w:tabs>
              <w:spacing w:line="268" w:lineRule="exact"/>
              <w:ind w:left="684" w:hanging="160"/>
              <w:jc w:val="both"/>
              <w:rPr>
                <w:color w:val="auto"/>
                <w:sz w:val="21"/>
              </w:rPr>
            </w:pPr>
            <w:r>
              <w:rPr>
                <w:color w:val="auto"/>
                <w:spacing w:val="-3"/>
                <w:sz w:val="21"/>
              </w:rPr>
              <w:t>投标人未增加发包人的责任范围，或减少投标人义务；</w:t>
            </w:r>
          </w:p>
          <w:p>
            <w:pPr>
              <w:pStyle w:val="14"/>
              <w:numPr>
                <w:ilvl w:val="0"/>
                <w:numId w:val="6"/>
              </w:numPr>
              <w:tabs>
                <w:tab w:val="left" w:pos="673"/>
              </w:tabs>
              <w:spacing w:before="91"/>
              <w:ind w:left="672"/>
              <w:jc w:val="both"/>
              <w:rPr>
                <w:color w:val="auto"/>
                <w:sz w:val="21"/>
              </w:rPr>
            </w:pPr>
            <w:r>
              <w:rPr>
                <w:color w:val="auto"/>
                <w:spacing w:val="-3"/>
                <w:sz w:val="21"/>
              </w:rPr>
              <w:t>投标人未提出不同的工程验收、计量、支付办法；</w:t>
            </w:r>
          </w:p>
          <w:p>
            <w:pPr>
              <w:pStyle w:val="14"/>
              <w:numPr>
                <w:ilvl w:val="0"/>
                <w:numId w:val="6"/>
              </w:numPr>
              <w:tabs>
                <w:tab w:val="left" w:pos="685"/>
              </w:tabs>
              <w:spacing w:before="91"/>
              <w:ind w:left="684" w:hanging="160"/>
              <w:jc w:val="both"/>
              <w:rPr>
                <w:color w:val="auto"/>
                <w:sz w:val="21"/>
              </w:rPr>
            </w:pPr>
            <w:r>
              <w:rPr>
                <w:color w:val="auto"/>
                <w:spacing w:val="-3"/>
                <w:sz w:val="21"/>
              </w:rPr>
              <w:t>投标人对合同纠纷、事故处理办法未提出异议；</w:t>
            </w:r>
          </w:p>
          <w:p>
            <w:pPr>
              <w:pStyle w:val="14"/>
              <w:numPr>
                <w:ilvl w:val="0"/>
                <w:numId w:val="6"/>
              </w:numPr>
              <w:tabs>
                <w:tab w:val="left" w:pos="673"/>
              </w:tabs>
              <w:spacing w:before="91"/>
              <w:ind w:left="672"/>
              <w:jc w:val="both"/>
              <w:rPr>
                <w:color w:val="auto"/>
                <w:sz w:val="21"/>
              </w:rPr>
            </w:pPr>
            <w:r>
              <w:rPr>
                <w:color w:val="auto"/>
                <w:spacing w:val="-3"/>
                <w:sz w:val="21"/>
              </w:rPr>
              <w:t>投标人在投标活动中无欺诈行为；</w:t>
            </w:r>
          </w:p>
          <w:p>
            <w:pPr>
              <w:pStyle w:val="14"/>
              <w:numPr>
                <w:ilvl w:val="0"/>
                <w:numId w:val="6"/>
              </w:numPr>
              <w:tabs>
                <w:tab w:val="left" w:pos="649"/>
              </w:tabs>
              <w:spacing w:before="91" w:line="250" w:lineRule="exact"/>
              <w:ind w:left="648" w:hanging="124"/>
              <w:jc w:val="both"/>
              <w:rPr>
                <w:color w:val="auto"/>
                <w:sz w:val="21"/>
              </w:rPr>
            </w:pPr>
            <w:r>
              <w:rPr>
                <w:color w:val="auto"/>
                <w:spacing w:val="-3"/>
                <w:sz w:val="21"/>
              </w:rPr>
              <w:t>投标人未对合同条款有重要保留。</w:t>
            </w:r>
          </w:p>
          <w:p>
            <w:pPr>
              <w:pStyle w:val="14"/>
              <w:tabs>
                <w:tab w:val="left" w:pos="649"/>
              </w:tabs>
              <w:spacing w:before="91" w:line="250" w:lineRule="exact"/>
              <w:rPr>
                <w:color w:val="auto"/>
                <w:sz w:val="21"/>
              </w:rPr>
            </w:pPr>
            <w:r>
              <w:rPr>
                <w:rFonts w:ascii="宋体" w:hAnsi="宋体"/>
                <w:color w:val="auto"/>
                <w:sz w:val="21"/>
              </w:rPr>
              <w:t>（1</w:t>
            </w:r>
            <w:r>
              <w:rPr>
                <w:rFonts w:hint="eastAsia" w:ascii="宋体" w:hAnsi="宋体"/>
                <w:color w:val="auto"/>
                <w:sz w:val="21"/>
                <w:lang w:val="en-US" w:eastAsia="zh-CN"/>
              </w:rPr>
              <w:t>1</w:t>
            </w:r>
            <w:r>
              <w:rPr>
                <w:rFonts w:ascii="宋体" w:hAnsi="宋体"/>
                <w:color w:val="auto"/>
                <w:sz w:val="21"/>
              </w:rPr>
              <w:t>）投标文件未附有招标人不能接受的条件。</w:t>
            </w:r>
          </w:p>
        </w:tc>
      </w:tr>
    </w:tbl>
    <w:p>
      <w:pPr>
        <w:spacing w:line="250" w:lineRule="exact"/>
        <w:jc w:val="left"/>
        <w:rPr>
          <w:color w:val="auto"/>
        </w:rPr>
        <w:sectPr>
          <w:headerReference r:id="rId8" w:type="default"/>
          <w:headerReference r:id="rId9" w:type="even"/>
          <w:pgSz w:w="11910" w:h="16850"/>
          <w:pgMar w:top="1480" w:right="1200" w:bottom="1080" w:left="1220" w:header="883" w:footer="884" w:gutter="0"/>
          <w:cols w:space="720" w:num="1"/>
          <w:rtlGutter w:val="0"/>
        </w:sectPr>
      </w:pPr>
    </w:p>
    <w:p>
      <w:pPr>
        <w:spacing w:before="72"/>
        <w:ind w:right="384" w:firstLine="8400" w:firstLineChars="4000"/>
        <w:jc w:val="both"/>
        <w:rPr>
          <w:color w:val="auto"/>
        </w:rPr>
      </w:pPr>
      <w:r>
        <w:rPr>
          <w:color w:val="auto"/>
        </w:rPr>
        <w:t>续上表</w:t>
      </w:r>
    </w:p>
    <w:tbl>
      <w:tblPr>
        <w:tblStyle w:val="11"/>
        <w:tblW w:w="9207" w:type="dxa"/>
        <w:tblInd w:w="32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89"/>
        <w:gridCol w:w="1280"/>
        <w:gridCol w:w="693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1" w:hRule="atLeast"/>
        </w:trPr>
        <w:tc>
          <w:tcPr>
            <w:tcW w:w="2269" w:type="dxa"/>
            <w:gridSpan w:val="2"/>
            <w:tcBorders>
              <w:right w:val="single" w:color="000000" w:sz="6" w:space="0"/>
            </w:tcBorders>
            <w:noWrap w:val="0"/>
            <w:vAlign w:val="top"/>
          </w:tcPr>
          <w:p>
            <w:pPr>
              <w:pStyle w:val="14"/>
              <w:spacing w:before="109" w:line="252" w:lineRule="exact"/>
              <w:ind w:left="796" w:right="788"/>
              <w:jc w:val="center"/>
              <w:rPr>
                <w:b/>
                <w:color w:val="auto"/>
                <w:sz w:val="21"/>
              </w:rPr>
            </w:pPr>
            <w:r>
              <w:rPr>
                <w:b/>
                <w:color w:val="auto"/>
                <w:sz w:val="21"/>
              </w:rPr>
              <w:t>条款号</w:t>
            </w:r>
          </w:p>
        </w:tc>
        <w:tc>
          <w:tcPr>
            <w:tcW w:w="6938" w:type="dxa"/>
            <w:tcBorders>
              <w:left w:val="single" w:color="000000" w:sz="6" w:space="0"/>
            </w:tcBorders>
            <w:noWrap w:val="0"/>
            <w:vAlign w:val="top"/>
          </w:tcPr>
          <w:p>
            <w:pPr>
              <w:pStyle w:val="14"/>
              <w:spacing w:before="109" w:line="252" w:lineRule="exact"/>
              <w:ind w:left="2335" w:right="2340"/>
              <w:jc w:val="center"/>
              <w:rPr>
                <w:b/>
                <w:color w:val="auto"/>
                <w:sz w:val="21"/>
              </w:rPr>
            </w:pPr>
            <w:r>
              <w:rPr>
                <w:b/>
                <w:color w:val="auto"/>
                <w:sz w:val="21"/>
              </w:rPr>
              <w:t>评审因素与评审标准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63" w:hRule="atLeast"/>
        </w:trPr>
        <w:tc>
          <w:tcPr>
            <w:tcW w:w="989" w:type="dxa"/>
            <w:noWrap w:val="0"/>
            <w:vAlign w:val="top"/>
          </w:tcPr>
          <w:p>
            <w:pPr>
              <w:pStyle w:val="14"/>
              <w:rPr>
                <w:color w:val="auto"/>
                <w:sz w:val="22"/>
              </w:rPr>
            </w:pPr>
          </w:p>
          <w:p>
            <w:pPr>
              <w:pStyle w:val="14"/>
              <w:rPr>
                <w:color w:val="auto"/>
                <w:sz w:val="22"/>
              </w:rPr>
            </w:pPr>
          </w:p>
          <w:p>
            <w:pPr>
              <w:pStyle w:val="14"/>
              <w:rPr>
                <w:color w:val="auto"/>
                <w:sz w:val="22"/>
              </w:rPr>
            </w:pPr>
          </w:p>
          <w:p>
            <w:pPr>
              <w:pStyle w:val="14"/>
              <w:rPr>
                <w:color w:val="auto"/>
                <w:sz w:val="22"/>
              </w:rPr>
            </w:pPr>
          </w:p>
          <w:p>
            <w:pPr>
              <w:pStyle w:val="14"/>
              <w:rPr>
                <w:color w:val="auto"/>
                <w:sz w:val="22"/>
              </w:rPr>
            </w:pPr>
          </w:p>
          <w:p>
            <w:pPr>
              <w:pStyle w:val="14"/>
              <w:rPr>
                <w:color w:val="auto"/>
                <w:sz w:val="22"/>
              </w:rPr>
            </w:pPr>
          </w:p>
          <w:p>
            <w:pPr>
              <w:pStyle w:val="14"/>
              <w:rPr>
                <w:color w:val="auto"/>
                <w:sz w:val="22"/>
              </w:rPr>
            </w:pPr>
          </w:p>
          <w:p>
            <w:pPr>
              <w:pStyle w:val="14"/>
              <w:rPr>
                <w:color w:val="auto"/>
                <w:sz w:val="22"/>
              </w:rPr>
            </w:pPr>
          </w:p>
          <w:p>
            <w:pPr>
              <w:pStyle w:val="14"/>
              <w:rPr>
                <w:color w:val="auto"/>
                <w:sz w:val="22"/>
              </w:rPr>
            </w:pPr>
          </w:p>
          <w:p>
            <w:pPr>
              <w:pStyle w:val="14"/>
              <w:rPr>
                <w:color w:val="auto"/>
                <w:sz w:val="22"/>
              </w:rPr>
            </w:pPr>
          </w:p>
          <w:p>
            <w:pPr>
              <w:pStyle w:val="14"/>
              <w:rPr>
                <w:color w:val="auto"/>
                <w:sz w:val="22"/>
              </w:rPr>
            </w:pPr>
          </w:p>
          <w:p>
            <w:pPr>
              <w:pStyle w:val="14"/>
              <w:rPr>
                <w:color w:val="auto"/>
                <w:sz w:val="22"/>
              </w:rPr>
            </w:pPr>
          </w:p>
          <w:p>
            <w:pPr>
              <w:pStyle w:val="14"/>
              <w:rPr>
                <w:color w:val="auto"/>
                <w:sz w:val="22"/>
              </w:rPr>
            </w:pPr>
          </w:p>
          <w:p>
            <w:pPr>
              <w:pStyle w:val="14"/>
              <w:rPr>
                <w:color w:val="auto"/>
                <w:sz w:val="22"/>
              </w:rPr>
            </w:pPr>
          </w:p>
          <w:p>
            <w:pPr>
              <w:pStyle w:val="14"/>
              <w:rPr>
                <w:color w:val="auto"/>
                <w:sz w:val="22"/>
              </w:rPr>
            </w:pPr>
          </w:p>
          <w:p>
            <w:pPr>
              <w:pStyle w:val="14"/>
              <w:spacing w:before="1"/>
              <w:rPr>
                <w:color w:val="auto"/>
                <w:sz w:val="30"/>
              </w:rPr>
            </w:pPr>
          </w:p>
          <w:p>
            <w:pPr>
              <w:pStyle w:val="14"/>
              <w:ind w:left="282"/>
              <w:rPr>
                <w:color w:val="auto"/>
                <w:sz w:val="21"/>
              </w:rPr>
            </w:pPr>
            <w:r>
              <w:rPr>
                <w:color w:val="auto"/>
                <w:sz w:val="21"/>
              </w:rPr>
              <w:t>2.1.1</w:t>
            </w:r>
          </w:p>
          <w:p>
            <w:pPr>
              <w:pStyle w:val="14"/>
              <w:spacing w:before="138"/>
              <w:ind w:left="282"/>
              <w:rPr>
                <w:color w:val="auto"/>
                <w:sz w:val="21"/>
              </w:rPr>
            </w:pPr>
            <w:r>
              <w:rPr>
                <w:color w:val="auto"/>
                <w:sz w:val="21"/>
              </w:rPr>
              <w:t>2.1.3</w:t>
            </w:r>
          </w:p>
        </w:tc>
        <w:tc>
          <w:tcPr>
            <w:tcW w:w="1280" w:type="dxa"/>
            <w:tcBorders>
              <w:right w:val="single" w:color="000000" w:sz="6" w:space="0"/>
            </w:tcBorders>
            <w:noWrap w:val="0"/>
            <w:vAlign w:val="top"/>
          </w:tcPr>
          <w:p>
            <w:pPr>
              <w:pStyle w:val="14"/>
              <w:rPr>
                <w:color w:val="auto"/>
                <w:sz w:val="20"/>
              </w:rPr>
            </w:pPr>
          </w:p>
          <w:p>
            <w:pPr>
              <w:pStyle w:val="14"/>
              <w:rPr>
                <w:color w:val="auto"/>
                <w:sz w:val="20"/>
              </w:rPr>
            </w:pPr>
          </w:p>
          <w:p>
            <w:pPr>
              <w:pStyle w:val="14"/>
              <w:rPr>
                <w:color w:val="auto"/>
                <w:sz w:val="20"/>
              </w:rPr>
            </w:pPr>
          </w:p>
          <w:p>
            <w:pPr>
              <w:pStyle w:val="14"/>
              <w:rPr>
                <w:color w:val="auto"/>
                <w:sz w:val="20"/>
              </w:rPr>
            </w:pPr>
          </w:p>
          <w:p>
            <w:pPr>
              <w:pStyle w:val="14"/>
              <w:rPr>
                <w:color w:val="auto"/>
                <w:sz w:val="20"/>
              </w:rPr>
            </w:pPr>
          </w:p>
          <w:p>
            <w:pPr>
              <w:pStyle w:val="14"/>
              <w:rPr>
                <w:color w:val="auto"/>
                <w:sz w:val="20"/>
              </w:rPr>
            </w:pPr>
          </w:p>
          <w:p>
            <w:pPr>
              <w:pStyle w:val="14"/>
              <w:rPr>
                <w:color w:val="auto"/>
                <w:sz w:val="20"/>
              </w:rPr>
            </w:pPr>
          </w:p>
          <w:p>
            <w:pPr>
              <w:pStyle w:val="14"/>
              <w:rPr>
                <w:color w:val="auto"/>
                <w:sz w:val="20"/>
              </w:rPr>
            </w:pPr>
          </w:p>
          <w:p>
            <w:pPr>
              <w:pStyle w:val="14"/>
              <w:rPr>
                <w:color w:val="auto"/>
                <w:sz w:val="20"/>
              </w:rPr>
            </w:pPr>
          </w:p>
          <w:p>
            <w:pPr>
              <w:pStyle w:val="14"/>
              <w:rPr>
                <w:color w:val="auto"/>
                <w:sz w:val="20"/>
              </w:rPr>
            </w:pPr>
          </w:p>
          <w:p>
            <w:pPr>
              <w:pStyle w:val="14"/>
              <w:rPr>
                <w:color w:val="auto"/>
                <w:sz w:val="20"/>
              </w:rPr>
            </w:pPr>
          </w:p>
          <w:p>
            <w:pPr>
              <w:pStyle w:val="14"/>
              <w:rPr>
                <w:color w:val="auto"/>
                <w:sz w:val="20"/>
              </w:rPr>
            </w:pPr>
          </w:p>
          <w:p>
            <w:pPr>
              <w:pStyle w:val="14"/>
              <w:rPr>
                <w:color w:val="auto"/>
                <w:sz w:val="20"/>
              </w:rPr>
            </w:pPr>
          </w:p>
          <w:p>
            <w:pPr>
              <w:pStyle w:val="14"/>
              <w:rPr>
                <w:color w:val="auto"/>
                <w:sz w:val="20"/>
              </w:rPr>
            </w:pPr>
          </w:p>
          <w:p>
            <w:pPr>
              <w:pStyle w:val="14"/>
              <w:rPr>
                <w:color w:val="auto"/>
                <w:sz w:val="20"/>
              </w:rPr>
            </w:pPr>
          </w:p>
          <w:p>
            <w:pPr>
              <w:pStyle w:val="14"/>
              <w:rPr>
                <w:color w:val="auto"/>
                <w:sz w:val="20"/>
              </w:rPr>
            </w:pPr>
          </w:p>
          <w:p>
            <w:pPr>
              <w:pStyle w:val="14"/>
              <w:spacing w:before="3"/>
              <w:rPr>
                <w:color w:val="auto"/>
                <w:sz w:val="23"/>
              </w:rPr>
            </w:pPr>
          </w:p>
          <w:p>
            <w:pPr>
              <w:pStyle w:val="14"/>
              <w:spacing w:line="338" w:lineRule="auto"/>
              <w:ind w:left="112" w:right="99"/>
              <w:jc w:val="center"/>
              <w:rPr>
                <w:color w:val="auto"/>
                <w:sz w:val="21"/>
              </w:rPr>
            </w:pPr>
            <w:r>
              <w:rPr>
                <w:color w:val="auto"/>
                <w:sz w:val="21"/>
              </w:rPr>
              <w:t>形式评审与响应性评审标准</w:t>
            </w:r>
          </w:p>
        </w:tc>
        <w:tc>
          <w:tcPr>
            <w:tcW w:w="6938" w:type="dxa"/>
            <w:tcBorders>
              <w:left w:val="single" w:color="000000" w:sz="6" w:space="0"/>
            </w:tcBorders>
            <w:noWrap w:val="0"/>
            <w:vAlign w:val="top"/>
          </w:tcPr>
          <w:p>
            <w:pPr>
              <w:pStyle w:val="14"/>
              <w:spacing w:before="173"/>
              <w:ind w:left="527"/>
              <w:rPr>
                <w:b/>
                <w:color w:val="auto"/>
                <w:sz w:val="21"/>
              </w:rPr>
            </w:pPr>
            <w:r>
              <w:rPr>
                <w:b/>
                <w:color w:val="auto"/>
                <w:sz w:val="21"/>
              </w:rPr>
              <w:t>第二个信封（报价文件）评审标准：</w:t>
            </w:r>
          </w:p>
          <w:p>
            <w:pPr>
              <w:pStyle w:val="14"/>
              <w:spacing w:before="92" w:line="321" w:lineRule="auto"/>
              <w:ind w:left="104" w:right="95" w:firstLine="420"/>
              <w:rPr>
                <w:color w:val="auto"/>
                <w:sz w:val="21"/>
              </w:rPr>
            </w:pPr>
            <w:r>
              <w:rPr>
                <w:color w:val="auto"/>
                <w:sz w:val="21"/>
              </w:rPr>
              <w:t>（</w:t>
            </w:r>
            <w:r>
              <w:rPr>
                <w:rFonts w:eastAsia="Times New Roman"/>
                <w:color w:val="auto"/>
                <w:sz w:val="21"/>
              </w:rPr>
              <w:t>1</w:t>
            </w:r>
            <w:r>
              <w:rPr>
                <w:color w:val="auto"/>
                <w:sz w:val="21"/>
              </w:rPr>
              <w:t>）投标文件按照招标文件规定的格式、内容填写，字迹清晰可辨：</w:t>
            </w:r>
          </w:p>
          <w:p>
            <w:pPr>
              <w:pStyle w:val="14"/>
              <w:numPr>
                <w:ilvl w:val="0"/>
                <w:numId w:val="7"/>
              </w:numPr>
              <w:tabs>
                <w:tab w:val="left" w:pos="673"/>
              </w:tabs>
              <w:spacing w:line="321" w:lineRule="auto"/>
              <w:ind w:right="97" w:firstLine="420"/>
              <w:rPr>
                <w:color w:val="auto"/>
                <w:sz w:val="21"/>
              </w:rPr>
            </w:pPr>
            <w:r>
              <w:rPr>
                <w:color w:val="auto"/>
                <w:spacing w:val="-15"/>
                <w:sz w:val="21"/>
              </w:rPr>
              <w:t>投标函按招标文件规定填报了项目名称、标段号、补遗书编号</w:t>
            </w:r>
            <w:r>
              <w:rPr>
                <w:color w:val="auto"/>
                <w:spacing w:val="-3"/>
                <w:sz w:val="21"/>
              </w:rPr>
              <w:t>（</w:t>
            </w:r>
            <w:r>
              <w:rPr>
                <w:color w:val="auto"/>
                <w:sz w:val="21"/>
              </w:rPr>
              <w:t>如有</w:t>
            </w:r>
            <w:r>
              <w:rPr>
                <w:color w:val="auto"/>
                <w:spacing w:val="-106"/>
                <w:sz w:val="21"/>
              </w:rPr>
              <w:t>）</w:t>
            </w:r>
            <w:r>
              <w:rPr>
                <w:color w:val="auto"/>
                <w:spacing w:val="-3"/>
                <w:sz w:val="21"/>
              </w:rPr>
              <w:t>、投标价（包括大写金额和小写金额</w:t>
            </w:r>
            <w:r>
              <w:rPr>
                <w:color w:val="auto"/>
                <w:spacing w:val="-109"/>
                <w:sz w:val="21"/>
              </w:rPr>
              <w:t>）</w:t>
            </w:r>
            <w:r>
              <w:rPr>
                <w:color w:val="auto"/>
                <w:sz w:val="21"/>
              </w:rPr>
              <w:t>；</w:t>
            </w:r>
          </w:p>
          <w:p>
            <w:pPr>
              <w:pStyle w:val="14"/>
              <w:numPr>
                <w:ilvl w:val="0"/>
                <w:numId w:val="7"/>
              </w:numPr>
              <w:tabs>
                <w:tab w:val="left" w:pos="685"/>
              </w:tabs>
              <w:spacing w:line="321" w:lineRule="auto"/>
              <w:ind w:right="95" w:firstLine="420"/>
              <w:rPr>
                <w:color w:val="auto"/>
                <w:sz w:val="21"/>
              </w:rPr>
            </w:pPr>
            <w:r>
              <w:rPr>
                <w:color w:val="auto"/>
                <w:spacing w:val="-6"/>
                <w:sz w:val="21"/>
              </w:rPr>
              <w:t>已标价工程量清单说明文字与招标文件规定一致，未进行实质性</w:t>
            </w:r>
            <w:r>
              <w:rPr>
                <w:color w:val="auto"/>
                <w:spacing w:val="-4"/>
                <w:sz w:val="21"/>
              </w:rPr>
              <w:t>修改和删减；</w:t>
            </w:r>
          </w:p>
          <w:p>
            <w:pPr>
              <w:pStyle w:val="14"/>
              <w:numPr>
                <w:ilvl w:val="0"/>
                <w:numId w:val="7"/>
              </w:numPr>
              <w:tabs>
                <w:tab w:val="left" w:pos="673"/>
              </w:tabs>
              <w:spacing w:line="268" w:lineRule="exact"/>
              <w:ind w:left="672"/>
              <w:rPr>
                <w:color w:val="auto"/>
                <w:sz w:val="21"/>
              </w:rPr>
            </w:pPr>
            <w:r>
              <w:rPr>
                <w:color w:val="auto"/>
                <w:spacing w:val="-3"/>
                <w:sz w:val="21"/>
              </w:rPr>
              <w:t>投标文件组成齐全完整，内容均按规定填写。</w:t>
            </w:r>
          </w:p>
          <w:p>
            <w:pPr>
              <w:pStyle w:val="14"/>
              <w:numPr>
                <w:ilvl w:val="0"/>
                <w:numId w:val="8"/>
              </w:numPr>
              <w:tabs>
                <w:tab w:val="left" w:pos="1054"/>
              </w:tabs>
              <w:spacing w:before="88" w:line="321" w:lineRule="auto"/>
              <w:ind w:right="95" w:firstLine="420"/>
              <w:rPr>
                <w:color w:val="auto"/>
                <w:sz w:val="21"/>
              </w:rPr>
            </w:pPr>
            <w:r>
              <w:rPr>
                <w:color w:val="auto"/>
                <w:spacing w:val="-3"/>
                <w:sz w:val="21"/>
              </w:rPr>
              <w:t>投标文件上法定代表人或其委托代理人的签字、投标人的单位章盖章齐全，符合招标文件规定。</w:t>
            </w:r>
          </w:p>
          <w:p>
            <w:pPr>
              <w:pStyle w:val="14"/>
              <w:numPr>
                <w:ilvl w:val="0"/>
                <w:numId w:val="8"/>
              </w:numPr>
              <w:tabs>
                <w:tab w:val="left" w:pos="1054"/>
              </w:tabs>
              <w:spacing w:line="321" w:lineRule="auto"/>
              <w:ind w:right="95" w:firstLine="420"/>
              <w:rPr>
                <w:color w:val="auto"/>
                <w:sz w:val="21"/>
              </w:rPr>
            </w:pPr>
            <w:r>
              <w:rPr>
                <w:color w:val="auto"/>
                <w:spacing w:val="-3"/>
                <w:sz w:val="21"/>
              </w:rPr>
              <w:t>投标报价或调价函中的报价未超过招标文件设定的最高投标限价（</w:t>
            </w:r>
            <w:r>
              <w:rPr>
                <w:color w:val="auto"/>
                <w:spacing w:val="-2"/>
                <w:sz w:val="21"/>
              </w:rPr>
              <w:t>如有</w:t>
            </w:r>
            <w:r>
              <w:rPr>
                <w:color w:val="auto"/>
                <w:spacing w:val="-106"/>
                <w:sz w:val="21"/>
              </w:rPr>
              <w:t>）</w:t>
            </w:r>
            <w:r>
              <w:rPr>
                <w:color w:val="auto"/>
                <w:sz w:val="21"/>
              </w:rPr>
              <w:t xml:space="preserve"> 。</w:t>
            </w:r>
          </w:p>
          <w:p>
            <w:pPr>
              <w:pStyle w:val="14"/>
              <w:numPr>
                <w:ilvl w:val="0"/>
                <w:numId w:val="8"/>
              </w:numPr>
              <w:tabs>
                <w:tab w:val="left" w:pos="1054"/>
              </w:tabs>
              <w:spacing w:line="268" w:lineRule="exact"/>
              <w:ind w:left="1053"/>
              <w:rPr>
                <w:color w:val="auto"/>
                <w:sz w:val="21"/>
              </w:rPr>
            </w:pPr>
            <w:r>
              <w:rPr>
                <w:color w:val="auto"/>
                <w:spacing w:val="-3"/>
                <w:sz w:val="21"/>
              </w:rPr>
              <w:t>投标报价或调价函中报价的大写金额能够确定具体数值。</w:t>
            </w:r>
          </w:p>
          <w:p>
            <w:pPr>
              <w:pStyle w:val="14"/>
              <w:numPr>
                <w:ilvl w:val="0"/>
                <w:numId w:val="8"/>
              </w:numPr>
              <w:tabs>
                <w:tab w:val="left" w:pos="1054"/>
              </w:tabs>
              <w:spacing w:before="91" w:line="321" w:lineRule="auto"/>
              <w:ind w:right="95" w:firstLine="420"/>
              <w:rPr>
                <w:color w:val="auto"/>
                <w:sz w:val="21"/>
              </w:rPr>
            </w:pPr>
            <w:r>
              <w:rPr>
                <w:color w:val="auto"/>
                <w:spacing w:val="-3"/>
                <w:sz w:val="21"/>
              </w:rPr>
              <w:t>同一投标人未提交两个以上不同的投标报价，但招标文件要求提交备选投标的除外。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64" w:hRule="atLeast"/>
        </w:trPr>
        <w:tc>
          <w:tcPr>
            <w:tcW w:w="989" w:type="dxa"/>
            <w:noWrap w:val="0"/>
            <w:vAlign w:val="top"/>
          </w:tcPr>
          <w:p>
            <w:pPr>
              <w:pStyle w:val="14"/>
              <w:rPr>
                <w:color w:val="auto"/>
                <w:sz w:val="22"/>
              </w:rPr>
            </w:pPr>
          </w:p>
          <w:p>
            <w:pPr>
              <w:pStyle w:val="14"/>
              <w:rPr>
                <w:color w:val="auto"/>
                <w:sz w:val="22"/>
              </w:rPr>
            </w:pPr>
          </w:p>
          <w:p>
            <w:pPr>
              <w:pStyle w:val="14"/>
              <w:rPr>
                <w:color w:val="auto"/>
                <w:sz w:val="22"/>
              </w:rPr>
            </w:pPr>
          </w:p>
          <w:p>
            <w:pPr>
              <w:pStyle w:val="14"/>
              <w:spacing w:before="177"/>
              <w:ind w:left="282"/>
              <w:rPr>
                <w:color w:val="auto"/>
                <w:sz w:val="21"/>
              </w:rPr>
            </w:pPr>
            <w:r>
              <w:rPr>
                <w:color w:val="auto"/>
                <w:sz w:val="21"/>
              </w:rPr>
              <w:t>2.1.2</w:t>
            </w:r>
          </w:p>
        </w:tc>
        <w:tc>
          <w:tcPr>
            <w:tcW w:w="1280" w:type="dxa"/>
            <w:tcBorders>
              <w:right w:val="single" w:color="000000" w:sz="6" w:space="0"/>
            </w:tcBorders>
            <w:noWrap w:val="0"/>
            <w:vAlign w:val="top"/>
          </w:tcPr>
          <w:p>
            <w:pPr>
              <w:pStyle w:val="14"/>
              <w:rPr>
                <w:color w:val="auto"/>
                <w:sz w:val="22"/>
              </w:rPr>
            </w:pPr>
          </w:p>
          <w:p>
            <w:pPr>
              <w:pStyle w:val="14"/>
              <w:rPr>
                <w:color w:val="auto"/>
                <w:sz w:val="22"/>
              </w:rPr>
            </w:pPr>
          </w:p>
          <w:p>
            <w:pPr>
              <w:pStyle w:val="14"/>
              <w:spacing w:before="2"/>
              <w:rPr>
                <w:color w:val="auto"/>
                <w:sz w:val="19"/>
              </w:rPr>
            </w:pPr>
          </w:p>
          <w:p>
            <w:pPr>
              <w:pStyle w:val="14"/>
              <w:spacing w:line="338" w:lineRule="auto"/>
              <w:ind w:left="373" w:right="205" w:hanging="156"/>
              <w:rPr>
                <w:color w:val="auto"/>
                <w:sz w:val="11"/>
              </w:rPr>
            </w:pPr>
            <w:r>
              <w:rPr>
                <w:color w:val="auto"/>
                <w:sz w:val="21"/>
              </w:rPr>
              <w:t>资格评审标准</w:t>
            </w:r>
          </w:p>
        </w:tc>
        <w:tc>
          <w:tcPr>
            <w:tcW w:w="6938" w:type="dxa"/>
            <w:tcBorders>
              <w:left w:val="single" w:color="000000" w:sz="6" w:space="0"/>
            </w:tcBorders>
            <w:noWrap w:val="0"/>
            <w:vAlign w:val="top"/>
          </w:tcPr>
          <w:p>
            <w:pPr>
              <w:pStyle w:val="14"/>
              <w:numPr>
                <w:ilvl w:val="0"/>
                <w:numId w:val="9"/>
              </w:numPr>
              <w:tabs>
                <w:tab w:val="left" w:pos="1054"/>
              </w:tabs>
              <w:spacing w:before="89" w:line="321" w:lineRule="auto"/>
              <w:ind w:right="95" w:firstLine="420"/>
              <w:rPr>
                <w:color w:val="auto"/>
                <w:sz w:val="21"/>
              </w:rPr>
            </w:pPr>
            <w:r>
              <w:rPr>
                <w:color w:val="auto"/>
                <w:spacing w:val="-3"/>
                <w:sz w:val="21"/>
              </w:rPr>
              <w:t>投标人具备有效的营业执照、组织机构代码证、资质证书、安全生产许可证和基本存款账户证明。</w:t>
            </w:r>
          </w:p>
          <w:p>
            <w:pPr>
              <w:pStyle w:val="14"/>
              <w:numPr>
                <w:ilvl w:val="0"/>
                <w:numId w:val="9"/>
              </w:numPr>
              <w:tabs>
                <w:tab w:val="left" w:pos="1054"/>
              </w:tabs>
              <w:spacing w:line="268" w:lineRule="exact"/>
              <w:ind w:left="1053"/>
              <w:rPr>
                <w:color w:val="auto"/>
                <w:sz w:val="21"/>
              </w:rPr>
            </w:pPr>
            <w:r>
              <w:rPr>
                <w:color w:val="auto"/>
                <w:spacing w:val="-3"/>
                <w:sz w:val="21"/>
              </w:rPr>
              <w:t>投标人的资质等级符合招标文件规定。</w:t>
            </w:r>
          </w:p>
          <w:p>
            <w:pPr>
              <w:pStyle w:val="14"/>
              <w:numPr>
                <w:ilvl w:val="0"/>
                <w:numId w:val="9"/>
              </w:numPr>
              <w:tabs>
                <w:tab w:val="left" w:pos="1054"/>
              </w:tabs>
              <w:spacing w:before="91"/>
              <w:ind w:left="1053"/>
              <w:rPr>
                <w:color w:val="auto"/>
                <w:sz w:val="21"/>
              </w:rPr>
            </w:pPr>
            <w:r>
              <w:rPr>
                <w:color w:val="auto"/>
                <w:spacing w:val="-3"/>
                <w:sz w:val="21"/>
              </w:rPr>
              <w:t>投标人的财务状况符合招标文件规定。</w:t>
            </w:r>
          </w:p>
          <w:p>
            <w:pPr>
              <w:pStyle w:val="14"/>
              <w:numPr>
                <w:ilvl w:val="0"/>
                <w:numId w:val="9"/>
              </w:numPr>
              <w:tabs>
                <w:tab w:val="left" w:pos="1054"/>
              </w:tabs>
              <w:spacing w:before="92"/>
              <w:ind w:left="1053"/>
              <w:rPr>
                <w:color w:val="auto"/>
                <w:sz w:val="21"/>
              </w:rPr>
            </w:pPr>
            <w:r>
              <w:rPr>
                <w:color w:val="auto"/>
                <w:spacing w:val="-3"/>
                <w:sz w:val="21"/>
              </w:rPr>
              <w:t>投标人的类似项目业绩符合招标文件规定。</w:t>
            </w:r>
          </w:p>
          <w:p>
            <w:pPr>
              <w:pStyle w:val="14"/>
              <w:numPr>
                <w:ilvl w:val="0"/>
                <w:numId w:val="9"/>
              </w:numPr>
              <w:tabs>
                <w:tab w:val="left" w:pos="1054"/>
              </w:tabs>
              <w:spacing w:before="91" w:line="250" w:lineRule="exact"/>
              <w:ind w:left="1053"/>
              <w:rPr>
                <w:color w:val="auto"/>
                <w:sz w:val="21"/>
              </w:rPr>
            </w:pPr>
            <w:r>
              <w:rPr>
                <w:color w:val="auto"/>
                <w:spacing w:val="-3"/>
                <w:sz w:val="21"/>
              </w:rPr>
              <w:t>投标人的信誉符合招标文件规定。</w:t>
            </w:r>
          </w:p>
          <w:p>
            <w:pPr>
              <w:pStyle w:val="14"/>
              <w:numPr>
                <w:ilvl w:val="0"/>
                <w:numId w:val="10"/>
              </w:numPr>
              <w:tabs>
                <w:tab w:val="left" w:pos="1054"/>
              </w:tabs>
              <w:spacing w:before="89" w:line="321" w:lineRule="auto"/>
              <w:ind w:right="95" w:firstLine="420"/>
              <w:rPr>
                <w:color w:val="auto"/>
                <w:sz w:val="21"/>
              </w:rPr>
            </w:pPr>
            <w:r>
              <w:rPr>
                <w:color w:val="auto"/>
                <w:spacing w:val="-3"/>
                <w:sz w:val="21"/>
              </w:rPr>
              <w:t>投标人的项目经理和项目总工资格、在岗情况符合招标文件规定。</w:t>
            </w:r>
          </w:p>
          <w:p>
            <w:pPr>
              <w:pStyle w:val="14"/>
              <w:numPr>
                <w:ilvl w:val="0"/>
                <w:numId w:val="10"/>
              </w:numPr>
              <w:tabs>
                <w:tab w:val="left" w:pos="1054"/>
              </w:tabs>
              <w:spacing w:line="268" w:lineRule="exact"/>
              <w:ind w:left="1053"/>
              <w:rPr>
                <w:color w:val="auto"/>
                <w:sz w:val="11"/>
              </w:rPr>
            </w:pPr>
            <w:r>
              <w:rPr>
                <w:color w:val="auto"/>
                <w:spacing w:val="-3"/>
                <w:sz w:val="21"/>
              </w:rPr>
              <w:t>投标人的其他要求符合招标文件规定。</w:t>
            </w:r>
          </w:p>
          <w:p>
            <w:pPr>
              <w:pStyle w:val="14"/>
              <w:numPr>
                <w:ilvl w:val="0"/>
                <w:numId w:val="10"/>
              </w:numPr>
              <w:tabs>
                <w:tab w:val="left" w:pos="1054"/>
              </w:tabs>
              <w:spacing w:before="91" w:line="321" w:lineRule="auto"/>
              <w:ind w:right="100" w:firstLine="420"/>
              <w:rPr>
                <w:color w:val="auto"/>
                <w:sz w:val="21"/>
              </w:rPr>
            </w:pPr>
            <w:r>
              <w:rPr>
                <w:color w:val="auto"/>
                <w:spacing w:val="-3"/>
                <w:sz w:val="21"/>
              </w:rPr>
              <w:t>投标人不存在第二章</w:t>
            </w:r>
            <w:r>
              <w:rPr>
                <w:rFonts w:eastAsia="Times New Roman"/>
                <w:color w:val="auto"/>
                <w:sz w:val="21"/>
              </w:rPr>
              <w:t>“</w:t>
            </w:r>
            <w:r>
              <w:rPr>
                <w:color w:val="auto"/>
                <w:spacing w:val="-3"/>
                <w:sz w:val="21"/>
              </w:rPr>
              <w:t>投标人须知</w:t>
            </w:r>
            <w:r>
              <w:rPr>
                <w:rFonts w:eastAsia="Times New Roman"/>
                <w:color w:val="auto"/>
                <w:sz w:val="21"/>
              </w:rPr>
              <w:t>”</w:t>
            </w:r>
            <w:r>
              <w:rPr>
                <w:color w:val="auto"/>
                <w:spacing w:val="-22"/>
                <w:sz w:val="21"/>
              </w:rPr>
              <w:t xml:space="preserve">第 </w:t>
            </w:r>
            <w:r>
              <w:rPr>
                <w:rFonts w:eastAsia="Times New Roman"/>
                <w:color w:val="auto"/>
                <w:sz w:val="21"/>
              </w:rPr>
              <w:t>1.4.3</w:t>
            </w:r>
            <w:r>
              <w:rPr>
                <w:rFonts w:eastAsia="Times New Roman"/>
                <w:color w:val="auto"/>
                <w:spacing w:val="10"/>
                <w:sz w:val="21"/>
              </w:rPr>
              <w:t xml:space="preserve"> </w:t>
            </w:r>
            <w:r>
              <w:rPr>
                <w:color w:val="auto"/>
                <w:spacing w:val="-12"/>
                <w:sz w:val="21"/>
              </w:rPr>
              <w:t xml:space="preserve">项或第 </w:t>
            </w:r>
            <w:r>
              <w:rPr>
                <w:rFonts w:eastAsia="Times New Roman"/>
                <w:color w:val="auto"/>
                <w:sz w:val="21"/>
              </w:rPr>
              <w:t>1.4.4</w:t>
            </w:r>
            <w:r>
              <w:rPr>
                <w:rFonts w:eastAsia="Times New Roman"/>
                <w:color w:val="auto"/>
                <w:spacing w:val="10"/>
                <w:sz w:val="21"/>
              </w:rPr>
              <w:t xml:space="preserve"> </w:t>
            </w:r>
            <w:r>
              <w:rPr>
                <w:color w:val="auto"/>
                <w:spacing w:val="-3"/>
                <w:sz w:val="21"/>
              </w:rPr>
              <w:t>项规定的任何一种情形。</w:t>
            </w:r>
          </w:p>
          <w:p>
            <w:pPr>
              <w:pStyle w:val="14"/>
              <w:numPr>
                <w:ilvl w:val="0"/>
                <w:numId w:val="10"/>
              </w:numPr>
              <w:tabs>
                <w:tab w:val="left" w:pos="1054"/>
              </w:tabs>
              <w:spacing w:line="269" w:lineRule="exact"/>
              <w:ind w:left="1053"/>
              <w:rPr>
                <w:color w:val="auto"/>
                <w:sz w:val="11"/>
              </w:rPr>
            </w:pPr>
            <w:r>
              <w:rPr>
                <w:color w:val="auto"/>
                <w:spacing w:val="-3"/>
                <w:sz w:val="21"/>
              </w:rPr>
              <w:t>投标人符合第二章</w:t>
            </w:r>
            <w:r>
              <w:rPr>
                <w:rFonts w:eastAsia="Times New Roman"/>
                <w:color w:val="auto"/>
                <w:spacing w:val="-3"/>
                <w:sz w:val="21"/>
              </w:rPr>
              <w:t>“</w:t>
            </w:r>
            <w:r>
              <w:rPr>
                <w:color w:val="auto"/>
                <w:spacing w:val="-2"/>
                <w:sz w:val="21"/>
              </w:rPr>
              <w:t>投标人须知</w:t>
            </w:r>
            <w:r>
              <w:rPr>
                <w:rFonts w:eastAsia="Times New Roman"/>
                <w:color w:val="auto"/>
                <w:sz w:val="21"/>
              </w:rPr>
              <w:t>”</w:t>
            </w:r>
            <w:r>
              <w:rPr>
                <w:color w:val="auto"/>
                <w:spacing w:val="-27"/>
                <w:sz w:val="21"/>
              </w:rPr>
              <w:t xml:space="preserve">第 </w:t>
            </w:r>
            <w:r>
              <w:rPr>
                <w:rFonts w:eastAsia="Times New Roman"/>
                <w:color w:val="auto"/>
                <w:sz w:val="21"/>
              </w:rPr>
              <w:t>1.4.5</w:t>
            </w:r>
            <w:r>
              <w:rPr>
                <w:rFonts w:eastAsia="Times New Roman"/>
                <w:color w:val="auto"/>
                <w:spacing w:val="-2"/>
                <w:sz w:val="21"/>
              </w:rPr>
              <w:t xml:space="preserve"> </w:t>
            </w:r>
            <w:r>
              <w:rPr>
                <w:color w:val="auto"/>
                <w:spacing w:val="-3"/>
                <w:sz w:val="21"/>
              </w:rPr>
              <w:t>项规定。</w:t>
            </w:r>
          </w:p>
        </w:tc>
      </w:tr>
    </w:tbl>
    <w:p>
      <w:pPr>
        <w:jc w:val="left"/>
        <w:rPr>
          <w:rFonts w:hint="eastAsia"/>
          <w:color w:val="auto"/>
          <w:sz w:val="18"/>
        </w:rPr>
        <w:sectPr>
          <w:pgSz w:w="11910" w:h="16850"/>
          <w:pgMar w:top="1480" w:right="1200" w:bottom="1040" w:left="1220" w:header="876" w:footer="853" w:gutter="0"/>
          <w:cols w:space="720" w:num="1"/>
          <w:rtlGutter w:val="0"/>
        </w:sectPr>
      </w:pPr>
    </w:p>
    <w:p>
      <w:pPr>
        <w:pStyle w:val="3"/>
        <w:spacing w:before="9"/>
        <w:rPr>
          <w:rFonts w:hint="eastAsia"/>
          <w:color w:val="auto"/>
          <w:sz w:val="15"/>
        </w:rPr>
      </w:pPr>
    </w:p>
    <w:p>
      <w:pPr>
        <w:spacing w:after="3"/>
        <w:jc w:val="left"/>
        <w:rPr>
          <w:color w:val="auto"/>
        </w:rPr>
      </w:pPr>
      <w:r>
        <w:rPr>
          <w:color w:val="auto"/>
          <w:spacing w:val="7"/>
        </w:rPr>
        <w:t>续上表</w:t>
      </w:r>
    </w:p>
    <w:tbl>
      <w:tblPr>
        <w:tblStyle w:val="11"/>
        <w:tblW w:w="9191" w:type="dxa"/>
        <w:tblInd w:w="2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90"/>
        <w:gridCol w:w="1320"/>
        <w:gridCol w:w="688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3" w:hRule="atLeast"/>
        </w:trPr>
        <w:tc>
          <w:tcPr>
            <w:tcW w:w="990" w:type="dxa"/>
            <w:noWrap w:val="0"/>
            <w:vAlign w:val="center"/>
          </w:tcPr>
          <w:p>
            <w:pPr>
              <w:pStyle w:val="14"/>
              <w:spacing w:before="109" w:line="252" w:lineRule="exact"/>
              <w:ind w:left="157" w:right="148"/>
              <w:jc w:val="center"/>
              <w:rPr>
                <w:b/>
                <w:color w:val="auto"/>
                <w:sz w:val="21"/>
              </w:rPr>
            </w:pPr>
            <w:r>
              <w:rPr>
                <w:b/>
                <w:color w:val="auto"/>
                <w:sz w:val="21"/>
              </w:rPr>
              <w:t>条款号</w:t>
            </w:r>
          </w:p>
        </w:tc>
        <w:tc>
          <w:tcPr>
            <w:tcW w:w="1320" w:type="dxa"/>
            <w:tcBorders>
              <w:right w:val="single" w:color="000000" w:sz="6" w:space="0"/>
            </w:tcBorders>
            <w:noWrap w:val="0"/>
            <w:vAlign w:val="center"/>
          </w:tcPr>
          <w:p>
            <w:pPr>
              <w:pStyle w:val="14"/>
              <w:spacing w:before="109" w:line="252" w:lineRule="exact"/>
              <w:ind w:left="112" w:right="99"/>
              <w:jc w:val="center"/>
              <w:rPr>
                <w:b/>
                <w:color w:val="auto"/>
                <w:sz w:val="21"/>
              </w:rPr>
            </w:pPr>
            <w:r>
              <w:rPr>
                <w:b/>
                <w:color w:val="auto"/>
                <w:sz w:val="21"/>
              </w:rPr>
              <w:t>条款内容</w:t>
            </w:r>
          </w:p>
        </w:tc>
        <w:tc>
          <w:tcPr>
            <w:tcW w:w="6881" w:type="dxa"/>
            <w:tcBorders>
              <w:left w:val="single" w:color="000000" w:sz="6" w:space="0"/>
            </w:tcBorders>
            <w:noWrap w:val="0"/>
            <w:vAlign w:val="center"/>
          </w:tcPr>
          <w:p>
            <w:pPr>
              <w:pStyle w:val="14"/>
              <w:spacing w:before="109" w:line="252" w:lineRule="exact"/>
              <w:ind w:left="2335" w:right="2331"/>
              <w:jc w:val="center"/>
              <w:rPr>
                <w:b/>
                <w:color w:val="auto"/>
                <w:sz w:val="21"/>
              </w:rPr>
            </w:pPr>
            <w:r>
              <w:rPr>
                <w:b/>
                <w:color w:val="auto"/>
                <w:sz w:val="21"/>
              </w:rPr>
              <w:t>编列内容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84" w:hRule="atLeast"/>
        </w:trPr>
        <w:tc>
          <w:tcPr>
            <w:tcW w:w="990" w:type="dxa"/>
            <w:noWrap w:val="0"/>
            <w:vAlign w:val="center"/>
          </w:tcPr>
          <w:p>
            <w:pPr>
              <w:pStyle w:val="14"/>
              <w:spacing w:before="82"/>
              <w:ind w:left="157" w:right="148"/>
              <w:jc w:val="center"/>
              <w:rPr>
                <w:color w:val="auto"/>
                <w:sz w:val="18"/>
              </w:rPr>
            </w:pPr>
            <w:r>
              <w:rPr>
                <w:color w:val="auto"/>
                <w:sz w:val="21"/>
              </w:rPr>
              <w:t>2.2.1</w:t>
            </w:r>
          </w:p>
        </w:tc>
        <w:tc>
          <w:tcPr>
            <w:tcW w:w="1320" w:type="dxa"/>
            <w:tcBorders>
              <w:right w:val="single" w:color="000000" w:sz="6" w:space="0"/>
            </w:tcBorders>
            <w:noWrap w:val="0"/>
            <w:vAlign w:val="center"/>
          </w:tcPr>
          <w:p>
            <w:pPr>
              <w:pStyle w:val="14"/>
              <w:spacing w:before="109"/>
              <w:ind w:left="93" w:right="83"/>
              <w:jc w:val="both"/>
              <w:rPr>
                <w:rFonts w:hint="default"/>
                <w:color w:val="auto"/>
                <w:sz w:val="21"/>
              </w:rPr>
            </w:pPr>
            <w:r>
              <w:rPr>
                <w:color w:val="auto"/>
                <w:sz w:val="21"/>
              </w:rPr>
              <w:t>第一个信封</w:t>
            </w:r>
          </w:p>
          <w:p>
            <w:pPr>
              <w:pStyle w:val="14"/>
              <w:spacing w:before="50"/>
              <w:ind w:left="93" w:right="83"/>
              <w:jc w:val="both"/>
              <w:rPr>
                <w:rFonts w:hint="default"/>
                <w:color w:val="auto"/>
                <w:sz w:val="21"/>
              </w:rPr>
            </w:pPr>
            <w:r>
              <w:rPr>
                <w:color w:val="auto"/>
                <w:sz w:val="21"/>
              </w:rPr>
              <w:t>评分分值构</w:t>
            </w:r>
          </w:p>
          <w:p>
            <w:pPr>
              <w:pStyle w:val="14"/>
              <w:spacing w:before="58"/>
              <w:ind w:left="107" w:right="99"/>
              <w:jc w:val="both"/>
              <w:rPr>
                <w:rFonts w:hint="default"/>
                <w:color w:val="auto"/>
                <w:sz w:val="11"/>
              </w:rPr>
            </w:pPr>
            <w:r>
              <w:rPr>
                <w:color w:val="auto"/>
                <w:position w:val="-9"/>
                <w:sz w:val="21"/>
              </w:rPr>
              <w:t>成</w:t>
            </w:r>
          </w:p>
          <w:p>
            <w:pPr>
              <w:pStyle w:val="14"/>
              <w:snapToGrid w:val="0"/>
              <w:spacing w:line="360" w:lineRule="auto"/>
              <w:ind w:right="83"/>
              <w:jc w:val="both"/>
              <w:rPr>
                <w:rFonts w:hint="default" w:eastAsia="Times New Roman"/>
                <w:color w:val="auto"/>
                <w:sz w:val="21"/>
              </w:rPr>
            </w:pPr>
            <w:r>
              <w:rPr>
                <w:color w:val="auto"/>
                <w:sz w:val="21"/>
              </w:rPr>
              <w:t xml:space="preserve">（总分 </w:t>
            </w:r>
            <w:r>
              <w:rPr>
                <w:rFonts w:eastAsia="Times New Roman"/>
                <w:color w:val="auto"/>
                <w:sz w:val="21"/>
              </w:rPr>
              <w:t>100</w:t>
            </w:r>
          </w:p>
          <w:p>
            <w:pPr>
              <w:pStyle w:val="14"/>
              <w:snapToGrid w:val="0"/>
              <w:spacing w:line="360" w:lineRule="auto"/>
              <w:ind w:right="99"/>
              <w:jc w:val="both"/>
              <w:rPr>
                <w:color w:val="auto"/>
                <w:sz w:val="21"/>
              </w:rPr>
            </w:pPr>
            <w:r>
              <w:rPr>
                <w:color w:val="auto"/>
                <w:sz w:val="21"/>
              </w:rPr>
              <w:t>分）</w:t>
            </w:r>
          </w:p>
        </w:tc>
        <w:tc>
          <w:tcPr>
            <w:tcW w:w="6881" w:type="dxa"/>
            <w:tcBorders>
              <w:left w:val="single" w:color="000000" w:sz="6" w:space="0"/>
            </w:tcBorders>
            <w:noWrap w:val="0"/>
            <w:vAlign w:val="center"/>
          </w:tcPr>
          <w:p>
            <w:pPr>
              <w:pStyle w:val="14"/>
              <w:tabs>
                <w:tab w:val="left" w:pos="2627"/>
              </w:tabs>
              <w:spacing w:line="322" w:lineRule="auto"/>
              <w:jc w:val="both"/>
              <w:rPr>
                <w:color w:val="auto"/>
                <w:spacing w:val="-17"/>
                <w:sz w:val="21"/>
              </w:rPr>
            </w:pPr>
            <w:r>
              <w:rPr>
                <w:color w:val="auto"/>
                <w:sz w:val="21"/>
              </w:rPr>
              <w:t>施工</w:t>
            </w:r>
            <w:r>
              <w:rPr>
                <w:color w:val="auto"/>
                <w:spacing w:val="-3"/>
                <w:sz w:val="21"/>
              </w:rPr>
              <w:t>组</w:t>
            </w:r>
            <w:r>
              <w:rPr>
                <w:color w:val="auto"/>
                <w:sz w:val="21"/>
              </w:rPr>
              <w:t>织</w:t>
            </w:r>
            <w:r>
              <w:rPr>
                <w:color w:val="auto"/>
                <w:spacing w:val="-3"/>
                <w:sz w:val="21"/>
              </w:rPr>
              <w:t>设</w:t>
            </w:r>
            <w:r>
              <w:rPr>
                <w:color w:val="auto"/>
                <w:sz w:val="21"/>
              </w:rPr>
              <w:t>计(A)</w:t>
            </w:r>
            <w:r>
              <w:rPr>
                <w:color w:val="auto"/>
                <w:spacing w:val="-3"/>
                <w:sz w:val="21"/>
              </w:rPr>
              <w:t>：</w:t>
            </w:r>
            <w:r>
              <w:rPr>
                <w:color w:val="auto"/>
                <w:spacing w:val="-3"/>
                <w:sz w:val="21"/>
                <w:u w:val="single"/>
              </w:rPr>
              <w:t xml:space="preserve"> </w:t>
            </w:r>
            <w:r>
              <w:rPr>
                <w:rFonts w:hint="eastAsia"/>
                <w:color w:val="auto"/>
                <w:spacing w:val="-3"/>
                <w:sz w:val="21"/>
                <w:u w:val="single"/>
                <w:lang w:val="en-US" w:eastAsia="zh-CN"/>
              </w:rPr>
              <w:t>3</w:t>
            </w:r>
            <w:r>
              <w:rPr>
                <w:color w:val="auto"/>
                <w:spacing w:val="-3"/>
                <w:sz w:val="21"/>
                <w:u w:val="single"/>
              </w:rPr>
              <w:t>0</w:t>
            </w:r>
            <w:r>
              <w:rPr>
                <w:color w:val="auto"/>
                <w:spacing w:val="-17"/>
                <w:sz w:val="21"/>
              </w:rPr>
              <w:t>分</w:t>
            </w:r>
          </w:p>
          <w:p>
            <w:pPr>
              <w:pStyle w:val="14"/>
              <w:tabs>
                <w:tab w:val="left" w:pos="2207"/>
                <w:tab w:val="left" w:pos="2627"/>
              </w:tabs>
              <w:spacing w:line="322" w:lineRule="auto"/>
              <w:jc w:val="both"/>
              <w:rPr>
                <w:rFonts w:hint="default"/>
                <w:color w:val="auto"/>
                <w:sz w:val="21"/>
              </w:rPr>
            </w:pPr>
            <w:r>
              <w:rPr>
                <w:color w:val="auto"/>
                <w:sz w:val="21"/>
              </w:rPr>
              <w:t>主要</w:t>
            </w:r>
            <w:r>
              <w:rPr>
                <w:color w:val="auto"/>
                <w:spacing w:val="-3"/>
                <w:sz w:val="21"/>
              </w:rPr>
              <w:t>人</w:t>
            </w:r>
            <w:r>
              <w:rPr>
                <w:color w:val="auto"/>
                <w:sz w:val="21"/>
              </w:rPr>
              <w:t>员(B)</w:t>
            </w:r>
            <w:r>
              <w:rPr>
                <w:color w:val="auto"/>
                <w:spacing w:val="-3"/>
                <w:sz w:val="21"/>
              </w:rPr>
              <w:t>：</w:t>
            </w:r>
            <w:r>
              <w:rPr>
                <w:color w:val="auto"/>
                <w:spacing w:val="-3"/>
                <w:sz w:val="21"/>
                <w:u w:val="single"/>
              </w:rPr>
              <w:t xml:space="preserve"> 35</w:t>
            </w:r>
            <w:r>
              <w:rPr>
                <w:color w:val="auto"/>
                <w:sz w:val="21"/>
              </w:rPr>
              <w:t>分</w:t>
            </w:r>
          </w:p>
          <w:p>
            <w:pPr>
              <w:pStyle w:val="14"/>
              <w:tabs>
                <w:tab w:val="left" w:pos="2207"/>
                <w:tab w:val="left" w:pos="2627"/>
              </w:tabs>
              <w:spacing w:line="322" w:lineRule="auto"/>
              <w:jc w:val="both"/>
              <w:rPr>
                <w:color w:val="auto"/>
                <w:sz w:val="21"/>
              </w:rPr>
            </w:pPr>
            <w:r>
              <w:rPr>
                <w:color w:val="auto"/>
                <w:sz w:val="21"/>
              </w:rPr>
              <w:t>其他部分（C）：</w:t>
            </w:r>
          </w:p>
          <w:p>
            <w:pPr>
              <w:pStyle w:val="14"/>
              <w:tabs>
                <w:tab w:val="left" w:pos="1575"/>
                <w:tab w:val="left" w:pos="2317"/>
              </w:tabs>
              <w:spacing w:line="322" w:lineRule="auto"/>
              <w:jc w:val="both"/>
              <w:rPr>
                <w:color w:val="auto"/>
                <w:spacing w:val="-17"/>
                <w:sz w:val="21"/>
              </w:rPr>
            </w:pPr>
            <w:r>
              <w:rPr>
                <w:color w:val="auto"/>
                <w:sz w:val="21"/>
              </w:rPr>
              <w:t>技术</w:t>
            </w:r>
            <w:r>
              <w:rPr>
                <w:color w:val="auto"/>
                <w:spacing w:val="-3"/>
                <w:sz w:val="21"/>
              </w:rPr>
              <w:t>能力</w:t>
            </w:r>
            <w:r>
              <w:rPr>
                <w:color w:val="auto"/>
                <w:sz w:val="21"/>
              </w:rPr>
              <w:t>：</w:t>
            </w:r>
            <w:r>
              <w:rPr>
                <w:rFonts w:hint="eastAsia"/>
                <w:color w:val="auto"/>
                <w:sz w:val="21"/>
                <w:u w:val="single"/>
                <w:lang w:val="en-US" w:eastAsia="zh-CN"/>
              </w:rPr>
              <w:t>2</w:t>
            </w:r>
            <w:r>
              <w:rPr>
                <w:rFonts w:hint="default"/>
                <w:color w:val="auto"/>
                <w:sz w:val="21"/>
                <w:u w:val="single"/>
              </w:rPr>
              <w:t>0</w:t>
            </w:r>
            <w:r>
              <w:rPr>
                <w:color w:val="auto"/>
                <w:spacing w:val="-17"/>
                <w:sz w:val="21"/>
              </w:rPr>
              <w:t>分</w:t>
            </w:r>
          </w:p>
          <w:p>
            <w:pPr>
              <w:pStyle w:val="14"/>
              <w:tabs>
                <w:tab w:val="left" w:pos="2207"/>
                <w:tab w:val="left" w:pos="2317"/>
              </w:tabs>
              <w:spacing w:line="322" w:lineRule="auto"/>
              <w:jc w:val="both"/>
              <w:rPr>
                <w:color w:val="auto"/>
                <w:sz w:val="21"/>
              </w:rPr>
            </w:pPr>
            <w:r>
              <w:rPr>
                <w:color w:val="auto"/>
                <w:sz w:val="21"/>
              </w:rPr>
              <w:t>履约</w:t>
            </w:r>
            <w:r>
              <w:rPr>
                <w:color w:val="auto"/>
                <w:spacing w:val="-3"/>
                <w:sz w:val="21"/>
              </w:rPr>
              <w:t>信</w:t>
            </w:r>
            <w:r>
              <w:rPr>
                <w:color w:val="auto"/>
                <w:sz w:val="21"/>
              </w:rPr>
              <w:t>誉</w:t>
            </w:r>
            <w:r>
              <w:rPr>
                <w:color w:val="auto"/>
                <w:spacing w:val="-3"/>
                <w:sz w:val="21"/>
              </w:rPr>
              <w:t>：</w:t>
            </w:r>
            <w:r>
              <w:rPr>
                <w:rFonts w:hint="default"/>
                <w:color w:val="auto"/>
                <w:spacing w:val="-3"/>
                <w:sz w:val="21"/>
                <w:u w:val="single"/>
              </w:rPr>
              <w:t>15</w:t>
            </w:r>
            <w:r>
              <w:rPr>
                <w:color w:val="auto"/>
                <w:sz w:val="21"/>
              </w:rPr>
              <w:t>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10" w:hRule="atLeast"/>
        </w:trPr>
        <w:tc>
          <w:tcPr>
            <w:tcW w:w="990" w:type="dxa"/>
            <w:noWrap w:val="0"/>
            <w:vAlign w:val="center"/>
          </w:tcPr>
          <w:p>
            <w:pPr>
              <w:pStyle w:val="14"/>
              <w:ind w:left="157" w:right="148"/>
              <w:jc w:val="both"/>
              <w:rPr>
                <w:color w:val="auto"/>
                <w:sz w:val="21"/>
              </w:rPr>
            </w:pPr>
            <w:r>
              <w:rPr>
                <w:color w:val="auto"/>
                <w:sz w:val="21"/>
              </w:rPr>
              <w:t>2.2.3</w:t>
            </w:r>
          </w:p>
        </w:tc>
        <w:tc>
          <w:tcPr>
            <w:tcW w:w="1320" w:type="dxa"/>
            <w:tcBorders>
              <w:right w:val="single" w:color="000000" w:sz="6" w:space="0"/>
            </w:tcBorders>
            <w:noWrap w:val="0"/>
            <w:vAlign w:val="center"/>
          </w:tcPr>
          <w:p>
            <w:pPr>
              <w:pStyle w:val="14"/>
              <w:spacing w:before="1"/>
              <w:jc w:val="both"/>
              <w:rPr>
                <w:color w:val="auto"/>
                <w:sz w:val="20"/>
              </w:rPr>
            </w:pPr>
          </w:p>
          <w:p>
            <w:pPr>
              <w:pStyle w:val="14"/>
              <w:spacing w:line="338" w:lineRule="auto"/>
              <w:ind w:left="112" w:right="99"/>
              <w:jc w:val="both"/>
              <w:rPr>
                <w:color w:val="auto"/>
                <w:sz w:val="21"/>
              </w:rPr>
            </w:pPr>
            <w:r>
              <w:rPr>
                <w:color w:val="auto"/>
                <w:sz w:val="21"/>
              </w:rPr>
              <w:t>第二个信封详细评审标准</w:t>
            </w:r>
          </w:p>
        </w:tc>
        <w:tc>
          <w:tcPr>
            <w:tcW w:w="6881" w:type="dxa"/>
            <w:tcBorders>
              <w:left w:val="single" w:color="000000" w:sz="6" w:space="0"/>
            </w:tcBorders>
            <w:noWrap w:val="0"/>
            <w:vAlign w:val="center"/>
          </w:tcPr>
          <w:p>
            <w:pPr>
              <w:pStyle w:val="14"/>
              <w:spacing w:before="91" w:line="321" w:lineRule="auto"/>
              <w:ind w:right="96"/>
              <w:jc w:val="both"/>
              <w:rPr>
                <w:color w:val="auto"/>
                <w:sz w:val="21"/>
              </w:rPr>
            </w:pPr>
            <w:r>
              <w:rPr>
                <w:color w:val="auto"/>
                <w:sz w:val="21"/>
              </w:rPr>
              <w:t>评标价的评审：</w:t>
            </w:r>
          </w:p>
          <w:p>
            <w:pPr>
              <w:pStyle w:val="14"/>
              <w:spacing w:before="91" w:line="321" w:lineRule="auto"/>
              <w:ind w:right="96"/>
              <w:jc w:val="both"/>
              <w:rPr>
                <w:color w:val="auto"/>
                <w:sz w:val="21"/>
              </w:rPr>
            </w:pPr>
            <w:r>
              <w:rPr>
                <w:color w:val="auto"/>
                <w:sz w:val="21"/>
              </w:rPr>
              <w:t>（1）评标价计算公式：</w:t>
            </w:r>
          </w:p>
          <w:p>
            <w:pPr>
              <w:pStyle w:val="14"/>
              <w:spacing w:before="91" w:line="321" w:lineRule="auto"/>
              <w:ind w:left="104" w:right="96"/>
              <w:jc w:val="both"/>
              <w:rPr>
                <w:rFonts w:hint="default"/>
                <w:color w:val="auto"/>
                <w:sz w:val="21"/>
                <w:highlight w:val="none"/>
              </w:rPr>
            </w:pPr>
            <w:r>
              <w:rPr>
                <w:color w:val="auto"/>
                <w:sz w:val="21"/>
              </w:rPr>
              <w:t>评标价＝修正后的投标报价</w:t>
            </w:r>
          </w:p>
          <w:p>
            <w:pPr>
              <w:pStyle w:val="14"/>
              <w:spacing w:before="91" w:line="321" w:lineRule="auto"/>
              <w:ind w:left="104" w:right="96" w:firstLine="420"/>
              <w:jc w:val="both"/>
              <w:rPr>
                <w:color w:val="auto"/>
                <w:sz w:val="21"/>
              </w:rPr>
            </w:pPr>
            <w:r>
              <w:rPr>
                <w:color w:val="auto"/>
                <w:sz w:val="21"/>
              </w:rPr>
              <w:t>若投标人的评标价小于最高投标限价 85％的，启动澄清程序，要求投标人作出书面说明并提供相关证明材料。投标人不能合理说明或者不能提供相关证明资料的，评标委员会认定该投标人以低于成本报价竞标，否决其投标。当所有投标人的投标因此种情况被否决；或当因此种情况被否决部分投标人后，有效投标人不足三家，评标委员会认为竞争不足的情况出现时，评标委员会可以否决全部投标。未否决全部投标的，评标委员会应当在评标报告中阐明理由并推荐中标候选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35" w:hRule="atLeast"/>
        </w:trPr>
        <w:tc>
          <w:tcPr>
            <w:tcW w:w="990" w:type="dxa"/>
            <w:noWrap w:val="0"/>
            <w:vAlign w:val="center"/>
          </w:tcPr>
          <w:p>
            <w:pPr>
              <w:pStyle w:val="14"/>
              <w:spacing w:before="1"/>
              <w:jc w:val="both"/>
              <w:rPr>
                <w:color w:val="auto"/>
                <w:sz w:val="25"/>
              </w:rPr>
            </w:pPr>
          </w:p>
          <w:p>
            <w:pPr>
              <w:pStyle w:val="14"/>
              <w:spacing w:before="1"/>
              <w:ind w:left="157" w:right="148"/>
              <w:jc w:val="both"/>
              <w:rPr>
                <w:color w:val="auto"/>
                <w:sz w:val="21"/>
              </w:rPr>
            </w:pPr>
            <w:r>
              <w:rPr>
                <w:color w:val="auto"/>
                <w:sz w:val="21"/>
              </w:rPr>
              <w:t>3.2.4</w:t>
            </w:r>
          </w:p>
        </w:tc>
        <w:tc>
          <w:tcPr>
            <w:tcW w:w="1320" w:type="dxa"/>
            <w:tcBorders>
              <w:right w:val="single" w:color="000000" w:sz="6" w:space="0"/>
            </w:tcBorders>
            <w:noWrap w:val="0"/>
            <w:vAlign w:val="center"/>
          </w:tcPr>
          <w:p>
            <w:pPr>
              <w:pStyle w:val="14"/>
              <w:spacing w:before="15" w:line="380" w:lineRule="exact"/>
              <w:ind w:left="112" w:right="99"/>
              <w:jc w:val="both"/>
              <w:rPr>
                <w:color w:val="auto"/>
                <w:sz w:val="21"/>
              </w:rPr>
            </w:pPr>
            <w:r>
              <w:rPr>
                <w:color w:val="auto"/>
                <w:sz w:val="21"/>
              </w:rPr>
              <w:t>通过第一个信封详细评审的投标人数量</w:t>
            </w:r>
          </w:p>
        </w:tc>
        <w:tc>
          <w:tcPr>
            <w:tcW w:w="6881" w:type="dxa"/>
            <w:tcBorders>
              <w:left w:val="single" w:color="000000" w:sz="6" w:space="0"/>
            </w:tcBorders>
            <w:noWrap w:val="0"/>
            <w:vAlign w:val="center"/>
          </w:tcPr>
          <w:p>
            <w:pPr>
              <w:pStyle w:val="14"/>
              <w:tabs>
                <w:tab w:val="left" w:pos="5973"/>
              </w:tabs>
              <w:spacing w:before="18" w:line="360" w:lineRule="atLeast"/>
              <w:ind w:left="104" w:right="95" w:firstLine="420"/>
              <w:jc w:val="both"/>
              <w:rPr>
                <w:color w:val="auto"/>
                <w:sz w:val="21"/>
              </w:rPr>
            </w:pPr>
            <w:r>
              <w:rPr>
                <w:color w:val="auto"/>
                <w:sz w:val="21"/>
              </w:rPr>
              <w:t>按照投标人</w:t>
            </w:r>
            <w:r>
              <w:rPr>
                <w:color w:val="auto"/>
                <w:sz w:val="21"/>
                <w:highlight w:val="none"/>
              </w:rPr>
              <w:t>的</w:t>
            </w:r>
            <w:r>
              <w:rPr>
                <w:rFonts w:hint="eastAsia"/>
                <w:color w:val="auto"/>
                <w:spacing w:val="-8"/>
                <w:sz w:val="21"/>
                <w:highlight w:val="none"/>
                <w:lang w:val="en-US" w:eastAsia="zh-CN"/>
              </w:rPr>
              <w:t>商务和技术</w:t>
            </w:r>
            <w:r>
              <w:rPr>
                <w:color w:val="auto"/>
                <w:spacing w:val="-8"/>
                <w:sz w:val="21"/>
                <w:highlight w:val="none"/>
              </w:rPr>
              <w:t>得分</w:t>
            </w:r>
            <w:r>
              <w:rPr>
                <w:color w:val="auto"/>
                <w:sz w:val="21"/>
                <w:highlight w:val="none"/>
              </w:rPr>
              <w:t>由</w:t>
            </w:r>
            <w:r>
              <w:rPr>
                <w:color w:val="auto"/>
                <w:sz w:val="21"/>
              </w:rPr>
              <w:t>高到低排序，选择</w:t>
            </w:r>
            <w:r>
              <w:rPr>
                <w:color w:val="auto"/>
                <w:spacing w:val="4"/>
                <w:sz w:val="21"/>
              </w:rPr>
              <w:t>前</w:t>
            </w:r>
            <w:r>
              <w:rPr>
                <w:color w:val="auto"/>
                <w:spacing w:val="4"/>
                <w:sz w:val="21"/>
                <w:u w:val="single"/>
              </w:rPr>
              <w:t xml:space="preserve"> 5 </w:t>
            </w:r>
            <w:r>
              <w:rPr>
                <w:color w:val="auto"/>
                <w:spacing w:val="4"/>
                <w:sz w:val="21"/>
              </w:rPr>
              <w:t>名</w:t>
            </w:r>
            <w:r>
              <w:rPr>
                <w:color w:val="auto"/>
                <w:spacing w:val="-8"/>
                <w:sz w:val="21"/>
              </w:rPr>
              <w:t>(不少于3 名但不足5名时，按实际数量)</w:t>
            </w:r>
            <w:r>
              <w:rPr>
                <w:color w:val="auto"/>
                <w:spacing w:val="-16"/>
                <w:sz w:val="21"/>
              </w:rPr>
              <w:t>通</w:t>
            </w:r>
            <w:r>
              <w:rPr>
                <w:color w:val="auto"/>
                <w:sz w:val="21"/>
              </w:rPr>
              <w:t>过详</w:t>
            </w:r>
            <w:r>
              <w:rPr>
                <w:color w:val="auto"/>
                <w:spacing w:val="-3"/>
                <w:sz w:val="21"/>
              </w:rPr>
              <w:t>细</w:t>
            </w:r>
            <w:r>
              <w:rPr>
                <w:color w:val="auto"/>
                <w:sz w:val="21"/>
              </w:rPr>
              <w:t>评审。</w:t>
            </w:r>
          </w:p>
        </w:tc>
      </w:tr>
    </w:tbl>
    <w:p>
      <w:pPr>
        <w:pStyle w:val="3"/>
        <w:spacing w:before="5"/>
        <w:rPr>
          <w:color w:val="auto"/>
          <w:sz w:val="8"/>
        </w:rPr>
      </w:pPr>
    </w:p>
    <w:p>
      <w:pPr>
        <w:pStyle w:val="3"/>
        <w:rPr>
          <w:color w:val="auto"/>
          <w:sz w:val="20"/>
        </w:rPr>
      </w:pPr>
    </w:p>
    <w:p>
      <w:pPr>
        <w:tabs>
          <w:tab w:val="left" w:pos="845"/>
        </w:tabs>
        <w:wordWrap w:val="0"/>
        <w:adjustRightInd w:val="0"/>
        <w:snapToGrid w:val="0"/>
        <w:spacing w:line="360" w:lineRule="auto"/>
        <w:ind w:left="360"/>
        <w:rPr>
          <w:color w:val="auto"/>
          <w:sz w:val="18"/>
        </w:rPr>
      </w:pPr>
      <w:r>
        <w:rPr>
          <w:color w:val="auto"/>
          <w:sz w:val="18"/>
        </w:rPr>
        <w:br w:type="page"/>
      </w:r>
    </w:p>
    <w:tbl>
      <w:tblPr>
        <w:tblStyle w:val="11"/>
        <w:tblW w:w="9809" w:type="dxa"/>
        <w:tblInd w:w="-2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00"/>
        <w:gridCol w:w="554"/>
        <w:gridCol w:w="567"/>
        <w:gridCol w:w="851"/>
        <w:gridCol w:w="856"/>
        <w:gridCol w:w="837"/>
        <w:gridCol w:w="858"/>
        <w:gridCol w:w="468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0" w:hRule="atLeast"/>
        </w:trPr>
        <w:tc>
          <w:tcPr>
            <w:tcW w:w="5123" w:type="dxa"/>
            <w:gridSpan w:val="7"/>
            <w:noWrap w:val="0"/>
            <w:vAlign w:val="center"/>
          </w:tcPr>
          <w:p>
            <w:pPr>
              <w:pStyle w:val="14"/>
              <w:jc w:val="center"/>
              <w:rPr>
                <w:rFonts w:ascii="宋体" w:hAnsi="宋体"/>
                <w:b/>
                <w:color w:val="auto"/>
                <w:sz w:val="21"/>
              </w:rPr>
            </w:pPr>
            <w:r>
              <w:rPr>
                <w:rFonts w:ascii="宋体" w:hAnsi="宋体"/>
                <w:b/>
                <w:color w:val="auto"/>
                <w:sz w:val="21"/>
              </w:rPr>
              <w:t>评分因素与权重分值</w:t>
            </w:r>
          </w:p>
        </w:tc>
        <w:tc>
          <w:tcPr>
            <w:tcW w:w="4686" w:type="dxa"/>
            <w:tcBorders>
              <w:top w:val="single" w:color="auto" w:sz="4" w:space="0"/>
            </w:tcBorders>
            <w:noWrap w:val="0"/>
            <w:vAlign w:val="top"/>
          </w:tcPr>
          <w:p>
            <w:pPr>
              <w:pStyle w:val="14"/>
              <w:spacing w:before="196"/>
              <w:ind w:left="104"/>
              <w:jc w:val="center"/>
              <w:rPr>
                <w:rFonts w:ascii="宋体" w:hAnsi="宋体"/>
                <w:color w:val="auto"/>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0" w:hRule="atLeast"/>
        </w:trPr>
        <w:tc>
          <w:tcPr>
            <w:tcW w:w="1154" w:type="dxa"/>
            <w:gridSpan w:val="2"/>
            <w:noWrap w:val="0"/>
            <w:vAlign w:val="center"/>
          </w:tcPr>
          <w:p>
            <w:pPr>
              <w:pStyle w:val="14"/>
              <w:jc w:val="center"/>
              <w:rPr>
                <w:rFonts w:ascii="宋体" w:hAnsi="宋体"/>
                <w:b/>
                <w:color w:val="auto"/>
                <w:sz w:val="21"/>
              </w:rPr>
            </w:pPr>
            <w:r>
              <w:rPr>
                <w:rFonts w:ascii="宋体" w:hAnsi="宋体"/>
                <w:b/>
                <w:color w:val="auto"/>
                <w:sz w:val="21"/>
              </w:rPr>
              <w:t>条款号</w:t>
            </w:r>
          </w:p>
        </w:tc>
        <w:tc>
          <w:tcPr>
            <w:tcW w:w="1418" w:type="dxa"/>
            <w:gridSpan w:val="2"/>
            <w:noWrap w:val="0"/>
            <w:vAlign w:val="center"/>
          </w:tcPr>
          <w:p>
            <w:pPr>
              <w:pStyle w:val="14"/>
              <w:jc w:val="center"/>
              <w:rPr>
                <w:rFonts w:ascii="宋体" w:hAnsi="宋体"/>
                <w:b/>
                <w:color w:val="auto"/>
                <w:sz w:val="21"/>
              </w:rPr>
            </w:pPr>
            <w:r>
              <w:rPr>
                <w:rFonts w:ascii="宋体" w:hAnsi="宋体"/>
                <w:b/>
                <w:color w:val="auto"/>
                <w:sz w:val="21"/>
              </w:rPr>
              <w:t>评分因素</w:t>
            </w:r>
          </w:p>
        </w:tc>
        <w:tc>
          <w:tcPr>
            <w:tcW w:w="856" w:type="dxa"/>
            <w:noWrap w:val="0"/>
            <w:vAlign w:val="center"/>
          </w:tcPr>
          <w:p>
            <w:pPr>
              <w:pStyle w:val="14"/>
              <w:jc w:val="center"/>
              <w:rPr>
                <w:rFonts w:ascii="宋体" w:hAnsi="宋体"/>
                <w:b/>
                <w:color w:val="auto"/>
                <w:sz w:val="21"/>
              </w:rPr>
            </w:pPr>
            <w:r>
              <w:rPr>
                <w:rFonts w:ascii="宋体" w:hAnsi="宋体"/>
                <w:b/>
                <w:color w:val="auto"/>
                <w:sz w:val="21"/>
              </w:rPr>
              <w:t>评分因素</w:t>
            </w:r>
            <w:r>
              <w:rPr>
                <w:rFonts w:ascii="宋体" w:hAnsi="宋体"/>
                <w:b/>
                <w:color w:val="auto"/>
                <w:spacing w:val="-1"/>
                <w:sz w:val="21"/>
              </w:rPr>
              <w:t>权重分值</w:t>
            </w:r>
          </w:p>
        </w:tc>
        <w:tc>
          <w:tcPr>
            <w:tcW w:w="837" w:type="dxa"/>
            <w:noWrap w:val="0"/>
            <w:vAlign w:val="center"/>
          </w:tcPr>
          <w:p>
            <w:pPr>
              <w:pStyle w:val="14"/>
              <w:snapToGrid w:val="0"/>
              <w:jc w:val="center"/>
              <w:rPr>
                <w:rFonts w:ascii="宋体" w:hAnsi="宋体"/>
                <w:b/>
                <w:color w:val="auto"/>
                <w:sz w:val="21"/>
              </w:rPr>
            </w:pPr>
            <w:r>
              <w:rPr>
                <w:rFonts w:ascii="宋体" w:hAnsi="宋体"/>
                <w:b/>
                <w:color w:val="auto"/>
                <w:sz w:val="21"/>
              </w:rPr>
              <w:t>各评分因素细分项</w:t>
            </w:r>
          </w:p>
        </w:tc>
        <w:tc>
          <w:tcPr>
            <w:tcW w:w="858" w:type="dxa"/>
            <w:tcBorders>
              <w:top w:val="single" w:color="auto" w:sz="4" w:space="0"/>
            </w:tcBorders>
            <w:noWrap w:val="0"/>
            <w:vAlign w:val="center"/>
          </w:tcPr>
          <w:p>
            <w:pPr>
              <w:pStyle w:val="14"/>
              <w:jc w:val="center"/>
              <w:rPr>
                <w:rFonts w:ascii="宋体" w:hAnsi="宋体"/>
                <w:b/>
                <w:color w:val="auto"/>
                <w:sz w:val="21"/>
              </w:rPr>
            </w:pPr>
            <w:r>
              <w:rPr>
                <w:rFonts w:ascii="宋体" w:hAnsi="宋体"/>
                <w:b/>
                <w:color w:val="auto"/>
                <w:sz w:val="21"/>
              </w:rPr>
              <w:t>分值</w:t>
            </w:r>
          </w:p>
        </w:tc>
        <w:tc>
          <w:tcPr>
            <w:tcW w:w="4686" w:type="dxa"/>
            <w:tcBorders>
              <w:top w:val="single" w:color="auto" w:sz="4" w:space="0"/>
            </w:tcBorders>
            <w:noWrap w:val="0"/>
            <w:vAlign w:val="center"/>
          </w:tcPr>
          <w:p>
            <w:pPr>
              <w:pStyle w:val="14"/>
              <w:jc w:val="center"/>
              <w:rPr>
                <w:rFonts w:ascii="宋体" w:hAnsi="宋体"/>
                <w:color w:val="auto"/>
                <w:sz w:val="2"/>
                <w:szCs w:val="2"/>
              </w:rPr>
            </w:pPr>
            <w:r>
              <w:rPr>
                <w:rFonts w:ascii="宋体" w:hAnsi="宋体"/>
                <w:b/>
                <w:color w:val="auto"/>
                <w:sz w:val="21"/>
              </w:rPr>
              <w:t>评分标准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1154" w:type="dxa"/>
            <w:gridSpan w:val="2"/>
            <w:vMerge w:val="restart"/>
            <w:noWrap w:val="0"/>
            <w:vAlign w:val="center"/>
          </w:tcPr>
          <w:p>
            <w:pPr>
              <w:pStyle w:val="14"/>
              <w:jc w:val="center"/>
              <w:rPr>
                <w:rFonts w:ascii="宋体" w:hAnsi="宋体"/>
                <w:color w:val="auto"/>
                <w:sz w:val="22"/>
              </w:rPr>
            </w:pPr>
          </w:p>
          <w:p>
            <w:pPr>
              <w:pStyle w:val="14"/>
              <w:spacing w:before="196"/>
              <w:jc w:val="center"/>
              <w:rPr>
                <w:rFonts w:ascii="宋体" w:hAnsi="宋体"/>
                <w:color w:val="auto"/>
                <w:sz w:val="21"/>
              </w:rPr>
            </w:pPr>
            <w:r>
              <w:rPr>
                <w:rFonts w:ascii="宋体" w:hAnsi="宋体"/>
                <w:color w:val="auto"/>
                <w:sz w:val="21"/>
              </w:rPr>
              <w:t>2.2.2（1）</w:t>
            </w:r>
          </w:p>
        </w:tc>
        <w:tc>
          <w:tcPr>
            <w:tcW w:w="1418" w:type="dxa"/>
            <w:gridSpan w:val="2"/>
            <w:vMerge w:val="restart"/>
            <w:noWrap w:val="0"/>
            <w:vAlign w:val="center"/>
          </w:tcPr>
          <w:p>
            <w:pPr>
              <w:pStyle w:val="14"/>
              <w:spacing w:before="6"/>
              <w:jc w:val="center"/>
              <w:rPr>
                <w:rFonts w:ascii="宋体" w:hAnsi="宋体"/>
                <w:color w:val="auto"/>
                <w:sz w:val="22"/>
              </w:rPr>
            </w:pPr>
          </w:p>
          <w:p>
            <w:pPr>
              <w:pStyle w:val="14"/>
              <w:spacing w:line="341" w:lineRule="auto"/>
              <w:jc w:val="center"/>
              <w:rPr>
                <w:rFonts w:ascii="宋体" w:hAnsi="宋体"/>
                <w:color w:val="auto"/>
                <w:sz w:val="21"/>
              </w:rPr>
            </w:pPr>
            <w:r>
              <w:rPr>
                <w:rFonts w:ascii="宋体" w:hAnsi="宋体"/>
                <w:color w:val="auto"/>
                <w:sz w:val="21"/>
              </w:rPr>
              <w:t>施工组织设计</w:t>
            </w:r>
          </w:p>
        </w:tc>
        <w:tc>
          <w:tcPr>
            <w:tcW w:w="856" w:type="dxa"/>
            <w:vMerge w:val="restart"/>
            <w:noWrap w:val="0"/>
            <w:vAlign w:val="center"/>
          </w:tcPr>
          <w:p>
            <w:pPr>
              <w:pStyle w:val="14"/>
              <w:tabs>
                <w:tab w:val="left" w:pos="671"/>
              </w:tabs>
              <w:spacing w:before="196"/>
              <w:jc w:val="center"/>
              <w:rPr>
                <w:rFonts w:ascii="宋体" w:hAnsi="宋体"/>
                <w:color w:val="auto"/>
                <w:sz w:val="21"/>
              </w:rPr>
            </w:pPr>
            <w:r>
              <w:rPr>
                <w:rFonts w:hint="eastAsia" w:ascii="宋体" w:hAnsi="宋体"/>
                <w:color w:val="auto"/>
                <w:sz w:val="21"/>
                <w:u w:val="single"/>
                <w:lang w:val="en-US" w:eastAsia="zh-CN"/>
              </w:rPr>
              <w:t>3</w:t>
            </w:r>
            <w:r>
              <w:rPr>
                <w:rFonts w:ascii="宋体" w:hAnsi="宋体"/>
                <w:color w:val="auto"/>
                <w:sz w:val="21"/>
                <w:u w:val="single"/>
              </w:rPr>
              <w:t>0</w:t>
            </w:r>
            <w:r>
              <w:rPr>
                <w:rFonts w:ascii="宋体" w:hAnsi="宋体"/>
                <w:color w:val="auto"/>
                <w:sz w:val="21"/>
              </w:rPr>
              <w:t>分</w:t>
            </w:r>
          </w:p>
        </w:tc>
        <w:tc>
          <w:tcPr>
            <w:tcW w:w="837" w:type="dxa"/>
            <w:noWrap w:val="0"/>
            <w:vAlign w:val="center"/>
          </w:tcPr>
          <w:p>
            <w:pPr>
              <w:keepNext w:val="0"/>
              <w:keepLines w:val="0"/>
              <w:widowControl/>
              <w:suppressLineNumbers w:val="0"/>
              <w:jc w:val="left"/>
              <w:rPr>
                <w:color w:val="auto"/>
              </w:rPr>
            </w:pPr>
            <w:r>
              <w:rPr>
                <w:rFonts w:hint="eastAsia" w:ascii="宋体" w:hAnsi="宋体" w:eastAsia="宋体" w:cs="宋体"/>
                <w:color w:val="auto"/>
                <w:kern w:val="0"/>
                <w:sz w:val="20"/>
                <w:szCs w:val="20"/>
                <w:lang w:val="en-US" w:eastAsia="zh-CN" w:bidi="ar"/>
              </w:rPr>
              <w:t xml:space="preserve">总体施 </w:t>
            </w:r>
          </w:p>
          <w:p>
            <w:pPr>
              <w:keepNext w:val="0"/>
              <w:keepLines w:val="0"/>
              <w:widowControl/>
              <w:suppressLineNumbers w:val="0"/>
              <w:jc w:val="left"/>
              <w:rPr>
                <w:color w:val="auto"/>
              </w:rPr>
            </w:pPr>
            <w:r>
              <w:rPr>
                <w:rFonts w:hint="eastAsia" w:ascii="宋体" w:hAnsi="宋体" w:eastAsia="宋体" w:cs="宋体"/>
                <w:color w:val="auto"/>
                <w:kern w:val="0"/>
                <w:sz w:val="20"/>
                <w:szCs w:val="20"/>
                <w:lang w:val="en-US" w:eastAsia="zh-CN" w:bidi="ar"/>
              </w:rPr>
              <w:t xml:space="preserve">工组织 </w:t>
            </w:r>
          </w:p>
          <w:p>
            <w:pPr>
              <w:keepNext w:val="0"/>
              <w:keepLines w:val="0"/>
              <w:widowControl/>
              <w:suppressLineNumbers w:val="0"/>
              <w:jc w:val="left"/>
              <w:rPr>
                <w:color w:val="auto"/>
              </w:rPr>
            </w:pPr>
            <w:r>
              <w:rPr>
                <w:rFonts w:hint="eastAsia" w:ascii="宋体" w:hAnsi="宋体" w:eastAsia="宋体" w:cs="宋体"/>
                <w:color w:val="auto"/>
                <w:kern w:val="0"/>
                <w:sz w:val="20"/>
                <w:szCs w:val="20"/>
                <w:lang w:val="en-US" w:eastAsia="zh-CN" w:bidi="ar"/>
              </w:rPr>
              <w:t xml:space="preserve">布置及 </w:t>
            </w:r>
          </w:p>
          <w:p>
            <w:pPr>
              <w:keepNext w:val="0"/>
              <w:keepLines w:val="0"/>
              <w:widowControl/>
              <w:suppressLineNumbers w:val="0"/>
              <w:jc w:val="left"/>
              <w:rPr>
                <w:rFonts w:ascii="宋体" w:hAnsi="宋体"/>
                <w:color w:val="auto"/>
                <w:sz w:val="21"/>
              </w:rPr>
            </w:pPr>
            <w:r>
              <w:rPr>
                <w:rFonts w:hint="eastAsia" w:ascii="宋体" w:hAnsi="宋体" w:eastAsia="宋体" w:cs="宋体"/>
                <w:color w:val="auto"/>
                <w:kern w:val="0"/>
                <w:sz w:val="20"/>
                <w:szCs w:val="20"/>
                <w:lang w:val="en-US" w:eastAsia="zh-CN" w:bidi="ar"/>
              </w:rPr>
              <w:t>规划</w:t>
            </w:r>
          </w:p>
        </w:tc>
        <w:tc>
          <w:tcPr>
            <w:tcW w:w="858" w:type="dxa"/>
            <w:noWrap w:val="0"/>
            <w:vAlign w:val="center"/>
          </w:tcPr>
          <w:p>
            <w:pPr>
              <w:pStyle w:val="14"/>
              <w:spacing w:before="2"/>
              <w:jc w:val="center"/>
              <w:rPr>
                <w:rFonts w:ascii="宋体" w:hAnsi="宋体"/>
                <w:color w:val="auto"/>
                <w:sz w:val="22"/>
              </w:rPr>
            </w:pPr>
          </w:p>
          <w:p>
            <w:pPr>
              <w:pStyle w:val="14"/>
              <w:tabs>
                <w:tab w:val="left" w:pos="452"/>
              </w:tabs>
              <w:ind w:left="134"/>
              <w:jc w:val="center"/>
              <w:rPr>
                <w:rFonts w:ascii="宋体" w:hAnsi="宋体"/>
                <w:color w:val="auto"/>
                <w:sz w:val="21"/>
              </w:rPr>
            </w:pPr>
            <w:r>
              <w:rPr>
                <w:rFonts w:ascii="宋体" w:hAnsi="宋体"/>
                <w:color w:val="auto"/>
                <w:sz w:val="21"/>
                <w:u w:val="single"/>
              </w:rPr>
              <w:t>1</w:t>
            </w:r>
            <w:r>
              <w:rPr>
                <w:rFonts w:hint="eastAsia" w:ascii="宋体" w:hAnsi="宋体"/>
                <w:color w:val="auto"/>
                <w:sz w:val="21"/>
                <w:u w:val="single"/>
                <w:lang w:val="en-US" w:eastAsia="zh-CN"/>
              </w:rPr>
              <w:t>0</w:t>
            </w:r>
            <w:r>
              <w:rPr>
                <w:rFonts w:ascii="宋体" w:hAnsi="宋体"/>
                <w:color w:val="auto"/>
                <w:sz w:val="21"/>
                <w:u w:val="single"/>
              </w:rPr>
              <w:tab/>
            </w:r>
            <w:r>
              <w:rPr>
                <w:rFonts w:ascii="宋体" w:hAnsi="宋体"/>
                <w:color w:val="auto"/>
                <w:sz w:val="21"/>
              </w:rPr>
              <w:t>分</w:t>
            </w:r>
          </w:p>
        </w:tc>
        <w:tc>
          <w:tcPr>
            <w:tcW w:w="4686" w:type="dxa"/>
            <w:noWrap w:val="0"/>
            <w:vAlign w:val="top"/>
          </w:tcPr>
          <w:p>
            <w:pPr>
              <w:keepNext w:val="0"/>
              <w:keepLines w:val="0"/>
              <w:widowControl/>
              <w:suppressLineNumbers w:val="0"/>
              <w:jc w:val="left"/>
              <w:rPr>
                <w:color w:val="auto"/>
              </w:rPr>
            </w:pPr>
            <w:r>
              <w:rPr>
                <w:rFonts w:hint="eastAsia" w:ascii="宋体" w:hAnsi="宋体" w:eastAsia="宋体" w:cs="宋体"/>
                <w:color w:val="auto"/>
                <w:kern w:val="0"/>
                <w:sz w:val="20"/>
                <w:szCs w:val="20"/>
                <w:lang w:val="en-US" w:eastAsia="zh-CN" w:bidi="ar"/>
              </w:rPr>
              <w:t xml:space="preserve">（1）对项目的基本情况了解全面、准确，施工总体布 </w:t>
            </w:r>
          </w:p>
          <w:p>
            <w:pPr>
              <w:keepNext w:val="0"/>
              <w:keepLines w:val="0"/>
              <w:widowControl/>
              <w:suppressLineNumbers w:val="0"/>
              <w:jc w:val="left"/>
              <w:rPr>
                <w:color w:val="auto"/>
              </w:rPr>
            </w:pPr>
            <w:r>
              <w:rPr>
                <w:rFonts w:hint="eastAsia" w:ascii="宋体" w:hAnsi="宋体" w:eastAsia="宋体" w:cs="宋体"/>
                <w:color w:val="auto"/>
                <w:kern w:val="0"/>
                <w:sz w:val="20"/>
                <w:szCs w:val="20"/>
                <w:lang w:val="en-US" w:eastAsia="zh-CN" w:bidi="ar"/>
              </w:rPr>
              <w:t xml:space="preserve">置规划、施工进度计划科学合理、可操作性强，按《广 </w:t>
            </w:r>
          </w:p>
          <w:p>
            <w:pPr>
              <w:keepNext w:val="0"/>
              <w:keepLines w:val="0"/>
              <w:widowControl/>
              <w:suppressLineNumbers w:val="0"/>
              <w:jc w:val="left"/>
              <w:rPr>
                <w:color w:val="auto"/>
              </w:rPr>
            </w:pPr>
            <w:r>
              <w:rPr>
                <w:rFonts w:hint="eastAsia" w:ascii="宋体" w:hAnsi="宋体" w:eastAsia="宋体" w:cs="宋体"/>
                <w:color w:val="auto"/>
                <w:kern w:val="0"/>
                <w:sz w:val="20"/>
                <w:szCs w:val="20"/>
                <w:lang w:val="en-US" w:eastAsia="zh-CN" w:bidi="ar"/>
              </w:rPr>
              <w:t xml:space="preserve">东省公路工程施工标准化指南》及《广东省高速公路工程施工安全标准化指南》《公路工程施工安全防护设施技术指南》执行，得 8～10分（满分分值的 80%～100%）； </w:t>
            </w:r>
          </w:p>
          <w:p>
            <w:pPr>
              <w:keepNext w:val="0"/>
              <w:keepLines w:val="0"/>
              <w:widowControl/>
              <w:suppressLineNumbers w:val="0"/>
              <w:jc w:val="left"/>
              <w:rPr>
                <w:color w:val="auto"/>
              </w:rPr>
            </w:pPr>
            <w:r>
              <w:rPr>
                <w:rFonts w:hint="eastAsia" w:ascii="宋体" w:hAnsi="宋体" w:eastAsia="宋体" w:cs="宋体"/>
                <w:color w:val="auto"/>
                <w:kern w:val="0"/>
                <w:sz w:val="20"/>
                <w:szCs w:val="20"/>
                <w:lang w:val="en-US" w:eastAsia="zh-CN" w:bidi="ar"/>
              </w:rPr>
              <w:t xml:space="preserve">（2）满足工程建设需要，施工总体布置规划、施工进 </w:t>
            </w:r>
          </w:p>
          <w:p>
            <w:pPr>
              <w:keepNext w:val="0"/>
              <w:keepLines w:val="0"/>
              <w:widowControl/>
              <w:suppressLineNumbers w:val="0"/>
              <w:jc w:val="left"/>
              <w:rPr>
                <w:color w:val="auto"/>
              </w:rPr>
            </w:pPr>
            <w:r>
              <w:rPr>
                <w:rFonts w:hint="eastAsia" w:ascii="宋体" w:hAnsi="宋体" w:eastAsia="宋体" w:cs="宋体"/>
                <w:color w:val="auto"/>
                <w:kern w:val="0"/>
                <w:sz w:val="20"/>
                <w:szCs w:val="20"/>
                <w:lang w:val="en-US" w:eastAsia="zh-CN" w:bidi="ar"/>
              </w:rPr>
              <w:t xml:space="preserve">度计划基本可行，得6～8分（满分分值的 60%～80%）； </w:t>
            </w:r>
          </w:p>
          <w:p>
            <w:pPr>
              <w:keepNext w:val="0"/>
              <w:keepLines w:val="0"/>
              <w:widowControl/>
              <w:suppressLineNumbers w:val="0"/>
              <w:jc w:val="left"/>
              <w:rPr>
                <w:color w:val="auto"/>
              </w:rPr>
            </w:pPr>
            <w:r>
              <w:rPr>
                <w:rFonts w:hint="eastAsia" w:ascii="宋体" w:hAnsi="宋体" w:eastAsia="宋体" w:cs="宋体"/>
                <w:color w:val="auto"/>
                <w:kern w:val="0"/>
                <w:sz w:val="20"/>
                <w:szCs w:val="20"/>
                <w:lang w:val="en-US" w:eastAsia="zh-CN" w:bidi="ar"/>
              </w:rPr>
              <w:t xml:space="preserve">（3）一般但不被评定为不响应的,得 6分（满分分值 </w:t>
            </w:r>
          </w:p>
          <w:p>
            <w:pPr>
              <w:keepNext w:val="0"/>
              <w:keepLines w:val="0"/>
              <w:widowControl/>
              <w:suppressLineNumbers w:val="0"/>
              <w:jc w:val="left"/>
              <w:rPr>
                <w:color w:val="auto"/>
              </w:rPr>
            </w:pPr>
            <w:r>
              <w:rPr>
                <w:rFonts w:hint="eastAsia" w:ascii="宋体" w:hAnsi="宋体" w:eastAsia="宋体" w:cs="宋体"/>
                <w:color w:val="auto"/>
                <w:kern w:val="0"/>
                <w:sz w:val="20"/>
                <w:szCs w:val="20"/>
                <w:lang w:val="en-US" w:eastAsia="zh-CN" w:bidi="ar"/>
              </w:rPr>
              <w:t>的 60%）</w:t>
            </w:r>
          </w:p>
          <w:p>
            <w:pPr>
              <w:pStyle w:val="14"/>
              <w:rPr>
                <w:rFonts w:ascii="宋体" w:hAnsi="宋体"/>
                <w:color w:val="auto"/>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5" w:hRule="atLeast"/>
        </w:trPr>
        <w:tc>
          <w:tcPr>
            <w:tcW w:w="1154" w:type="dxa"/>
            <w:gridSpan w:val="2"/>
            <w:vMerge w:val="continue"/>
            <w:noWrap w:val="0"/>
            <w:vAlign w:val="center"/>
          </w:tcPr>
          <w:p>
            <w:pPr>
              <w:jc w:val="center"/>
              <w:rPr>
                <w:rFonts w:ascii="宋体" w:hAnsi="宋体"/>
                <w:color w:val="auto"/>
                <w:sz w:val="2"/>
                <w:szCs w:val="2"/>
              </w:rPr>
            </w:pPr>
          </w:p>
        </w:tc>
        <w:tc>
          <w:tcPr>
            <w:tcW w:w="1418" w:type="dxa"/>
            <w:gridSpan w:val="2"/>
            <w:vMerge w:val="continue"/>
            <w:noWrap w:val="0"/>
            <w:vAlign w:val="center"/>
          </w:tcPr>
          <w:p>
            <w:pPr>
              <w:jc w:val="center"/>
              <w:rPr>
                <w:rFonts w:ascii="宋体" w:hAnsi="宋体"/>
                <w:color w:val="auto"/>
                <w:sz w:val="2"/>
                <w:szCs w:val="2"/>
              </w:rPr>
            </w:pPr>
          </w:p>
        </w:tc>
        <w:tc>
          <w:tcPr>
            <w:tcW w:w="856" w:type="dxa"/>
            <w:vMerge w:val="continue"/>
            <w:noWrap w:val="0"/>
            <w:vAlign w:val="center"/>
          </w:tcPr>
          <w:p>
            <w:pPr>
              <w:jc w:val="center"/>
              <w:rPr>
                <w:rFonts w:ascii="宋体" w:hAnsi="宋体"/>
                <w:color w:val="auto"/>
                <w:sz w:val="2"/>
                <w:szCs w:val="2"/>
              </w:rPr>
            </w:pPr>
          </w:p>
        </w:tc>
        <w:tc>
          <w:tcPr>
            <w:tcW w:w="837" w:type="dxa"/>
            <w:noWrap w:val="0"/>
            <w:vAlign w:val="center"/>
          </w:tcPr>
          <w:p>
            <w:pPr>
              <w:keepNext w:val="0"/>
              <w:keepLines w:val="0"/>
              <w:widowControl/>
              <w:suppressLineNumbers w:val="0"/>
              <w:jc w:val="left"/>
              <w:rPr>
                <w:color w:val="auto"/>
              </w:rPr>
            </w:pPr>
            <w:r>
              <w:rPr>
                <w:rFonts w:hint="eastAsia" w:ascii="宋体" w:hAnsi="宋体" w:eastAsia="宋体" w:cs="宋体"/>
                <w:color w:val="auto"/>
                <w:kern w:val="0"/>
                <w:sz w:val="20"/>
                <w:szCs w:val="20"/>
                <w:lang w:val="en-US" w:eastAsia="zh-CN" w:bidi="ar"/>
              </w:rPr>
              <w:t xml:space="preserve">重点、难 </w:t>
            </w:r>
          </w:p>
          <w:p>
            <w:pPr>
              <w:keepNext w:val="0"/>
              <w:keepLines w:val="0"/>
              <w:widowControl/>
              <w:suppressLineNumbers w:val="0"/>
              <w:jc w:val="left"/>
              <w:rPr>
                <w:color w:val="auto"/>
              </w:rPr>
            </w:pPr>
            <w:r>
              <w:rPr>
                <w:rFonts w:hint="eastAsia" w:ascii="宋体" w:hAnsi="宋体" w:eastAsia="宋体" w:cs="宋体"/>
                <w:color w:val="auto"/>
                <w:kern w:val="0"/>
                <w:sz w:val="20"/>
                <w:szCs w:val="20"/>
                <w:lang w:val="en-US" w:eastAsia="zh-CN" w:bidi="ar"/>
              </w:rPr>
              <w:t xml:space="preserve">点和关 </w:t>
            </w:r>
          </w:p>
          <w:p>
            <w:pPr>
              <w:keepNext w:val="0"/>
              <w:keepLines w:val="0"/>
              <w:widowControl/>
              <w:suppressLineNumbers w:val="0"/>
              <w:jc w:val="left"/>
              <w:rPr>
                <w:color w:val="auto"/>
              </w:rPr>
            </w:pPr>
            <w:r>
              <w:rPr>
                <w:rFonts w:hint="eastAsia" w:ascii="宋体" w:hAnsi="宋体" w:eastAsia="宋体" w:cs="宋体"/>
                <w:color w:val="auto"/>
                <w:kern w:val="0"/>
                <w:sz w:val="20"/>
                <w:szCs w:val="20"/>
                <w:lang w:val="en-US" w:eastAsia="zh-CN" w:bidi="ar"/>
              </w:rPr>
              <w:t xml:space="preserve">键工程 </w:t>
            </w:r>
          </w:p>
          <w:p>
            <w:pPr>
              <w:keepNext w:val="0"/>
              <w:keepLines w:val="0"/>
              <w:widowControl/>
              <w:suppressLineNumbers w:val="0"/>
              <w:jc w:val="left"/>
              <w:rPr>
                <w:color w:val="auto"/>
              </w:rPr>
            </w:pPr>
            <w:r>
              <w:rPr>
                <w:rFonts w:hint="eastAsia" w:ascii="宋体" w:hAnsi="宋体" w:eastAsia="宋体" w:cs="宋体"/>
                <w:color w:val="auto"/>
                <w:kern w:val="0"/>
                <w:sz w:val="20"/>
                <w:szCs w:val="20"/>
                <w:lang w:val="en-US" w:eastAsia="zh-CN" w:bidi="ar"/>
              </w:rPr>
              <w:t xml:space="preserve">的施工 </w:t>
            </w:r>
          </w:p>
          <w:p>
            <w:pPr>
              <w:keepNext w:val="0"/>
              <w:keepLines w:val="0"/>
              <w:widowControl/>
              <w:suppressLineNumbers w:val="0"/>
              <w:jc w:val="left"/>
              <w:rPr>
                <w:color w:val="auto"/>
              </w:rPr>
            </w:pPr>
            <w:r>
              <w:rPr>
                <w:rFonts w:hint="eastAsia" w:ascii="宋体" w:hAnsi="宋体" w:eastAsia="宋体" w:cs="宋体"/>
                <w:color w:val="auto"/>
                <w:kern w:val="0"/>
                <w:sz w:val="20"/>
                <w:szCs w:val="20"/>
                <w:lang w:val="en-US" w:eastAsia="zh-CN" w:bidi="ar"/>
              </w:rPr>
              <w:t xml:space="preserve">方案与 </w:t>
            </w:r>
          </w:p>
          <w:p>
            <w:pPr>
              <w:keepNext w:val="0"/>
              <w:keepLines w:val="0"/>
              <w:widowControl/>
              <w:suppressLineNumbers w:val="0"/>
              <w:jc w:val="left"/>
              <w:rPr>
                <w:color w:val="auto"/>
              </w:rPr>
            </w:pPr>
            <w:r>
              <w:rPr>
                <w:rFonts w:hint="eastAsia" w:ascii="宋体" w:hAnsi="宋体" w:eastAsia="宋体" w:cs="宋体"/>
                <w:color w:val="auto"/>
                <w:kern w:val="0"/>
                <w:sz w:val="20"/>
                <w:szCs w:val="20"/>
                <w:lang w:val="en-US" w:eastAsia="zh-CN" w:bidi="ar"/>
              </w:rPr>
              <w:t xml:space="preserve">技术措 </w:t>
            </w:r>
          </w:p>
          <w:p>
            <w:pPr>
              <w:keepNext w:val="0"/>
              <w:keepLines w:val="0"/>
              <w:widowControl/>
              <w:suppressLineNumbers w:val="0"/>
              <w:jc w:val="left"/>
              <w:rPr>
                <w:rFonts w:ascii="宋体" w:hAnsi="宋体"/>
                <w:color w:val="auto"/>
                <w:sz w:val="21"/>
              </w:rPr>
            </w:pPr>
            <w:r>
              <w:rPr>
                <w:rFonts w:hint="eastAsia" w:ascii="宋体" w:hAnsi="宋体" w:eastAsia="宋体" w:cs="宋体"/>
                <w:color w:val="auto"/>
                <w:kern w:val="0"/>
                <w:sz w:val="20"/>
                <w:szCs w:val="20"/>
                <w:lang w:val="en-US" w:eastAsia="zh-CN" w:bidi="ar"/>
              </w:rPr>
              <w:t>施</w:t>
            </w:r>
          </w:p>
        </w:tc>
        <w:tc>
          <w:tcPr>
            <w:tcW w:w="858" w:type="dxa"/>
            <w:noWrap w:val="0"/>
            <w:vAlign w:val="center"/>
          </w:tcPr>
          <w:p>
            <w:pPr>
              <w:pStyle w:val="14"/>
              <w:tabs>
                <w:tab w:val="left" w:pos="452"/>
              </w:tabs>
              <w:spacing w:before="94" w:line="251" w:lineRule="exact"/>
              <w:ind w:left="134"/>
              <w:jc w:val="center"/>
              <w:rPr>
                <w:rFonts w:ascii="宋体" w:hAnsi="宋体"/>
                <w:color w:val="auto"/>
                <w:sz w:val="21"/>
              </w:rPr>
            </w:pPr>
            <w:r>
              <w:rPr>
                <w:rFonts w:ascii="宋体" w:hAnsi="宋体"/>
                <w:color w:val="auto"/>
                <w:sz w:val="21"/>
                <w:u w:val="single"/>
              </w:rPr>
              <w:t>1</w:t>
            </w:r>
            <w:r>
              <w:rPr>
                <w:rFonts w:hint="eastAsia" w:ascii="宋体" w:hAnsi="宋体"/>
                <w:color w:val="auto"/>
                <w:sz w:val="21"/>
                <w:u w:val="single"/>
                <w:lang w:val="en-US" w:eastAsia="zh-CN"/>
              </w:rPr>
              <w:t>0</w:t>
            </w:r>
            <w:r>
              <w:rPr>
                <w:rFonts w:ascii="宋体" w:hAnsi="宋体"/>
                <w:color w:val="auto"/>
                <w:sz w:val="21"/>
                <w:u w:val="single"/>
              </w:rPr>
              <w:tab/>
            </w:r>
            <w:r>
              <w:rPr>
                <w:rFonts w:ascii="宋体" w:hAnsi="宋体"/>
                <w:color w:val="auto"/>
                <w:position w:val="1"/>
                <w:sz w:val="21"/>
              </w:rPr>
              <w:t>分</w:t>
            </w:r>
          </w:p>
        </w:tc>
        <w:tc>
          <w:tcPr>
            <w:tcW w:w="4686" w:type="dxa"/>
            <w:noWrap w:val="0"/>
            <w:vAlign w:val="top"/>
          </w:tcPr>
          <w:p>
            <w:pPr>
              <w:keepNext w:val="0"/>
              <w:keepLines w:val="0"/>
              <w:widowControl/>
              <w:suppressLineNumbers w:val="0"/>
              <w:jc w:val="left"/>
              <w:rPr>
                <w:color w:val="auto"/>
              </w:rPr>
            </w:pPr>
            <w:r>
              <w:rPr>
                <w:rFonts w:hint="eastAsia" w:ascii="宋体" w:hAnsi="宋体" w:eastAsia="宋体" w:cs="宋体"/>
                <w:color w:val="auto"/>
                <w:kern w:val="0"/>
                <w:sz w:val="20"/>
                <w:szCs w:val="20"/>
                <w:lang w:val="en-US" w:eastAsia="zh-CN" w:bidi="ar"/>
              </w:rPr>
              <w:t xml:space="preserve">（1）对项目重点、难点和关键工程认识分析透彻，能 </w:t>
            </w:r>
          </w:p>
          <w:p>
            <w:pPr>
              <w:keepNext w:val="0"/>
              <w:keepLines w:val="0"/>
              <w:widowControl/>
              <w:suppressLineNumbers w:val="0"/>
              <w:jc w:val="left"/>
              <w:rPr>
                <w:color w:val="auto"/>
              </w:rPr>
            </w:pPr>
            <w:r>
              <w:rPr>
                <w:rFonts w:hint="eastAsia" w:ascii="宋体" w:hAnsi="宋体" w:eastAsia="宋体" w:cs="宋体"/>
                <w:color w:val="auto"/>
                <w:kern w:val="0"/>
                <w:sz w:val="20"/>
                <w:szCs w:val="20"/>
                <w:lang w:val="en-US" w:eastAsia="zh-CN" w:bidi="ar"/>
              </w:rPr>
              <w:t xml:space="preserve">充分发挥自身优势，积极采用“四新”技术，制定的施工方案与技术措施针对性和可操作性强，重点突出的，按《广东省公路工程施工标准化指南》及《广东省高速公路工程施工安全标准化指南》《公路工程施工安全防护设施技术指南》执行，得8～10分（满分分值的 80%～100%）； </w:t>
            </w:r>
          </w:p>
          <w:p>
            <w:pPr>
              <w:keepNext w:val="0"/>
              <w:keepLines w:val="0"/>
              <w:widowControl/>
              <w:suppressLineNumbers w:val="0"/>
              <w:jc w:val="left"/>
              <w:rPr>
                <w:color w:val="auto"/>
              </w:rPr>
            </w:pPr>
            <w:r>
              <w:rPr>
                <w:rFonts w:hint="eastAsia" w:ascii="宋体" w:hAnsi="宋体" w:eastAsia="宋体" w:cs="宋体"/>
                <w:color w:val="auto"/>
                <w:kern w:val="0"/>
                <w:sz w:val="20"/>
                <w:szCs w:val="20"/>
                <w:lang w:val="en-US" w:eastAsia="zh-CN" w:bidi="ar"/>
              </w:rPr>
              <w:t xml:space="preserve">（2）对项目重点、难点和关键工程认识基本到位，施 </w:t>
            </w:r>
          </w:p>
          <w:p>
            <w:pPr>
              <w:keepNext w:val="0"/>
              <w:keepLines w:val="0"/>
              <w:widowControl/>
              <w:suppressLineNumbers w:val="0"/>
              <w:jc w:val="left"/>
              <w:rPr>
                <w:color w:val="auto"/>
              </w:rPr>
            </w:pPr>
            <w:r>
              <w:rPr>
                <w:rFonts w:hint="eastAsia" w:ascii="宋体" w:hAnsi="宋体" w:eastAsia="宋体" w:cs="宋体"/>
                <w:color w:val="auto"/>
                <w:kern w:val="0"/>
                <w:sz w:val="20"/>
                <w:szCs w:val="20"/>
                <w:lang w:val="en-US" w:eastAsia="zh-CN" w:bidi="ar"/>
              </w:rPr>
              <w:t xml:space="preserve">工方案与技术措施基本可行，重点较为突出的，得6～8分（满分分值的 60%～80%）； </w:t>
            </w:r>
          </w:p>
          <w:p>
            <w:pPr>
              <w:keepNext w:val="0"/>
              <w:keepLines w:val="0"/>
              <w:widowControl/>
              <w:suppressLineNumbers w:val="0"/>
              <w:jc w:val="left"/>
              <w:rPr>
                <w:color w:val="auto"/>
              </w:rPr>
            </w:pPr>
            <w:r>
              <w:rPr>
                <w:rFonts w:hint="eastAsia" w:ascii="宋体" w:hAnsi="宋体" w:eastAsia="宋体" w:cs="宋体"/>
                <w:color w:val="auto"/>
                <w:kern w:val="0"/>
                <w:sz w:val="20"/>
                <w:szCs w:val="20"/>
                <w:lang w:val="en-US" w:eastAsia="zh-CN" w:bidi="ar"/>
              </w:rPr>
              <w:t xml:space="preserve">（3）一般但不被评定为不响应的, 得 6分（满分分 </w:t>
            </w:r>
          </w:p>
          <w:p>
            <w:pPr>
              <w:keepNext w:val="0"/>
              <w:keepLines w:val="0"/>
              <w:widowControl/>
              <w:suppressLineNumbers w:val="0"/>
              <w:jc w:val="left"/>
              <w:rPr>
                <w:color w:val="auto"/>
              </w:rPr>
            </w:pPr>
            <w:r>
              <w:rPr>
                <w:rFonts w:hint="eastAsia" w:ascii="宋体" w:hAnsi="宋体" w:eastAsia="宋体" w:cs="宋体"/>
                <w:color w:val="auto"/>
                <w:kern w:val="0"/>
                <w:sz w:val="20"/>
                <w:szCs w:val="20"/>
                <w:lang w:val="en-US" w:eastAsia="zh-CN" w:bidi="ar"/>
              </w:rPr>
              <w:t>值的 60%）。</w:t>
            </w:r>
          </w:p>
          <w:p>
            <w:pPr>
              <w:pStyle w:val="14"/>
              <w:rPr>
                <w:rFonts w:ascii="宋体" w:hAnsi="宋体"/>
                <w:color w:val="auto"/>
                <w:sz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5" w:hRule="atLeast"/>
        </w:trPr>
        <w:tc>
          <w:tcPr>
            <w:tcW w:w="1154" w:type="dxa"/>
            <w:gridSpan w:val="2"/>
            <w:vMerge w:val="continue"/>
            <w:tcBorders>
              <w:bottom w:val="single" w:color="auto" w:sz="4" w:space="0"/>
            </w:tcBorders>
            <w:noWrap w:val="0"/>
            <w:vAlign w:val="top"/>
          </w:tcPr>
          <w:p>
            <w:pPr>
              <w:rPr>
                <w:rFonts w:ascii="宋体" w:hAnsi="宋体"/>
                <w:color w:val="auto"/>
                <w:sz w:val="2"/>
                <w:szCs w:val="2"/>
              </w:rPr>
            </w:pPr>
          </w:p>
        </w:tc>
        <w:tc>
          <w:tcPr>
            <w:tcW w:w="1418" w:type="dxa"/>
            <w:gridSpan w:val="2"/>
            <w:vMerge w:val="continue"/>
            <w:tcBorders>
              <w:bottom w:val="single" w:color="auto" w:sz="4" w:space="0"/>
            </w:tcBorders>
            <w:noWrap w:val="0"/>
            <w:vAlign w:val="top"/>
          </w:tcPr>
          <w:p>
            <w:pPr>
              <w:rPr>
                <w:rFonts w:ascii="宋体" w:hAnsi="宋体"/>
                <w:color w:val="auto"/>
                <w:sz w:val="2"/>
                <w:szCs w:val="2"/>
              </w:rPr>
            </w:pPr>
          </w:p>
        </w:tc>
        <w:tc>
          <w:tcPr>
            <w:tcW w:w="856" w:type="dxa"/>
            <w:vMerge w:val="continue"/>
            <w:tcBorders>
              <w:bottom w:val="single" w:color="auto" w:sz="4" w:space="0"/>
            </w:tcBorders>
            <w:noWrap w:val="0"/>
            <w:vAlign w:val="center"/>
          </w:tcPr>
          <w:p>
            <w:pPr>
              <w:jc w:val="center"/>
              <w:rPr>
                <w:rFonts w:ascii="宋体" w:hAnsi="宋体"/>
                <w:color w:val="auto"/>
                <w:sz w:val="2"/>
                <w:szCs w:val="2"/>
              </w:rPr>
            </w:pPr>
          </w:p>
        </w:tc>
        <w:tc>
          <w:tcPr>
            <w:tcW w:w="837" w:type="dxa"/>
            <w:tcBorders>
              <w:bottom w:val="single" w:color="auto" w:sz="4" w:space="0"/>
            </w:tcBorders>
            <w:noWrap w:val="0"/>
            <w:vAlign w:val="center"/>
          </w:tcPr>
          <w:p>
            <w:pPr>
              <w:keepNext w:val="0"/>
              <w:keepLines w:val="0"/>
              <w:widowControl/>
              <w:suppressLineNumbers w:val="0"/>
              <w:jc w:val="left"/>
              <w:rPr>
                <w:color w:val="auto"/>
              </w:rPr>
            </w:pPr>
            <w:r>
              <w:rPr>
                <w:rFonts w:hint="eastAsia" w:ascii="宋体" w:hAnsi="宋体" w:eastAsia="宋体" w:cs="宋体"/>
                <w:color w:val="auto"/>
                <w:kern w:val="0"/>
                <w:sz w:val="20"/>
                <w:szCs w:val="20"/>
                <w:lang w:val="en-US" w:eastAsia="zh-CN" w:bidi="ar"/>
              </w:rPr>
              <w:t xml:space="preserve">工期、质 </w:t>
            </w:r>
          </w:p>
          <w:p>
            <w:pPr>
              <w:keepNext w:val="0"/>
              <w:keepLines w:val="0"/>
              <w:widowControl/>
              <w:suppressLineNumbers w:val="0"/>
              <w:jc w:val="left"/>
              <w:rPr>
                <w:color w:val="auto"/>
              </w:rPr>
            </w:pPr>
            <w:r>
              <w:rPr>
                <w:rFonts w:hint="eastAsia" w:ascii="宋体" w:hAnsi="宋体" w:eastAsia="宋体" w:cs="宋体"/>
                <w:color w:val="auto"/>
                <w:kern w:val="0"/>
                <w:sz w:val="20"/>
                <w:szCs w:val="20"/>
                <w:lang w:val="en-US" w:eastAsia="zh-CN" w:bidi="ar"/>
              </w:rPr>
              <w:t xml:space="preserve">量、安 </w:t>
            </w:r>
          </w:p>
          <w:p>
            <w:pPr>
              <w:keepNext w:val="0"/>
              <w:keepLines w:val="0"/>
              <w:widowControl/>
              <w:suppressLineNumbers w:val="0"/>
              <w:jc w:val="left"/>
              <w:rPr>
                <w:color w:val="auto"/>
              </w:rPr>
            </w:pPr>
            <w:r>
              <w:rPr>
                <w:rFonts w:hint="eastAsia" w:ascii="宋体" w:hAnsi="宋体" w:eastAsia="宋体" w:cs="宋体"/>
                <w:color w:val="auto"/>
                <w:kern w:val="0"/>
                <w:sz w:val="20"/>
                <w:szCs w:val="20"/>
                <w:lang w:val="en-US" w:eastAsia="zh-CN" w:bidi="ar"/>
              </w:rPr>
              <w:t xml:space="preserve">全、环保 </w:t>
            </w:r>
          </w:p>
          <w:p>
            <w:pPr>
              <w:keepNext w:val="0"/>
              <w:keepLines w:val="0"/>
              <w:widowControl/>
              <w:suppressLineNumbers w:val="0"/>
              <w:jc w:val="left"/>
              <w:rPr>
                <w:color w:val="auto"/>
              </w:rPr>
            </w:pPr>
            <w:r>
              <w:rPr>
                <w:rFonts w:hint="eastAsia" w:ascii="宋体" w:hAnsi="宋体" w:eastAsia="宋体" w:cs="宋体"/>
                <w:color w:val="auto"/>
                <w:kern w:val="0"/>
                <w:sz w:val="20"/>
                <w:szCs w:val="20"/>
                <w:lang w:val="en-US" w:eastAsia="zh-CN" w:bidi="ar"/>
              </w:rPr>
              <w:t xml:space="preserve">水保、文 </w:t>
            </w:r>
          </w:p>
          <w:p>
            <w:pPr>
              <w:keepNext w:val="0"/>
              <w:keepLines w:val="0"/>
              <w:widowControl/>
              <w:suppressLineNumbers w:val="0"/>
              <w:jc w:val="left"/>
              <w:rPr>
                <w:color w:val="auto"/>
              </w:rPr>
            </w:pPr>
            <w:r>
              <w:rPr>
                <w:rFonts w:hint="eastAsia" w:ascii="宋体" w:hAnsi="宋体" w:eastAsia="宋体" w:cs="宋体"/>
                <w:color w:val="auto"/>
                <w:kern w:val="0"/>
                <w:sz w:val="20"/>
                <w:szCs w:val="20"/>
                <w:lang w:val="en-US" w:eastAsia="zh-CN" w:bidi="ar"/>
              </w:rPr>
              <w:t xml:space="preserve">明施工 </w:t>
            </w:r>
          </w:p>
          <w:p>
            <w:pPr>
              <w:keepNext w:val="0"/>
              <w:keepLines w:val="0"/>
              <w:widowControl/>
              <w:suppressLineNumbers w:val="0"/>
              <w:jc w:val="left"/>
              <w:rPr>
                <w:color w:val="auto"/>
              </w:rPr>
            </w:pPr>
            <w:r>
              <w:rPr>
                <w:rFonts w:hint="eastAsia" w:ascii="宋体" w:hAnsi="宋体" w:eastAsia="宋体" w:cs="宋体"/>
                <w:color w:val="auto"/>
                <w:kern w:val="0"/>
                <w:sz w:val="20"/>
                <w:szCs w:val="20"/>
                <w:lang w:val="en-US" w:eastAsia="zh-CN" w:bidi="ar"/>
              </w:rPr>
              <w:t xml:space="preserve">保证措 </w:t>
            </w:r>
          </w:p>
          <w:p>
            <w:pPr>
              <w:keepNext w:val="0"/>
              <w:keepLines w:val="0"/>
              <w:widowControl/>
              <w:suppressLineNumbers w:val="0"/>
              <w:jc w:val="left"/>
              <w:rPr>
                <w:rFonts w:ascii="宋体" w:hAnsi="宋体"/>
                <w:color w:val="auto"/>
                <w:sz w:val="21"/>
              </w:rPr>
            </w:pPr>
            <w:r>
              <w:rPr>
                <w:rFonts w:hint="eastAsia" w:ascii="宋体" w:hAnsi="宋体" w:eastAsia="宋体" w:cs="宋体"/>
                <w:color w:val="auto"/>
                <w:kern w:val="0"/>
                <w:sz w:val="20"/>
                <w:szCs w:val="20"/>
                <w:lang w:val="en-US" w:eastAsia="zh-CN" w:bidi="ar"/>
              </w:rPr>
              <w:t>施</w:t>
            </w:r>
          </w:p>
        </w:tc>
        <w:tc>
          <w:tcPr>
            <w:tcW w:w="858" w:type="dxa"/>
            <w:noWrap w:val="0"/>
            <w:vAlign w:val="center"/>
          </w:tcPr>
          <w:p>
            <w:pPr>
              <w:pStyle w:val="14"/>
              <w:tabs>
                <w:tab w:val="left" w:pos="452"/>
              </w:tabs>
              <w:spacing w:before="94" w:line="251" w:lineRule="exact"/>
              <w:ind w:left="134"/>
              <w:jc w:val="center"/>
              <w:rPr>
                <w:rFonts w:ascii="宋体" w:hAnsi="宋体"/>
                <w:color w:val="auto"/>
                <w:sz w:val="21"/>
                <w:u w:val="single"/>
              </w:rPr>
            </w:pPr>
            <w:r>
              <w:rPr>
                <w:rFonts w:ascii="宋体" w:hAnsi="宋体"/>
                <w:color w:val="auto"/>
                <w:sz w:val="21"/>
                <w:u w:val="single"/>
              </w:rPr>
              <w:t>10</w:t>
            </w:r>
            <w:r>
              <w:rPr>
                <w:rFonts w:ascii="宋体" w:hAnsi="宋体"/>
                <w:color w:val="auto"/>
                <w:position w:val="1"/>
                <w:sz w:val="21"/>
              </w:rPr>
              <w:t>分</w:t>
            </w:r>
          </w:p>
        </w:tc>
        <w:tc>
          <w:tcPr>
            <w:tcW w:w="4686" w:type="dxa"/>
            <w:noWrap w:val="0"/>
            <w:vAlign w:val="top"/>
          </w:tcPr>
          <w:p>
            <w:pPr>
              <w:keepNext w:val="0"/>
              <w:keepLines w:val="0"/>
              <w:widowControl/>
              <w:suppressLineNumbers w:val="0"/>
              <w:jc w:val="left"/>
              <w:rPr>
                <w:color w:val="auto"/>
              </w:rPr>
            </w:pPr>
            <w:r>
              <w:rPr>
                <w:rFonts w:hint="eastAsia" w:ascii="宋体" w:hAnsi="宋体" w:eastAsia="宋体" w:cs="宋体"/>
                <w:color w:val="auto"/>
                <w:kern w:val="0"/>
                <w:sz w:val="20"/>
                <w:szCs w:val="20"/>
                <w:lang w:val="en-US" w:eastAsia="zh-CN" w:bidi="ar"/>
              </w:rPr>
              <w:t xml:space="preserve">（1）能够准确预判分析工期、质量、安全、环保、水 </w:t>
            </w:r>
          </w:p>
          <w:p>
            <w:pPr>
              <w:keepNext w:val="0"/>
              <w:keepLines w:val="0"/>
              <w:widowControl/>
              <w:suppressLineNumbers w:val="0"/>
              <w:jc w:val="left"/>
              <w:rPr>
                <w:color w:val="auto"/>
              </w:rPr>
            </w:pPr>
            <w:r>
              <w:rPr>
                <w:rFonts w:hint="eastAsia" w:ascii="宋体" w:hAnsi="宋体" w:eastAsia="宋体" w:cs="宋体"/>
                <w:color w:val="auto"/>
                <w:kern w:val="0"/>
                <w:sz w:val="20"/>
                <w:szCs w:val="20"/>
                <w:lang w:val="en-US" w:eastAsia="zh-CN" w:bidi="ar"/>
              </w:rPr>
              <w:t xml:space="preserve">保、文明施工目标实现的主要影响因素，拟采取预防保证措施针对性强、科学有效，重点突出的，按《广东省路工程施工标准化指南》及《广东省高速公路工程施工安全标准化指南》《公路工程施工安全防护设施技术指南》执行，得 8～10分（满分分值的 80%～100%）； </w:t>
            </w:r>
          </w:p>
          <w:p>
            <w:pPr>
              <w:keepNext w:val="0"/>
              <w:keepLines w:val="0"/>
              <w:widowControl/>
              <w:suppressLineNumbers w:val="0"/>
              <w:jc w:val="left"/>
              <w:rPr>
                <w:color w:val="auto"/>
              </w:rPr>
            </w:pPr>
            <w:r>
              <w:rPr>
                <w:rFonts w:hint="eastAsia" w:ascii="宋体" w:hAnsi="宋体" w:eastAsia="宋体" w:cs="宋体"/>
                <w:color w:val="auto"/>
                <w:kern w:val="0"/>
                <w:sz w:val="20"/>
                <w:szCs w:val="20"/>
                <w:lang w:val="en-US" w:eastAsia="zh-CN" w:bidi="ar"/>
              </w:rPr>
              <w:t xml:space="preserve">（2）对工期、质量、安全、环保、水保等风险有一定 </w:t>
            </w:r>
          </w:p>
          <w:p>
            <w:pPr>
              <w:keepNext w:val="0"/>
              <w:keepLines w:val="0"/>
              <w:widowControl/>
              <w:suppressLineNumbers w:val="0"/>
              <w:jc w:val="left"/>
              <w:rPr>
                <w:color w:val="auto"/>
              </w:rPr>
            </w:pPr>
            <w:r>
              <w:rPr>
                <w:rFonts w:hint="eastAsia" w:ascii="宋体" w:hAnsi="宋体" w:eastAsia="宋体" w:cs="宋体"/>
                <w:color w:val="auto"/>
                <w:kern w:val="0"/>
                <w:sz w:val="20"/>
                <w:szCs w:val="20"/>
                <w:lang w:val="en-US" w:eastAsia="zh-CN" w:bidi="ar"/>
              </w:rPr>
              <w:t xml:space="preserve">认识，预防保证措施基本可行，重点较为突出的，得6～8分（满分分值的 60%～80%）； </w:t>
            </w:r>
          </w:p>
          <w:p>
            <w:pPr>
              <w:keepNext w:val="0"/>
              <w:keepLines w:val="0"/>
              <w:widowControl/>
              <w:suppressLineNumbers w:val="0"/>
              <w:jc w:val="left"/>
              <w:rPr>
                <w:color w:val="auto"/>
              </w:rPr>
            </w:pPr>
            <w:r>
              <w:rPr>
                <w:rFonts w:hint="eastAsia" w:ascii="宋体" w:hAnsi="宋体" w:eastAsia="宋体" w:cs="宋体"/>
                <w:color w:val="auto"/>
                <w:kern w:val="0"/>
                <w:sz w:val="20"/>
                <w:szCs w:val="20"/>
                <w:lang w:val="en-US" w:eastAsia="zh-CN" w:bidi="ar"/>
              </w:rPr>
              <w:t xml:space="preserve">（3）一般但不被评定为不响应的, 得 6分（满分分 </w:t>
            </w:r>
          </w:p>
          <w:p>
            <w:pPr>
              <w:keepNext w:val="0"/>
              <w:keepLines w:val="0"/>
              <w:widowControl/>
              <w:suppressLineNumbers w:val="0"/>
              <w:jc w:val="left"/>
              <w:rPr>
                <w:color w:val="auto"/>
              </w:rPr>
            </w:pPr>
            <w:r>
              <w:rPr>
                <w:rFonts w:hint="eastAsia" w:ascii="宋体" w:hAnsi="宋体" w:eastAsia="宋体" w:cs="宋体"/>
                <w:color w:val="auto"/>
                <w:kern w:val="0"/>
                <w:sz w:val="20"/>
                <w:szCs w:val="20"/>
                <w:lang w:val="en-US" w:eastAsia="zh-CN" w:bidi="ar"/>
              </w:rPr>
              <w:t>值的 60%）。</w:t>
            </w:r>
          </w:p>
          <w:p>
            <w:pPr>
              <w:pStyle w:val="14"/>
              <w:spacing w:before="118" w:line="227" w:lineRule="exact"/>
              <w:ind w:left="102"/>
              <w:rPr>
                <w:rFonts w:ascii="宋体" w:hAnsi="宋体"/>
                <w:color w:val="auto"/>
                <w:sz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1" w:hRule="atLeast"/>
        </w:trPr>
        <w:tc>
          <w:tcPr>
            <w:tcW w:w="1154"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pStyle w:val="14"/>
              <w:jc w:val="center"/>
              <w:rPr>
                <w:rFonts w:ascii="宋体" w:hAnsi="宋体"/>
                <w:color w:val="auto"/>
                <w:sz w:val="22"/>
              </w:rPr>
            </w:pPr>
          </w:p>
          <w:p>
            <w:pPr>
              <w:pStyle w:val="14"/>
              <w:spacing w:before="9"/>
              <w:jc w:val="center"/>
              <w:rPr>
                <w:rFonts w:ascii="宋体" w:hAnsi="宋体"/>
                <w:color w:val="auto"/>
                <w:sz w:val="19"/>
              </w:rPr>
            </w:pPr>
          </w:p>
          <w:p>
            <w:pPr>
              <w:pStyle w:val="14"/>
              <w:spacing w:before="1"/>
              <w:ind w:left="230"/>
              <w:rPr>
                <w:rFonts w:ascii="宋体" w:hAnsi="宋体"/>
                <w:color w:val="auto"/>
                <w:sz w:val="21"/>
              </w:rPr>
            </w:pPr>
            <w:r>
              <w:rPr>
                <w:rFonts w:ascii="宋体" w:hAnsi="宋体"/>
                <w:color w:val="auto"/>
                <w:sz w:val="21"/>
              </w:rPr>
              <w:t>2.2.2（2）</w:t>
            </w:r>
          </w:p>
        </w:tc>
        <w:tc>
          <w:tcPr>
            <w:tcW w:w="1418"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pStyle w:val="14"/>
              <w:jc w:val="center"/>
              <w:rPr>
                <w:rFonts w:ascii="宋体" w:hAnsi="宋体"/>
                <w:color w:val="auto"/>
                <w:sz w:val="20"/>
              </w:rPr>
            </w:pPr>
          </w:p>
          <w:p>
            <w:pPr>
              <w:pStyle w:val="14"/>
              <w:spacing w:before="9"/>
              <w:jc w:val="center"/>
              <w:rPr>
                <w:rFonts w:ascii="宋体" w:hAnsi="宋体"/>
                <w:color w:val="auto"/>
                <w:sz w:val="23"/>
              </w:rPr>
            </w:pPr>
          </w:p>
          <w:p>
            <w:pPr>
              <w:pStyle w:val="14"/>
              <w:spacing w:before="1"/>
              <w:jc w:val="center"/>
              <w:rPr>
                <w:rFonts w:hint="eastAsia" w:ascii="宋体" w:hAnsi="宋体" w:eastAsia="宋体"/>
                <w:color w:val="auto"/>
                <w:sz w:val="21"/>
                <w:lang w:eastAsia="zh-CN"/>
              </w:rPr>
            </w:pPr>
            <w:r>
              <w:rPr>
                <w:rFonts w:ascii="宋体" w:hAnsi="宋体"/>
                <w:color w:val="auto"/>
                <w:sz w:val="21"/>
              </w:rPr>
              <w:t>主要人员</w:t>
            </w:r>
          </w:p>
        </w:tc>
        <w:tc>
          <w:tcPr>
            <w:tcW w:w="856" w:type="dxa"/>
            <w:vMerge w:val="restart"/>
            <w:tcBorders>
              <w:top w:val="single" w:color="auto" w:sz="4" w:space="0"/>
              <w:left w:val="single" w:color="auto" w:sz="4" w:space="0"/>
              <w:bottom w:val="single" w:color="auto" w:sz="4" w:space="0"/>
              <w:right w:val="single" w:color="auto" w:sz="4" w:space="0"/>
            </w:tcBorders>
            <w:noWrap w:val="0"/>
            <w:vAlign w:val="center"/>
          </w:tcPr>
          <w:p>
            <w:pPr>
              <w:pStyle w:val="14"/>
              <w:jc w:val="center"/>
              <w:rPr>
                <w:rFonts w:ascii="宋体" w:hAnsi="宋体"/>
                <w:color w:val="auto"/>
                <w:sz w:val="22"/>
              </w:rPr>
            </w:pPr>
          </w:p>
          <w:p>
            <w:pPr>
              <w:pStyle w:val="14"/>
              <w:jc w:val="center"/>
              <w:rPr>
                <w:rFonts w:ascii="宋体" w:hAnsi="宋体"/>
                <w:color w:val="auto"/>
                <w:sz w:val="22"/>
              </w:rPr>
            </w:pPr>
          </w:p>
          <w:p>
            <w:pPr>
              <w:pStyle w:val="14"/>
              <w:tabs>
                <w:tab w:val="left" w:pos="671"/>
              </w:tabs>
              <w:jc w:val="center"/>
              <w:rPr>
                <w:rFonts w:ascii="宋体" w:hAnsi="宋体"/>
                <w:color w:val="auto"/>
                <w:sz w:val="21"/>
              </w:rPr>
            </w:pPr>
            <w:r>
              <w:rPr>
                <w:rFonts w:ascii="宋体" w:hAnsi="宋体"/>
                <w:color w:val="auto"/>
                <w:sz w:val="21"/>
                <w:u w:val="single"/>
              </w:rPr>
              <w:t>35</w:t>
            </w:r>
            <w:r>
              <w:rPr>
                <w:rFonts w:ascii="宋体" w:hAnsi="宋体"/>
                <w:color w:val="auto"/>
                <w:sz w:val="21"/>
              </w:rPr>
              <w:t>分</w:t>
            </w:r>
          </w:p>
        </w:tc>
        <w:tc>
          <w:tcPr>
            <w:tcW w:w="837" w:type="dxa"/>
            <w:tcBorders>
              <w:top w:val="single" w:color="auto" w:sz="4" w:space="0"/>
              <w:left w:val="single" w:color="auto" w:sz="4" w:space="0"/>
              <w:bottom w:val="single" w:color="auto" w:sz="4" w:space="0"/>
              <w:right w:val="single" w:color="auto" w:sz="4" w:space="0"/>
            </w:tcBorders>
            <w:noWrap w:val="0"/>
            <w:vAlign w:val="center"/>
          </w:tcPr>
          <w:p>
            <w:pPr>
              <w:pStyle w:val="14"/>
              <w:spacing w:line="252"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项目经理任职资格与业绩</w:t>
            </w:r>
          </w:p>
        </w:tc>
        <w:tc>
          <w:tcPr>
            <w:tcW w:w="858" w:type="dxa"/>
            <w:tcBorders>
              <w:left w:val="single" w:color="auto" w:sz="4" w:space="0"/>
            </w:tcBorders>
            <w:noWrap w:val="0"/>
            <w:vAlign w:val="center"/>
          </w:tcPr>
          <w:p>
            <w:pPr>
              <w:pStyle w:val="14"/>
              <w:spacing w:line="252"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20</w:t>
            </w:r>
            <w:r>
              <w:rPr>
                <w:rFonts w:hint="eastAsia" w:ascii="宋体" w:hAnsi="宋体" w:eastAsia="宋体" w:cs="宋体"/>
                <w:color w:val="auto"/>
                <w:sz w:val="21"/>
                <w:szCs w:val="21"/>
              </w:rPr>
              <w:t>分</w:t>
            </w:r>
          </w:p>
        </w:tc>
        <w:tc>
          <w:tcPr>
            <w:tcW w:w="4686" w:type="dxa"/>
            <w:noWrap w:val="0"/>
            <w:vAlign w:val="center"/>
          </w:tcPr>
          <w:p>
            <w:pPr>
              <w:pStyle w:val="14"/>
              <w:numPr>
                <w:ilvl w:val="0"/>
                <w:numId w:val="0"/>
              </w:numPr>
              <w:spacing w:before="160"/>
              <w:jc w:val="both"/>
              <w:rPr>
                <w:rFonts w:hint="eastAsia" w:ascii="宋体" w:hAnsi="宋体" w:eastAsia="宋体" w:cs="宋体"/>
                <w:color w:val="auto"/>
                <w:sz w:val="21"/>
                <w:szCs w:val="21"/>
              </w:rPr>
            </w:pPr>
            <w:r>
              <w:rPr>
                <w:rFonts w:hint="eastAsia" w:ascii="宋体" w:hAnsi="宋体" w:eastAsia="宋体" w:cs="宋体"/>
                <w:color w:val="auto"/>
                <w:sz w:val="21"/>
                <w:szCs w:val="21"/>
              </w:rPr>
              <w:t>项目经理满足资格审查条件的最低要求，得</w:t>
            </w:r>
            <w:r>
              <w:rPr>
                <w:rFonts w:hint="eastAsia" w:ascii="宋体" w:hAnsi="宋体" w:eastAsia="宋体" w:cs="宋体"/>
                <w:color w:val="auto"/>
                <w:sz w:val="21"/>
                <w:szCs w:val="21"/>
                <w:u w:val="single"/>
              </w:rPr>
              <w:t xml:space="preserve"> </w:t>
            </w:r>
            <w:r>
              <w:rPr>
                <w:rFonts w:hint="eastAsia" w:ascii="宋体" w:hAnsi="宋体" w:cs="宋体"/>
                <w:color w:val="auto"/>
                <w:sz w:val="21"/>
                <w:szCs w:val="21"/>
                <w:u w:val="single"/>
                <w:lang w:val="en-US" w:eastAsia="zh-CN"/>
              </w:rPr>
              <w:t>20</w:t>
            </w:r>
            <w:r>
              <w:rPr>
                <w:rFonts w:hint="eastAsia" w:ascii="宋体" w:hAnsi="宋体" w:eastAsia="宋体" w:cs="宋体"/>
                <w:color w:val="auto"/>
                <w:sz w:val="21"/>
                <w:szCs w:val="21"/>
                <w:u w:val="single"/>
                <w:lang w:val="en-US" w:eastAsia="zh-CN"/>
              </w:rPr>
              <w:t xml:space="preserve"> </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rPr>
              <w:t>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1154" w:type="dxa"/>
            <w:gridSpan w:val="2"/>
            <w:vMerge w:val="continue"/>
            <w:tcBorders>
              <w:top w:val="single" w:color="auto" w:sz="4" w:space="0"/>
              <w:left w:val="single" w:color="auto" w:sz="4" w:space="0"/>
              <w:bottom w:val="single" w:color="auto" w:sz="4" w:space="0"/>
              <w:right w:val="single" w:color="auto" w:sz="4" w:space="0"/>
            </w:tcBorders>
            <w:noWrap w:val="0"/>
            <w:vAlign w:val="top"/>
          </w:tcPr>
          <w:p>
            <w:pPr>
              <w:rPr>
                <w:rFonts w:ascii="宋体" w:hAnsi="宋体"/>
                <w:color w:val="auto"/>
                <w:sz w:val="2"/>
                <w:szCs w:val="2"/>
              </w:rPr>
            </w:pPr>
          </w:p>
        </w:tc>
        <w:tc>
          <w:tcPr>
            <w:tcW w:w="1418" w:type="dxa"/>
            <w:gridSpan w:val="2"/>
            <w:vMerge w:val="continue"/>
            <w:tcBorders>
              <w:top w:val="single" w:color="auto" w:sz="4" w:space="0"/>
              <w:left w:val="single" w:color="auto" w:sz="4" w:space="0"/>
              <w:bottom w:val="single" w:color="auto" w:sz="4" w:space="0"/>
              <w:right w:val="single" w:color="auto" w:sz="4" w:space="0"/>
            </w:tcBorders>
            <w:noWrap w:val="0"/>
            <w:vAlign w:val="top"/>
          </w:tcPr>
          <w:p>
            <w:pPr>
              <w:rPr>
                <w:rFonts w:ascii="宋体" w:hAnsi="宋体"/>
                <w:color w:val="auto"/>
                <w:sz w:val="2"/>
                <w:szCs w:val="2"/>
              </w:rPr>
            </w:pPr>
          </w:p>
        </w:tc>
        <w:tc>
          <w:tcPr>
            <w:tcW w:w="856" w:type="dxa"/>
            <w:vMerge w:val="continue"/>
            <w:tcBorders>
              <w:top w:val="single" w:color="auto" w:sz="4" w:space="0"/>
              <w:left w:val="single" w:color="auto" w:sz="4" w:space="0"/>
              <w:bottom w:val="single" w:color="auto" w:sz="4" w:space="0"/>
              <w:right w:val="single" w:color="auto" w:sz="4" w:space="0"/>
            </w:tcBorders>
            <w:noWrap w:val="0"/>
            <w:vAlign w:val="top"/>
          </w:tcPr>
          <w:p>
            <w:pPr>
              <w:rPr>
                <w:rFonts w:ascii="宋体" w:hAnsi="宋体"/>
                <w:color w:val="auto"/>
                <w:sz w:val="2"/>
                <w:szCs w:val="2"/>
              </w:rPr>
            </w:pPr>
          </w:p>
        </w:tc>
        <w:tc>
          <w:tcPr>
            <w:tcW w:w="837" w:type="dxa"/>
            <w:tcBorders>
              <w:top w:val="single" w:color="auto" w:sz="4" w:space="0"/>
              <w:left w:val="single" w:color="auto" w:sz="4" w:space="0"/>
              <w:bottom w:val="single" w:color="auto" w:sz="4" w:space="0"/>
              <w:right w:val="single" w:color="auto" w:sz="4" w:space="0"/>
            </w:tcBorders>
            <w:noWrap w:val="0"/>
            <w:vAlign w:val="center"/>
          </w:tcPr>
          <w:p>
            <w:pPr>
              <w:pStyle w:val="14"/>
              <w:jc w:val="center"/>
              <w:rPr>
                <w:rFonts w:hint="eastAsia" w:ascii="宋体" w:hAnsi="宋体" w:eastAsia="宋体" w:cs="宋体"/>
                <w:color w:val="auto"/>
                <w:sz w:val="21"/>
                <w:szCs w:val="21"/>
              </w:rPr>
            </w:pPr>
            <w:r>
              <w:rPr>
                <w:rFonts w:hint="eastAsia" w:ascii="宋体" w:hAnsi="宋体" w:eastAsia="宋体" w:cs="宋体"/>
                <w:color w:val="auto"/>
                <w:sz w:val="21"/>
                <w:szCs w:val="21"/>
              </w:rPr>
              <w:t>项目总工任职资格与业绩</w:t>
            </w:r>
          </w:p>
        </w:tc>
        <w:tc>
          <w:tcPr>
            <w:tcW w:w="858" w:type="dxa"/>
            <w:tcBorders>
              <w:left w:val="single" w:color="auto" w:sz="4" w:space="0"/>
            </w:tcBorders>
            <w:noWrap w:val="0"/>
            <w:vAlign w:val="center"/>
          </w:tcPr>
          <w:p>
            <w:pPr>
              <w:pStyle w:val="14"/>
              <w:jc w:val="center"/>
              <w:rPr>
                <w:rFonts w:hint="eastAsia" w:ascii="宋体" w:hAnsi="宋体" w:eastAsia="宋体" w:cs="宋体"/>
                <w:color w:val="auto"/>
                <w:sz w:val="21"/>
                <w:szCs w:val="21"/>
              </w:rPr>
            </w:pPr>
          </w:p>
          <w:p>
            <w:pPr>
              <w:pStyle w:val="14"/>
              <w:jc w:val="center"/>
              <w:rPr>
                <w:rFonts w:hint="eastAsia" w:ascii="宋体" w:hAnsi="宋体" w:eastAsia="宋体" w:cs="宋体"/>
                <w:color w:val="auto"/>
                <w:sz w:val="21"/>
                <w:szCs w:val="21"/>
              </w:rPr>
            </w:pPr>
            <w:r>
              <w:rPr>
                <w:rFonts w:hint="eastAsia" w:ascii="宋体" w:hAnsi="宋体" w:eastAsia="宋体" w:cs="宋体"/>
                <w:color w:val="auto"/>
                <w:sz w:val="21"/>
                <w:szCs w:val="21"/>
                <w:u w:val="single"/>
                <w:lang w:val="en-US" w:eastAsia="zh-CN"/>
              </w:rPr>
              <w:t>15</w:t>
            </w:r>
            <w:r>
              <w:rPr>
                <w:rFonts w:hint="eastAsia" w:ascii="宋体" w:hAnsi="宋体" w:eastAsia="宋体" w:cs="宋体"/>
                <w:color w:val="auto"/>
                <w:sz w:val="21"/>
                <w:szCs w:val="21"/>
              </w:rPr>
              <w:t>分</w:t>
            </w:r>
          </w:p>
        </w:tc>
        <w:tc>
          <w:tcPr>
            <w:tcW w:w="4686" w:type="dxa"/>
            <w:noWrap w:val="0"/>
            <w:vAlign w:val="center"/>
          </w:tcPr>
          <w:p>
            <w:pPr>
              <w:pStyle w:val="14"/>
              <w:spacing w:line="274" w:lineRule="exact"/>
              <w:jc w:val="both"/>
              <w:rPr>
                <w:rFonts w:hint="eastAsia" w:ascii="宋体" w:hAnsi="宋体" w:eastAsia="宋体" w:cs="宋体"/>
                <w:color w:val="auto"/>
                <w:sz w:val="21"/>
                <w:szCs w:val="21"/>
              </w:rPr>
            </w:pPr>
            <w:r>
              <w:rPr>
                <w:rFonts w:hint="eastAsia" w:ascii="宋体" w:hAnsi="宋体" w:eastAsia="宋体" w:cs="宋体"/>
                <w:color w:val="auto"/>
                <w:sz w:val="21"/>
                <w:szCs w:val="21"/>
              </w:rPr>
              <w:t>项目</w:t>
            </w:r>
            <w:r>
              <w:rPr>
                <w:rFonts w:hint="eastAsia" w:ascii="宋体" w:hAnsi="宋体" w:eastAsia="宋体" w:cs="宋体"/>
                <w:color w:val="auto"/>
                <w:sz w:val="21"/>
                <w:szCs w:val="21"/>
                <w:lang w:val="en-US" w:eastAsia="zh-CN"/>
              </w:rPr>
              <w:t>总工</w:t>
            </w:r>
            <w:r>
              <w:rPr>
                <w:rFonts w:hint="eastAsia" w:ascii="宋体" w:hAnsi="宋体" w:eastAsia="宋体" w:cs="宋体"/>
                <w:color w:val="auto"/>
                <w:sz w:val="21"/>
                <w:szCs w:val="21"/>
              </w:rPr>
              <w:t>满足资格审查条件的最低要求，得</w:t>
            </w:r>
            <w:r>
              <w:rPr>
                <w:rFonts w:hint="eastAsia" w:ascii="宋体" w:hAnsi="宋体" w:eastAsia="宋体" w:cs="宋体"/>
                <w:color w:val="auto"/>
                <w:sz w:val="21"/>
                <w:szCs w:val="21"/>
                <w:u w:val="single"/>
              </w:rPr>
              <w:t xml:space="preserve"> </w:t>
            </w:r>
            <w:r>
              <w:rPr>
                <w:rFonts w:hint="eastAsia" w:ascii="宋体" w:hAnsi="宋体" w:cs="宋体"/>
                <w:color w:val="auto"/>
                <w:sz w:val="21"/>
                <w:szCs w:val="21"/>
                <w:u w:val="single"/>
                <w:lang w:val="en-US" w:eastAsia="zh-CN"/>
              </w:rPr>
              <w:t>15</w:t>
            </w:r>
            <w:r>
              <w:rPr>
                <w:rFonts w:hint="eastAsia" w:ascii="宋体" w:hAnsi="宋体" w:eastAsia="宋体" w:cs="宋体"/>
                <w:color w:val="auto"/>
                <w:sz w:val="21"/>
                <w:szCs w:val="21"/>
                <w:u w:val="single"/>
                <w:lang w:val="en-US" w:eastAsia="zh-CN"/>
              </w:rPr>
              <w:t xml:space="preserve"> </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rPr>
              <w:t>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10" w:hRule="atLeast"/>
        </w:trPr>
        <w:tc>
          <w:tcPr>
            <w:tcW w:w="1154" w:type="dxa"/>
            <w:gridSpan w:val="2"/>
            <w:vMerge w:val="restart"/>
            <w:tcBorders>
              <w:top w:val="single" w:color="auto" w:sz="4" w:space="0"/>
            </w:tcBorders>
            <w:noWrap w:val="0"/>
            <w:vAlign w:val="center"/>
          </w:tcPr>
          <w:p>
            <w:pPr>
              <w:pStyle w:val="14"/>
              <w:spacing w:before="1"/>
              <w:ind w:left="232"/>
              <w:rPr>
                <w:rFonts w:ascii="宋体" w:hAnsi="宋体"/>
                <w:color w:val="auto"/>
                <w:sz w:val="21"/>
              </w:rPr>
            </w:pPr>
            <w:r>
              <w:rPr>
                <w:rFonts w:ascii="宋体" w:hAnsi="宋体"/>
                <w:color w:val="auto"/>
                <w:sz w:val="21"/>
              </w:rPr>
              <w:t>2.2.2（3）</w:t>
            </w:r>
          </w:p>
        </w:tc>
        <w:tc>
          <w:tcPr>
            <w:tcW w:w="567" w:type="dxa"/>
            <w:vMerge w:val="restart"/>
            <w:tcBorders>
              <w:top w:val="single" w:color="auto" w:sz="4" w:space="0"/>
            </w:tcBorders>
            <w:noWrap w:val="0"/>
            <w:vAlign w:val="center"/>
          </w:tcPr>
          <w:p>
            <w:pPr>
              <w:pStyle w:val="14"/>
              <w:spacing w:line="338" w:lineRule="auto"/>
              <w:ind w:left="118" w:right="111"/>
              <w:jc w:val="center"/>
              <w:rPr>
                <w:rFonts w:ascii="宋体" w:hAnsi="宋体"/>
                <w:color w:val="auto"/>
                <w:sz w:val="21"/>
              </w:rPr>
            </w:pPr>
            <w:r>
              <w:rPr>
                <w:rFonts w:ascii="宋体" w:hAnsi="宋体"/>
                <w:color w:val="auto"/>
                <w:sz w:val="21"/>
              </w:rPr>
              <w:t>其他因素</w:t>
            </w:r>
          </w:p>
        </w:tc>
        <w:tc>
          <w:tcPr>
            <w:tcW w:w="851" w:type="dxa"/>
            <w:tcBorders>
              <w:top w:val="single" w:color="auto" w:sz="4" w:space="0"/>
              <w:bottom w:val="single" w:color="auto" w:sz="4" w:space="0"/>
            </w:tcBorders>
            <w:noWrap w:val="0"/>
            <w:vAlign w:val="center"/>
          </w:tcPr>
          <w:p>
            <w:pPr>
              <w:pStyle w:val="14"/>
              <w:spacing w:before="113"/>
              <w:ind w:left="18" w:right="13"/>
              <w:jc w:val="center"/>
              <w:rPr>
                <w:rFonts w:ascii="宋体" w:hAnsi="宋体"/>
                <w:color w:val="auto"/>
                <w:sz w:val="21"/>
              </w:rPr>
            </w:pPr>
            <w:r>
              <w:rPr>
                <w:rFonts w:ascii="宋体" w:hAnsi="宋体"/>
                <w:color w:val="auto"/>
                <w:sz w:val="21"/>
              </w:rPr>
              <w:t>技术能力</w:t>
            </w:r>
          </w:p>
        </w:tc>
        <w:tc>
          <w:tcPr>
            <w:tcW w:w="856" w:type="dxa"/>
            <w:tcBorders>
              <w:top w:val="single" w:color="auto" w:sz="4" w:space="0"/>
              <w:bottom w:val="single" w:color="auto" w:sz="4" w:space="0"/>
            </w:tcBorders>
            <w:noWrap w:val="0"/>
            <w:vAlign w:val="center"/>
          </w:tcPr>
          <w:p>
            <w:pPr>
              <w:pStyle w:val="14"/>
              <w:tabs>
                <w:tab w:val="left" w:pos="671"/>
              </w:tabs>
              <w:jc w:val="center"/>
              <w:rPr>
                <w:rFonts w:ascii="宋体" w:hAnsi="宋体"/>
                <w:color w:val="auto"/>
                <w:sz w:val="21"/>
              </w:rPr>
            </w:pPr>
            <w:r>
              <w:rPr>
                <w:rFonts w:hint="eastAsia" w:ascii="宋体" w:hAnsi="宋体"/>
                <w:color w:val="auto"/>
                <w:sz w:val="21"/>
                <w:u w:val="single"/>
                <w:lang w:val="en-US" w:eastAsia="zh-CN"/>
              </w:rPr>
              <w:t>2</w:t>
            </w:r>
            <w:r>
              <w:rPr>
                <w:rFonts w:hint="default" w:ascii="宋体" w:hAnsi="宋体"/>
                <w:color w:val="auto"/>
                <w:sz w:val="21"/>
                <w:u w:val="single"/>
              </w:rPr>
              <w:t>0</w:t>
            </w:r>
            <w:r>
              <w:rPr>
                <w:rFonts w:ascii="宋体" w:hAnsi="宋体"/>
                <w:color w:val="auto"/>
                <w:sz w:val="21"/>
              </w:rPr>
              <w:t>分</w:t>
            </w:r>
          </w:p>
        </w:tc>
        <w:tc>
          <w:tcPr>
            <w:tcW w:w="6381" w:type="dxa"/>
            <w:gridSpan w:val="3"/>
            <w:tcBorders>
              <w:top w:val="single" w:color="auto" w:sz="4" w:space="0"/>
              <w:bottom w:val="single" w:color="auto" w:sz="4" w:space="0"/>
            </w:tcBorders>
            <w:noWrap w:val="0"/>
            <w:vAlign w:val="center"/>
          </w:tcPr>
          <w:p>
            <w:pPr>
              <w:pStyle w:val="14"/>
              <w:tabs>
                <w:tab w:val="left" w:pos="1895"/>
              </w:tabs>
              <w:spacing w:before="77" w:line="242" w:lineRule="auto"/>
              <w:ind w:left="3" w:right="137"/>
              <w:rPr>
                <w:rFonts w:ascii="宋体" w:hAnsi="宋体"/>
                <w:color w:val="auto"/>
                <w:sz w:val="21"/>
              </w:rPr>
            </w:pPr>
            <w:r>
              <w:rPr>
                <w:rFonts w:ascii="宋体" w:hAnsi="宋体"/>
                <w:color w:val="auto"/>
                <w:spacing w:val="-10"/>
                <w:sz w:val="21"/>
              </w:rPr>
              <w:t>（1）</w:t>
            </w:r>
            <w:r>
              <w:rPr>
                <w:rFonts w:ascii="宋体" w:hAnsi="宋体"/>
                <w:color w:val="auto"/>
                <w:sz w:val="21"/>
              </w:rPr>
              <w:t>投标人获得与项目施工有关的国家级工法</w:t>
            </w:r>
            <w:r>
              <w:rPr>
                <w:rFonts w:ascii="宋体" w:hAnsi="宋体"/>
                <w:color w:val="auto"/>
                <w:spacing w:val="-29"/>
                <w:sz w:val="21"/>
              </w:rPr>
              <w:t>、</w:t>
            </w:r>
            <w:r>
              <w:rPr>
                <w:rFonts w:ascii="宋体" w:hAnsi="宋体"/>
                <w:color w:val="auto"/>
                <w:sz w:val="21"/>
              </w:rPr>
              <w:t>专</w:t>
            </w:r>
            <w:r>
              <w:rPr>
                <w:rFonts w:ascii="宋体" w:hAnsi="宋体"/>
                <w:color w:val="auto"/>
                <w:spacing w:val="-29"/>
                <w:sz w:val="21"/>
              </w:rPr>
              <w:t>利</w:t>
            </w:r>
            <w:r>
              <w:rPr>
                <w:rFonts w:ascii="宋体" w:hAnsi="宋体"/>
                <w:color w:val="auto"/>
                <w:sz w:val="21"/>
              </w:rPr>
              <w:t>（发明专利或实用新型专利）、国家级科学技术进步奖、主编或参编过国家标准、鲁班奖、詹天佑奖，每项加</w:t>
            </w:r>
            <w:r>
              <w:rPr>
                <w:rFonts w:ascii="宋体" w:hAnsi="宋体"/>
                <w:color w:val="auto"/>
                <w:sz w:val="21"/>
                <w:highlight w:val="none"/>
                <w:u w:val="single"/>
              </w:rPr>
              <w:t xml:space="preserve"> </w:t>
            </w:r>
            <w:r>
              <w:rPr>
                <w:rFonts w:hint="eastAsia" w:ascii="宋体" w:hAnsi="宋体"/>
                <w:color w:val="auto"/>
                <w:sz w:val="21"/>
                <w:highlight w:val="none"/>
                <w:u w:val="single"/>
                <w:lang w:val="en-US" w:eastAsia="zh-CN"/>
              </w:rPr>
              <w:t>1</w:t>
            </w:r>
            <w:r>
              <w:rPr>
                <w:rFonts w:ascii="宋体" w:hAnsi="宋体"/>
                <w:color w:val="auto"/>
                <w:sz w:val="21"/>
                <w:highlight w:val="none"/>
                <w:u w:val="single"/>
              </w:rPr>
              <w:t xml:space="preserve"> </w:t>
            </w:r>
            <w:r>
              <w:rPr>
                <w:rFonts w:ascii="宋体" w:hAnsi="宋体"/>
                <w:color w:val="auto"/>
                <w:sz w:val="21"/>
              </w:rPr>
              <w:t>分；</w:t>
            </w:r>
          </w:p>
          <w:p>
            <w:pPr>
              <w:pStyle w:val="14"/>
              <w:tabs>
                <w:tab w:val="left" w:pos="2103"/>
              </w:tabs>
              <w:spacing w:before="2" w:line="242" w:lineRule="auto"/>
              <w:ind w:left="3" w:right="138"/>
              <w:rPr>
                <w:rFonts w:ascii="宋体" w:hAnsi="宋体"/>
                <w:color w:val="auto"/>
                <w:sz w:val="21"/>
              </w:rPr>
            </w:pPr>
            <w:r>
              <w:rPr>
                <w:rFonts w:ascii="宋体" w:hAnsi="宋体"/>
                <w:color w:val="auto"/>
                <w:spacing w:val="-4"/>
                <w:sz w:val="21"/>
              </w:rPr>
              <w:t>（2）</w:t>
            </w:r>
            <w:r>
              <w:rPr>
                <w:rFonts w:ascii="宋体" w:hAnsi="宋体"/>
                <w:color w:val="auto"/>
                <w:sz w:val="21"/>
              </w:rPr>
              <w:t>投标人获得省级科学技术进步奖</w:t>
            </w:r>
            <w:r>
              <w:rPr>
                <w:rFonts w:ascii="宋体" w:hAnsi="宋体"/>
                <w:color w:val="auto"/>
                <w:spacing w:val="-11"/>
                <w:sz w:val="21"/>
              </w:rPr>
              <w:t>，</w:t>
            </w:r>
            <w:r>
              <w:rPr>
                <w:rFonts w:ascii="宋体" w:hAnsi="宋体"/>
                <w:color w:val="auto"/>
                <w:sz w:val="21"/>
              </w:rPr>
              <w:t>主编或参编过的行业或地</w:t>
            </w:r>
            <w:r>
              <w:rPr>
                <w:rFonts w:ascii="宋体" w:hAnsi="宋体"/>
                <w:color w:val="auto"/>
                <w:spacing w:val="-11"/>
                <w:sz w:val="21"/>
              </w:rPr>
              <w:t>方</w:t>
            </w:r>
            <w:r>
              <w:rPr>
                <w:rFonts w:ascii="宋体" w:hAnsi="宋体"/>
                <w:color w:val="auto"/>
                <w:sz w:val="21"/>
              </w:rPr>
              <w:t>（指省级）标准，每项加</w:t>
            </w:r>
            <w:r>
              <w:rPr>
                <w:rFonts w:ascii="宋体" w:hAnsi="宋体"/>
                <w:color w:val="auto"/>
                <w:sz w:val="21"/>
                <w:u w:val="single"/>
              </w:rPr>
              <w:t xml:space="preserve"> </w:t>
            </w:r>
            <w:r>
              <w:rPr>
                <w:rFonts w:hint="eastAsia" w:ascii="宋体" w:hAnsi="宋体"/>
                <w:color w:val="auto"/>
                <w:sz w:val="21"/>
                <w:u w:val="single"/>
                <w:lang w:val="en-US" w:eastAsia="zh-CN"/>
              </w:rPr>
              <w:t>0.5</w:t>
            </w:r>
            <w:r>
              <w:rPr>
                <w:rFonts w:ascii="宋体" w:hAnsi="宋体"/>
                <w:color w:val="auto"/>
                <w:sz w:val="21"/>
                <w:u w:val="single"/>
              </w:rPr>
              <w:t xml:space="preserve"> </w:t>
            </w:r>
            <w:r>
              <w:rPr>
                <w:rFonts w:ascii="宋体" w:hAnsi="宋体"/>
                <w:color w:val="auto"/>
                <w:sz w:val="21"/>
              </w:rPr>
              <w:t>分；</w:t>
            </w:r>
          </w:p>
          <w:p>
            <w:pPr>
              <w:pStyle w:val="14"/>
              <w:snapToGrid w:val="0"/>
              <w:jc w:val="both"/>
              <w:rPr>
                <w:rFonts w:ascii="宋体" w:hAnsi="宋体"/>
                <w:color w:val="auto"/>
                <w:sz w:val="21"/>
              </w:rPr>
            </w:pPr>
            <w:r>
              <w:rPr>
                <w:rFonts w:ascii="宋体" w:hAnsi="宋体"/>
                <w:color w:val="auto"/>
                <w:sz w:val="21"/>
              </w:rPr>
              <w:t>本项累计加分最高</w:t>
            </w:r>
            <w:r>
              <w:rPr>
                <w:rFonts w:hint="eastAsia" w:ascii="宋体" w:hAnsi="宋体"/>
                <w:color w:val="auto"/>
                <w:sz w:val="21"/>
                <w:u w:val="single"/>
                <w:lang w:val="en-US" w:eastAsia="zh-CN"/>
              </w:rPr>
              <w:t>2</w:t>
            </w:r>
            <w:r>
              <w:rPr>
                <w:rFonts w:hint="default" w:ascii="宋体" w:hAnsi="宋体"/>
                <w:color w:val="auto"/>
                <w:sz w:val="21"/>
                <w:u w:val="single"/>
              </w:rPr>
              <w:t>0</w:t>
            </w:r>
            <w:r>
              <w:rPr>
                <w:rFonts w:ascii="宋体" w:hAnsi="宋体"/>
                <w:color w:val="auto"/>
                <w:sz w:val="21"/>
              </w:rPr>
              <w:t>分，不重复加分，按较高分只计一次。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80" w:hRule="atLeast"/>
        </w:trPr>
        <w:tc>
          <w:tcPr>
            <w:tcW w:w="1154" w:type="dxa"/>
            <w:gridSpan w:val="2"/>
            <w:vMerge w:val="continue"/>
            <w:noWrap w:val="0"/>
            <w:vAlign w:val="center"/>
          </w:tcPr>
          <w:p>
            <w:pPr>
              <w:pStyle w:val="14"/>
              <w:spacing w:before="1"/>
              <w:ind w:left="232"/>
              <w:jc w:val="center"/>
              <w:rPr>
                <w:rFonts w:ascii="宋体" w:hAnsi="宋体"/>
                <w:color w:val="auto"/>
                <w:sz w:val="21"/>
              </w:rPr>
            </w:pPr>
          </w:p>
        </w:tc>
        <w:tc>
          <w:tcPr>
            <w:tcW w:w="567" w:type="dxa"/>
            <w:vMerge w:val="continue"/>
            <w:noWrap w:val="0"/>
            <w:vAlign w:val="center"/>
          </w:tcPr>
          <w:p>
            <w:pPr>
              <w:pStyle w:val="14"/>
              <w:spacing w:line="338" w:lineRule="auto"/>
              <w:ind w:left="118" w:right="111"/>
              <w:jc w:val="center"/>
              <w:rPr>
                <w:rFonts w:ascii="宋体" w:hAnsi="宋体"/>
                <w:color w:val="auto"/>
                <w:sz w:val="21"/>
              </w:rPr>
            </w:pPr>
          </w:p>
        </w:tc>
        <w:tc>
          <w:tcPr>
            <w:tcW w:w="851" w:type="dxa"/>
            <w:tcBorders>
              <w:top w:val="single" w:color="auto" w:sz="4" w:space="0"/>
            </w:tcBorders>
            <w:noWrap w:val="0"/>
            <w:vAlign w:val="center"/>
          </w:tcPr>
          <w:p>
            <w:pPr>
              <w:pStyle w:val="14"/>
              <w:spacing w:before="113"/>
              <w:ind w:left="18" w:right="13"/>
              <w:jc w:val="center"/>
              <w:rPr>
                <w:rFonts w:ascii="宋体" w:hAnsi="宋体"/>
                <w:color w:val="auto"/>
                <w:sz w:val="21"/>
              </w:rPr>
            </w:pPr>
            <w:r>
              <w:rPr>
                <w:rFonts w:ascii="宋体" w:hAnsi="宋体"/>
                <w:color w:val="auto"/>
                <w:sz w:val="21"/>
              </w:rPr>
              <w:t>履约信誉</w:t>
            </w:r>
          </w:p>
        </w:tc>
        <w:tc>
          <w:tcPr>
            <w:tcW w:w="856" w:type="dxa"/>
            <w:tcBorders>
              <w:top w:val="single" w:color="auto" w:sz="4" w:space="0"/>
            </w:tcBorders>
            <w:noWrap w:val="0"/>
            <w:vAlign w:val="center"/>
          </w:tcPr>
          <w:p>
            <w:pPr>
              <w:pStyle w:val="14"/>
              <w:tabs>
                <w:tab w:val="left" w:pos="671"/>
              </w:tabs>
              <w:jc w:val="center"/>
              <w:rPr>
                <w:rFonts w:hint="default" w:ascii="宋体" w:hAnsi="宋体"/>
                <w:color w:val="auto"/>
                <w:sz w:val="21"/>
                <w:u w:val="single"/>
              </w:rPr>
            </w:pPr>
            <w:r>
              <w:rPr>
                <w:rFonts w:hint="default" w:ascii="宋体" w:hAnsi="宋体"/>
                <w:color w:val="auto"/>
                <w:sz w:val="21"/>
                <w:u w:val="single"/>
              </w:rPr>
              <w:t>15</w:t>
            </w:r>
            <w:r>
              <w:rPr>
                <w:rFonts w:ascii="宋体" w:hAnsi="宋体"/>
                <w:color w:val="auto"/>
                <w:sz w:val="21"/>
              </w:rPr>
              <w:t>分</w:t>
            </w:r>
          </w:p>
        </w:tc>
        <w:tc>
          <w:tcPr>
            <w:tcW w:w="6381" w:type="dxa"/>
            <w:gridSpan w:val="3"/>
            <w:tcBorders>
              <w:top w:val="single" w:color="auto" w:sz="4" w:space="0"/>
            </w:tcBorders>
            <w:noWrap w:val="0"/>
            <w:vAlign w:val="center"/>
          </w:tcPr>
          <w:p>
            <w:pPr>
              <w:pStyle w:val="14"/>
              <w:snapToGrid w:val="0"/>
              <w:jc w:val="both"/>
              <w:rPr>
                <w:rFonts w:ascii="宋体" w:hAnsi="宋体"/>
                <w:color w:val="auto"/>
                <w:sz w:val="21"/>
                <w:szCs w:val="21"/>
              </w:rPr>
            </w:pPr>
            <w:r>
              <w:rPr>
                <w:rFonts w:hint="default" w:ascii="宋体" w:hAnsi="宋体"/>
                <w:color w:val="auto"/>
                <w:sz w:val="21"/>
                <w:szCs w:val="21"/>
              </w:rPr>
              <w:t>1.</w:t>
            </w:r>
            <w:r>
              <w:rPr>
                <w:rFonts w:ascii="宋体" w:hAnsi="宋体"/>
                <w:color w:val="auto"/>
                <w:sz w:val="21"/>
                <w:szCs w:val="21"/>
              </w:rPr>
              <w:t>信用等级分值（</w:t>
            </w:r>
            <w:r>
              <w:rPr>
                <w:rFonts w:hint="default" w:ascii="宋体" w:hAnsi="宋体"/>
                <w:color w:val="auto"/>
                <w:sz w:val="21"/>
                <w:szCs w:val="21"/>
              </w:rPr>
              <w:t>1</w:t>
            </w:r>
            <w:r>
              <w:rPr>
                <w:rFonts w:ascii="宋体" w:hAnsi="宋体"/>
                <w:color w:val="auto"/>
                <w:sz w:val="21"/>
                <w:szCs w:val="21"/>
              </w:rPr>
              <w:t>0分）</w:t>
            </w:r>
          </w:p>
          <w:p>
            <w:pPr>
              <w:pStyle w:val="14"/>
              <w:snapToGrid w:val="0"/>
              <w:jc w:val="both"/>
              <w:rPr>
                <w:rFonts w:ascii="宋体" w:hAnsi="宋体"/>
                <w:color w:val="auto"/>
                <w:sz w:val="21"/>
                <w:szCs w:val="21"/>
              </w:rPr>
            </w:pPr>
            <w:r>
              <w:rPr>
                <w:rFonts w:ascii="宋体" w:hAnsi="宋体"/>
                <w:color w:val="auto"/>
                <w:sz w:val="21"/>
                <w:szCs w:val="21"/>
              </w:rPr>
              <w:t>AA、A、B、C级单位的信用等级分得分分别为10、9.5、8.9、7.3分。</w:t>
            </w:r>
          </w:p>
          <w:p>
            <w:pPr>
              <w:pStyle w:val="14"/>
              <w:snapToGrid w:val="0"/>
              <w:jc w:val="both"/>
              <w:rPr>
                <w:rFonts w:ascii="宋体" w:hAnsi="宋体"/>
                <w:color w:val="auto"/>
                <w:sz w:val="21"/>
                <w:szCs w:val="21"/>
              </w:rPr>
            </w:pPr>
            <w:r>
              <w:rPr>
                <w:rFonts w:ascii="宋体" w:hAnsi="宋体"/>
                <w:color w:val="auto"/>
                <w:sz w:val="21"/>
                <w:szCs w:val="21"/>
              </w:rPr>
              <w:t>注：信用等级的确定原则应遵循投标人须知前附表10.2款的规定。</w:t>
            </w:r>
          </w:p>
          <w:p>
            <w:pPr>
              <w:pStyle w:val="14"/>
              <w:snapToGrid w:val="0"/>
              <w:jc w:val="both"/>
              <w:rPr>
                <w:rFonts w:ascii="宋体" w:hAnsi="宋体"/>
                <w:color w:val="auto"/>
                <w:sz w:val="21"/>
                <w:szCs w:val="21"/>
              </w:rPr>
            </w:pPr>
            <w:r>
              <w:rPr>
                <w:rFonts w:ascii="宋体" w:hAnsi="宋体"/>
                <w:color w:val="auto"/>
                <w:sz w:val="21"/>
                <w:szCs w:val="21"/>
              </w:rPr>
              <w:t>2. 履约情况（5分）</w:t>
            </w:r>
          </w:p>
          <w:p>
            <w:pPr>
              <w:pStyle w:val="14"/>
              <w:snapToGrid w:val="0"/>
              <w:jc w:val="both"/>
              <w:rPr>
                <w:rFonts w:ascii="宋体" w:hAnsi="宋体"/>
                <w:color w:val="auto"/>
                <w:sz w:val="21"/>
                <w:szCs w:val="21"/>
              </w:rPr>
            </w:pPr>
            <w:r>
              <w:rPr>
                <w:rFonts w:ascii="宋体" w:hAnsi="宋体"/>
                <w:color w:val="auto"/>
                <w:sz w:val="21"/>
                <w:szCs w:val="21"/>
              </w:rPr>
              <w:t>若没出现下述情形得满分；</w:t>
            </w:r>
          </w:p>
          <w:p>
            <w:pPr>
              <w:pStyle w:val="14"/>
              <w:snapToGrid w:val="0"/>
              <w:jc w:val="both"/>
              <w:rPr>
                <w:rFonts w:ascii="宋体" w:hAnsi="宋体"/>
                <w:color w:val="auto"/>
                <w:sz w:val="21"/>
                <w:szCs w:val="21"/>
              </w:rPr>
            </w:pPr>
            <w:r>
              <w:rPr>
                <w:rFonts w:ascii="宋体" w:hAnsi="宋体"/>
                <w:color w:val="auto"/>
                <w:sz w:val="21"/>
                <w:szCs w:val="21"/>
              </w:rPr>
              <w:t>自202</w:t>
            </w:r>
            <w:r>
              <w:rPr>
                <w:rFonts w:hint="eastAsia" w:ascii="宋体" w:hAnsi="宋体"/>
                <w:color w:val="auto"/>
                <w:sz w:val="21"/>
                <w:szCs w:val="21"/>
                <w:lang w:val="en-US" w:eastAsia="zh-CN"/>
              </w:rPr>
              <w:t>2</w:t>
            </w:r>
            <w:r>
              <w:rPr>
                <w:rFonts w:ascii="宋体" w:hAnsi="宋体"/>
                <w:color w:val="auto"/>
                <w:sz w:val="21"/>
                <w:szCs w:val="21"/>
              </w:rPr>
              <w:t>年</w:t>
            </w:r>
            <w:r>
              <w:rPr>
                <w:rFonts w:hint="eastAsia" w:ascii="宋体" w:hAnsi="宋体"/>
                <w:color w:val="auto"/>
                <w:sz w:val="21"/>
                <w:szCs w:val="21"/>
                <w:lang w:val="en-US" w:eastAsia="zh-CN"/>
              </w:rPr>
              <w:t>5</w:t>
            </w:r>
            <w:r>
              <w:rPr>
                <w:rFonts w:ascii="宋体" w:hAnsi="宋体"/>
                <w:color w:val="auto"/>
                <w:sz w:val="21"/>
                <w:szCs w:val="21"/>
              </w:rPr>
              <w:t>月1日至投标文件递交截止日（投标文件递交截止日前1年内），因公路工程（含附属设施）质量、安全、履约或招标投标问题等原因被：</w:t>
            </w:r>
          </w:p>
          <w:p>
            <w:pPr>
              <w:pStyle w:val="14"/>
              <w:snapToGrid w:val="0"/>
              <w:jc w:val="both"/>
              <w:rPr>
                <w:rFonts w:ascii="宋体" w:hAnsi="宋体"/>
                <w:color w:val="auto"/>
                <w:sz w:val="21"/>
                <w:szCs w:val="21"/>
              </w:rPr>
            </w:pPr>
            <w:r>
              <w:rPr>
                <w:rFonts w:ascii="宋体" w:hAnsi="宋体"/>
                <w:color w:val="auto"/>
                <w:sz w:val="21"/>
                <w:szCs w:val="21"/>
              </w:rPr>
              <w:t>（1）交通运输部通报批评的，扣5分/次；</w:t>
            </w:r>
          </w:p>
          <w:p>
            <w:pPr>
              <w:pStyle w:val="14"/>
              <w:snapToGrid w:val="0"/>
              <w:jc w:val="both"/>
              <w:rPr>
                <w:rFonts w:ascii="宋体" w:hAnsi="宋体"/>
                <w:color w:val="auto"/>
                <w:sz w:val="21"/>
                <w:szCs w:val="21"/>
              </w:rPr>
            </w:pPr>
            <w:r>
              <w:rPr>
                <w:rFonts w:ascii="宋体" w:hAnsi="宋体"/>
                <w:color w:val="auto"/>
                <w:sz w:val="21"/>
                <w:szCs w:val="21"/>
              </w:rPr>
              <w:t>（2）广东省交通运输厅通报批评的，扣4分/次；</w:t>
            </w:r>
          </w:p>
          <w:p>
            <w:pPr>
              <w:pStyle w:val="14"/>
              <w:snapToGrid w:val="0"/>
              <w:jc w:val="both"/>
              <w:rPr>
                <w:rFonts w:ascii="宋体" w:hAnsi="宋体"/>
                <w:color w:val="auto"/>
                <w:sz w:val="21"/>
                <w:szCs w:val="21"/>
              </w:rPr>
            </w:pPr>
            <w:r>
              <w:rPr>
                <w:rFonts w:ascii="宋体" w:hAnsi="宋体"/>
                <w:color w:val="auto"/>
                <w:sz w:val="21"/>
                <w:szCs w:val="21"/>
              </w:rPr>
              <w:t>（3）项目所在地地市级交通局（委）、本项目招标人或招标人上级管理单位通报批评的，扣1分/次。</w:t>
            </w:r>
          </w:p>
          <w:p>
            <w:pPr>
              <w:pStyle w:val="14"/>
              <w:snapToGrid w:val="0"/>
              <w:ind w:firstLine="315" w:firstLineChars="150"/>
              <w:jc w:val="both"/>
              <w:rPr>
                <w:rFonts w:hint="default" w:ascii="宋体" w:hAnsi="宋体"/>
                <w:color w:val="auto"/>
                <w:sz w:val="21"/>
                <w:szCs w:val="21"/>
              </w:rPr>
            </w:pPr>
            <w:r>
              <w:rPr>
                <w:rFonts w:ascii="宋体" w:hAnsi="宋体"/>
                <w:color w:val="auto"/>
                <w:sz w:val="21"/>
                <w:szCs w:val="21"/>
              </w:rPr>
              <w:t>同一事项同时被多个部门通报批评或处罚只按最高的扣分计算1次。如果扣完本项分值，可以从总分中扣。</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9" w:hRule="atLeast"/>
        </w:trPr>
        <w:tc>
          <w:tcPr>
            <w:tcW w:w="9809" w:type="dxa"/>
            <w:gridSpan w:val="8"/>
            <w:noWrap w:val="0"/>
            <w:vAlign w:val="top"/>
          </w:tcPr>
          <w:p>
            <w:pPr>
              <w:pStyle w:val="14"/>
              <w:spacing w:line="360" w:lineRule="auto"/>
              <w:rPr>
                <w:rFonts w:ascii="宋体" w:hAnsi="宋体"/>
                <w:b/>
                <w:bCs/>
                <w:color w:val="auto"/>
                <w:sz w:val="21"/>
              </w:rPr>
            </w:pPr>
            <w:r>
              <w:rPr>
                <w:rFonts w:ascii="宋体" w:hAnsi="宋体"/>
                <w:b/>
                <w:bCs/>
                <w:color w:val="auto"/>
                <w:sz w:val="21"/>
              </w:rPr>
              <w:t>需要补充的其他内容：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9" w:hRule="atLeast"/>
        </w:trPr>
        <w:tc>
          <w:tcPr>
            <w:tcW w:w="600" w:type="dxa"/>
            <w:tcBorders>
              <w:right w:val="single" w:color="auto" w:sz="4" w:space="0"/>
            </w:tcBorders>
            <w:noWrap w:val="0"/>
            <w:vAlign w:val="top"/>
          </w:tcPr>
          <w:p>
            <w:pPr>
              <w:pStyle w:val="14"/>
              <w:spacing w:line="360" w:lineRule="auto"/>
              <w:jc w:val="center"/>
              <w:rPr>
                <w:rFonts w:ascii="宋体" w:hAnsi="宋体"/>
                <w:b/>
                <w:bCs/>
                <w:color w:val="auto"/>
                <w:sz w:val="21"/>
              </w:rPr>
            </w:pPr>
            <w:r>
              <w:rPr>
                <w:rFonts w:ascii="宋体" w:hAnsi="宋体"/>
                <w:b/>
                <w:bCs/>
                <w:color w:val="auto"/>
                <w:sz w:val="21"/>
              </w:rPr>
              <w:t>条款号</w:t>
            </w:r>
          </w:p>
        </w:tc>
        <w:tc>
          <w:tcPr>
            <w:tcW w:w="9209" w:type="dxa"/>
            <w:gridSpan w:val="7"/>
            <w:tcBorders>
              <w:left w:val="single" w:color="auto" w:sz="4" w:space="0"/>
            </w:tcBorders>
            <w:noWrap w:val="0"/>
            <w:vAlign w:val="top"/>
          </w:tcPr>
          <w:p>
            <w:pPr>
              <w:pStyle w:val="14"/>
              <w:spacing w:line="360" w:lineRule="auto"/>
              <w:jc w:val="center"/>
              <w:rPr>
                <w:rFonts w:ascii="宋体" w:hAnsi="宋体"/>
                <w:b/>
                <w:bCs/>
                <w:color w:val="auto"/>
                <w:sz w:val="21"/>
              </w:rPr>
            </w:pPr>
            <w:r>
              <w:rPr>
                <w:rFonts w:ascii="宋体" w:hAnsi="宋体"/>
                <w:b/>
                <w:bCs/>
                <w:color w:val="auto"/>
                <w:sz w:val="21"/>
              </w:rPr>
              <w:t>补充或修改的内容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8" w:hRule="atLeast"/>
        </w:trPr>
        <w:tc>
          <w:tcPr>
            <w:tcW w:w="600" w:type="dxa"/>
            <w:tcBorders>
              <w:right w:val="single" w:color="auto" w:sz="4" w:space="0"/>
            </w:tcBorders>
            <w:noWrap w:val="0"/>
            <w:vAlign w:val="center"/>
          </w:tcPr>
          <w:p>
            <w:pPr>
              <w:pStyle w:val="14"/>
              <w:spacing w:line="360" w:lineRule="auto"/>
              <w:jc w:val="center"/>
              <w:rPr>
                <w:rFonts w:ascii="宋体" w:hAnsi="宋体"/>
                <w:b/>
                <w:bCs/>
                <w:color w:val="auto"/>
                <w:sz w:val="21"/>
                <w:szCs w:val="21"/>
              </w:rPr>
            </w:pPr>
            <w:r>
              <w:rPr>
                <w:rFonts w:ascii="宋体" w:hAnsi="宋体"/>
                <w:b/>
                <w:bCs/>
                <w:color w:val="auto"/>
                <w:sz w:val="21"/>
                <w:szCs w:val="21"/>
              </w:rPr>
              <w:t>1</w:t>
            </w:r>
          </w:p>
        </w:tc>
        <w:tc>
          <w:tcPr>
            <w:tcW w:w="9209" w:type="dxa"/>
            <w:gridSpan w:val="7"/>
            <w:tcBorders>
              <w:left w:val="single" w:color="auto" w:sz="4" w:space="0"/>
            </w:tcBorders>
            <w:noWrap w:val="0"/>
            <w:vAlign w:val="top"/>
          </w:tcPr>
          <w:p>
            <w:pPr>
              <w:pStyle w:val="14"/>
              <w:spacing w:line="360" w:lineRule="auto"/>
              <w:rPr>
                <w:rFonts w:ascii="宋体" w:hAnsi="宋体" w:cs="宋体"/>
                <w:color w:val="auto"/>
                <w:sz w:val="21"/>
                <w:szCs w:val="21"/>
              </w:rPr>
            </w:pPr>
            <w:r>
              <w:rPr>
                <w:rFonts w:ascii="宋体" w:hAnsi="宋体" w:cs="宋体"/>
                <w:color w:val="auto"/>
                <w:sz w:val="21"/>
                <w:szCs w:val="21"/>
              </w:rPr>
              <w:t>将评标办法范本原文第 1 条“评标方法”改为“评标方法、组织及工作程序”，原文内容修改如下：</w:t>
            </w:r>
          </w:p>
          <w:p>
            <w:pPr>
              <w:pStyle w:val="14"/>
              <w:spacing w:line="360" w:lineRule="auto"/>
              <w:rPr>
                <w:rFonts w:ascii="宋体" w:hAnsi="宋体" w:cs="宋体"/>
                <w:color w:val="auto"/>
                <w:sz w:val="21"/>
                <w:szCs w:val="21"/>
              </w:rPr>
            </w:pPr>
            <w:r>
              <w:rPr>
                <w:rFonts w:ascii="宋体" w:hAnsi="宋体" w:cs="宋体"/>
                <w:color w:val="auto"/>
                <w:sz w:val="21"/>
                <w:szCs w:val="21"/>
              </w:rPr>
              <w:t>1.评标方法、组织及工作程序</w:t>
            </w:r>
          </w:p>
          <w:p>
            <w:pPr>
              <w:pStyle w:val="14"/>
              <w:spacing w:line="360" w:lineRule="auto"/>
              <w:rPr>
                <w:rFonts w:ascii="宋体" w:hAnsi="宋体" w:cs="宋体"/>
                <w:color w:val="auto"/>
                <w:sz w:val="21"/>
                <w:szCs w:val="21"/>
              </w:rPr>
            </w:pPr>
            <w:r>
              <w:rPr>
                <w:rFonts w:ascii="宋体" w:hAnsi="宋体" w:cs="宋体"/>
                <w:color w:val="auto"/>
                <w:sz w:val="21"/>
                <w:szCs w:val="21"/>
              </w:rPr>
              <w:t>1.1 评标方法</w:t>
            </w:r>
          </w:p>
          <w:p>
            <w:pPr>
              <w:pStyle w:val="14"/>
              <w:spacing w:line="360" w:lineRule="auto"/>
              <w:jc w:val="both"/>
              <w:rPr>
                <w:rFonts w:ascii="宋体" w:hAnsi="宋体" w:cs="宋体"/>
                <w:color w:val="auto"/>
                <w:sz w:val="21"/>
                <w:szCs w:val="21"/>
              </w:rPr>
            </w:pPr>
            <w:r>
              <w:rPr>
                <w:rFonts w:ascii="宋体" w:hAnsi="宋体" w:cs="宋体"/>
                <w:color w:val="auto"/>
                <w:spacing w:val="2"/>
                <w:sz w:val="21"/>
                <w:szCs w:val="21"/>
              </w:rPr>
              <w:t>本次评标采用技术评分最低标价法。评标委员会</w:t>
            </w:r>
            <w:r>
              <w:rPr>
                <w:rFonts w:ascii="宋体" w:hAnsi="宋体" w:cs="宋体"/>
                <w:color w:val="auto"/>
                <w:spacing w:val="-1"/>
                <w:sz w:val="21"/>
                <w:szCs w:val="21"/>
              </w:rPr>
              <w:t xml:space="preserve">对满足招标文件实质性要求的投标文件，按照本章第 </w:t>
            </w:r>
            <w:r>
              <w:rPr>
                <w:rFonts w:ascii="宋体" w:hAnsi="宋体" w:cs="宋体"/>
                <w:color w:val="auto"/>
                <w:sz w:val="21"/>
                <w:szCs w:val="21"/>
              </w:rPr>
              <w:t>2.2</w:t>
            </w:r>
            <w:r>
              <w:rPr>
                <w:rFonts w:ascii="宋体" w:hAnsi="宋体" w:cs="宋体"/>
                <w:color w:val="auto"/>
                <w:spacing w:val="-6"/>
                <w:sz w:val="21"/>
                <w:szCs w:val="21"/>
              </w:rPr>
              <w:t xml:space="preserve"> 款规</w:t>
            </w:r>
            <w:r>
              <w:rPr>
                <w:rFonts w:ascii="宋体" w:hAnsi="宋体" w:cs="宋体"/>
                <w:color w:val="auto"/>
                <w:sz w:val="21"/>
                <w:szCs w:val="21"/>
              </w:rPr>
              <w:t>定对通过初步评审的投标人施工组织设计、主要人员、其他因素等进行评分，按照得分由高到低排序，对排名在招标文件规定数量</w:t>
            </w:r>
            <w:r>
              <w:rPr>
                <w:rFonts w:ascii="宋体" w:hAnsi="宋体" w:cs="宋体"/>
                <w:color w:val="auto"/>
                <w:spacing w:val="-24"/>
                <w:sz w:val="21"/>
                <w:szCs w:val="21"/>
                <w:u w:val="single"/>
              </w:rPr>
              <w:t xml:space="preserve">前 </w:t>
            </w:r>
            <w:r>
              <w:rPr>
                <w:rFonts w:ascii="宋体" w:hAnsi="宋体" w:cs="宋体"/>
                <w:color w:val="auto"/>
                <w:sz w:val="21"/>
                <w:szCs w:val="21"/>
                <w:u w:val="single"/>
              </w:rPr>
              <w:t>5</w:t>
            </w:r>
            <w:r>
              <w:rPr>
                <w:rFonts w:ascii="宋体" w:hAnsi="宋体" w:cs="宋体"/>
                <w:color w:val="auto"/>
                <w:spacing w:val="-25"/>
                <w:sz w:val="21"/>
                <w:szCs w:val="21"/>
                <w:u w:val="single"/>
              </w:rPr>
              <w:t xml:space="preserve"> 名</w:t>
            </w:r>
            <w:r>
              <w:rPr>
                <w:rFonts w:ascii="宋体" w:hAnsi="宋体" w:cs="宋体"/>
                <w:color w:val="auto"/>
                <w:sz w:val="21"/>
                <w:szCs w:val="21"/>
                <w:u w:val="single"/>
              </w:rPr>
              <w:t>（</w:t>
            </w:r>
            <w:r>
              <w:rPr>
                <w:rFonts w:ascii="宋体" w:hAnsi="宋体" w:cs="宋体"/>
                <w:color w:val="auto"/>
                <w:spacing w:val="-12"/>
                <w:sz w:val="21"/>
                <w:szCs w:val="21"/>
                <w:u w:val="single"/>
              </w:rPr>
              <w:t xml:space="preserve">不少于 </w:t>
            </w:r>
            <w:r>
              <w:rPr>
                <w:rFonts w:ascii="宋体" w:hAnsi="宋体" w:cs="宋体"/>
                <w:color w:val="auto"/>
                <w:sz w:val="21"/>
                <w:szCs w:val="21"/>
                <w:u w:val="single"/>
              </w:rPr>
              <w:t>3</w:t>
            </w:r>
            <w:r>
              <w:rPr>
                <w:rFonts w:ascii="宋体" w:hAnsi="宋体" w:cs="宋体"/>
                <w:color w:val="auto"/>
                <w:spacing w:val="-17"/>
                <w:sz w:val="21"/>
                <w:szCs w:val="21"/>
                <w:u w:val="single"/>
              </w:rPr>
              <w:t xml:space="preserve"> 名但不足 </w:t>
            </w:r>
            <w:r>
              <w:rPr>
                <w:rFonts w:ascii="宋体" w:hAnsi="宋体" w:cs="宋体"/>
                <w:color w:val="auto"/>
                <w:sz w:val="21"/>
                <w:szCs w:val="21"/>
                <w:u w:val="single"/>
              </w:rPr>
              <w:t>5</w:t>
            </w:r>
            <w:r>
              <w:rPr>
                <w:rFonts w:ascii="宋体" w:hAnsi="宋体" w:cs="宋体"/>
                <w:color w:val="auto"/>
                <w:spacing w:val="-7"/>
                <w:sz w:val="21"/>
                <w:szCs w:val="21"/>
                <w:u w:val="single"/>
              </w:rPr>
              <w:t xml:space="preserve"> 名时，按全部实际数量</w:t>
            </w:r>
            <w:r>
              <w:rPr>
                <w:rFonts w:ascii="宋体" w:hAnsi="宋体" w:cs="宋体"/>
                <w:color w:val="auto"/>
                <w:sz w:val="21"/>
                <w:szCs w:val="21"/>
                <w:u w:val="single"/>
              </w:rPr>
              <w:t xml:space="preserve">） </w:t>
            </w:r>
            <w:r>
              <w:rPr>
                <w:rFonts w:ascii="宋体" w:hAnsi="宋体" w:cs="宋体"/>
                <w:color w:val="auto"/>
                <w:sz w:val="21"/>
                <w:szCs w:val="21"/>
              </w:rPr>
              <w:t>的投标人的报价文件进行评审，按照评标价由低到高的顺序推荐中标候选人的评标方法。但投标报价低于其成本的除外。评标价相等时，评标委员会应按照评标办法前附表规定的优先次序推荐中标候选人或确定中标人。</w:t>
            </w:r>
          </w:p>
          <w:p>
            <w:pPr>
              <w:pStyle w:val="14"/>
              <w:spacing w:line="360" w:lineRule="auto"/>
              <w:rPr>
                <w:rFonts w:ascii="宋体" w:hAnsi="宋体" w:cs="宋体"/>
                <w:color w:val="auto"/>
                <w:sz w:val="21"/>
                <w:szCs w:val="21"/>
              </w:rPr>
            </w:pPr>
            <w:r>
              <w:rPr>
                <w:rFonts w:ascii="宋体" w:hAnsi="宋体" w:cs="宋体"/>
                <w:color w:val="auto"/>
                <w:sz w:val="21"/>
                <w:szCs w:val="21"/>
              </w:rPr>
              <w:t>1.2评标组织</w:t>
            </w:r>
          </w:p>
          <w:p>
            <w:pPr>
              <w:pStyle w:val="14"/>
              <w:spacing w:line="360" w:lineRule="auto"/>
              <w:rPr>
                <w:rFonts w:ascii="宋体" w:hAnsi="宋体" w:cs="宋体"/>
                <w:color w:val="auto"/>
                <w:sz w:val="21"/>
                <w:szCs w:val="21"/>
              </w:rPr>
            </w:pPr>
            <w:r>
              <w:rPr>
                <w:rFonts w:ascii="宋体" w:hAnsi="宋体" w:cs="宋体"/>
                <w:color w:val="auto"/>
                <w:sz w:val="21"/>
                <w:szCs w:val="21"/>
              </w:rPr>
              <w:t>1.2.1协助工作组</w:t>
            </w:r>
          </w:p>
          <w:p>
            <w:pPr>
              <w:pStyle w:val="14"/>
              <w:spacing w:line="360" w:lineRule="auto"/>
              <w:jc w:val="both"/>
              <w:rPr>
                <w:rFonts w:ascii="宋体" w:hAnsi="宋体" w:cs="宋体"/>
                <w:color w:val="auto"/>
                <w:sz w:val="21"/>
                <w:szCs w:val="21"/>
              </w:rPr>
            </w:pPr>
            <w:r>
              <w:rPr>
                <w:rFonts w:ascii="宋体" w:hAnsi="宋体" w:cs="宋体"/>
                <w:color w:val="auto"/>
                <w:sz w:val="21"/>
                <w:szCs w:val="21"/>
              </w:rPr>
              <w:t>招标人可在评标工作开始前成立协助工作组，选派熟悉招标工作、政治素质高的人员组成，协助评标委员会工作。协助工作组人员的具体数量由招标人视评标工作量确定。</w:t>
            </w:r>
          </w:p>
          <w:p>
            <w:pPr>
              <w:pStyle w:val="14"/>
              <w:spacing w:line="360" w:lineRule="auto"/>
              <w:rPr>
                <w:rFonts w:ascii="宋体" w:hAnsi="宋体" w:cs="宋体"/>
                <w:color w:val="auto"/>
                <w:sz w:val="21"/>
                <w:szCs w:val="21"/>
              </w:rPr>
            </w:pPr>
            <w:r>
              <w:rPr>
                <w:rFonts w:ascii="宋体" w:hAnsi="宋体" w:cs="宋体"/>
                <w:color w:val="auto"/>
                <w:sz w:val="21"/>
                <w:szCs w:val="21"/>
              </w:rPr>
              <w:t>招标人可以协助评标委员会开展下列工作并提供相关信息：</w:t>
            </w:r>
          </w:p>
          <w:p>
            <w:pPr>
              <w:pStyle w:val="14"/>
              <w:numPr>
                <w:ilvl w:val="3"/>
                <w:numId w:val="11"/>
              </w:numPr>
              <w:tabs>
                <w:tab w:val="left" w:pos="653"/>
              </w:tabs>
              <w:spacing w:line="360" w:lineRule="auto"/>
              <w:ind w:left="0" w:firstLine="0"/>
              <w:rPr>
                <w:rFonts w:ascii="宋体" w:hAnsi="宋体" w:cs="宋体"/>
                <w:color w:val="auto"/>
                <w:sz w:val="21"/>
                <w:szCs w:val="21"/>
              </w:rPr>
            </w:pPr>
            <w:r>
              <w:rPr>
                <w:rFonts w:ascii="宋体" w:hAnsi="宋体" w:cs="宋体"/>
                <w:color w:val="auto"/>
                <w:sz w:val="21"/>
                <w:szCs w:val="21"/>
              </w:rPr>
              <w:t>根据招标文件，编制评标使用的相应表格；</w:t>
            </w:r>
          </w:p>
          <w:p>
            <w:pPr>
              <w:pStyle w:val="14"/>
              <w:numPr>
                <w:ilvl w:val="3"/>
                <w:numId w:val="11"/>
              </w:numPr>
              <w:tabs>
                <w:tab w:val="left" w:pos="653"/>
              </w:tabs>
              <w:spacing w:line="360" w:lineRule="auto"/>
              <w:ind w:left="0" w:firstLine="0"/>
              <w:rPr>
                <w:rFonts w:ascii="宋体" w:hAnsi="宋体" w:cs="宋体"/>
                <w:color w:val="auto"/>
                <w:sz w:val="21"/>
                <w:szCs w:val="21"/>
              </w:rPr>
            </w:pPr>
            <w:r>
              <w:rPr>
                <w:rFonts w:ascii="宋体" w:hAnsi="宋体" w:cs="宋体"/>
                <w:color w:val="auto"/>
                <w:spacing w:val="-1"/>
                <w:sz w:val="21"/>
                <w:szCs w:val="21"/>
              </w:rPr>
              <w:t>对投标报价进行算术性校核</w:t>
            </w:r>
            <w:r>
              <w:rPr>
                <w:rFonts w:ascii="宋体" w:hAnsi="宋体" w:cs="宋体"/>
                <w:color w:val="auto"/>
                <w:sz w:val="21"/>
                <w:szCs w:val="21"/>
              </w:rPr>
              <w:t>（</w:t>
            </w:r>
            <w:r>
              <w:rPr>
                <w:rFonts w:ascii="宋体" w:hAnsi="宋体" w:cs="宋体"/>
                <w:color w:val="auto"/>
                <w:spacing w:val="-3"/>
                <w:sz w:val="21"/>
                <w:szCs w:val="21"/>
              </w:rPr>
              <w:t>如采用固化清单，本步骤</w:t>
            </w:r>
            <w:r>
              <w:rPr>
                <w:rFonts w:ascii="宋体" w:hAnsi="宋体" w:cs="宋体"/>
                <w:color w:val="auto"/>
                <w:sz w:val="21"/>
                <w:szCs w:val="21"/>
              </w:rPr>
              <w:t>省略）；</w:t>
            </w:r>
          </w:p>
          <w:p>
            <w:pPr>
              <w:pStyle w:val="14"/>
              <w:numPr>
                <w:ilvl w:val="3"/>
                <w:numId w:val="11"/>
              </w:numPr>
              <w:tabs>
                <w:tab w:val="left" w:pos="653"/>
              </w:tabs>
              <w:spacing w:line="360" w:lineRule="auto"/>
              <w:ind w:left="0" w:firstLine="0"/>
              <w:rPr>
                <w:rFonts w:ascii="宋体" w:hAnsi="宋体" w:cs="宋体"/>
                <w:color w:val="auto"/>
                <w:sz w:val="21"/>
                <w:szCs w:val="21"/>
              </w:rPr>
            </w:pPr>
            <w:r>
              <w:rPr>
                <w:rFonts w:ascii="宋体" w:hAnsi="宋体" w:cs="宋体"/>
                <w:color w:val="auto"/>
                <w:spacing w:val="-2"/>
                <w:sz w:val="21"/>
                <w:szCs w:val="21"/>
              </w:rPr>
              <w:t>以评标标准和方法为依据，列出投标文件相对于招标文</w:t>
            </w:r>
            <w:r>
              <w:rPr>
                <w:rFonts w:ascii="宋体" w:hAnsi="宋体" w:cs="宋体"/>
                <w:color w:val="auto"/>
                <w:sz w:val="21"/>
                <w:szCs w:val="21"/>
              </w:rPr>
              <w:t>件的所有偏差，并进行归类汇总；</w:t>
            </w:r>
          </w:p>
          <w:p>
            <w:pPr>
              <w:pStyle w:val="14"/>
              <w:numPr>
                <w:ilvl w:val="3"/>
                <w:numId w:val="11"/>
              </w:numPr>
              <w:tabs>
                <w:tab w:val="left" w:pos="653"/>
              </w:tabs>
              <w:spacing w:line="360" w:lineRule="auto"/>
              <w:ind w:left="0" w:firstLine="0"/>
              <w:rPr>
                <w:rFonts w:ascii="宋体" w:hAnsi="宋体" w:cs="宋体"/>
                <w:color w:val="auto"/>
                <w:sz w:val="21"/>
                <w:szCs w:val="21"/>
              </w:rPr>
            </w:pPr>
            <w:r>
              <w:rPr>
                <w:rFonts w:ascii="宋体" w:hAnsi="宋体" w:cs="宋体"/>
                <w:color w:val="auto"/>
                <w:spacing w:val="-4"/>
                <w:sz w:val="21"/>
                <w:szCs w:val="21"/>
              </w:rPr>
              <w:t>查询公路建设市场信用信息管理系统，对投标人的资质、业绩、主要人员资历和目前在岗情况、信用等级进行核实。</w:t>
            </w:r>
          </w:p>
          <w:p>
            <w:pPr>
              <w:pStyle w:val="14"/>
              <w:spacing w:line="360" w:lineRule="auto"/>
              <w:jc w:val="both"/>
              <w:rPr>
                <w:rFonts w:ascii="宋体" w:hAnsi="宋体" w:cs="宋体"/>
                <w:color w:val="auto"/>
                <w:sz w:val="21"/>
                <w:szCs w:val="21"/>
              </w:rPr>
            </w:pPr>
            <w:r>
              <w:rPr>
                <w:rFonts w:ascii="宋体" w:hAnsi="宋体" w:cs="宋体"/>
                <w:color w:val="auto"/>
                <w:sz w:val="21"/>
                <w:szCs w:val="21"/>
              </w:rPr>
              <w:t>招标人不得对投标文件作出任何评价，不得故意遗漏或者片面摘录，不得在评标委员会对所有偏差定性之前透露存有偏差的投标人名称。</w:t>
            </w:r>
          </w:p>
          <w:p>
            <w:pPr>
              <w:pStyle w:val="14"/>
              <w:tabs>
                <w:tab w:val="left" w:pos="769"/>
              </w:tabs>
              <w:spacing w:line="360" w:lineRule="auto"/>
              <w:rPr>
                <w:rFonts w:ascii="宋体" w:hAnsi="宋体" w:cs="宋体"/>
                <w:color w:val="auto"/>
                <w:sz w:val="21"/>
                <w:szCs w:val="21"/>
              </w:rPr>
            </w:pPr>
            <w:r>
              <w:rPr>
                <w:rFonts w:ascii="宋体" w:hAnsi="宋体" w:cs="宋体"/>
                <w:color w:val="auto"/>
                <w:sz w:val="21"/>
                <w:szCs w:val="21"/>
              </w:rPr>
              <w:t>1.2.1评标委员会</w:t>
            </w:r>
          </w:p>
          <w:p>
            <w:pPr>
              <w:pStyle w:val="14"/>
              <w:spacing w:line="360" w:lineRule="auto"/>
              <w:rPr>
                <w:rFonts w:ascii="宋体" w:hAnsi="宋体" w:cs="宋体"/>
                <w:color w:val="auto"/>
                <w:sz w:val="21"/>
                <w:szCs w:val="21"/>
              </w:rPr>
            </w:pPr>
            <w:r>
              <w:rPr>
                <w:rFonts w:ascii="宋体" w:hAnsi="宋体" w:cs="宋体"/>
                <w:color w:val="auto"/>
                <w:sz w:val="21"/>
                <w:szCs w:val="21"/>
              </w:rPr>
              <w:t>评标委员会由招标人按国家、广东省等的有关规定依法组建。评标委员会的主要工作内容包括：</w:t>
            </w:r>
          </w:p>
          <w:p>
            <w:pPr>
              <w:pStyle w:val="14"/>
              <w:numPr>
                <w:ilvl w:val="0"/>
                <w:numId w:val="12"/>
              </w:numPr>
              <w:spacing w:line="360" w:lineRule="auto"/>
              <w:ind w:left="0" w:firstLine="0"/>
              <w:rPr>
                <w:rFonts w:ascii="宋体" w:hAnsi="宋体" w:cs="宋体"/>
                <w:color w:val="auto"/>
                <w:sz w:val="21"/>
                <w:szCs w:val="21"/>
              </w:rPr>
            </w:pPr>
            <w:r>
              <w:rPr>
                <w:rFonts w:ascii="宋体" w:hAnsi="宋体" w:cs="宋体"/>
                <w:color w:val="auto"/>
                <w:spacing w:val="-2"/>
                <w:sz w:val="21"/>
                <w:szCs w:val="21"/>
              </w:rPr>
              <w:t>评标委员会开始评标工作之前，首先听取招标人、协助</w:t>
            </w:r>
            <w:r>
              <w:rPr>
                <w:rFonts w:ascii="宋体" w:hAnsi="宋体" w:cs="宋体"/>
                <w:color w:val="auto"/>
                <w:spacing w:val="-3"/>
                <w:sz w:val="21"/>
                <w:szCs w:val="21"/>
              </w:rPr>
              <w:t>工作组关于工程情况和辅助工作的说明，并认真研读招标文件， 获取评标所需的重要信息和数据；</w:t>
            </w:r>
          </w:p>
          <w:p>
            <w:pPr>
              <w:pStyle w:val="14"/>
              <w:numPr>
                <w:ilvl w:val="0"/>
                <w:numId w:val="12"/>
              </w:numPr>
              <w:spacing w:line="360" w:lineRule="auto"/>
              <w:ind w:left="0" w:firstLine="0"/>
              <w:rPr>
                <w:rFonts w:ascii="宋体" w:hAnsi="宋体" w:cs="宋体"/>
                <w:color w:val="auto"/>
                <w:sz w:val="21"/>
                <w:szCs w:val="21"/>
              </w:rPr>
            </w:pPr>
            <w:r>
              <w:rPr>
                <w:rFonts w:ascii="宋体" w:hAnsi="宋体" w:cs="宋体"/>
                <w:color w:val="auto"/>
                <w:spacing w:val="-2"/>
                <w:sz w:val="21"/>
                <w:szCs w:val="21"/>
              </w:rPr>
              <w:t>对</w:t>
            </w:r>
            <w:r>
              <w:rPr>
                <w:rFonts w:ascii="宋体" w:hAnsi="宋体" w:cs="宋体"/>
                <w:color w:val="auto"/>
                <w:spacing w:val="5"/>
                <w:sz w:val="21"/>
                <w:szCs w:val="21"/>
              </w:rPr>
              <w:t>协助工作组提供的评标工作用表和评标内容进行核查；</w:t>
            </w:r>
          </w:p>
          <w:p>
            <w:pPr>
              <w:pStyle w:val="14"/>
              <w:numPr>
                <w:ilvl w:val="0"/>
                <w:numId w:val="12"/>
              </w:numPr>
              <w:spacing w:line="360" w:lineRule="auto"/>
              <w:ind w:left="0" w:firstLine="0"/>
              <w:rPr>
                <w:rFonts w:ascii="宋体" w:hAnsi="宋体" w:cs="宋体"/>
                <w:color w:val="auto"/>
                <w:sz w:val="21"/>
                <w:szCs w:val="21"/>
              </w:rPr>
            </w:pPr>
            <w:r>
              <w:rPr>
                <w:rFonts w:ascii="宋体" w:hAnsi="宋体" w:cs="宋体"/>
                <w:color w:val="auto"/>
                <w:spacing w:val="-12"/>
                <w:sz w:val="21"/>
                <w:szCs w:val="21"/>
              </w:rPr>
              <w:t xml:space="preserve">按照以下 </w:t>
            </w:r>
            <w:r>
              <w:rPr>
                <w:rFonts w:ascii="宋体" w:hAnsi="宋体" w:cs="宋体"/>
                <w:color w:val="auto"/>
                <w:sz w:val="21"/>
                <w:szCs w:val="21"/>
              </w:rPr>
              <w:t>1.3</w:t>
            </w:r>
            <w:r>
              <w:rPr>
                <w:rFonts w:ascii="宋体" w:hAnsi="宋体" w:cs="宋体"/>
                <w:color w:val="auto"/>
                <w:spacing w:val="-8"/>
                <w:sz w:val="21"/>
                <w:szCs w:val="21"/>
              </w:rPr>
              <w:t xml:space="preserve"> 款程序进行各项评审工作。</w:t>
            </w:r>
          </w:p>
          <w:p>
            <w:pPr>
              <w:pStyle w:val="14"/>
              <w:spacing w:line="360" w:lineRule="auto"/>
              <w:rPr>
                <w:rFonts w:ascii="宋体" w:hAnsi="宋体" w:cs="宋体"/>
                <w:color w:val="auto"/>
                <w:sz w:val="21"/>
                <w:szCs w:val="21"/>
              </w:rPr>
            </w:pPr>
            <w:r>
              <w:rPr>
                <w:rFonts w:ascii="宋体" w:hAnsi="宋体" w:cs="宋体"/>
                <w:color w:val="auto"/>
                <w:sz w:val="21"/>
                <w:szCs w:val="21"/>
              </w:rPr>
              <w:t>1.3 评审工作程序</w:t>
            </w:r>
          </w:p>
          <w:p>
            <w:pPr>
              <w:pStyle w:val="14"/>
              <w:spacing w:line="360" w:lineRule="auto"/>
              <w:rPr>
                <w:rFonts w:ascii="宋体" w:hAnsi="宋体" w:cs="宋体"/>
                <w:color w:val="auto"/>
                <w:sz w:val="21"/>
                <w:szCs w:val="21"/>
              </w:rPr>
            </w:pPr>
            <w:r>
              <w:rPr>
                <w:rFonts w:ascii="宋体" w:hAnsi="宋体" w:cs="宋体"/>
                <w:color w:val="auto"/>
                <w:sz w:val="21"/>
                <w:szCs w:val="21"/>
              </w:rPr>
              <w:t>（一）第一个信封（商务及技术文件）：</w:t>
            </w:r>
          </w:p>
          <w:p>
            <w:pPr>
              <w:pStyle w:val="14"/>
              <w:spacing w:line="360" w:lineRule="auto"/>
              <w:rPr>
                <w:rFonts w:ascii="宋体" w:hAnsi="宋体" w:cs="宋体"/>
                <w:color w:val="auto"/>
                <w:sz w:val="21"/>
                <w:szCs w:val="21"/>
              </w:rPr>
            </w:pPr>
            <w:r>
              <w:rPr>
                <w:rFonts w:ascii="宋体" w:hAnsi="宋体" w:cs="宋体"/>
                <w:color w:val="auto"/>
                <w:sz w:val="21"/>
                <w:szCs w:val="21"/>
              </w:rPr>
              <w:t>1、初步评审：包括形式评审与响应性评审、资格评审；</w:t>
            </w:r>
          </w:p>
          <w:p>
            <w:pPr>
              <w:pStyle w:val="14"/>
              <w:spacing w:line="360" w:lineRule="auto"/>
              <w:rPr>
                <w:rFonts w:ascii="宋体" w:hAnsi="宋体" w:cs="宋体"/>
                <w:color w:val="auto"/>
                <w:sz w:val="21"/>
                <w:szCs w:val="21"/>
              </w:rPr>
            </w:pPr>
            <w:r>
              <w:rPr>
                <w:rFonts w:ascii="宋体" w:hAnsi="宋体" w:cs="宋体"/>
                <w:color w:val="auto"/>
                <w:sz w:val="21"/>
                <w:szCs w:val="21"/>
              </w:rPr>
              <w:t>2</w:t>
            </w:r>
            <w:r>
              <w:rPr>
                <w:rFonts w:ascii="宋体" w:hAnsi="宋体" w:cs="宋体"/>
                <w:color w:val="auto"/>
                <w:spacing w:val="-3"/>
                <w:sz w:val="21"/>
                <w:szCs w:val="21"/>
              </w:rPr>
              <w:t>、详细评审</w:t>
            </w:r>
            <w:r>
              <w:rPr>
                <w:rFonts w:ascii="宋体" w:hAnsi="宋体" w:cs="宋体"/>
                <w:color w:val="auto"/>
                <w:sz w:val="21"/>
                <w:szCs w:val="21"/>
              </w:rPr>
              <w:t>（评审打分</w:t>
            </w:r>
            <w:r>
              <w:rPr>
                <w:rFonts w:ascii="宋体" w:hAnsi="宋体" w:cs="宋体"/>
                <w:color w:val="auto"/>
                <w:spacing w:val="-3"/>
                <w:sz w:val="21"/>
                <w:szCs w:val="21"/>
              </w:rPr>
              <w:t>）：</w:t>
            </w:r>
            <w:r>
              <w:rPr>
                <w:rFonts w:ascii="宋体" w:hAnsi="宋体" w:cs="宋体"/>
                <w:color w:val="auto"/>
                <w:sz w:val="21"/>
                <w:szCs w:val="21"/>
              </w:rPr>
              <w:t>评标委员会首先对通过第一个信封</w:t>
            </w:r>
            <w:r>
              <w:rPr>
                <w:rFonts w:ascii="宋体" w:hAnsi="宋体" w:cs="宋体"/>
                <w:color w:val="auto"/>
                <w:spacing w:val="-1"/>
                <w:sz w:val="21"/>
                <w:szCs w:val="21"/>
              </w:rPr>
              <w:t>初步评审的投标文件进行详细评审，对投标人的施工组织设计、</w:t>
            </w:r>
            <w:r>
              <w:rPr>
                <w:rFonts w:ascii="宋体" w:hAnsi="宋体" w:cs="宋体"/>
                <w:color w:val="auto"/>
                <w:sz w:val="21"/>
                <w:szCs w:val="21"/>
              </w:rPr>
              <w:t>主要人员、其他因素等分别评审打分，并按照综合得分由高到低排序，排名在招标文件规定数量前 5 名（不少于3名但不足5名的，按</w:t>
            </w:r>
            <w:r>
              <w:rPr>
                <w:rFonts w:ascii="宋体" w:hAnsi="宋体" w:cs="宋体"/>
                <w:color w:val="auto"/>
                <w:spacing w:val="-6"/>
                <w:sz w:val="21"/>
                <w:szCs w:val="21"/>
                <w:u w:val="single"/>
              </w:rPr>
              <w:t>全部实际数量</w:t>
            </w:r>
            <w:r>
              <w:rPr>
                <w:rFonts w:ascii="宋体" w:hAnsi="宋体" w:cs="宋体"/>
                <w:color w:val="auto"/>
                <w:spacing w:val="-34"/>
                <w:sz w:val="21"/>
                <w:szCs w:val="21"/>
                <w:u w:val="single"/>
              </w:rPr>
              <w:t>）</w:t>
            </w:r>
            <w:r>
              <w:rPr>
                <w:rFonts w:ascii="宋体" w:hAnsi="宋体" w:cs="宋体"/>
                <w:color w:val="auto"/>
                <w:spacing w:val="-8"/>
                <w:sz w:val="21"/>
                <w:szCs w:val="21"/>
              </w:rPr>
              <w:t>的投标人，其投标文件第一个信封</w:t>
            </w:r>
            <w:r>
              <w:rPr>
                <w:rFonts w:ascii="宋体" w:hAnsi="宋体" w:cs="宋体"/>
                <w:color w:val="auto"/>
                <w:sz w:val="21"/>
                <w:szCs w:val="21"/>
              </w:rPr>
              <w:t>（商务及技术文件）通过详细评审。</w:t>
            </w:r>
          </w:p>
          <w:p>
            <w:pPr>
              <w:pStyle w:val="14"/>
              <w:spacing w:line="360" w:lineRule="auto"/>
              <w:rPr>
                <w:rFonts w:ascii="宋体" w:hAnsi="宋体" w:cs="宋体"/>
                <w:color w:val="auto"/>
                <w:sz w:val="21"/>
                <w:szCs w:val="21"/>
              </w:rPr>
            </w:pPr>
            <w:r>
              <w:rPr>
                <w:rFonts w:ascii="宋体" w:hAnsi="宋体" w:cs="宋体"/>
                <w:color w:val="auto"/>
                <w:sz w:val="21"/>
                <w:szCs w:val="21"/>
              </w:rPr>
              <w:t>（二）第二个信封（报价文件）：</w:t>
            </w:r>
          </w:p>
          <w:p>
            <w:pPr>
              <w:pStyle w:val="14"/>
              <w:spacing w:line="360" w:lineRule="auto"/>
              <w:rPr>
                <w:rFonts w:ascii="宋体" w:hAnsi="宋体" w:cs="宋体"/>
                <w:color w:val="auto"/>
                <w:sz w:val="21"/>
                <w:szCs w:val="21"/>
              </w:rPr>
            </w:pPr>
            <w:r>
              <w:rPr>
                <w:rFonts w:ascii="宋体" w:hAnsi="宋体" w:cs="宋体"/>
                <w:color w:val="auto"/>
                <w:sz w:val="21"/>
                <w:szCs w:val="21"/>
              </w:rPr>
              <w:t>1、初步评审：</w:t>
            </w:r>
          </w:p>
          <w:p>
            <w:pPr>
              <w:pStyle w:val="14"/>
              <w:numPr>
                <w:ilvl w:val="0"/>
                <w:numId w:val="13"/>
              </w:numPr>
              <w:tabs>
                <w:tab w:val="left" w:pos="710"/>
              </w:tabs>
              <w:spacing w:line="360" w:lineRule="auto"/>
              <w:ind w:left="0" w:firstLine="0"/>
              <w:jc w:val="both"/>
              <w:rPr>
                <w:rFonts w:ascii="宋体" w:hAnsi="宋体" w:cs="宋体"/>
                <w:color w:val="auto"/>
                <w:sz w:val="21"/>
                <w:szCs w:val="21"/>
              </w:rPr>
            </w:pPr>
            <w:r>
              <w:rPr>
                <w:rFonts w:ascii="宋体" w:hAnsi="宋体" w:cs="宋体"/>
                <w:color w:val="auto"/>
                <w:spacing w:val="-1"/>
                <w:sz w:val="21"/>
                <w:szCs w:val="21"/>
              </w:rPr>
              <w:t>只有对投标文件第一个信封通过详细评审的投标人的报价</w:t>
            </w:r>
            <w:r>
              <w:rPr>
                <w:rFonts w:ascii="宋体" w:hAnsi="宋体" w:cs="宋体"/>
                <w:color w:val="auto"/>
                <w:sz w:val="21"/>
                <w:szCs w:val="21"/>
              </w:rPr>
              <w:t>文件才能继续参加第二个信封报价文件的形式评审与响应性评审；</w:t>
            </w:r>
          </w:p>
          <w:p>
            <w:pPr>
              <w:pStyle w:val="14"/>
              <w:numPr>
                <w:ilvl w:val="0"/>
                <w:numId w:val="13"/>
              </w:numPr>
              <w:tabs>
                <w:tab w:val="left" w:pos="710"/>
              </w:tabs>
              <w:spacing w:line="360" w:lineRule="auto"/>
              <w:ind w:left="0" w:firstLine="0"/>
              <w:rPr>
                <w:rFonts w:ascii="宋体" w:hAnsi="宋体" w:cs="宋体"/>
                <w:color w:val="auto"/>
                <w:sz w:val="21"/>
                <w:szCs w:val="21"/>
              </w:rPr>
            </w:pPr>
            <w:r>
              <w:rPr>
                <w:rFonts w:ascii="宋体" w:hAnsi="宋体" w:cs="宋体"/>
                <w:color w:val="auto"/>
                <w:sz w:val="21"/>
                <w:szCs w:val="21"/>
              </w:rPr>
              <w:t>报价算术性修正(如采用固化工程量清单，本步骤省略)。</w:t>
            </w:r>
          </w:p>
          <w:p>
            <w:pPr>
              <w:pStyle w:val="14"/>
              <w:spacing w:line="360" w:lineRule="auto"/>
              <w:rPr>
                <w:rFonts w:ascii="宋体" w:hAnsi="宋体" w:cs="宋体"/>
                <w:color w:val="auto"/>
                <w:sz w:val="21"/>
                <w:szCs w:val="21"/>
              </w:rPr>
            </w:pPr>
            <w:r>
              <w:rPr>
                <w:rFonts w:ascii="宋体" w:hAnsi="宋体" w:cs="宋体"/>
                <w:color w:val="auto"/>
                <w:sz w:val="21"/>
                <w:szCs w:val="21"/>
              </w:rPr>
              <w:t>2、详细评审：计算评标价。</w:t>
            </w:r>
          </w:p>
          <w:p>
            <w:pPr>
              <w:pStyle w:val="14"/>
              <w:spacing w:line="360" w:lineRule="auto"/>
              <w:rPr>
                <w:rFonts w:ascii="宋体" w:hAnsi="宋体" w:cs="宋体"/>
                <w:color w:val="auto"/>
                <w:sz w:val="21"/>
                <w:szCs w:val="21"/>
              </w:rPr>
            </w:pPr>
            <w:r>
              <w:rPr>
                <w:rFonts w:ascii="宋体" w:hAnsi="宋体" w:cs="宋体"/>
                <w:color w:val="auto"/>
                <w:sz w:val="21"/>
                <w:szCs w:val="21"/>
              </w:rPr>
              <w:t>（三）投标文件相关信息的核查。</w:t>
            </w:r>
          </w:p>
          <w:p>
            <w:pPr>
              <w:pStyle w:val="14"/>
              <w:spacing w:line="360" w:lineRule="auto"/>
              <w:rPr>
                <w:rFonts w:ascii="宋体" w:hAnsi="宋体" w:cs="宋体"/>
                <w:color w:val="auto"/>
                <w:sz w:val="21"/>
                <w:szCs w:val="21"/>
              </w:rPr>
            </w:pPr>
            <w:r>
              <w:rPr>
                <w:rFonts w:ascii="宋体" w:hAnsi="宋体" w:cs="宋体"/>
                <w:color w:val="auto"/>
                <w:sz w:val="21"/>
                <w:szCs w:val="21"/>
              </w:rPr>
              <w:t>（四）投标文件的澄清和说明（如有）</w:t>
            </w:r>
          </w:p>
          <w:p>
            <w:pPr>
              <w:pStyle w:val="14"/>
              <w:spacing w:line="360" w:lineRule="auto"/>
              <w:rPr>
                <w:rFonts w:ascii="宋体" w:hAnsi="宋体" w:cs="宋体"/>
                <w:color w:val="auto"/>
                <w:sz w:val="21"/>
                <w:szCs w:val="21"/>
              </w:rPr>
            </w:pPr>
            <w:r>
              <w:rPr>
                <w:rFonts w:ascii="宋体" w:hAnsi="宋体" w:cs="宋体"/>
                <w:color w:val="auto"/>
                <w:sz w:val="21"/>
                <w:szCs w:val="21"/>
              </w:rPr>
              <w:t>（五）按评标办法规定按照第二个信封的评标价由低到高的顺序推荐中标候选人，编写评标报告。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9" w:hRule="atLeast"/>
        </w:trPr>
        <w:tc>
          <w:tcPr>
            <w:tcW w:w="600" w:type="dxa"/>
            <w:tcBorders>
              <w:right w:val="single" w:color="auto" w:sz="4" w:space="0"/>
            </w:tcBorders>
            <w:noWrap w:val="0"/>
            <w:vAlign w:val="center"/>
          </w:tcPr>
          <w:p>
            <w:pPr>
              <w:pStyle w:val="14"/>
              <w:spacing w:line="360" w:lineRule="auto"/>
              <w:jc w:val="center"/>
              <w:rPr>
                <w:rFonts w:ascii="宋体" w:hAnsi="宋体"/>
                <w:b/>
                <w:bCs/>
                <w:color w:val="auto"/>
                <w:sz w:val="21"/>
              </w:rPr>
            </w:pPr>
            <w:r>
              <w:rPr>
                <w:rFonts w:ascii="宋体" w:hAnsi="宋体"/>
                <w:b/>
                <w:bCs/>
                <w:color w:val="auto"/>
                <w:sz w:val="21"/>
              </w:rPr>
              <w:t>3</w:t>
            </w:r>
            <w:r>
              <w:rPr>
                <w:rFonts w:hint="default" w:ascii="宋体" w:hAnsi="宋体"/>
                <w:b/>
                <w:bCs/>
                <w:color w:val="auto"/>
                <w:sz w:val="21"/>
              </w:rPr>
              <w:t>.1.1</w:t>
            </w:r>
          </w:p>
        </w:tc>
        <w:tc>
          <w:tcPr>
            <w:tcW w:w="9209" w:type="dxa"/>
            <w:gridSpan w:val="7"/>
            <w:tcBorders>
              <w:left w:val="single" w:color="auto" w:sz="4" w:space="0"/>
            </w:tcBorders>
            <w:noWrap w:val="0"/>
            <w:vAlign w:val="top"/>
          </w:tcPr>
          <w:p>
            <w:pPr>
              <w:pStyle w:val="14"/>
              <w:spacing w:line="360" w:lineRule="auto"/>
              <w:rPr>
                <w:rFonts w:ascii="宋体" w:hAnsi="宋体" w:cs="宋体"/>
                <w:color w:val="auto"/>
                <w:sz w:val="21"/>
                <w:szCs w:val="21"/>
              </w:rPr>
            </w:pPr>
            <w:r>
              <w:rPr>
                <w:rFonts w:ascii="宋体" w:hAnsi="宋体" w:cs="宋体"/>
                <w:color w:val="auto"/>
                <w:sz w:val="21"/>
                <w:szCs w:val="21"/>
              </w:rPr>
              <w:t>将评标办法第 3.1.1项原文内容修改如下：</w:t>
            </w:r>
          </w:p>
          <w:p>
            <w:pPr>
              <w:pStyle w:val="14"/>
              <w:spacing w:line="360" w:lineRule="auto"/>
              <w:rPr>
                <w:rFonts w:ascii="宋体" w:hAnsi="宋体" w:cs="宋体"/>
                <w:color w:val="auto"/>
                <w:sz w:val="21"/>
                <w:szCs w:val="21"/>
              </w:rPr>
            </w:pPr>
            <w:r>
              <w:rPr>
                <w:rFonts w:ascii="宋体" w:hAnsi="宋体" w:cs="宋体"/>
                <w:color w:val="auto"/>
                <w:sz w:val="21"/>
                <w:szCs w:val="21"/>
              </w:rPr>
              <w:t>3.1.1 评标委员会依据本章第 2.1 款规定的标准对投标文件第一个信封（商务及技术文件）进行初步评审。有一项不符合评审标准的，评标委员会应否决其投标。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1" w:hRule="atLeast"/>
        </w:trPr>
        <w:tc>
          <w:tcPr>
            <w:tcW w:w="600" w:type="dxa"/>
            <w:tcBorders>
              <w:right w:val="single" w:color="auto" w:sz="4" w:space="0"/>
            </w:tcBorders>
            <w:noWrap w:val="0"/>
            <w:vAlign w:val="center"/>
          </w:tcPr>
          <w:p>
            <w:pPr>
              <w:pStyle w:val="14"/>
              <w:spacing w:line="360" w:lineRule="auto"/>
              <w:jc w:val="center"/>
              <w:rPr>
                <w:rFonts w:ascii="宋体" w:hAnsi="宋体"/>
                <w:b/>
                <w:bCs/>
                <w:color w:val="auto"/>
                <w:sz w:val="21"/>
              </w:rPr>
            </w:pPr>
            <w:r>
              <w:rPr>
                <w:rFonts w:ascii="宋体" w:hAnsi="宋体"/>
                <w:b/>
                <w:bCs/>
                <w:color w:val="auto"/>
                <w:sz w:val="21"/>
              </w:rPr>
              <w:t>3.2.3</w:t>
            </w:r>
          </w:p>
        </w:tc>
        <w:tc>
          <w:tcPr>
            <w:tcW w:w="9209" w:type="dxa"/>
            <w:gridSpan w:val="7"/>
            <w:tcBorders>
              <w:left w:val="single" w:color="auto" w:sz="4" w:space="0"/>
            </w:tcBorders>
            <w:noWrap w:val="0"/>
            <w:vAlign w:val="top"/>
          </w:tcPr>
          <w:p>
            <w:pPr>
              <w:pStyle w:val="14"/>
              <w:spacing w:line="360" w:lineRule="auto"/>
              <w:rPr>
                <w:rFonts w:ascii="宋体" w:hAnsi="宋体" w:cs="宋体"/>
                <w:color w:val="auto"/>
                <w:sz w:val="21"/>
                <w:szCs w:val="21"/>
              </w:rPr>
            </w:pPr>
            <w:r>
              <w:rPr>
                <w:rFonts w:ascii="宋体" w:hAnsi="宋体" w:cs="宋体"/>
                <w:color w:val="auto"/>
                <w:sz w:val="21"/>
                <w:szCs w:val="21"/>
              </w:rPr>
              <w:t>将评标办法范本原文第3.2.3项细化如下：</w:t>
            </w:r>
          </w:p>
          <w:p>
            <w:pPr>
              <w:pStyle w:val="14"/>
              <w:spacing w:line="360" w:lineRule="auto"/>
              <w:ind w:firstLine="420" w:firstLineChars="200"/>
              <w:rPr>
                <w:rFonts w:ascii="宋体" w:hAnsi="宋体" w:cs="宋体"/>
                <w:color w:val="auto"/>
                <w:sz w:val="21"/>
                <w:szCs w:val="21"/>
              </w:rPr>
            </w:pPr>
            <w:r>
              <w:rPr>
                <w:rFonts w:ascii="宋体" w:hAnsi="宋体" w:cs="宋体"/>
                <w:color w:val="auto"/>
                <w:sz w:val="21"/>
                <w:szCs w:val="21"/>
                <w:highlight w:val="none"/>
              </w:rPr>
              <w:t>除</w:t>
            </w:r>
            <w:r>
              <w:rPr>
                <w:color w:val="auto"/>
                <w:spacing w:val="-8"/>
                <w:sz w:val="21"/>
                <w:highlight w:val="none"/>
              </w:rPr>
              <w:t>主要人员、技术能力等因素</w:t>
            </w:r>
            <w:r>
              <w:rPr>
                <w:rFonts w:ascii="宋体" w:hAnsi="宋体" w:cs="宋体"/>
                <w:color w:val="auto"/>
                <w:sz w:val="21"/>
                <w:szCs w:val="21"/>
                <w:highlight w:val="none"/>
              </w:rPr>
              <w:t>得分外，投标文件各评分因素细分项得分均不应低于其权重分的60%，评分低于权重分值的60%，评标委员会应当在评标报告中作出说明，平均值计算四舍五入保留小数点后三位。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9" w:hRule="atLeast"/>
        </w:trPr>
        <w:tc>
          <w:tcPr>
            <w:tcW w:w="600" w:type="dxa"/>
            <w:tcBorders>
              <w:right w:val="single" w:color="auto" w:sz="4" w:space="0"/>
            </w:tcBorders>
            <w:noWrap w:val="0"/>
            <w:vAlign w:val="center"/>
          </w:tcPr>
          <w:p>
            <w:pPr>
              <w:tabs>
                <w:tab w:val="left" w:pos="2422"/>
              </w:tabs>
              <w:spacing w:beforeLines="20" w:afterLines="20"/>
              <w:jc w:val="center"/>
              <w:rPr>
                <w:rFonts w:ascii="宋体" w:hAnsi="宋体" w:cs="宋体"/>
                <w:color w:val="auto"/>
                <w:szCs w:val="21"/>
              </w:rPr>
            </w:pPr>
            <w:r>
              <w:rPr>
                <w:rFonts w:ascii="宋体" w:hAnsi="宋体" w:cs="宋体"/>
                <w:color w:val="auto"/>
                <w:szCs w:val="21"/>
              </w:rPr>
              <w:t>3.4.2</w:t>
            </w:r>
          </w:p>
        </w:tc>
        <w:tc>
          <w:tcPr>
            <w:tcW w:w="9209" w:type="dxa"/>
            <w:gridSpan w:val="7"/>
            <w:tcBorders>
              <w:left w:val="single" w:color="auto" w:sz="4" w:space="0"/>
            </w:tcBorders>
            <w:noWrap w:val="0"/>
            <w:vAlign w:val="center"/>
          </w:tcPr>
          <w:p>
            <w:pPr>
              <w:tabs>
                <w:tab w:val="left" w:pos="2422"/>
              </w:tabs>
              <w:spacing w:beforeLines="20" w:afterLines="20"/>
              <w:rPr>
                <w:rFonts w:ascii="宋体" w:hAnsi="宋体" w:cs="宋体"/>
                <w:b/>
                <w:bCs/>
                <w:color w:val="auto"/>
                <w:sz w:val="21"/>
                <w:szCs w:val="21"/>
              </w:rPr>
            </w:pPr>
            <w:r>
              <w:rPr>
                <w:rFonts w:ascii="宋体" w:hAnsi="宋体" w:cs="宋体"/>
                <w:b/>
                <w:bCs/>
                <w:color w:val="auto"/>
                <w:sz w:val="21"/>
                <w:szCs w:val="21"/>
              </w:rPr>
              <w:t>将评标办法范本原文第3.4.2项第（2）、（3）、（4）目修改为：</w:t>
            </w:r>
          </w:p>
          <w:p>
            <w:pPr>
              <w:tabs>
                <w:tab w:val="left" w:pos="2422"/>
              </w:tabs>
              <w:spacing w:beforeLines="20" w:afterLines="20"/>
              <w:ind w:firstLine="420" w:firstLineChars="200"/>
              <w:rPr>
                <w:rFonts w:ascii="宋体" w:hAnsi="宋体" w:cs="宋体"/>
                <w:color w:val="auto"/>
                <w:sz w:val="21"/>
                <w:szCs w:val="21"/>
              </w:rPr>
            </w:pPr>
            <w:r>
              <w:rPr>
                <w:rFonts w:ascii="宋体" w:hAnsi="宋体" w:cs="宋体"/>
                <w:color w:val="auto"/>
                <w:sz w:val="21"/>
                <w:szCs w:val="21"/>
              </w:rPr>
              <w:t>（2）总价金额与依据单价计算出的结果不一致的，在保证投标总价不变的前提下予以合理调整单价。</w:t>
            </w:r>
          </w:p>
          <w:p>
            <w:pPr>
              <w:tabs>
                <w:tab w:val="left" w:pos="2422"/>
              </w:tabs>
              <w:spacing w:beforeLines="20" w:afterLines="20"/>
              <w:ind w:firstLine="420" w:firstLineChars="200"/>
              <w:rPr>
                <w:rFonts w:ascii="宋体" w:hAnsi="宋体" w:cs="宋体"/>
                <w:color w:val="auto"/>
                <w:sz w:val="21"/>
                <w:szCs w:val="21"/>
              </w:rPr>
            </w:pPr>
            <w:r>
              <w:rPr>
                <w:rFonts w:ascii="宋体" w:hAnsi="宋体" w:cs="宋体"/>
                <w:color w:val="auto"/>
                <w:sz w:val="21"/>
                <w:szCs w:val="21"/>
              </w:rPr>
              <w:t>（3）当单价与数量相乘不等于合价时，应以标出的合价为准，同时对单价予以修正。</w:t>
            </w:r>
          </w:p>
          <w:p>
            <w:pPr>
              <w:tabs>
                <w:tab w:val="left" w:pos="2422"/>
              </w:tabs>
              <w:spacing w:beforeLines="20" w:afterLines="20"/>
              <w:ind w:firstLine="420" w:firstLineChars="200"/>
              <w:rPr>
                <w:rFonts w:ascii="宋体" w:hAnsi="宋体" w:cs="宋体"/>
                <w:color w:val="auto"/>
                <w:sz w:val="21"/>
                <w:szCs w:val="21"/>
              </w:rPr>
            </w:pPr>
            <w:r>
              <w:rPr>
                <w:rFonts w:ascii="宋体" w:hAnsi="宋体" w:cs="宋体"/>
                <w:color w:val="auto"/>
                <w:sz w:val="21"/>
                <w:szCs w:val="21"/>
              </w:rPr>
              <w:t>（4）当各子目的合价累计不等于总价时，应以总价不变的前提下，修正各子目合价。</w:t>
            </w:r>
          </w:p>
          <w:p>
            <w:pPr>
              <w:tabs>
                <w:tab w:val="left" w:pos="2422"/>
              </w:tabs>
              <w:spacing w:beforeLines="20" w:afterLines="20"/>
              <w:ind w:firstLine="420" w:firstLineChars="200"/>
              <w:rPr>
                <w:rFonts w:ascii="宋体" w:hAnsi="宋体" w:cs="宋体"/>
                <w:color w:val="auto"/>
                <w:szCs w:val="21"/>
              </w:rPr>
            </w:pPr>
            <w:r>
              <w:rPr>
                <w:rFonts w:ascii="宋体" w:hAnsi="宋体" w:cs="宋体"/>
                <w:color w:val="auto"/>
                <w:sz w:val="21"/>
                <w:szCs w:val="21"/>
              </w:rPr>
              <w:t>（如采用固化工程量清单报价，3.4.2～3.4.5项不适用。）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93" w:hRule="atLeast"/>
        </w:trPr>
        <w:tc>
          <w:tcPr>
            <w:tcW w:w="600" w:type="dxa"/>
            <w:tcBorders>
              <w:right w:val="single" w:color="auto" w:sz="4" w:space="0"/>
            </w:tcBorders>
            <w:noWrap w:val="0"/>
            <w:vAlign w:val="center"/>
          </w:tcPr>
          <w:p>
            <w:pPr>
              <w:pStyle w:val="14"/>
              <w:spacing w:line="360" w:lineRule="auto"/>
              <w:jc w:val="center"/>
              <w:rPr>
                <w:rFonts w:ascii="宋体" w:hAnsi="宋体"/>
                <w:b/>
                <w:bCs/>
                <w:color w:val="auto"/>
                <w:sz w:val="21"/>
              </w:rPr>
            </w:pPr>
            <w:r>
              <w:rPr>
                <w:rFonts w:ascii="宋体" w:hAnsi="宋体"/>
                <w:b/>
                <w:bCs/>
                <w:color w:val="auto"/>
                <w:sz w:val="21"/>
              </w:rPr>
              <w:t>3</w:t>
            </w:r>
            <w:r>
              <w:rPr>
                <w:rFonts w:hint="default" w:ascii="宋体" w:hAnsi="宋体"/>
                <w:b/>
                <w:bCs/>
                <w:color w:val="auto"/>
                <w:sz w:val="21"/>
              </w:rPr>
              <w:t>.6</w:t>
            </w:r>
          </w:p>
        </w:tc>
        <w:tc>
          <w:tcPr>
            <w:tcW w:w="9209" w:type="dxa"/>
            <w:gridSpan w:val="7"/>
            <w:tcBorders>
              <w:left w:val="single" w:color="auto" w:sz="4" w:space="0"/>
            </w:tcBorders>
            <w:noWrap w:val="0"/>
            <w:vAlign w:val="top"/>
          </w:tcPr>
          <w:p>
            <w:pPr>
              <w:pStyle w:val="14"/>
              <w:spacing w:line="360" w:lineRule="auto"/>
              <w:rPr>
                <w:rFonts w:ascii="宋体" w:hAnsi="宋体" w:cs="宋体"/>
                <w:color w:val="auto"/>
                <w:sz w:val="21"/>
                <w:szCs w:val="21"/>
              </w:rPr>
            </w:pPr>
            <w:r>
              <w:rPr>
                <w:rFonts w:ascii="宋体" w:hAnsi="宋体" w:cs="宋体"/>
                <w:color w:val="auto"/>
                <w:sz w:val="21"/>
                <w:szCs w:val="21"/>
              </w:rPr>
              <w:t>增加 3.6.3 项：</w:t>
            </w:r>
          </w:p>
          <w:p>
            <w:pPr>
              <w:pStyle w:val="14"/>
              <w:spacing w:line="360" w:lineRule="auto"/>
              <w:rPr>
                <w:rFonts w:ascii="宋体" w:hAnsi="宋体" w:cs="宋体"/>
                <w:color w:val="auto"/>
                <w:sz w:val="21"/>
                <w:szCs w:val="21"/>
              </w:rPr>
            </w:pPr>
            <w:r>
              <w:rPr>
                <w:rFonts w:ascii="宋体" w:hAnsi="宋体" w:cs="宋体"/>
                <w:color w:val="auto"/>
                <w:sz w:val="21"/>
                <w:szCs w:val="21"/>
              </w:rPr>
              <w:t>3.6.3 依法必须进行招标的项目，除第一中标候选人或者中标人，其他投标人存在串通投标、弄虚作假、行贿情形且在评标过程中未被发现的，视为对中标结果没有造成实质性影响，招标人可以依法继续开展招标活动。投标人的违法行为由行政监督部门依法处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 w:hRule="atLeast"/>
        </w:trPr>
        <w:tc>
          <w:tcPr>
            <w:tcW w:w="600" w:type="dxa"/>
            <w:tcBorders>
              <w:right w:val="single" w:color="auto" w:sz="4" w:space="0"/>
            </w:tcBorders>
            <w:noWrap w:val="0"/>
            <w:vAlign w:val="center"/>
          </w:tcPr>
          <w:p>
            <w:pPr>
              <w:tabs>
                <w:tab w:val="left" w:pos="2422"/>
              </w:tabs>
              <w:spacing w:beforeLines="20" w:afterLines="20"/>
              <w:jc w:val="center"/>
              <w:rPr>
                <w:rFonts w:ascii="宋体" w:hAnsi="宋体" w:cs="宋体"/>
                <w:color w:val="auto"/>
                <w:szCs w:val="21"/>
              </w:rPr>
            </w:pPr>
            <w:r>
              <w:rPr>
                <w:rFonts w:ascii="宋体" w:hAnsi="宋体" w:cs="宋体"/>
                <w:color w:val="auto"/>
                <w:szCs w:val="21"/>
              </w:rPr>
              <w:t>3.7.1</w:t>
            </w:r>
          </w:p>
        </w:tc>
        <w:tc>
          <w:tcPr>
            <w:tcW w:w="9209" w:type="dxa"/>
            <w:gridSpan w:val="7"/>
            <w:tcBorders>
              <w:left w:val="single" w:color="auto" w:sz="4" w:space="0"/>
            </w:tcBorders>
            <w:noWrap w:val="0"/>
            <w:vAlign w:val="center"/>
          </w:tcPr>
          <w:p>
            <w:pPr>
              <w:spacing w:beforeLines="20" w:afterLines="20"/>
              <w:rPr>
                <w:rFonts w:ascii="宋体" w:hAnsi="宋体" w:cs="宋体"/>
                <w:color w:val="auto"/>
                <w:szCs w:val="21"/>
              </w:rPr>
            </w:pPr>
            <w:r>
              <w:rPr>
                <w:rFonts w:ascii="宋体" w:hAnsi="宋体" w:cs="宋体"/>
                <w:b/>
                <w:bCs/>
                <w:color w:val="auto"/>
                <w:szCs w:val="21"/>
              </w:rPr>
              <w:t>将评标办法范本原文第3.7.1项修改为：</w:t>
            </w:r>
          </w:p>
          <w:p>
            <w:pPr>
              <w:spacing w:beforeLines="20" w:afterLines="20"/>
              <w:ind w:firstLine="420" w:firstLineChars="200"/>
              <w:rPr>
                <w:rFonts w:ascii="宋体" w:hAnsi="宋体" w:cs="宋体"/>
                <w:color w:val="auto"/>
                <w:sz w:val="21"/>
                <w:szCs w:val="21"/>
              </w:rPr>
            </w:pPr>
            <w:r>
              <w:rPr>
                <w:rFonts w:ascii="宋体" w:hAnsi="宋体" w:cs="宋体"/>
                <w:color w:val="auto"/>
                <w:sz w:val="21"/>
                <w:szCs w:val="21"/>
              </w:rPr>
              <w:t>3.7.1 在评标过程中，评标委员会可以书面形式要求投标人对所提交投标文件中含义不明确的内容、明显文字或计算错误进行书面澄清或说明。评标委员会不接受投标人主动提出的澄清、说明。投标人不按评标委员会要求澄清或说明的，评标委员会应否决其投标。</w:t>
            </w:r>
          </w:p>
          <w:p>
            <w:pPr>
              <w:spacing w:beforeLines="20" w:afterLines="20"/>
              <w:ind w:firstLine="420" w:firstLineChars="200"/>
              <w:rPr>
                <w:rFonts w:ascii="宋体" w:hAnsi="宋体" w:cs="宋体"/>
                <w:color w:val="auto"/>
                <w:sz w:val="21"/>
                <w:szCs w:val="21"/>
              </w:rPr>
            </w:pPr>
            <w:r>
              <w:rPr>
                <w:rFonts w:ascii="宋体" w:hAnsi="宋体" w:cs="宋体"/>
                <w:color w:val="auto"/>
                <w:sz w:val="21"/>
                <w:szCs w:val="21"/>
              </w:rPr>
              <w:t>（1）投标文件中的下列计算错误为细微偏差（采用固化工程量清单，则a－d步骤省略）：</w:t>
            </w:r>
          </w:p>
          <w:p>
            <w:pPr>
              <w:spacing w:beforeLines="20" w:afterLines="20"/>
              <w:ind w:firstLine="420" w:firstLineChars="200"/>
              <w:rPr>
                <w:rFonts w:ascii="宋体" w:hAnsi="宋体" w:cs="宋体"/>
                <w:color w:val="auto"/>
                <w:sz w:val="21"/>
                <w:szCs w:val="21"/>
              </w:rPr>
            </w:pPr>
            <w:r>
              <w:rPr>
                <w:rFonts w:ascii="宋体" w:hAnsi="宋体" w:cs="宋体"/>
                <w:color w:val="auto"/>
                <w:sz w:val="21"/>
                <w:szCs w:val="21"/>
              </w:rPr>
              <w:t>a、在算术性复核中发现的算术性差错：</w:t>
            </w:r>
          </w:p>
          <w:p>
            <w:pPr>
              <w:spacing w:beforeLines="20" w:afterLines="20"/>
              <w:ind w:firstLine="420" w:firstLineChars="200"/>
              <w:rPr>
                <w:rFonts w:ascii="宋体" w:hAnsi="宋体" w:cs="宋体"/>
                <w:color w:val="auto"/>
                <w:sz w:val="21"/>
                <w:szCs w:val="21"/>
              </w:rPr>
            </w:pPr>
            <w:r>
              <w:rPr>
                <w:rFonts w:ascii="宋体" w:hAnsi="宋体" w:cs="宋体"/>
                <w:color w:val="auto"/>
                <w:sz w:val="21"/>
                <w:szCs w:val="21"/>
              </w:rPr>
              <w:t>b、在招标人给定的工程量清单中漏报了某个工程细目的单价和合价；</w:t>
            </w:r>
          </w:p>
          <w:p>
            <w:pPr>
              <w:spacing w:beforeLines="20" w:afterLines="20"/>
              <w:ind w:firstLine="420" w:firstLineChars="200"/>
              <w:rPr>
                <w:rFonts w:ascii="宋体" w:hAnsi="宋体" w:cs="宋体"/>
                <w:color w:val="auto"/>
                <w:sz w:val="21"/>
                <w:szCs w:val="21"/>
              </w:rPr>
            </w:pPr>
            <w:r>
              <w:rPr>
                <w:rFonts w:ascii="宋体" w:hAnsi="宋体" w:cs="宋体"/>
                <w:color w:val="auto"/>
                <w:sz w:val="21"/>
                <w:szCs w:val="21"/>
              </w:rPr>
              <w:t>c、在招标人给定的工程量清单中多报了某个工程细目的单价和合价或所报单价增加或减少了报价范围；</w:t>
            </w:r>
          </w:p>
          <w:p>
            <w:pPr>
              <w:spacing w:beforeLines="20" w:afterLines="20"/>
              <w:ind w:firstLine="420" w:firstLineChars="200"/>
              <w:rPr>
                <w:rFonts w:ascii="宋体" w:hAnsi="宋体" w:cs="宋体"/>
                <w:color w:val="auto"/>
                <w:sz w:val="21"/>
                <w:szCs w:val="21"/>
              </w:rPr>
            </w:pPr>
            <w:r>
              <w:rPr>
                <w:rFonts w:ascii="宋体" w:hAnsi="宋体" w:cs="宋体"/>
                <w:color w:val="auto"/>
                <w:sz w:val="21"/>
                <w:szCs w:val="21"/>
              </w:rPr>
              <w:t>d、在招标人给定的工程量清单中修改了某些支付号的工程数量。</w:t>
            </w:r>
          </w:p>
          <w:p>
            <w:pPr>
              <w:spacing w:beforeLines="20" w:afterLines="20"/>
              <w:ind w:firstLine="420" w:firstLineChars="200"/>
              <w:rPr>
                <w:rFonts w:ascii="宋体" w:hAnsi="宋体" w:cs="宋体"/>
                <w:color w:val="auto"/>
                <w:sz w:val="21"/>
                <w:szCs w:val="21"/>
              </w:rPr>
            </w:pPr>
            <w:r>
              <w:rPr>
                <w:rFonts w:ascii="宋体" w:hAnsi="宋体" w:cs="宋体"/>
                <w:color w:val="auto"/>
                <w:sz w:val="21"/>
                <w:szCs w:val="21"/>
              </w:rPr>
              <w:t>（2）评标委员会对投标文件中的细微偏差按如下规定处理（采用固化工程量清单，则a－d步骤省略）：</w:t>
            </w:r>
          </w:p>
          <w:p>
            <w:pPr>
              <w:spacing w:beforeLines="20" w:afterLines="20"/>
              <w:ind w:firstLine="420" w:firstLineChars="200"/>
              <w:rPr>
                <w:rFonts w:ascii="宋体" w:hAnsi="宋体" w:cs="宋体"/>
                <w:color w:val="auto"/>
                <w:sz w:val="21"/>
                <w:szCs w:val="21"/>
              </w:rPr>
            </w:pPr>
            <w:r>
              <w:rPr>
                <w:rFonts w:ascii="宋体" w:hAnsi="宋体" w:cs="宋体"/>
                <w:color w:val="auto"/>
                <w:sz w:val="21"/>
                <w:szCs w:val="21"/>
              </w:rPr>
              <w:t>a、按本评标办法的规定对算术性错误予以修正；</w:t>
            </w:r>
          </w:p>
          <w:p>
            <w:pPr>
              <w:spacing w:beforeLines="20" w:afterLines="20"/>
              <w:ind w:firstLine="420" w:firstLineChars="200"/>
              <w:rPr>
                <w:rFonts w:ascii="宋体" w:hAnsi="宋体" w:cs="宋体"/>
                <w:color w:val="auto"/>
                <w:sz w:val="21"/>
                <w:szCs w:val="21"/>
              </w:rPr>
            </w:pPr>
            <w:r>
              <w:rPr>
                <w:rFonts w:ascii="宋体" w:hAnsi="宋体" w:cs="宋体"/>
                <w:color w:val="auto"/>
                <w:sz w:val="21"/>
                <w:szCs w:val="21"/>
              </w:rPr>
              <w:t>b、对于漏报的工程细目单价和合价或单价和合价减少的报价内容视为已含入其它工程细目的单价和合价之中；</w:t>
            </w:r>
          </w:p>
          <w:p>
            <w:pPr>
              <w:spacing w:beforeLines="20" w:afterLines="20"/>
              <w:ind w:firstLine="420" w:firstLineChars="200"/>
              <w:rPr>
                <w:rFonts w:ascii="宋体" w:hAnsi="宋体" w:cs="宋体"/>
                <w:color w:val="auto"/>
                <w:sz w:val="21"/>
                <w:szCs w:val="21"/>
              </w:rPr>
            </w:pPr>
            <w:r>
              <w:rPr>
                <w:rFonts w:ascii="宋体" w:hAnsi="宋体" w:cs="宋体"/>
                <w:color w:val="auto"/>
                <w:sz w:val="21"/>
                <w:szCs w:val="21"/>
              </w:rPr>
              <w:t>c、在保证投标总价不变的前提下，对于多报的工程细目报价或工程细目报价中增加的部分报价从投标报价中予以扣除，并对其它细目作相应的平衡性调整；</w:t>
            </w:r>
          </w:p>
          <w:p>
            <w:pPr>
              <w:spacing w:beforeLines="20" w:afterLines="20"/>
              <w:ind w:firstLine="420" w:firstLineChars="200"/>
              <w:rPr>
                <w:rFonts w:ascii="宋体" w:hAnsi="宋体" w:cs="宋体"/>
                <w:color w:val="auto"/>
                <w:szCs w:val="21"/>
              </w:rPr>
            </w:pPr>
            <w:r>
              <w:rPr>
                <w:rFonts w:ascii="宋体" w:hAnsi="宋体" w:cs="宋体"/>
                <w:color w:val="auto"/>
                <w:sz w:val="21"/>
                <w:szCs w:val="21"/>
              </w:rPr>
              <w:t>d、在保证投标总价不变的前提下，对与给定工程量清单数量不符的工程数量进行更正，并对其它细目作相应的平衡性调整。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93" w:hRule="atLeast"/>
        </w:trPr>
        <w:tc>
          <w:tcPr>
            <w:tcW w:w="600" w:type="dxa"/>
            <w:tcBorders>
              <w:right w:val="single" w:color="auto" w:sz="4" w:space="0"/>
            </w:tcBorders>
            <w:noWrap w:val="0"/>
            <w:vAlign w:val="center"/>
          </w:tcPr>
          <w:p>
            <w:pPr>
              <w:tabs>
                <w:tab w:val="left" w:pos="2422"/>
              </w:tabs>
              <w:spacing w:beforeLines="20" w:afterLines="20"/>
              <w:jc w:val="center"/>
              <w:rPr>
                <w:rFonts w:ascii="宋体" w:hAnsi="宋体" w:cs="宋体"/>
                <w:color w:val="auto"/>
                <w:szCs w:val="21"/>
              </w:rPr>
            </w:pPr>
            <w:r>
              <w:rPr>
                <w:rFonts w:ascii="宋体" w:hAnsi="宋体" w:cs="宋体"/>
                <w:color w:val="auto"/>
                <w:szCs w:val="21"/>
              </w:rPr>
              <w:t>3.9</w:t>
            </w:r>
          </w:p>
        </w:tc>
        <w:tc>
          <w:tcPr>
            <w:tcW w:w="9209" w:type="dxa"/>
            <w:gridSpan w:val="7"/>
            <w:tcBorders>
              <w:left w:val="single" w:color="auto" w:sz="4" w:space="0"/>
            </w:tcBorders>
            <w:noWrap w:val="0"/>
            <w:vAlign w:val="center"/>
          </w:tcPr>
          <w:p>
            <w:pPr>
              <w:spacing w:beforeLines="20" w:afterLines="20"/>
              <w:rPr>
                <w:rFonts w:ascii="宋体" w:hAnsi="宋体" w:cs="宋体"/>
                <w:b/>
                <w:bCs/>
                <w:color w:val="auto"/>
                <w:szCs w:val="21"/>
              </w:rPr>
            </w:pPr>
            <w:r>
              <w:rPr>
                <w:rFonts w:ascii="宋体" w:hAnsi="宋体" w:cs="宋体"/>
                <w:b/>
                <w:bCs/>
                <w:color w:val="auto"/>
                <w:szCs w:val="21"/>
              </w:rPr>
              <w:t>增加3.9.3-3.9.6项：</w:t>
            </w:r>
          </w:p>
          <w:p>
            <w:pPr>
              <w:spacing w:beforeLines="20" w:afterLines="20"/>
              <w:ind w:firstLine="420" w:firstLineChars="200"/>
              <w:rPr>
                <w:rFonts w:ascii="宋体" w:hAnsi="宋体" w:cs="宋体"/>
                <w:color w:val="auto"/>
                <w:sz w:val="21"/>
                <w:szCs w:val="21"/>
              </w:rPr>
            </w:pPr>
            <w:r>
              <w:rPr>
                <w:rFonts w:ascii="宋体" w:hAnsi="宋体" w:cs="宋体"/>
                <w:color w:val="auto"/>
                <w:sz w:val="21"/>
                <w:szCs w:val="21"/>
              </w:rPr>
              <w:t>3.9.3 如果同一投标人在所投多个合同段出现都被评为综合排名第一时（如此种情况不止一个投标人，则按其所投合同段最高投标限价高低顺序依次进行以下操作），而按招标文件规定允许授予合同的个数不大于所投合同段个数时，则选择该投标人在所投合同段最高投标限价高的合同段为第一中标候选人的原则，该投标人在本次招标的其它合同段则自动失去中标候选人的资格。</w:t>
            </w:r>
          </w:p>
          <w:p>
            <w:pPr>
              <w:spacing w:beforeLines="20" w:afterLines="20"/>
              <w:ind w:firstLine="420" w:firstLineChars="200"/>
              <w:rPr>
                <w:rFonts w:ascii="宋体" w:hAnsi="宋体" w:cs="宋体"/>
                <w:color w:val="auto"/>
                <w:sz w:val="21"/>
                <w:szCs w:val="21"/>
              </w:rPr>
            </w:pPr>
            <w:r>
              <w:rPr>
                <w:rFonts w:ascii="宋体" w:hAnsi="宋体" w:cs="宋体"/>
                <w:color w:val="auto"/>
                <w:sz w:val="21"/>
                <w:szCs w:val="21"/>
              </w:rPr>
              <w:t>3.9.4 通过第一信封商务及技术文件评审的投标人少于3个的，评标委员会可以否决全部投标；未否决全部投标的，评标委员会应当在评标报告中阐明理由，招标人应当按照招标文件规定的程序进行第二信封报价文件开标，但评标委员会在进行报价文件评审时仍有权否决全部投标；评标委员会未在报价文件评审时否决全部投标的，应当在评标报告中阐明理由并推荐中标候选人。</w:t>
            </w:r>
          </w:p>
          <w:p>
            <w:pPr>
              <w:spacing w:beforeLines="20" w:afterLines="20"/>
              <w:ind w:firstLine="420" w:firstLineChars="200"/>
              <w:rPr>
                <w:rFonts w:ascii="宋体" w:hAnsi="宋体" w:cs="宋体"/>
                <w:color w:val="auto"/>
                <w:sz w:val="21"/>
                <w:szCs w:val="21"/>
              </w:rPr>
            </w:pPr>
            <w:r>
              <w:rPr>
                <w:rFonts w:ascii="宋体" w:hAnsi="宋体" w:cs="宋体"/>
                <w:color w:val="auto"/>
                <w:sz w:val="21"/>
                <w:szCs w:val="21"/>
              </w:rPr>
              <w:t>3.9.5 通过第一信封商务及技术文件评审的投标人在3个及以上的，招标人应当按照招标文件规定的程序进行第二信封报价文件开标；在对报价文件进行评审后，有效投标不足3个的，评标委员会可以否决全部投标。未否决全部投标的，评标委员会应当在评标报告中阐明理由并推荐中标候选人。</w:t>
            </w:r>
          </w:p>
          <w:p>
            <w:pPr>
              <w:spacing w:beforeLines="20" w:afterLines="20"/>
              <w:ind w:firstLine="420" w:firstLineChars="200"/>
              <w:rPr>
                <w:rFonts w:ascii="宋体" w:hAnsi="宋体" w:cs="宋体"/>
                <w:color w:val="auto"/>
                <w:szCs w:val="21"/>
              </w:rPr>
            </w:pPr>
            <w:r>
              <w:rPr>
                <w:rFonts w:ascii="宋体" w:hAnsi="宋体" w:cs="宋体"/>
                <w:color w:val="auto"/>
                <w:sz w:val="21"/>
                <w:szCs w:val="21"/>
              </w:rPr>
              <w:t>3.9.6 如果发生无法确定推荐中标候选人的其它意外情况，评标委员会可建议招标人重新招标。</w:t>
            </w:r>
          </w:p>
        </w:tc>
      </w:tr>
    </w:tbl>
    <w:p>
      <w:pPr>
        <w:sectPr>
          <w:footerReference r:id="rId10" w:type="default"/>
          <w:pgSz w:w="11900" w:h="16820"/>
          <w:pgMar w:top="1429" w:right="79" w:bottom="735" w:left="1085" w:header="0" w:footer="586" w:gutter="0"/>
          <w:cols w:space="720" w:num="1"/>
        </w:sectPr>
      </w:pPr>
    </w:p>
    <w:p>
      <w:pPr>
        <w:rPr>
          <w:rFonts w:ascii="Arial"/>
          <w:sz w:val="21"/>
        </w:rPr>
      </w:pPr>
    </w:p>
    <w:sectPr>
      <w:headerReference r:id="rId11" w:type="default"/>
      <w:footerReference r:id="rId12" w:type="default"/>
      <w:pgSz w:w="11900" w:h="16820"/>
      <w:pgMar w:top="0" w:right="0" w:bottom="0" w:left="0" w:header="0" w:footer="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新宋体">
    <w:panose1 w:val="02010609030101010101"/>
    <w:charset w:val="86"/>
    <w:family w:val="auto"/>
    <w:pitch w:val="default"/>
    <w:sig w:usb0="0000028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3" w:lineRule="auto"/>
      <w:ind w:left="4259"/>
      <w:rPr>
        <w:rFonts w:ascii="宋体" w:hAnsi="宋体" w:eastAsia="宋体" w:cs="宋体"/>
        <w:sz w:val="17"/>
        <w:szCs w:val="17"/>
      </w:rPr>
    </w:pPr>
    <w:r>
      <w:rPr>
        <w:sz w:val="17"/>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7"/>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3" w:lineRule="auto"/>
      <w:ind w:left="4670"/>
      <w:rPr>
        <w:rFonts w:ascii="宋体" w:hAnsi="宋体" w:eastAsia="宋体" w:cs="宋体"/>
        <w:sz w:val="16"/>
        <w:szCs w:val="16"/>
      </w:rPr>
    </w:pPr>
    <w:r>
      <w:rPr>
        <w:sz w:val="16"/>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7"/>
                    </w:pPr>
                    <w:r>
                      <w:fldChar w:fldCharType="begin"/>
                    </w:r>
                    <w:r>
                      <w:instrText xml:space="preserve"> PAGE  \* MERGEFORMAT </w:instrText>
                    </w:r>
                    <w:r>
                      <w:fldChar w:fldCharType="separate"/>
                    </w:r>
                    <w:r>
                      <w:t>5</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1" w:lineRule="auto"/>
      <w:ind w:left="4675"/>
      <w:rPr>
        <w:rFonts w:ascii="宋体" w:hAnsi="宋体" w:eastAsia="宋体" w:cs="宋体"/>
        <w:sz w:val="14"/>
        <w:szCs w:val="14"/>
      </w:rPr>
    </w:pPr>
    <w:r>
      <w:rPr>
        <w:sz w:val="14"/>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fldChar w:fldCharType="begin"/>
                          </w:r>
                          <w:r>
                            <w:instrText xml:space="preserve"> PAGE  \* MERGEFORMAT </w:instrText>
                          </w:r>
                          <w:r>
                            <w:fldChar w:fldCharType="separate"/>
                          </w:r>
                          <w:r>
                            <w:t>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7"/>
                    </w:pPr>
                    <w:r>
                      <w:fldChar w:fldCharType="begin"/>
                    </w:r>
                    <w:r>
                      <w:instrText xml:space="preserve"> PAGE  \* MERGEFORMAT </w:instrText>
                    </w:r>
                    <w:r>
                      <w:fldChar w:fldCharType="separate"/>
                    </w:r>
                    <w:r>
                      <w:t>9</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3" w:lineRule="auto"/>
      <w:ind w:left="4614"/>
      <w:rPr>
        <w:rFonts w:ascii="宋体" w:hAnsi="宋体" w:eastAsia="宋体" w:cs="宋体"/>
        <w:sz w:val="15"/>
        <w:szCs w:val="15"/>
      </w:rPr>
    </w:pPr>
    <w:r>
      <w:rPr>
        <w:sz w:val="15"/>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fldChar w:fldCharType="begin"/>
                          </w:r>
                          <w:r>
                            <w:instrText xml:space="preserve"> PAGE  \* MERGEFORMAT </w:instrText>
                          </w:r>
                          <w:r>
                            <w:fldChar w:fldCharType="separate"/>
                          </w:r>
                          <w:r>
                            <w:t>14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pPr>
                      <w:pStyle w:val="7"/>
                    </w:pPr>
                    <w:r>
                      <w:fldChar w:fldCharType="begin"/>
                    </w:r>
                    <w:r>
                      <w:instrText xml:space="preserve"> PAGE  \* MERGEFORMAT </w:instrText>
                    </w:r>
                    <w:r>
                      <w:fldChar w:fldCharType="separate"/>
                    </w:r>
                    <w:r>
                      <w:t>14</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r>
      <w:rPr>
        <w:sz w:val="2"/>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fldChar w:fldCharType="begin"/>
                          </w:r>
                          <w:r>
                            <w:instrText xml:space="preserve"> PAGE  \* MERGEFORMAT </w:instrText>
                          </w:r>
                          <w:r>
                            <w:fldChar w:fldCharType="separate"/>
                          </w:r>
                          <w:r>
                            <w:t>19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pPr>
                      <w:pStyle w:val="7"/>
                    </w:pPr>
                    <w:r>
                      <w:fldChar w:fldCharType="begin"/>
                    </w:r>
                    <w:r>
                      <w:instrText xml:space="preserve"> PAGE  \* MERGEFORMAT </w:instrText>
                    </w:r>
                    <w:r>
                      <w:fldChar w:fldCharType="separate"/>
                    </w:r>
                    <w:r>
                      <w:t>19</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14" w:lineRule="auto"/>
      <w:rPr>
        <w:sz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14" w:lineRule="auto"/>
      <w:rPr>
        <w:sz w:val="20"/>
      </w:rPr>
    </w:pPr>
    <w:r>
      <mc:AlternateContent>
        <mc:Choice Requires="wps">
          <w:drawing>
            <wp:anchor distT="0" distB="0" distL="114300" distR="114300" simplePos="0" relativeHeight="251659264" behindDoc="1" locked="0" layoutInCell="1" allowOverlap="1">
              <wp:simplePos x="0" y="0"/>
              <wp:positionH relativeFrom="page">
                <wp:posOffset>1025525</wp:posOffset>
              </wp:positionH>
              <wp:positionV relativeFrom="page">
                <wp:posOffset>737235</wp:posOffset>
              </wp:positionV>
              <wp:extent cx="5424805" cy="0"/>
              <wp:effectExtent l="0" t="0" r="0" b="0"/>
              <wp:wrapNone/>
              <wp:docPr id="1" name="直接连接符 1"/>
              <wp:cNvGraphicFramePr/>
              <a:graphic xmlns:a="http://schemas.openxmlformats.org/drawingml/2006/main">
                <a:graphicData uri="http://schemas.microsoft.com/office/word/2010/wordprocessingShape">
                  <wps:wsp>
                    <wps:cNvCnPr/>
                    <wps:spPr>
                      <a:xfrm>
                        <a:off x="0" y="0"/>
                        <a:ext cx="5424805" cy="0"/>
                      </a:xfrm>
                      <a:prstGeom prst="line">
                        <a:avLst/>
                      </a:prstGeom>
                      <a:ln w="6096"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80.75pt;margin-top:58.05pt;height:0pt;width:427.15pt;mso-position-horizontal-relative:page;mso-position-vertical-relative:page;z-index:-251657216;mso-width-relative:page;mso-height-relative:page;" filled="f" stroked="t" coordsize="21600,21600" o:gfxdata="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o63PxtYAAAAMAQAADwAAAAAAAAABACAAAAAiAAAAZHJzL2Rvd25yZXYueG1s&#10;UEsBAhQAFAAAAAgAh07iQFeZPtH6AQAA8gMAAA4AAAAAAAAAAQAgAAAAJQEAAGRycy9lMm9Eb2Mu&#10;eG1sUEsFBgAAAAAGAAYAWQEAAJEFAAAAAA==&#10;">
              <v:fill on="f" focussize="0,0"/>
              <v:stroke weight="0.48pt" color="#000000" joinstyle="round"/>
              <v:imagedata o:title=""/>
              <o:lock v:ext="edit" aspectratio="f"/>
            </v:line>
          </w:pict>
        </mc:Fallback>
      </mc:AlternateContent>
    </w:r>
    <w:r>
      <mc:AlternateContent>
        <mc:Choice Requires="wps">
          <w:drawing>
            <wp:anchor distT="0" distB="0" distL="114300" distR="114300" simplePos="0" relativeHeight="251660288" behindDoc="1" locked="0" layoutInCell="1" allowOverlap="1">
              <wp:simplePos x="0" y="0"/>
              <wp:positionH relativeFrom="page">
                <wp:posOffset>1031240</wp:posOffset>
              </wp:positionH>
              <wp:positionV relativeFrom="page">
                <wp:posOffset>543560</wp:posOffset>
              </wp:positionV>
              <wp:extent cx="2577465" cy="180975"/>
              <wp:effectExtent l="0" t="0" r="0" b="0"/>
              <wp:wrapNone/>
              <wp:docPr id="6" name="文本框 6"/>
              <wp:cNvGraphicFramePr/>
              <a:graphic xmlns:a="http://schemas.openxmlformats.org/drawingml/2006/main">
                <a:graphicData uri="http://schemas.microsoft.com/office/word/2010/wordprocessingShape">
                  <wps:wsp>
                    <wps:cNvSpPr txBox="1"/>
                    <wps:spPr>
                      <a:xfrm>
                        <a:off x="0" y="0"/>
                        <a:ext cx="2577465" cy="180975"/>
                      </a:xfrm>
                      <a:prstGeom prst="rect">
                        <a:avLst/>
                      </a:prstGeom>
                      <a:noFill/>
                      <a:ln>
                        <a:noFill/>
                      </a:ln>
                      <a:effectLst/>
                    </wps:spPr>
                    <wps:txbx>
                      <w:txbxContent>
                        <w:p>
                          <w:pPr>
                            <w:spacing w:line="279" w:lineRule="exact"/>
                            <w:ind w:left="20"/>
                            <w:jc w:val="left"/>
                            <w:rPr>
                              <w:rFonts w:hint="eastAsia" w:ascii="黑体" w:eastAsia="黑体"/>
                              <w:sz w:val="22"/>
                            </w:rPr>
                          </w:pPr>
                          <w:r>
                            <w:rPr>
                              <w:rFonts w:hint="eastAsia" w:ascii="黑体" w:eastAsia="黑体"/>
                              <w:sz w:val="22"/>
                            </w:rPr>
                            <w:t>公路工程标准施工招标文件（</w:t>
                          </w:r>
                          <w:r>
                            <w:rPr>
                              <w:rFonts w:eastAsia="Times New Roman"/>
                              <w:sz w:val="22"/>
                            </w:rPr>
                            <w:t xml:space="preserve">2018 </w:t>
                          </w:r>
                          <w:r>
                            <w:rPr>
                              <w:rFonts w:hint="eastAsia" w:ascii="黑体" w:eastAsia="黑体"/>
                              <w:sz w:val="22"/>
                            </w:rPr>
                            <w:t>年版）</w:t>
                          </w:r>
                        </w:p>
                      </w:txbxContent>
                    </wps:txbx>
                    <wps:bodyPr lIns="0" tIns="0" rIns="0" bIns="0" upright="1"/>
                  </wps:wsp>
                </a:graphicData>
              </a:graphic>
            </wp:anchor>
          </w:drawing>
        </mc:Choice>
        <mc:Fallback>
          <w:pict>
            <v:shape id="_x0000_s1026" o:spid="_x0000_s1026" o:spt="202" type="#_x0000_t202" style="position:absolute;left:0pt;margin-left:81.2pt;margin-top:42.8pt;height:14.25pt;width:202.95pt;mso-position-horizontal-relative:page;mso-position-vertical-relative:page;z-index:-251656192;mso-width-relative:page;mso-height-relative:page;" filled="f" stroked="f" coordsize="21600,21600" o:gfxdata="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LKiyItgAAAAKAQAADwAAAAAAAAABACAAAAAiAAAAZHJzL2Rvd25yZXYueG1s&#10;UEsBAhQAFAAAAAgAh07iQOAYmFe/AQAAgAMAAA4AAAAAAAAAAQAgAAAAJwEAAGRycy9lMm9Eb2Mu&#10;eG1sUEsFBgAAAAAGAAYAWQEAAFgFAAAAAA==&#10;">
              <v:fill on="f" focussize="0,0"/>
              <v:stroke on="f"/>
              <v:imagedata o:title=""/>
              <o:lock v:ext="edit" aspectratio="f"/>
              <v:textbox inset="0mm,0mm,0mm,0mm">
                <w:txbxContent>
                  <w:p>
                    <w:pPr>
                      <w:spacing w:line="279" w:lineRule="exact"/>
                      <w:ind w:left="20"/>
                      <w:jc w:val="left"/>
                      <w:rPr>
                        <w:rFonts w:hint="eastAsia" w:ascii="黑体" w:eastAsia="黑体"/>
                        <w:sz w:val="22"/>
                      </w:rPr>
                    </w:pPr>
                    <w:r>
                      <w:rPr>
                        <w:rFonts w:hint="eastAsia" w:ascii="黑体" w:eastAsia="黑体"/>
                        <w:sz w:val="22"/>
                      </w:rPr>
                      <w:t>公路工程标准施工招标文件（</w:t>
                    </w:r>
                    <w:r>
                      <w:rPr>
                        <w:rFonts w:eastAsia="Times New Roman"/>
                        <w:sz w:val="22"/>
                      </w:rPr>
                      <w:t xml:space="preserve">2018 </w:t>
                    </w:r>
                    <w:r>
                      <w:rPr>
                        <w:rFonts w:hint="eastAsia" w:ascii="黑体" w:eastAsia="黑体"/>
                        <w:sz w:val="22"/>
                      </w:rPr>
                      <w:t>年版）</w:t>
                    </w:r>
                  </w:p>
                </w:txbxContent>
              </v:textbox>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45B5372"/>
    <w:multiLevelType w:val="multilevel"/>
    <w:tmpl w:val="845B5372"/>
    <w:lvl w:ilvl="0" w:tentative="0">
      <w:start w:val="1"/>
      <w:numFmt w:val="decimal"/>
      <w:lvlText w:val="%1"/>
      <w:lvlJc w:val="left"/>
      <w:pPr>
        <w:ind w:left="528" w:hanging="421"/>
      </w:pPr>
      <w:rPr>
        <w:rFonts w:hint="default"/>
        <w:lang w:val="zh-CN" w:eastAsia="zh-CN" w:bidi="zh-CN"/>
      </w:rPr>
    </w:lvl>
    <w:lvl w:ilvl="1" w:tentative="0">
      <w:start w:val="2"/>
      <w:numFmt w:val="decimal"/>
      <w:lvlText w:val="%1.%2"/>
      <w:lvlJc w:val="left"/>
      <w:pPr>
        <w:ind w:left="528" w:hanging="421"/>
      </w:pPr>
      <w:rPr>
        <w:rFonts w:hint="default" w:ascii="宋体" w:hAnsi="宋体" w:eastAsia="宋体" w:cs="宋体"/>
        <w:w w:val="100"/>
        <w:sz w:val="24"/>
        <w:szCs w:val="24"/>
        <w:lang w:val="zh-CN" w:eastAsia="zh-CN" w:bidi="zh-CN"/>
      </w:rPr>
    </w:lvl>
    <w:lvl w:ilvl="2" w:tentative="0">
      <w:start w:val="1"/>
      <w:numFmt w:val="decimal"/>
      <w:lvlText w:val="%1.%2.%3"/>
      <w:lvlJc w:val="left"/>
      <w:pPr>
        <w:ind w:left="768" w:hanging="661"/>
      </w:pPr>
      <w:rPr>
        <w:rFonts w:hint="default" w:ascii="宋体" w:hAnsi="宋体" w:eastAsia="宋体" w:cs="宋体"/>
        <w:w w:val="100"/>
        <w:sz w:val="21"/>
        <w:szCs w:val="24"/>
        <w:lang w:val="zh-CN" w:eastAsia="zh-CN" w:bidi="zh-CN"/>
      </w:rPr>
    </w:lvl>
    <w:lvl w:ilvl="3" w:tentative="0">
      <w:start w:val="1"/>
      <w:numFmt w:val="decimal"/>
      <w:lvlText w:val="（%4）"/>
      <w:lvlJc w:val="left"/>
      <w:pPr>
        <w:ind w:left="949" w:hanging="601"/>
      </w:pPr>
      <w:rPr>
        <w:rFonts w:hint="default" w:ascii="宋体" w:hAnsi="宋体" w:eastAsia="宋体" w:cs="宋体"/>
        <w:w w:val="100"/>
        <w:sz w:val="21"/>
        <w:szCs w:val="22"/>
        <w:lang w:val="zh-CN" w:eastAsia="zh-CN" w:bidi="zh-CN"/>
      </w:rPr>
    </w:lvl>
    <w:lvl w:ilvl="4" w:tentative="0">
      <w:start w:val="0"/>
      <w:numFmt w:val="bullet"/>
      <w:lvlText w:val="•"/>
      <w:lvlJc w:val="left"/>
      <w:pPr>
        <w:ind w:left="2404" w:hanging="601"/>
      </w:pPr>
      <w:rPr>
        <w:rFonts w:hint="default"/>
        <w:lang w:val="zh-CN" w:eastAsia="zh-CN" w:bidi="zh-CN"/>
      </w:rPr>
    </w:lvl>
    <w:lvl w:ilvl="5" w:tentative="0">
      <w:start w:val="0"/>
      <w:numFmt w:val="bullet"/>
      <w:lvlText w:val="•"/>
      <w:lvlJc w:val="left"/>
      <w:pPr>
        <w:ind w:left="3136" w:hanging="601"/>
      </w:pPr>
      <w:rPr>
        <w:rFonts w:hint="default"/>
        <w:lang w:val="zh-CN" w:eastAsia="zh-CN" w:bidi="zh-CN"/>
      </w:rPr>
    </w:lvl>
    <w:lvl w:ilvl="6" w:tentative="0">
      <w:start w:val="0"/>
      <w:numFmt w:val="bullet"/>
      <w:lvlText w:val="•"/>
      <w:lvlJc w:val="left"/>
      <w:pPr>
        <w:ind w:left="3868" w:hanging="601"/>
      </w:pPr>
      <w:rPr>
        <w:rFonts w:hint="default"/>
        <w:lang w:val="zh-CN" w:eastAsia="zh-CN" w:bidi="zh-CN"/>
      </w:rPr>
    </w:lvl>
    <w:lvl w:ilvl="7" w:tentative="0">
      <w:start w:val="0"/>
      <w:numFmt w:val="bullet"/>
      <w:lvlText w:val="•"/>
      <w:lvlJc w:val="left"/>
      <w:pPr>
        <w:ind w:left="4600" w:hanging="601"/>
      </w:pPr>
      <w:rPr>
        <w:rFonts w:hint="default"/>
        <w:lang w:val="zh-CN" w:eastAsia="zh-CN" w:bidi="zh-CN"/>
      </w:rPr>
    </w:lvl>
    <w:lvl w:ilvl="8" w:tentative="0">
      <w:start w:val="0"/>
      <w:numFmt w:val="bullet"/>
      <w:lvlText w:val="•"/>
      <w:lvlJc w:val="left"/>
      <w:pPr>
        <w:ind w:left="5332" w:hanging="601"/>
      </w:pPr>
      <w:rPr>
        <w:rFonts w:hint="default"/>
        <w:lang w:val="zh-CN" w:eastAsia="zh-CN" w:bidi="zh-CN"/>
      </w:rPr>
    </w:lvl>
  </w:abstractNum>
  <w:abstractNum w:abstractNumId="1">
    <w:nsid w:val="8CAEB125"/>
    <w:multiLevelType w:val="multilevel"/>
    <w:tmpl w:val="8CAEB125"/>
    <w:lvl w:ilvl="0" w:tentative="0">
      <w:start w:val="1"/>
      <w:numFmt w:val="decimal"/>
      <w:lvlText w:val="（%1）"/>
      <w:lvlJc w:val="left"/>
      <w:pPr>
        <w:ind w:left="107" w:hanging="602"/>
      </w:pPr>
      <w:rPr>
        <w:rFonts w:hint="default" w:ascii="宋体" w:hAnsi="宋体" w:eastAsia="宋体" w:cs="宋体"/>
        <w:spacing w:val="-12"/>
        <w:w w:val="100"/>
        <w:sz w:val="21"/>
        <w:szCs w:val="22"/>
        <w:lang w:val="zh-CN" w:eastAsia="zh-CN" w:bidi="zh-CN"/>
      </w:rPr>
    </w:lvl>
    <w:lvl w:ilvl="1" w:tentative="0">
      <w:start w:val="0"/>
      <w:numFmt w:val="bullet"/>
      <w:lvlText w:val="•"/>
      <w:lvlJc w:val="left"/>
      <w:pPr>
        <w:ind w:left="769" w:hanging="602"/>
      </w:pPr>
      <w:rPr>
        <w:rFonts w:hint="default"/>
        <w:lang w:val="zh-CN" w:eastAsia="zh-CN" w:bidi="zh-CN"/>
      </w:rPr>
    </w:lvl>
    <w:lvl w:ilvl="2" w:tentative="0">
      <w:start w:val="0"/>
      <w:numFmt w:val="bullet"/>
      <w:lvlText w:val="•"/>
      <w:lvlJc w:val="left"/>
      <w:pPr>
        <w:ind w:left="1439" w:hanging="602"/>
      </w:pPr>
      <w:rPr>
        <w:rFonts w:hint="default"/>
        <w:lang w:val="zh-CN" w:eastAsia="zh-CN" w:bidi="zh-CN"/>
      </w:rPr>
    </w:lvl>
    <w:lvl w:ilvl="3" w:tentative="0">
      <w:start w:val="0"/>
      <w:numFmt w:val="bullet"/>
      <w:lvlText w:val="•"/>
      <w:lvlJc w:val="left"/>
      <w:pPr>
        <w:ind w:left="2108" w:hanging="602"/>
      </w:pPr>
      <w:rPr>
        <w:rFonts w:hint="default"/>
        <w:lang w:val="zh-CN" w:eastAsia="zh-CN" w:bidi="zh-CN"/>
      </w:rPr>
    </w:lvl>
    <w:lvl w:ilvl="4" w:tentative="0">
      <w:start w:val="0"/>
      <w:numFmt w:val="bullet"/>
      <w:lvlText w:val="•"/>
      <w:lvlJc w:val="left"/>
      <w:pPr>
        <w:ind w:left="2778" w:hanging="602"/>
      </w:pPr>
      <w:rPr>
        <w:rFonts w:hint="default"/>
        <w:lang w:val="zh-CN" w:eastAsia="zh-CN" w:bidi="zh-CN"/>
      </w:rPr>
    </w:lvl>
    <w:lvl w:ilvl="5" w:tentative="0">
      <w:start w:val="0"/>
      <w:numFmt w:val="bullet"/>
      <w:lvlText w:val="•"/>
      <w:lvlJc w:val="left"/>
      <w:pPr>
        <w:ind w:left="3448" w:hanging="602"/>
      </w:pPr>
      <w:rPr>
        <w:rFonts w:hint="default"/>
        <w:lang w:val="zh-CN" w:eastAsia="zh-CN" w:bidi="zh-CN"/>
      </w:rPr>
    </w:lvl>
    <w:lvl w:ilvl="6" w:tentative="0">
      <w:start w:val="0"/>
      <w:numFmt w:val="bullet"/>
      <w:lvlText w:val="•"/>
      <w:lvlJc w:val="left"/>
      <w:pPr>
        <w:ind w:left="4117" w:hanging="602"/>
      </w:pPr>
      <w:rPr>
        <w:rFonts w:hint="default"/>
        <w:lang w:val="zh-CN" w:eastAsia="zh-CN" w:bidi="zh-CN"/>
      </w:rPr>
    </w:lvl>
    <w:lvl w:ilvl="7" w:tentative="0">
      <w:start w:val="0"/>
      <w:numFmt w:val="bullet"/>
      <w:lvlText w:val="•"/>
      <w:lvlJc w:val="left"/>
      <w:pPr>
        <w:ind w:left="4787" w:hanging="602"/>
      </w:pPr>
      <w:rPr>
        <w:rFonts w:hint="default"/>
        <w:lang w:val="zh-CN" w:eastAsia="zh-CN" w:bidi="zh-CN"/>
      </w:rPr>
    </w:lvl>
    <w:lvl w:ilvl="8" w:tentative="0">
      <w:start w:val="0"/>
      <w:numFmt w:val="bullet"/>
      <w:lvlText w:val="•"/>
      <w:lvlJc w:val="left"/>
      <w:pPr>
        <w:ind w:left="5456" w:hanging="602"/>
      </w:pPr>
      <w:rPr>
        <w:rFonts w:hint="default"/>
        <w:lang w:val="zh-CN" w:eastAsia="zh-CN" w:bidi="zh-CN"/>
      </w:rPr>
    </w:lvl>
  </w:abstractNum>
  <w:abstractNum w:abstractNumId="2">
    <w:nsid w:val="91B69C97"/>
    <w:multiLevelType w:val="multilevel"/>
    <w:tmpl w:val="91B69C97"/>
    <w:lvl w:ilvl="0" w:tentative="0">
      <w:start w:val="1"/>
      <w:numFmt w:val="lowerLetter"/>
      <w:lvlText w:val="%1."/>
      <w:lvlJc w:val="left"/>
      <w:pPr>
        <w:ind w:left="104" w:hanging="148"/>
      </w:pPr>
      <w:rPr>
        <w:rFonts w:hint="default" w:ascii="Times New Roman" w:hAnsi="Times New Roman" w:eastAsia="Times New Roman" w:cs="Times New Roman"/>
        <w:spacing w:val="-1"/>
        <w:w w:val="100"/>
        <w:sz w:val="19"/>
        <w:szCs w:val="19"/>
        <w:lang w:val="zh-CN" w:eastAsia="zh-CN" w:bidi="zh-CN"/>
      </w:rPr>
    </w:lvl>
    <w:lvl w:ilvl="1" w:tentative="0">
      <w:start w:val="0"/>
      <w:numFmt w:val="bullet"/>
      <w:lvlText w:val="•"/>
      <w:lvlJc w:val="left"/>
      <w:pPr>
        <w:ind w:left="751" w:hanging="148"/>
      </w:pPr>
      <w:rPr>
        <w:rFonts w:hint="default"/>
        <w:lang w:val="zh-CN" w:eastAsia="zh-CN" w:bidi="zh-CN"/>
      </w:rPr>
    </w:lvl>
    <w:lvl w:ilvl="2" w:tentative="0">
      <w:start w:val="0"/>
      <w:numFmt w:val="bullet"/>
      <w:lvlText w:val="•"/>
      <w:lvlJc w:val="left"/>
      <w:pPr>
        <w:ind w:left="1402" w:hanging="148"/>
      </w:pPr>
      <w:rPr>
        <w:rFonts w:hint="default"/>
        <w:lang w:val="zh-CN" w:eastAsia="zh-CN" w:bidi="zh-CN"/>
      </w:rPr>
    </w:lvl>
    <w:lvl w:ilvl="3" w:tentative="0">
      <w:start w:val="0"/>
      <w:numFmt w:val="bullet"/>
      <w:lvlText w:val="•"/>
      <w:lvlJc w:val="left"/>
      <w:pPr>
        <w:ind w:left="2054" w:hanging="148"/>
      </w:pPr>
      <w:rPr>
        <w:rFonts w:hint="default"/>
        <w:lang w:val="zh-CN" w:eastAsia="zh-CN" w:bidi="zh-CN"/>
      </w:rPr>
    </w:lvl>
    <w:lvl w:ilvl="4" w:tentative="0">
      <w:start w:val="0"/>
      <w:numFmt w:val="bullet"/>
      <w:lvlText w:val="•"/>
      <w:lvlJc w:val="left"/>
      <w:pPr>
        <w:ind w:left="2705" w:hanging="148"/>
      </w:pPr>
      <w:rPr>
        <w:rFonts w:hint="default"/>
        <w:lang w:val="zh-CN" w:eastAsia="zh-CN" w:bidi="zh-CN"/>
      </w:rPr>
    </w:lvl>
    <w:lvl w:ilvl="5" w:tentative="0">
      <w:start w:val="0"/>
      <w:numFmt w:val="bullet"/>
      <w:lvlText w:val="•"/>
      <w:lvlJc w:val="left"/>
      <w:pPr>
        <w:ind w:left="3356" w:hanging="148"/>
      </w:pPr>
      <w:rPr>
        <w:rFonts w:hint="default"/>
        <w:lang w:val="zh-CN" w:eastAsia="zh-CN" w:bidi="zh-CN"/>
      </w:rPr>
    </w:lvl>
    <w:lvl w:ilvl="6" w:tentative="0">
      <w:start w:val="0"/>
      <w:numFmt w:val="bullet"/>
      <w:lvlText w:val="•"/>
      <w:lvlJc w:val="left"/>
      <w:pPr>
        <w:ind w:left="4008" w:hanging="148"/>
      </w:pPr>
      <w:rPr>
        <w:rFonts w:hint="default"/>
        <w:lang w:val="zh-CN" w:eastAsia="zh-CN" w:bidi="zh-CN"/>
      </w:rPr>
    </w:lvl>
    <w:lvl w:ilvl="7" w:tentative="0">
      <w:start w:val="0"/>
      <w:numFmt w:val="bullet"/>
      <w:lvlText w:val="•"/>
      <w:lvlJc w:val="left"/>
      <w:pPr>
        <w:ind w:left="4659" w:hanging="148"/>
      </w:pPr>
      <w:rPr>
        <w:rFonts w:hint="default"/>
        <w:lang w:val="zh-CN" w:eastAsia="zh-CN" w:bidi="zh-CN"/>
      </w:rPr>
    </w:lvl>
    <w:lvl w:ilvl="8" w:tentative="0">
      <w:start w:val="0"/>
      <w:numFmt w:val="bullet"/>
      <w:lvlText w:val="•"/>
      <w:lvlJc w:val="left"/>
      <w:pPr>
        <w:ind w:left="5310" w:hanging="148"/>
      </w:pPr>
      <w:rPr>
        <w:rFonts w:hint="default"/>
        <w:lang w:val="zh-CN" w:eastAsia="zh-CN" w:bidi="zh-CN"/>
      </w:rPr>
    </w:lvl>
  </w:abstractNum>
  <w:abstractNum w:abstractNumId="3">
    <w:nsid w:val="9C11E984"/>
    <w:multiLevelType w:val="multilevel"/>
    <w:tmpl w:val="9C11E984"/>
    <w:lvl w:ilvl="0" w:tentative="0">
      <w:start w:val="6"/>
      <w:numFmt w:val="decimal"/>
      <w:lvlText w:val="（%1）"/>
      <w:lvlJc w:val="left"/>
      <w:pPr>
        <w:ind w:left="104" w:hanging="529"/>
      </w:pPr>
      <w:rPr>
        <w:rFonts w:hint="default" w:ascii="宋体" w:hAnsi="宋体" w:eastAsia="宋体" w:cs="宋体"/>
        <w:spacing w:val="-3"/>
        <w:w w:val="100"/>
        <w:sz w:val="19"/>
        <w:szCs w:val="19"/>
        <w:lang w:val="zh-CN" w:eastAsia="zh-CN" w:bidi="zh-CN"/>
      </w:rPr>
    </w:lvl>
    <w:lvl w:ilvl="1" w:tentative="0">
      <w:start w:val="0"/>
      <w:numFmt w:val="bullet"/>
      <w:lvlText w:val="•"/>
      <w:lvlJc w:val="left"/>
      <w:pPr>
        <w:ind w:left="751" w:hanging="529"/>
      </w:pPr>
      <w:rPr>
        <w:rFonts w:hint="default"/>
        <w:lang w:val="zh-CN" w:eastAsia="zh-CN" w:bidi="zh-CN"/>
      </w:rPr>
    </w:lvl>
    <w:lvl w:ilvl="2" w:tentative="0">
      <w:start w:val="0"/>
      <w:numFmt w:val="bullet"/>
      <w:lvlText w:val="•"/>
      <w:lvlJc w:val="left"/>
      <w:pPr>
        <w:ind w:left="1402" w:hanging="529"/>
      </w:pPr>
      <w:rPr>
        <w:rFonts w:hint="default"/>
        <w:lang w:val="zh-CN" w:eastAsia="zh-CN" w:bidi="zh-CN"/>
      </w:rPr>
    </w:lvl>
    <w:lvl w:ilvl="3" w:tentative="0">
      <w:start w:val="0"/>
      <w:numFmt w:val="bullet"/>
      <w:lvlText w:val="•"/>
      <w:lvlJc w:val="left"/>
      <w:pPr>
        <w:ind w:left="2054" w:hanging="529"/>
      </w:pPr>
      <w:rPr>
        <w:rFonts w:hint="default"/>
        <w:lang w:val="zh-CN" w:eastAsia="zh-CN" w:bidi="zh-CN"/>
      </w:rPr>
    </w:lvl>
    <w:lvl w:ilvl="4" w:tentative="0">
      <w:start w:val="0"/>
      <w:numFmt w:val="bullet"/>
      <w:lvlText w:val="•"/>
      <w:lvlJc w:val="left"/>
      <w:pPr>
        <w:ind w:left="2705" w:hanging="529"/>
      </w:pPr>
      <w:rPr>
        <w:rFonts w:hint="default"/>
        <w:lang w:val="zh-CN" w:eastAsia="zh-CN" w:bidi="zh-CN"/>
      </w:rPr>
    </w:lvl>
    <w:lvl w:ilvl="5" w:tentative="0">
      <w:start w:val="0"/>
      <w:numFmt w:val="bullet"/>
      <w:lvlText w:val="•"/>
      <w:lvlJc w:val="left"/>
      <w:pPr>
        <w:ind w:left="3356" w:hanging="529"/>
      </w:pPr>
      <w:rPr>
        <w:rFonts w:hint="default"/>
        <w:lang w:val="zh-CN" w:eastAsia="zh-CN" w:bidi="zh-CN"/>
      </w:rPr>
    </w:lvl>
    <w:lvl w:ilvl="6" w:tentative="0">
      <w:start w:val="0"/>
      <w:numFmt w:val="bullet"/>
      <w:lvlText w:val="•"/>
      <w:lvlJc w:val="left"/>
      <w:pPr>
        <w:ind w:left="4008" w:hanging="529"/>
      </w:pPr>
      <w:rPr>
        <w:rFonts w:hint="default"/>
        <w:lang w:val="zh-CN" w:eastAsia="zh-CN" w:bidi="zh-CN"/>
      </w:rPr>
    </w:lvl>
    <w:lvl w:ilvl="7" w:tentative="0">
      <w:start w:val="0"/>
      <w:numFmt w:val="bullet"/>
      <w:lvlText w:val="•"/>
      <w:lvlJc w:val="left"/>
      <w:pPr>
        <w:ind w:left="4659" w:hanging="529"/>
      </w:pPr>
      <w:rPr>
        <w:rFonts w:hint="default"/>
        <w:lang w:val="zh-CN" w:eastAsia="zh-CN" w:bidi="zh-CN"/>
      </w:rPr>
    </w:lvl>
    <w:lvl w:ilvl="8" w:tentative="0">
      <w:start w:val="0"/>
      <w:numFmt w:val="bullet"/>
      <w:lvlText w:val="•"/>
      <w:lvlJc w:val="left"/>
      <w:pPr>
        <w:ind w:left="5310" w:hanging="529"/>
      </w:pPr>
      <w:rPr>
        <w:rFonts w:hint="default"/>
        <w:lang w:val="zh-CN" w:eastAsia="zh-CN" w:bidi="zh-CN"/>
      </w:rPr>
    </w:lvl>
  </w:abstractNum>
  <w:abstractNum w:abstractNumId="4">
    <w:nsid w:val="BCECA0B4"/>
    <w:multiLevelType w:val="multilevel"/>
    <w:tmpl w:val="BCECA0B4"/>
    <w:lvl w:ilvl="0" w:tentative="0">
      <w:start w:val="1"/>
      <w:numFmt w:val="lowerLetter"/>
      <w:lvlText w:val="%1."/>
      <w:lvlJc w:val="left"/>
      <w:pPr>
        <w:ind w:left="104" w:hanging="148"/>
      </w:pPr>
      <w:rPr>
        <w:rFonts w:hint="default" w:ascii="Times New Roman" w:hAnsi="Times New Roman" w:eastAsia="Times New Roman" w:cs="Times New Roman"/>
        <w:spacing w:val="-1"/>
        <w:w w:val="100"/>
        <w:sz w:val="19"/>
        <w:szCs w:val="19"/>
        <w:lang w:val="zh-CN" w:eastAsia="zh-CN" w:bidi="zh-CN"/>
      </w:rPr>
    </w:lvl>
    <w:lvl w:ilvl="1" w:tentative="0">
      <w:start w:val="0"/>
      <w:numFmt w:val="bullet"/>
      <w:lvlText w:val="•"/>
      <w:lvlJc w:val="left"/>
      <w:pPr>
        <w:ind w:left="751" w:hanging="148"/>
      </w:pPr>
      <w:rPr>
        <w:rFonts w:hint="default"/>
        <w:lang w:val="zh-CN" w:eastAsia="zh-CN" w:bidi="zh-CN"/>
      </w:rPr>
    </w:lvl>
    <w:lvl w:ilvl="2" w:tentative="0">
      <w:start w:val="0"/>
      <w:numFmt w:val="bullet"/>
      <w:lvlText w:val="•"/>
      <w:lvlJc w:val="left"/>
      <w:pPr>
        <w:ind w:left="1402" w:hanging="148"/>
      </w:pPr>
      <w:rPr>
        <w:rFonts w:hint="default"/>
        <w:lang w:val="zh-CN" w:eastAsia="zh-CN" w:bidi="zh-CN"/>
      </w:rPr>
    </w:lvl>
    <w:lvl w:ilvl="3" w:tentative="0">
      <w:start w:val="0"/>
      <w:numFmt w:val="bullet"/>
      <w:lvlText w:val="•"/>
      <w:lvlJc w:val="left"/>
      <w:pPr>
        <w:ind w:left="2054" w:hanging="148"/>
      </w:pPr>
      <w:rPr>
        <w:rFonts w:hint="default"/>
        <w:lang w:val="zh-CN" w:eastAsia="zh-CN" w:bidi="zh-CN"/>
      </w:rPr>
    </w:lvl>
    <w:lvl w:ilvl="4" w:tentative="0">
      <w:start w:val="0"/>
      <w:numFmt w:val="bullet"/>
      <w:lvlText w:val="•"/>
      <w:lvlJc w:val="left"/>
      <w:pPr>
        <w:ind w:left="2705" w:hanging="148"/>
      </w:pPr>
      <w:rPr>
        <w:rFonts w:hint="default"/>
        <w:lang w:val="zh-CN" w:eastAsia="zh-CN" w:bidi="zh-CN"/>
      </w:rPr>
    </w:lvl>
    <w:lvl w:ilvl="5" w:tentative="0">
      <w:start w:val="0"/>
      <w:numFmt w:val="bullet"/>
      <w:lvlText w:val="•"/>
      <w:lvlJc w:val="left"/>
      <w:pPr>
        <w:ind w:left="3356" w:hanging="148"/>
      </w:pPr>
      <w:rPr>
        <w:rFonts w:hint="default"/>
        <w:lang w:val="zh-CN" w:eastAsia="zh-CN" w:bidi="zh-CN"/>
      </w:rPr>
    </w:lvl>
    <w:lvl w:ilvl="6" w:tentative="0">
      <w:start w:val="0"/>
      <w:numFmt w:val="bullet"/>
      <w:lvlText w:val="•"/>
      <w:lvlJc w:val="left"/>
      <w:pPr>
        <w:ind w:left="4008" w:hanging="148"/>
      </w:pPr>
      <w:rPr>
        <w:rFonts w:hint="default"/>
        <w:lang w:val="zh-CN" w:eastAsia="zh-CN" w:bidi="zh-CN"/>
      </w:rPr>
    </w:lvl>
    <w:lvl w:ilvl="7" w:tentative="0">
      <w:start w:val="0"/>
      <w:numFmt w:val="bullet"/>
      <w:lvlText w:val="•"/>
      <w:lvlJc w:val="left"/>
      <w:pPr>
        <w:ind w:left="4659" w:hanging="148"/>
      </w:pPr>
      <w:rPr>
        <w:rFonts w:hint="default"/>
        <w:lang w:val="zh-CN" w:eastAsia="zh-CN" w:bidi="zh-CN"/>
      </w:rPr>
    </w:lvl>
    <w:lvl w:ilvl="8" w:tentative="0">
      <w:start w:val="0"/>
      <w:numFmt w:val="bullet"/>
      <w:lvlText w:val="•"/>
      <w:lvlJc w:val="left"/>
      <w:pPr>
        <w:ind w:left="5310" w:hanging="148"/>
      </w:pPr>
      <w:rPr>
        <w:rFonts w:hint="default"/>
        <w:lang w:val="zh-CN" w:eastAsia="zh-CN" w:bidi="zh-CN"/>
      </w:rPr>
    </w:lvl>
  </w:abstractNum>
  <w:abstractNum w:abstractNumId="5">
    <w:nsid w:val="F585BF25"/>
    <w:multiLevelType w:val="multilevel"/>
    <w:tmpl w:val="F585BF25"/>
    <w:lvl w:ilvl="0" w:tentative="0">
      <w:start w:val="1"/>
      <w:numFmt w:val="lowerLetter"/>
      <w:lvlText w:val="%1."/>
      <w:lvlJc w:val="left"/>
      <w:pPr>
        <w:ind w:left="104" w:hanging="148"/>
      </w:pPr>
      <w:rPr>
        <w:rFonts w:hint="default" w:ascii="Times New Roman" w:hAnsi="Times New Roman" w:eastAsia="Times New Roman" w:cs="Times New Roman"/>
        <w:spacing w:val="-1"/>
        <w:w w:val="100"/>
        <w:sz w:val="19"/>
        <w:szCs w:val="19"/>
        <w:lang w:val="zh-CN" w:eastAsia="zh-CN" w:bidi="zh-CN"/>
      </w:rPr>
    </w:lvl>
    <w:lvl w:ilvl="1" w:tentative="0">
      <w:start w:val="0"/>
      <w:numFmt w:val="bullet"/>
      <w:lvlText w:val="•"/>
      <w:lvlJc w:val="left"/>
      <w:pPr>
        <w:ind w:left="751" w:hanging="148"/>
      </w:pPr>
      <w:rPr>
        <w:rFonts w:hint="default"/>
        <w:lang w:val="zh-CN" w:eastAsia="zh-CN" w:bidi="zh-CN"/>
      </w:rPr>
    </w:lvl>
    <w:lvl w:ilvl="2" w:tentative="0">
      <w:start w:val="0"/>
      <w:numFmt w:val="bullet"/>
      <w:lvlText w:val="•"/>
      <w:lvlJc w:val="left"/>
      <w:pPr>
        <w:ind w:left="1402" w:hanging="148"/>
      </w:pPr>
      <w:rPr>
        <w:rFonts w:hint="default"/>
        <w:lang w:val="zh-CN" w:eastAsia="zh-CN" w:bidi="zh-CN"/>
      </w:rPr>
    </w:lvl>
    <w:lvl w:ilvl="3" w:tentative="0">
      <w:start w:val="0"/>
      <w:numFmt w:val="bullet"/>
      <w:lvlText w:val="•"/>
      <w:lvlJc w:val="left"/>
      <w:pPr>
        <w:ind w:left="2054" w:hanging="148"/>
      </w:pPr>
      <w:rPr>
        <w:rFonts w:hint="default"/>
        <w:lang w:val="zh-CN" w:eastAsia="zh-CN" w:bidi="zh-CN"/>
      </w:rPr>
    </w:lvl>
    <w:lvl w:ilvl="4" w:tentative="0">
      <w:start w:val="0"/>
      <w:numFmt w:val="bullet"/>
      <w:lvlText w:val="•"/>
      <w:lvlJc w:val="left"/>
      <w:pPr>
        <w:ind w:left="2705" w:hanging="148"/>
      </w:pPr>
      <w:rPr>
        <w:rFonts w:hint="default"/>
        <w:lang w:val="zh-CN" w:eastAsia="zh-CN" w:bidi="zh-CN"/>
      </w:rPr>
    </w:lvl>
    <w:lvl w:ilvl="5" w:tentative="0">
      <w:start w:val="0"/>
      <w:numFmt w:val="bullet"/>
      <w:lvlText w:val="•"/>
      <w:lvlJc w:val="left"/>
      <w:pPr>
        <w:ind w:left="3356" w:hanging="148"/>
      </w:pPr>
      <w:rPr>
        <w:rFonts w:hint="default"/>
        <w:lang w:val="zh-CN" w:eastAsia="zh-CN" w:bidi="zh-CN"/>
      </w:rPr>
    </w:lvl>
    <w:lvl w:ilvl="6" w:tentative="0">
      <w:start w:val="0"/>
      <w:numFmt w:val="bullet"/>
      <w:lvlText w:val="•"/>
      <w:lvlJc w:val="left"/>
      <w:pPr>
        <w:ind w:left="4008" w:hanging="148"/>
      </w:pPr>
      <w:rPr>
        <w:rFonts w:hint="default"/>
        <w:lang w:val="zh-CN" w:eastAsia="zh-CN" w:bidi="zh-CN"/>
      </w:rPr>
    </w:lvl>
    <w:lvl w:ilvl="7" w:tentative="0">
      <w:start w:val="0"/>
      <w:numFmt w:val="bullet"/>
      <w:lvlText w:val="•"/>
      <w:lvlJc w:val="left"/>
      <w:pPr>
        <w:ind w:left="4659" w:hanging="148"/>
      </w:pPr>
      <w:rPr>
        <w:rFonts w:hint="default"/>
        <w:lang w:val="zh-CN" w:eastAsia="zh-CN" w:bidi="zh-CN"/>
      </w:rPr>
    </w:lvl>
    <w:lvl w:ilvl="8" w:tentative="0">
      <w:start w:val="0"/>
      <w:numFmt w:val="bullet"/>
      <w:lvlText w:val="•"/>
      <w:lvlJc w:val="left"/>
      <w:pPr>
        <w:ind w:left="5310" w:hanging="148"/>
      </w:pPr>
      <w:rPr>
        <w:rFonts w:hint="default"/>
        <w:lang w:val="zh-CN" w:eastAsia="zh-CN" w:bidi="zh-CN"/>
      </w:rPr>
    </w:lvl>
  </w:abstractNum>
  <w:abstractNum w:abstractNumId="6">
    <w:nsid w:val="04EC7B26"/>
    <w:multiLevelType w:val="singleLevel"/>
    <w:tmpl w:val="04EC7B26"/>
    <w:lvl w:ilvl="0" w:tentative="0">
      <w:start w:val="1"/>
      <w:numFmt w:val="decimal"/>
      <w:suff w:val="nothing"/>
      <w:lvlText w:val="（%1）"/>
      <w:lvlJc w:val="left"/>
    </w:lvl>
  </w:abstractNum>
  <w:abstractNum w:abstractNumId="7">
    <w:nsid w:val="0ECA9FD6"/>
    <w:multiLevelType w:val="multilevel"/>
    <w:tmpl w:val="0ECA9FD6"/>
    <w:lvl w:ilvl="0" w:tentative="0">
      <w:start w:val="4"/>
      <w:numFmt w:val="decimal"/>
      <w:suff w:val="space"/>
      <w:lvlText w:val="%1."/>
      <w:lvlJc w:val="left"/>
    </w:lvl>
    <w:lvl w:ilvl="1" w:tentative="0">
      <w:start w:val="1"/>
      <w:numFmt w:val="decimal"/>
      <w:suff w:val="space"/>
      <w:lvlText w:val="%1.%2"/>
      <w:lvlJc w:val="left"/>
      <w:pPr>
        <w:ind w:left="0" w:firstLine="0"/>
      </w:pPr>
      <w:rPr>
        <w:rFonts w:hint="default"/>
      </w:rPr>
    </w:lvl>
    <w:lvl w:ilvl="2" w:tentative="0">
      <w:start w:val="1"/>
      <w:numFmt w:val="decimal"/>
      <w:suff w:val="space"/>
      <w:lvlText w:val="%1.%2.%3"/>
      <w:lvlJc w:val="left"/>
      <w:pPr>
        <w:ind w:left="0" w:firstLine="0"/>
      </w:pPr>
      <w:rPr>
        <w:rFonts w:hint="default"/>
      </w:rPr>
    </w:lvl>
    <w:lvl w:ilvl="3" w:tentative="0">
      <w:start w:val="1"/>
      <w:numFmt w:val="decimal"/>
      <w:suff w:val="space"/>
      <w:lvlText w:val="%1.%2.%3.%4"/>
      <w:lvlJc w:val="left"/>
      <w:pPr>
        <w:ind w:left="0" w:firstLine="0"/>
      </w:pPr>
      <w:rPr>
        <w:rFonts w:hint="default"/>
      </w:rPr>
    </w:lvl>
    <w:lvl w:ilvl="4" w:tentative="0">
      <w:start w:val="1"/>
      <w:numFmt w:val="decimal"/>
      <w:suff w:val="space"/>
      <w:lvlText w:val="%1.%2.%3.%4.%5"/>
      <w:lvlJc w:val="left"/>
      <w:pPr>
        <w:ind w:left="0" w:firstLine="0"/>
      </w:pPr>
      <w:rPr>
        <w:rFonts w:hint="default"/>
      </w:rPr>
    </w:lvl>
    <w:lvl w:ilvl="5" w:tentative="0">
      <w:start w:val="1"/>
      <w:numFmt w:val="decimal"/>
      <w:suff w:val="space"/>
      <w:lvlText w:val="%1.%2.%3.%4.%5.%6"/>
      <w:lvlJc w:val="left"/>
      <w:pPr>
        <w:ind w:left="0" w:firstLine="0"/>
      </w:pPr>
      <w:rPr>
        <w:rFonts w:hint="default"/>
      </w:rPr>
    </w:lvl>
    <w:lvl w:ilvl="6" w:tentative="0">
      <w:start w:val="1"/>
      <w:numFmt w:val="decimal"/>
      <w:suff w:val="space"/>
      <w:lvlText w:val="%1.%2.%3.%4.%5.%6.%7"/>
      <w:lvlJc w:val="left"/>
      <w:pPr>
        <w:ind w:left="0" w:firstLine="0"/>
      </w:pPr>
      <w:rPr>
        <w:rFonts w:hint="default"/>
      </w:rPr>
    </w:lvl>
    <w:lvl w:ilvl="7" w:tentative="0">
      <w:start w:val="1"/>
      <w:numFmt w:val="decimal"/>
      <w:suff w:val="space"/>
      <w:lvlText w:val="%1.%2.%3.%4.%5.%6.%7.%8"/>
      <w:lvlJc w:val="left"/>
      <w:pPr>
        <w:ind w:left="0" w:firstLine="0"/>
      </w:pPr>
      <w:rPr>
        <w:rFonts w:hint="default"/>
      </w:rPr>
    </w:lvl>
    <w:lvl w:ilvl="8" w:tentative="0">
      <w:start w:val="1"/>
      <w:numFmt w:val="decimal"/>
      <w:suff w:val="space"/>
      <w:lvlText w:val="%1.%2.%3.%4.%5.%6.%7.%8.%9"/>
      <w:lvlJc w:val="left"/>
      <w:pPr>
        <w:ind w:left="0" w:firstLine="0"/>
      </w:pPr>
      <w:rPr>
        <w:rFonts w:hint="default"/>
      </w:rPr>
    </w:lvl>
  </w:abstractNum>
  <w:abstractNum w:abstractNumId="8">
    <w:nsid w:val="10D591E5"/>
    <w:multiLevelType w:val="multilevel"/>
    <w:tmpl w:val="10D591E5"/>
    <w:lvl w:ilvl="0" w:tentative="0">
      <w:start w:val="1"/>
      <w:numFmt w:val="decimal"/>
      <w:lvlText w:val="（%1）"/>
      <w:lvlJc w:val="left"/>
      <w:pPr>
        <w:ind w:left="104" w:hanging="529"/>
      </w:pPr>
      <w:rPr>
        <w:rFonts w:hint="default" w:ascii="宋体" w:hAnsi="宋体" w:eastAsia="宋体" w:cs="宋体"/>
        <w:spacing w:val="-3"/>
        <w:w w:val="100"/>
        <w:sz w:val="19"/>
        <w:szCs w:val="19"/>
        <w:lang w:val="zh-CN" w:eastAsia="zh-CN" w:bidi="zh-CN"/>
      </w:rPr>
    </w:lvl>
    <w:lvl w:ilvl="1" w:tentative="0">
      <w:start w:val="0"/>
      <w:numFmt w:val="bullet"/>
      <w:lvlText w:val="•"/>
      <w:lvlJc w:val="left"/>
      <w:pPr>
        <w:ind w:left="751" w:hanging="529"/>
      </w:pPr>
      <w:rPr>
        <w:rFonts w:hint="default"/>
        <w:lang w:val="zh-CN" w:eastAsia="zh-CN" w:bidi="zh-CN"/>
      </w:rPr>
    </w:lvl>
    <w:lvl w:ilvl="2" w:tentative="0">
      <w:start w:val="0"/>
      <w:numFmt w:val="bullet"/>
      <w:lvlText w:val="•"/>
      <w:lvlJc w:val="left"/>
      <w:pPr>
        <w:ind w:left="1402" w:hanging="529"/>
      </w:pPr>
      <w:rPr>
        <w:rFonts w:hint="default"/>
        <w:lang w:val="zh-CN" w:eastAsia="zh-CN" w:bidi="zh-CN"/>
      </w:rPr>
    </w:lvl>
    <w:lvl w:ilvl="3" w:tentative="0">
      <w:start w:val="0"/>
      <w:numFmt w:val="bullet"/>
      <w:lvlText w:val="•"/>
      <w:lvlJc w:val="left"/>
      <w:pPr>
        <w:ind w:left="2054" w:hanging="529"/>
      </w:pPr>
      <w:rPr>
        <w:rFonts w:hint="default"/>
        <w:lang w:val="zh-CN" w:eastAsia="zh-CN" w:bidi="zh-CN"/>
      </w:rPr>
    </w:lvl>
    <w:lvl w:ilvl="4" w:tentative="0">
      <w:start w:val="0"/>
      <w:numFmt w:val="bullet"/>
      <w:lvlText w:val="•"/>
      <w:lvlJc w:val="left"/>
      <w:pPr>
        <w:ind w:left="2705" w:hanging="529"/>
      </w:pPr>
      <w:rPr>
        <w:rFonts w:hint="default"/>
        <w:lang w:val="zh-CN" w:eastAsia="zh-CN" w:bidi="zh-CN"/>
      </w:rPr>
    </w:lvl>
    <w:lvl w:ilvl="5" w:tentative="0">
      <w:start w:val="0"/>
      <w:numFmt w:val="bullet"/>
      <w:lvlText w:val="•"/>
      <w:lvlJc w:val="left"/>
      <w:pPr>
        <w:ind w:left="3356" w:hanging="529"/>
      </w:pPr>
      <w:rPr>
        <w:rFonts w:hint="default"/>
        <w:lang w:val="zh-CN" w:eastAsia="zh-CN" w:bidi="zh-CN"/>
      </w:rPr>
    </w:lvl>
    <w:lvl w:ilvl="6" w:tentative="0">
      <w:start w:val="0"/>
      <w:numFmt w:val="bullet"/>
      <w:lvlText w:val="•"/>
      <w:lvlJc w:val="left"/>
      <w:pPr>
        <w:ind w:left="4008" w:hanging="529"/>
      </w:pPr>
      <w:rPr>
        <w:rFonts w:hint="default"/>
        <w:lang w:val="zh-CN" w:eastAsia="zh-CN" w:bidi="zh-CN"/>
      </w:rPr>
    </w:lvl>
    <w:lvl w:ilvl="7" w:tentative="0">
      <w:start w:val="0"/>
      <w:numFmt w:val="bullet"/>
      <w:lvlText w:val="•"/>
      <w:lvlJc w:val="left"/>
      <w:pPr>
        <w:ind w:left="4659" w:hanging="529"/>
      </w:pPr>
      <w:rPr>
        <w:rFonts w:hint="default"/>
        <w:lang w:val="zh-CN" w:eastAsia="zh-CN" w:bidi="zh-CN"/>
      </w:rPr>
    </w:lvl>
    <w:lvl w:ilvl="8" w:tentative="0">
      <w:start w:val="0"/>
      <w:numFmt w:val="bullet"/>
      <w:lvlText w:val="•"/>
      <w:lvlJc w:val="left"/>
      <w:pPr>
        <w:ind w:left="5310" w:hanging="529"/>
      </w:pPr>
      <w:rPr>
        <w:rFonts w:hint="default"/>
        <w:lang w:val="zh-CN" w:eastAsia="zh-CN" w:bidi="zh-CN"/>
      </w:rPr>
    </w:lvl>
  </w:abstractNum>
  <w:abstractNum w:abstractNumId="9">
    <w:nsid w:val="1450273B"/>
    <w:multiLevelType w:val="multilevel"/>
    <w:tmpl w:val="1450273B"/>
    <w:lvl w:ilvl="0" w:tentative="0">
      <w:start w:val="2"/>
      <w:numFmt w:val="lowerLetter"/>
      <w:lvlText w:val="%1."/>
      <w:lvlJc w:val="left"/>
      <w:pPr>
        <w:ind w:left="104" w:hanging="160"/>
      </w:pPr>
      <w:rPr>
        <w:rFonts w:hint="default" w:ascii="Times New Roman" w:hAnsi="Times New Roman" w:eastAsia="Times New Roman" w:cs="Times New Roman"/>
        <w:w w:val="100"/>
        <w:sz w:val="19"/>
        <w:szCs w:val="19"/>
        <w:lang w:val="zh-CN" w:eastAsia="zh-CN" w:bidi="zh-CN"/>
      </w:rPr>
    </w:lvl>
    <w:lvl w:ilvl="1" w:tentative="0">
      <w:start w:val="0"/>
      <w:numFmt w:val="bullet"/>
      <w:lvlText w:val="•"/>
      <w:lvlJc w:val="left"/>
      <w:pPr>
        <w:ind w:left="751" w:hanging="160"/>
      </w:pPr>
      <w:rPr>
        <w:rFonts w:hint="default"/>
        <w:lang w:val="zh-CN" w:eastAsia="zh-CN" w:bidi="zh-CN"/>
      </w:rPr>
    </w:lvl>
    <w:lvl w:ilvl="2" w:tentative="0">
      <w:start w:val="0"/>
      <w:numFmt w:val="bullet"/>
      <w:lvlText w:val="•"/>
      <w:lvlJc w:val="left"/>
      <w:pPr>
        <w:ind w:left="1402" w:hanging="160"/>
      </w:pPr>
      <w:rPr>
        <w:rFonts w:hint="default"/>
        <w:lang w:val="zh-CN" w:eastAsia="zh-CN" w:bidi="zh-CN"/>
      </w:rPr>
    </w:lvl>
    <w:lvl w:ilvl="3" w:tentative="0">
      <w:start w:val="0"/>
      <w:numFmt w:val="bullet"/>
      <w:lvlText w:val="•"/>
      <w:lvlJc w:val="left"/>
      <w:pPr>
        <w:ind w:left="2054" w:hanging="160"/>
      </w:pPr>
      <w:rPr>
        <w:rFonts w:hint="default"/>
        <w:lang w:val="zh-CN" w:eastAsia="zh-CN" w:bidi="zh-CN"/>
      </w:rPr>
    </w:lvl>
    <w:lvl w:ilvl="4" w:tentative="0">
      <w:start w:val="0"/>
      <w:numFmt w:val="bullet"/>
      <w:lvlText w:val="•"/>
      <w:lvlJc w:val="left"/>
      <w:pPr>
        <w:ind w:left="2705" w:hanging="160"/>
      </w:pPr>
      <w:rPr>
        <w:rFonts w:hint="default"/>
        <w:lang w:val="zh-CN" w:eastAsia="zh-CN" w:bidi="zh-CN"/>
      </w:rPr>
    </w:lvl>
    <w:lvl w:ilvl="5" w:tentative="0">
      <w:start w:val="0"/>
      <w:numFmt w:val="bullet"/>
      <w:lvlText w:val="•"/>
      <w:lvlJc w:val="left"/>
      <w:pPr>
        <w:ind w:left="3356" w:hanging="160"/>
      </w:pPr>
      <w:rPr>
        <w:rFonts w:hint="default"/>
        <w:lang w:val="zh-CN" w:eastAsia="zh-CN" w:bidi="zh-CN"/>
      </w:rPr>
    </w:lvl>
    <w:lvl w:ilvl="6" w:tentative="0">
      <w:start w:val="0"/>
      <w:numFmt w:val="bullet"/>
      <w:lvlText w:val="•"/>
      <w:lvlJc w:val="left"/>
      <w:pPr>
        <w:ind w:left="4008" w:hanging="160"/>
      </w:pPr>
      <w:rPr>
        <w:rFonts w:hint="default"/>
        <w:lang w:val="zh-CN" w:eastAsia="zh-CN" w:bidi="zh-CN"/>
      </w:rPr>
    </w:lvl>
    <w:lvl w:ilvl="7" w:tentative="0">
      <w:start w:val="0"/>
      <w:numFmt w:val="bullet"/>
      <w:lvlText w:val="•"/>
      <w:lvlJc w:val="left"/>
      <w:pPr>
        <w:ind w:left="4659" w:hanging="160"/>
      </w:pPr>
      <w:rPr>
        <w:rFonts w:hint="default"/>
        <w:lang w:val="zh-CN" w:eastAsia="zh-CN" w:bidi="zh-CN"/>
      </w:rPr>
    </w:lvl>
    <w:lvl w:ilvl="8" w:tentative="0">
      <w:start w:val="0"/>
      <w:numFmt w:val="bullet"/>
      <w:lvlText w:val="•"/>
      <w:lvlJc w:val="left"/>
      <w:pPr>
        <w:ind w:left="5310" w:hanging="160"/>
      </w:pPr>
      <w:rPr>
        <w:rFonts w:hint="default"/>
        <w:lang w:val="zh-CN" w:eastAsia="zh-CN" w:bidi="zh-CN"/>
      </w:rPr>
    </w:lvl>
  </w:abstractNum>
  <w:abstractNum w:abstractNumId="10">
    <w:nsid w:val="1ACDE60F"/>
    <w:multiLevelType w:val="multilevel"/>
    <w:tmpl w:val="1ACDE60F"/>
    <w:lvl w:ilvl="0" w:tentative="0">
      <w:start w:val="1"/>
      <w:numFmt w:val="decimal"/>
      <w:lvlText w:val="（%1）"/>
      <w:lvlJc w:val="left"/>
      <w:pPr>
        <w:ind w:left="107" w:hanging="601"/>
      </w:pPr>
      <w:rPr>
        <w:rFonts w:hint="default" w:ascii="宋体" w:hAnsi="宋体" w:eastAsia="宋体" w:cs="宋体"/>
        <w:spacing w:val="-5"/>
        <w:w w:val="100"/>
        <w:sz w:val="21"/>
        <w:szCs w:val="22"/>
        <w:lang w:val="zh-CN" w:eastAsia="zh-CN" w:bidi="zh-CN"/>
      </w:rPr>
    </w:lvl>
    <w:lvl w:ilvl="1" w:tentative="0">
      <w:start w:val="0"/>
      <w:numFmt w:val="bullet"/>
      <w:lvlText w:val="•"/>
      <w:lvlJc w:val="left"/>
      <w:pPr>
        <w:ind w:left="769" w:hanging="601"/>
      </w:pPr>
      <w:rPr>
        <w:rFonts w:hint="default"/>
        <w:lang w:val="zh-CN" w:eastAsia="zh-CN" w:bidi="zh-CN"/>
      </w:rPr>
    </w:lvl>
    <w:lvl w:ilvl="2" w:tentative="0">
      <w:start w:val="0"/>
      <w:numFmt w:val="bullet"/>
      <w:lvlText w:val="•"/>
      <w:lvlJc w:val="left"/>
      <w:pPr>
        <w:ind w:left="1439" w:hanging="601"/>
      </w:pPr>
      <w:rPr>
        <w:rFonts w:hint="default"/>
        <w:lang w:val="zh-CN" w:eastAsia="zh-CN" w:bidi="zh-CN"/>
      </w:rPr>
    </w:lvl>
    <w:lvl w:ilvl="3" w:tentative="0">
      <w:start w:val="0"/>
      <w:numFmt w:val="bullet"/>
      <w:lvlText w:val="•"/>
      <w:lvlJc w:val="left"/>
      <w:pPr>
        <w:ind w:left="2108" w:hanging="601"/>
      </w:pPr>
      <w:rPr>
        <w:rFonts w:hint="default"/>
        <w:lang w:val="zh-CN" w:eastAsia="zh-CN" w:bidi="zh-CN"/>
      </w:rPr>
    </w:lvl>
    <w:lvl w:ilvl="4" w:tentative="0">
      <w:start w:val="0"/>
      <w:numFmt w:val="bullet"/>
      <w:lvlText w:val="•"/>
      <w:lvlJc w:val="left"/>
      <w:pPr>
        <w:ind w:left="2778" w:hanging="601"/>
      </w:pPr>
      <w:rPr>
        <w:rFonts w:hint="default"/>
        <w:lang w:val="zh-CN" w:eastAsia="zh-CN" w:bidi="zh-CN"/>
      </w:rPr>
    </w:lvl>
    <w:lvl w:ilvl="5" w:tentative="0">
      <w:start w:val="0"/>
      <w:numFmt w:val="bullet"/>
      <w:lvlText w:val="•"/>
      <w:lvlJc w:val="left"/>
      <w:pPr>
        <w:ind w:left="3448" w:hanging="601"/>
      </w:pPr>
      <w:rPr>
        <w:rFonts w:hint="default"/>
        <w:lang w:val="zh-CN" w:eastAsia="zh-CN" w:bidi="zh-CN"/>
      </w:rPr>
    </w:lvl>
    <w:lvl w:ilvl="6" w:tentative="0">
      <w:start w:val="0"/>
      <w:numFmt w:val="bullet"/>
      <w:lvlText w:val="•"/>
      <w:lvlJc w:val="left"/>
      <w:pPr>
        <w:ind w:left="4117" w:hanging="601"/>
      </w:pPr>
      <w:rPr>
        <w:rFonts w:hint="default"/>
        <w:lang w:val="zh-CN" w:eastAsia="zh-CN" w:bidi="zh-CN"/>
      </w:rPr>
    </w:lvl>
    <w:lvl w:ilvl="7" w:tentative="0">
      <w:start w:val="0"/>
      <w:numFmt w:val="bullet"/>
      <w:lvlText w:val="•"/>
      <w:lvlJc w:val="left"/>
      <w:pPr>
        <w:ind w:left="4787" w:hanging="601"/>
      </w:pPr>
      <w:rPr>
        <w:rFonts w:hint="default"/>
        <w:lang w:val="zh-CN" w:eastAsia="zh-CN" w:bidi="zh-CN"/>
      </w:rPr>
    </w:lvl>
    <w:lvl w:ilvl="8" w:tentative="0">
      <w:start w:val="0"/>
      <w:numFmt w:val="bullet"/>
      <w:lvlText w:val="•"/>
      <w:lvlJc w:val="left"/>
      <w:pPr>
        <w:ind w:left="5456" w:hanging="601"/>
      </w:pPr>
      <w:rPr>
        <w:rFonts w:hint="default"/>
        <w:lang w:val="zh-CN" w:eastAsia="zh-CN" w:bidi="zh-CN"/>
      </w:rPr>
    </w:lvl>
  </w:abstractNum>
  <w:abstractNum w:abstractNumId="11">
    <w:nsid w:val="1BCBBCF0"/>
    <w:multiLevelType w:val="multilevel"/>
    <w:tmpl w:val="1BCBBCF0"/>
    <w:lvl w:ilvl="0" w:tentative="0">
      <w:start w:val="2"/>
      <w:numFmt w:val="decimal"/>
      <w:lvlText w:val="（%1）"/>
      <w:lvlJc w:val="left"/>
      <w:pPr>
        <w:ind w:left="104" w:hanging="529"/>
      </w:pPr>
      <w:rPr>
        <w:rFonts w:hint="default" w:ascii="宋体" w:hAnsi="宋体" w:eastAsia="宋体" w:cs="宋体"/>
        <w:spacing w:val="-3"/>
        <w:w w:val="100"/>
        <w:sz w:val="19"/>
        <w:szCs w:val="19"/>
        <w:lang w:val="zh-CN" w:eastAsia="zh-CN" w:bidi="zh-CN"/>
      </w:rPr>
    </w:lvl>
    <w:lvl w:ilvl="1" w:tentative="0">
      <w:start w:val="0"/>
      <w:numFmt w:val="bullet"/>
      <w:lvlText w:val="•"/>
      <w:lvlJc w:val="left"/>
      <w:pPr>
        <w:ind w:left="751" w:hanging="529"/>
      </w:pPr>
      <w:rPr>
        <w:rFonts w:hint="default"/>
        <w:lang w:val="zh-CN" w:eastAsia="zh-CN" w:bidi="zh-CN"/>
      </w:rPr>
    </w:lvl>
    <w:lvl w:ilvl="2" w:tentative="0">
      <w:start w:val="0"/>
      <w:numFmt w:val="bullet"/>
      <w:lvlText w:val="•"/>
      <w:lvlJc w:val="left"/>
      <w:pPr>
        <w:ind w:left="1402" w:hanging="529"/>
      </w:pPr>
      <w:rPr>
        <w:rFonts w:hint="default"/>
        <w:lang w:val="zh-CN" w:eastAsia="zh-CN" w:bidi="zh-CN"/>
      </w:rPr>
    </w:lvl>
    <w:lvl w:ilvl="3" w:tentative="0">
      <w:start w:val="0"/>
      <w:numFmt w:val="bullet"/>
      <w:lvlText w:val="•"/>
      <w:lvlJc w:val="left"/>
      <w:pPr>
        <w:ind w:left="2054" w:hanging="529"/>
      </w:pPr>
      <w:rPr>
        <w:rFonts w:hint="default"/>
        <w:lang w:val="zh-CN" w:eastAsia="zh-CN" w:bidi="zh-CN"/>
      </w:rPr>
    </w:lvl>
    <w:lvl w:ilvl="4" w:tentative="0">
      <w:start w:val="0"/>
      <w:numFmt w:val="bullet"/>
      <w:lvlText w:val="•"/>
      <w:lvlJc w:val="left"/>
      <w:pPr>
        <w:ind w:left="2705" w:hanging="529"/>
      </w:pPr>
      <w:rPr>
        <w:rFonts w:hint="default"/>
        <w:lang w:val="zh-CN" w:eastAsia="zh-CN" w:bidi="zh-CN"/>
      </w:rPr>
    </w:lvl>
    <w:lvl w:ilvl="5" w:tentative="0">
      <w:start w:val="0"/>
      <w:numFmt w:val="bullet"/>
      <w:lvlText w:val="•"/>
      <w:lvlJc w:val="left"/>
      <w:pPr>
        <w:ind w:left="3356" w:hanging="529"/>
      </w:pPr>
      <w:rPr>
        <w:rFonts w:hint="default"/>
        <w:lang w:val="zh-CN" w:eastAsia="zh-CN" w:bidi="zh-CN"/>
      </w:rPr>
    </w:lvl>
    <w:lvl w:ilvl="6" w:tentative="0">
      <w:start w:val="0"/>
      <w:numFmt w:val="bullet"/>
      <w:lvlText w:val="•"/>
      <w:lvlJc w:val="left"/>
      <w:pPr>
        <w:ind w:left="4008" w:hanging="529"/>
      </w:pPr>
      <w:rPr>
        <w:rFonts w:hint="default"/>
        <w:lang w:val="zh-CN" w:eastAsia="zh-CN" w:bidi="zh-CN"/>
      </w:rPr>
    </w:lvl>
    <w:lvl w:ilvl="7" w:tentative="0">
      <w:start w:val="0"/>
      <w:numFmt w:val="bullet"/>
      <w:lvlText w:val="•"/>
      <w:lvlJc w:val="left"/>
      <w:pPr>
        <w:ind w:left="4659" w:hanging="529"/>
      </w:pPr>
      <w:rPr>
        <w:rFonts w:hint="default"/>
        <w:lang w:val="zh-CN" w:eastAsia="zh-CN" w:bidi="zh-CN"/>
      </w:rPr>
    </w:lvl>
    <w:lvl w:ilvl="8" w:tentative="0">
      <w:start w:val="0"/>
      <w:numFmt w:val="bullet"/>
      <w:lvlText w:val="•"/>
      <w:lvlJc w:val="left"/>
      <w:pPr>
        <w:ind w:left="5310" w:hanging="529"/>
      </w:pPr>
      <w:rPr>
        <w:rFonts w:hint="default"/>
        <w:lang w:val="zh-CN" w:eastAsia="zh-CN" w:bidi="zh-CN"/>
      </w:rPr>
    </w:lvl>
  </w:abstractNum>
  <w:abstractNum w:abstractNumId="12">
    <w:nsid w:val="4CD1E351"/>
    <w:multiLevelType w:val="multilevel"/>
    <w:tmpl w:val="4CD1E351"/>
    <w:lvl w:ilvl="0" w:tentative="0">
      <w:start w:val="2"/>
      <w:numFmt w:val="decimal"/>
      <w:lvlText w:val="（%1）"/>
      <w:lvlJc w:val="left"/>
      <w:pPr>
        <w:ind w:left="104" w:hanging="529"/>
      </w:pPr>
      <w:rPr>
        <w:rFonts w:hint="default" w:ascii="宋体" w:hAnsi="宋体" w:eastAsia="宋体" w:cs="宋体"/>
        <w:spacing w:val="-3"/>
        <w:w w:val="100"/>
        <w:sz w:val="19"/>
        <w:szCs w:val="19"/>
        <w:lang w:val="zh-CN" w:eastAsia="zh-CN" w:bidi="zh-CN"/>
      </w:rPr>
    </w:lvl>
    <w:lvl w:ilvl="1" w:tentative="0">
      <w:start w:val="0"/>
      <w:numFmt w:val="bullet"/>
      <w:lvlText w:val="•"/>
      <w:lvlJc w:val="left"/>
      <w:pPr>
        <w:ind w:left="751" w:hanging="529"/>
      </w:pPr>
      <w:rPr>
        <w:rFonts w:hint="default"/>
        <w:lang w:val="zh-CN" w:eastAsia="zh-CN" w:bidi="zh-CN"/>
      </w:rPr>
    </w:lvl>
    <w:lvl w:ilvl="2" w:tentative="0">
      <w:start w:val="0"/>
      <w:numFmt w:val="bullet"/>
      <w:lvlText w:val="•"/>
      <w:lvlJc w:val="left"/>
      <w:pPr>
        <w:ind w:left="1402" w:hanging="529"/>
      </w:pPr>
      <w:rPr>
        <w:rFonts w:hint="default"/>
        <w:lang w:val="zh-CN" w:eastAsia="zh-CN" w:bidi="zh-CN"/>
      </w:rPr>
    </w:lvl>
    <w:lvl w:ilvl="3" w:tentative="0">
      <w:start w:val="0"/>
      <w:numFmt w:val="bullet"/>
      <w:lvlText w:val="•"/>
      <w:lvlJc w:val="left"/>
      <w:pPr>
        <w:ind w:left="2054" w:hanging="529"/>
      </w:pPr>
      <w:rPr>
        <w:rFonts w:hint="default"/>
        <w:lang w:val="zh-CN" w:eastAsia="zh-CN" w:bidi="zh-CN"/>
      </w:rPr>
    </w:lvl>
    <w:lvl w:ilvl="4" w:tentative="0">
      <w:start w:val="0"/>
      <w:numFmt w:val="bullet"/>
      <w:lvlText w:val="•"/>
      <w:lvlJc w:val="left"/>
      <w:pPr>
        <w:ind w:left="2705" w:hanging="529"/>
      </w:pPr>
      <w:rPr>
        <w:rFonts w:hint="default"/>
        <w:lang w:val="zh-CN" w:eastAsia="zh-CN" w:bidi="zh-CN"/>
      </w:rPr>
    </w:lvl>
    <w:lvl w:ilvl="5" w:tentative="0">
      <w:start w:val="0"/>
      <w:numFmt w:val="bullet"/>
      <w:lvlText w:val="•"/>
      <w:lvlJc w:val="left"/>
      <w:pPr>
        <w:ind w:left="3356" w:hanging="529"/>
      </w:pPr>
      <w:rPr>
        <w:rFonts w:hint="default"/>
        <w:lang w:val="zh-CN" w:eastAsia="zh-CN" w:bidi="zh-CN"/>
      </w:rPr>
    </w:lvl>
    <w:lvl w:ilvl="6" w:tentative="0">
      <w:start w:val="0"/>
      <w:numFmt w:val="bullet"/>
      <w:lvlText w:val="•"/>
      <w:lvlJc w:val="left"/>
      <w:pPr>
        <w:ind w:left="4008" w:hanging="529"/>
      </w:pPr>
      <w:rPr>
        <w:rFonts w:hint="default"/>
        <w:lang w:val="zh-CN" w:eastAsia="zh-CN" w:bidi="zh-CN"/>
      </w:rPr>
    </w:lvl>
    <w:lvl w:ilvl="7" w:tentative="0">
      <w:start w:val="0"/>
      <w:numFmt w:val="bullet"/>
      <w:lvlText w:val="•"/>
      <w:lvlJc w:val="left"/>
      <w:pPr>
        <w:ind w:left="4659" w:hanging="529"/>
      </w:pPr>
      <w:rPr>
        <w:rFonts w:hint="default"/>
        <w:lang w:val="zh-CN" w:eastAsia="zh-CN" w:bidi="zh-CN"/>
      </w:rPr>
    </w:lvl>
    <w:lvl w:ilvl="8" w:tentative="0">
      <w:start w:val="0"/>
      <w:numFmt w:val="bullet"/>
      <w:lvlText w:val="•"/>
      <w:lvlJc w:val="left"/>
      <w:pPr>
        <w:ind w:left="5310" w:hanging="529"/>
      </w:pPr>
      <w:rPr>
        <w:rFonts w:hint="default"/>
        <w:lang w:val="zh-CN" w:eastAsia="zh-CN" w:bidi="zh-CN"/>
      </w:rPr>
    </w:lvl>
  </w:abstractNum>
  <w:num w:numId="1">
    <w:abstractNumId w:val="7"/>
  </w:num>
  <w:num w:numId="2">
    <w:abstractNumId w:val="6"/>
  </w:num>
  <w:num w:numId="3">
    <w:abstractNumId w:val="2"/>
  </w:num>
  <w:num w:numId="4">
    <w:abstractNumId w:val="11"/>
  </w:num>
  <w:num w:numId="5">
    <w:abstractNumId w:val="9"/>
  </w:num>
  <w:num w:numId="6">
    <w:abstractNumId w:val="4"/>
  </w:num>
  <w:num w:numId="7">
    <w:abstractNumId w:val="5"/>
  </w:num>
  <w:num w:numId="8">
    <w:abstractNumId w:val="12"/>
  </w:num>
  <w:num w:numId="9">
    <w:abstractNumId w:val="8"/>
  </w:num>
  <w:num w:numId="10">
    <w:abstractNumId w:val="3"/>
  </w:num>
  <w:num w:numId="11">
    <w:abstractNumId w:val="0"/>
  </w:num>
  <w:num w:numId="12">
    <w:abstractNumId w:val="10"/>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MmEwNDNiOWUwOTE3OTA4NjU5NWMyMWI0ZGNlMWU0MTIifQ=="/>
  </w:docVars>
  <w:rsids>
    <w:rsidRoot w:val="00000000"/>
    <w:rsid w:val="030D40BE"/>
    <w:rsid w:val="0B9A4E1E"/>
    <w:rsid w:val="0CF03C05"/>
    <w:rsid w:val="119F2CCD"/>
    <w:rsid w:val="1FB80AFF"/>
    <w:rsid w:val="220F30B7"/>
    <w:rsid w:val="222D1A37"/>
    <w:rsid w:val="23FF48D0"/>
    <w:rsid w:val="2D77284E"/>
    <w:rsid w:val="304537B2"/>
    <w:rsid w:val="356701F8"/>
    <w:rsid w:val="3DCC07DF"/>
    <w:rsid w:val="3F4168C2"/>
    <w:rsid w:val="408178BE"/>
    <w:rsid w:val="470C0B92"/>
    <w:rsid w:val="47782BC0"/>
    <w:rsid w:val="47DB3EF8"/>
    <w:rsid w:val="497B17EE"/>
    <w:rsid w:val="49920446"/>
    <w:rsid w:val="4D85779F"/>
    <w:rsid w:val="4F3A1499"/>
    <w:rsid w:val="4FC217E9"/>
    <w:rsid w:val="50634C78"/>
    <w:rsid w:val="56774F51"/>
    <w:rsid w:val="56EE0C86"/>
    <w:rsid w:val="57062473"/>
    <w:rsid w:val="661E53F7"/>
    <w:rsid w:val="67F03139"/>
    <w:rsid w:val="6BA651B0"/>
    <w:rsid w:val="6EC425A0"/>
    <w:rsid w:val="72625D35"/>
    <w:rsid w:val="72BB69CD"/>
    <w:rsid w:val="738D477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character" w:default="1" w:styleId="12">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customStyle="1" w:styleId="2">
    <w:name w:val="Normal Indent1"/>
    <w:basedOn w:val="1"/>
    <w:qFormat/>
    <w:uiPriority w:val="0"/>
    <w:pPr>
      <w:widowControl/>
      <w:spacing w:line="360" w:lineRule="auto"/>
      <w:ind w:firstLine="420"/>
      <w:jc w:val="left"/>
    </w:pPr>
    <w:rPr>
      <w:rFonts w:ascii="宋体" w:hAnsi="Times New Roman" w:cs="Times New Roman"/>
      <w:kern w:val="0"/>
      <w:sz w:val="20"/>
      <w:szCs w:val="20"/>
    </w:rPr>
  </w:style>
  <w:style w:type="paragraph" w:styleId="3">
    <w:name w:val="Body Text"/>
    <w:basedOn w:val="1"/>
    <w:next w:val="4"/>
    <w:qFormat/>
    <w:uiPriority w:val="0"/>
    <w:pPr>
      <w:spacing w:after="120" w:afterLines="0"/>
    </w:pPr>
  </w:style>
  <w:style w:type="paragraph" w:styleId="4">
    <w:name w:val="Body Text 2"/>
    <w:basedOn w:val="1"/>
    <w:qFormat/>
    <w:uiPriority w:val="0"/>
    <w:rPr>
      <w:rFonts w:ascii="宋体" w:hAnsi="宋体"/>
      <w:sz w:val="28"/>
      <w:szCs w:val="24"/>
    </w:rPr>
  </w:style>
  <w:style w:type="paragraph" w:styleId="5">
    <w:name w:val="Body Text Indent"/>
    <w:basedOn w:val="1"/>
    <w:next w:val="1"/>
    <w:qFormat/>
    <w:uiPriority w:val="0"/>
    <w:pPr>
      <w:spacing w:after="120" w:afterLines="0"/>
      <w:ind w:left="420" w:leftChars="200"/>
    </w:pPr>
    <w:rPr>
      <w:szCs w:val="24"/>
    </w:rPr>
  </w:style>
  <w:style w:type="paragraph" w:styleId="6">
    <w:name w:val="Plain Text"/>
    <w:basedOn w:val="1"/>
    <w:next w:val="1"/>
    <w:qFormat/>
    <w:uiPriority w:val="0"/>
    <w:rPr>
      <w:rFonts w:ascii="宋体" w:hAnsi="Courier New"/>
      <w:kern w:val="0"/>
      <w:sz w:val="20"/>
      <w:szCs w:val="20"/>
    </w:rPr>
  </w:style>
  <w:style w:type="paragraph" w:styleId="7">
    <w:name w:val="footer"/>
    <w:basedOn w:val="1"/>
    <w:qFormat/>
    <w:uiPriority w:val="0"/>
    <w:pPr>
      <w:tabs>
        <w:tab w:val="center" w:pos="4153"/>
        <w:tab w:val="right" w:pos="8306"/>
      </w:tabs>
      <w:snapToGrid w:val="0"/>
      <w:jc w:val="left"/>
    </w:pPr>
    <w:rPr>
      <w:sz w:val="18"/>
      <w:szCs w:val="18"/>
    </w:rPr>
  </w:style>
  <w:style w:type="paragraph" w:styleId="8">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9">
    <w:name w:val="toc 2"/>
    <w:basedOn w:val="1"/>
    <w:next w:val="1"/>
    <w:qFormat/>
    <w:uiPriority w:val="0"/>
    <w:pPr>
      <w:ind w:left="420" w:leftChars="200"/>
    </w:pPr>
    <w:rPr>
      <w:szCs w:val="24"/>
    </w:rPr>
  </w:style>
  <w:style w:type="paragraph" w:styleId="10">
    <w:name w:val="Body Text First Indent 2"/>
    <w:basedOn w:val="5"/>
    <w:unhideWhenUsed/>
    <w:qFormat/>
    <w:uiPriority w:val="99"/>
    <w:pPr>
      <w:ind w:firstLine="420" w:firstLineChars="200"/>
    </w:pPr>
  </w:style>
  <w:style w:type="table" w:customStyle="1" w:styleId="13">
    <w:name w:val="Table Normal"/>
    <w:semiHidden/>
    <w:unhideWhenUsed/>
    <w:qFormat/>
    <w:uiPriority w:val="0"/>
    <w:tblPr>
      <w:tblCellMar>
        <w:top w:w="0" w:type="dxa"/>
        <w:left w:w="0" w:type="dxa"/>
        <w:bottom w:w="0" w:type="dxa"/>
        <w:right w:w="0" w:type="dxa"/>
      </w:tblCellMar>
    </w:tblPr>
  </w:style>
  <w:style w:type="paragraph" w:customStyle="1" w:styleId="14">
    <w:name w:val="Table Paragraph"/>
    <w:basedOn w:val="15"/>
    <w:qFormat/>
    <w:uiPriority w:val="1"/>
  </w:style>
  <w:style w:type="paragraph" w:customStyle="1" w:styleId="15">
    <w:name w:val="正文 New New New New"/>
    <w:next w:val="16"/>
    <w:unhideWhenUsed/>
    <w:qFormat/>
    <w:uiPriority w:val="99"/>
    <w:pPr>
      <w:widowControl w:val="0"/>
      <w:autoSpaceDE w:val="0"/>
      <w:autoSpaceDN w:val="0"/>
      <w:adjustRightInd w:val="0"/>
    </w:pPr>
    <w:rPr>
      <w:rFonts w:ascii="Times New Roman" w:hAnsi="Times New Roman" w:eastAsia="宋体" w:cs="Times New Roman"/>
      <w:sz w:val="24"/>
      <w:szCs w:val="24"/>
      <w:lang w:val="en-US" w:eastAsia="zh-CN" w:bidi="ar-SA"/>
    </w:rPr>
  </w:style>
  <w:style w:type="paragraph" w:customStyle="1" w:styleId="16">
    <w:name w:val="正文文本缩进 New New New New"/>
    <w:basedOn w:val="17"/>
    <w:unhideWhenUsed/>
    <w:qFormat/>
    <w:uiPriority w:val="99"/>
    <w:pPr>
      <w:ind w:left="420" w:leftChars="200"/>
    </w:pPr>
  </w:style>
  <w:style w:type="paragraph" w:customStyle="1" w:styleId="17">
    <w:name w:val="正文文本 New New New New"/>
    <w:basedOn w:val="18"/>
    <w:unhideWhenUsed/>
    <w:qFormat/>
    <w:uiPriority w:val="99"/>
    <w:pPr>
      <w:spacing w:before="32"/>
      <w:ind w:left="138"/>
    </w:pPr>
  </w:style>
  <w:style w:type="paragraph" w:customStyle="1" w:styleId="18">
    <w:name w:val="正文 New New New New New New"/>
    <w:next w:val="19"/>
    <w:unhideWhenUsed/>
    <w:qFormat/>
    <w:uiPriority w:val="99"/>
    <w:pPr>
      <w:widowControl w:val="0"/>
      <w:autoSpaceDE w:val="0"/>
      <w:autoSpaceDN w:val="0"/>
      <w:adjustRightInd w:val="0"/>
    </w:pPr>
    <w:rPr>
      <w:rFonts w:ascii="Times New Roman" w:hAnsi="Times New Roman" w:eastAsia="宋体" w:cs="Times New Roman"/>
      <w:sz w:val="24"/>
      <w:szCs w:val="24"/>
      <w:lang w:val="en-US" w:eastAsia="zh-CN" w:bidi="ar-SA"/>
    </w:rPr>
  </w:style>
  <w:style w:type="paragraph" w:customStyle="1" w:styleId="19">
    <w:name w:val="正文文本缩进 New New New New New New"/>
    <w:basedOn w:val="20"/>
    <w:unhideWhenUsed/>
    <w:qFormat/>
    <w:uiPriority w:val="99"/>
    <w:pPr>
      <w:ind w:left="420" w:leftChars="200"/>
    </w:pPr>
  </w:style>
  <w:style w:type="paragraph" w:customStyle="1" w:styleId="20">
    <w:name w:val="正文文本 New New New New New New New New New New"/>
    <w:basedOn w:val="21"/>
    <w:unhideWhenUsed/>
    <w:qFormat/>
    <w:uiPriority w:val="99"/>
    <w:pPr>
      <w:spacing w:before="32"/>
      <w:ind w:left="138"/>
    </w:pPr>
  </w:style>
  <w:style w:type="paragraph" w:customStyle="1" w:styleId="21">
    <w:name w:val="正文 New New New New New New New New New New New"/>
    <w:next w:val="19"/>
    <w:unhideWhenUsed/>
    <w:qFormat/>
    <w:uiPriority w:val="99"/>
    <w:pPr>
      <w:widowControl w:val="0"/>
      <w:autoSpaceDE w:val="0"/>
      <w:autoSpaceDN w:val="0"/>
      <w:adjustRightInd w:val="0"/>
    </w:pPr>
    <w:rPr>
      <w:rFonts w:ascii="Times New Roman" w:hAnsi="Times New Roman" w:eastAsia="宋体" w:cs="Times New Roman"/>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2.xml"/><Relationship Id="rId8" Type="http://schemas.openxmlformats.org/officeDocument/2006/relationships/header" Target="header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5.xml"/><Relationship Id="rId11" Type="http://schemas.openxmlformats.org/officeDocument/2006/relationships/header" Target="header3.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19</Pages>
  <Words>11024</Words>
  <Characters>11748</Characters>
  <TotalTime>2</TotalTime>
  <ScaleCrop>false</ScaleCrop>
  <LinksUpToDate>false</LinksUpToDate>
  <CharactersWithSpaces>12143</CharactersWithSpaces>
  <Application>WPS Office_11.1.0.14309_F1E327BC-269C-435d-A152-05C5408002CA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2023-03-23T09:46:00Z</dcterms:created>
  <dc:creator>Kingsoft-PDF</dc:creator>
  <cp:lastModifiedBy>简单=幸福</cp:lastModifiedBy>
  <cp:lastPrinted>2023-05-18T04:51:00Z</cp:lastPrinted>
  <dcterms:modified xsi:type="dcterms:W3CDTF">2023-05-19T01:28:34Z</dcterms:modified>
  <dc:subject>pdfbuilder</dc:subject>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wqlLaW5nc29mdCBQREYgdG8gV1BTIDg1</vt:lpwstr>
  </property>
  <property fmtid="{D5CDD505-2E9C-101B-9397-08002B2CF9AE}" pid="3" name="Created">
    <vt:filetime>2023-03-23T09:46:15Z</vt:filetime>
  </property>
  <property fmtid="{D5CDD505-2E9C-101B-9397-08002B2CF9AE}" pid="4" name="UsrData">
    <vt:lpwstr>641baf560c8b290015401666</vt:lpwstr>
  </property>
  <property fmtid="{D5CDD505-2E9C-101B-9397-08002B2CF9AE}" pid="5" name="KSOProductBuildVer">
    <vt:lpwstr>2052-11.1.0.14309</vt:lpwstr>
  </property>
  <property fmtid="{D5CDD505-2E9C-101B-9397-08002B2CF9AE}" pid="6" name="ICV">
    <vt:lpwstr>1D55DF80446540A9BF8139643B96E47E_13</vt:lpwstr>
  </property>
</Properties>
</file>