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3"/>
          <w:rFonts w:hAnsi="宋体"/>
          <w:b/>
          <w:bCs/>
          <w:color w:val="auto"/>
          <w:sz w:val="44"/>
          <w:szCs w:val="44"/>
          <w:highlight w:val="none"/>
          <w:u w:val="none"/>
        </w:rPr>
      </w:pPr>
    </w:p>
    <w:p>
      <w:pPr>
        <w:spacing w:line="360" w:lineRule="auto"/>
        <w:jc w:val="center"/>
        <w:rPr>
          <w:rFonts w:ascii="宋体" w:cs="黑体"/>
          <w:sz w:val="28"/>
          <w:szCs w:val="28"/>
          <w:highlight w:val="none"/>
        </w:rPr>
      </w:pPr>
      <w:r>
        <w:rPr>
          <w:rFonts w:hint="eastAsia" w:ascii="宋体" w:cs="黑体"/>
          <w:b/>
          <w:bCs/>
          <w:sz w:val="48"/>
          <w:szCs w:val="48"/>
          <w:highlight w:val="none"/>
        </w:rPr>
        <w:t>越秀区城市更新改造补短板项目（二期）—中心城区品质化提升项目（大东街老旧小区改造）施工监理</w:t>
      </w: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b/>
          <w:bCs/>
          <w:color w:val="auto"/>
          <w:sz w:val="84"/>
          <w:szCs w:val="84"/>
          <w:highlight w:val="none"/>
          <w:u w:val="none"/>
        </w:rPr>
      </w:pPr>
      <w:r>
        <w:rPr>
          <w:rStyle w:val="43"/>
          <w:rFonts w:hint="eastAsia"/>
          <w:b/>
          <w:bCs/>
          <w:color w:val="auto"/>
          <w:sz w:val="84"/>
          <w:szCs w:val="84"/>
          <w:highlight w:val="none"/>
          <w:u w:val="none"/>
        </w:rPr>
        <w:t>招标文件</w:t>
      </w: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b/>
          <w:bCs/>
          <w:color w:val="auto"/>
          <w:sz w:val="28"/>
          <w:szCs w:val="28"/>
          <w:highlight w:val="none"/>
          <w:u w:val="none"/>
        </w:rPr>
      </w:pPr>
    </w:p>
    <w:p>
      <w:pPr>
        <w:snapToGrid w:val="0"/>
        <w:spacing w:line="360" w:lineRule="auto"/>
        <w:ind w:firstLine="1661" w:firstLineChars="591"/>
        <w:rPr>
          <w:rFonts w:ascii="宋体" w:cs="黑体"/>
          <w:b/>
          <w:sz w:val="28"/>
          <w:highlight w:val="none"/>
        </w:rPr>
      </w:pPr>
    </w:p>
    <w:p>
      <w:pPr>
        <w:snapToGrid w:val="0"/>
        <w:spacing w:line="360" w:lineRule="auto"/>
        <w:ind w:firstLine="1506" w:firstLineChars="500"/>
        <w:rPr>
          <w:rFonts w:ascii="宋体" w:cs="黑体"/>
          <w:b/>
          <w:sz w:val="30"/>
          <w:szCs w:val="30"/>
          <w:highlight w:val="none"/>
        </w:rPr>
      </w:pPr>
      <w:r>
        <w:rPr>
          <w:rFonts w:hint="eastAsia" w:ascii="宋体" w:cs="黑体"/>
          <w:b/>
          <w:sz w:val="30"/>
          <w:szCs w:val="30"/>
          <w:highlight w:val="none"/>
        </w:rPr>
        <w:t>招 标 人：广州市越秀区人民政府大东街道办事处</w:t>
      </w:r>
    </w:p>
    <w:p>
      <w:pPr>
        <w:snapToGrid w:val="0"/>
        <w:spacing w:line="360" w:lineRule="auto"/>
        <w:ind w:firstLine="1506" w:firstLineChars="500"/>
        <w:rPr>
          <w:rFonts w:ascii="宋体" w:cs="黑体"/>
          <w:b/>
          <w:sz w:val="30"/>
          <w:szCs w:val="30"/>
          <w:highlight w:val="none"/>
        </w:rPr>
      </w:pPr>
      <w:r>
        <w:rPr>
          <w:rFonts w:hint="eastAsia" w:ascii="宋体" w:cs="黑体"/>
          <w:b/>
          <w:sz w:val="30"/>
          <w:szCs w:val="30"/>
          <w:highlight w:val="none"/>
        </w:rPr>
        <w:t>招标代理机构：广东科瑞工程管理有限公司</w:t>
      </w:r>
    </w:p>
    <w:p>
      <w:pPr>
        <w:snapToGrid w:val="0"/>
        <w:spacing w:line="360" w:lineRule="auto"/>
        <w:ind w:firstLine="1506" w:firstLineChars="500"/>
        <w:rPr>
          <w:rFonts w:ascii="宋体" w:cs="黑体"/>
          <w:b/>
          <w:sz w:val="30"/>
          <w:szCs w:val="30"/>
          <w:highlight w:val="none"/>
        </w:rPr>
      </w:pPr>
      <w:r>
        <w:rPr>
          <w:rFonts w:hint="eastAsia" w:ascii="宋体" w:cs="黑体"/>
          <w:b/>
          <w:sz w:val="30"/>
          <w:szCs w:val="30"/>
          <w:highlight w:val="none"/>
        </w:rPr>
        <w:t>编制日期：2023年5月</w:t>
      </w:r>
    </w:p>
    <w:p>
      <w:pPr>
        <w:spacing w:line="0" w:lineRule="atLeast"/>
        <w:rPr>
          <w:rFonts w:ascii="Times New Roman" w:hAnsi="Times New Roman" w:eastAsia="Times New Roman"/>
          <w:sz w:val="24"/>
          <w:highlight w:val="none"/>
        </w:rPr>
        <w:sectPr>
          <w:headerReference r:id="rId3" w:type="default"/>
          <w:footerReference r:id="rId4" w:type="default"/>
          <w:pgSz w:w="11906" w:h="16838"/>
          <w:pgMar w:top="1440" w:right="1080" w:bottom="1440" w:left="1080" w:header="851" w:footer="992" w:gutter="0"/>
          <w:cols w:space="720" w:num="1"/>
          <w:titlePg/>
          <w:docGrid w:type="lines" w:linePitch="312" w:charSpace="0"/>
        </w:sectPr>
      </w:pPr>
    </w:p>
    <w:p>
      <w:pPr>
        <w:tabs>
          <w:tab w:val="left" w:leader="dot" w:pos="8760"/>
        </w:tabs>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目  录</w:t>
      </w:r>
    </w:p>
    <w:p>
      <w:pPr>
        <w:tabs>
          <w:tab w:val="left" w:leader="dot" w:pos="8760"/>
        </w:tabs>
        <w:spacing w:line="360" w:lineRule="auto"/>
        <w:rPr>
          <w:rFonts w:ascii="宋体" w:hAnsi="宋体" w:cs="宋体"/>
          <w:sz w:val="28"/>
          <w:szCs w:val="28"/>
          <w:highlight w:val="none"/>
        </w:rPr>
      </w:pPr>
    </w:p>
    <w:p>
      <w:pPr>
        <w:tabs>
          <w:tab w:val="left" w:leader="dot" w:pos="8760"/>
        </w:tabs>
        <w:spacing w:line="360" w:lineRule="auto"/>
        <w:ind w:firstLine="280" w:firstLineChars="1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第一章 招标公告</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p>
    <w:p>
      <w:pPr>
        <w:tabs>
          <w:tab w:val="left" w:leader="dot" w:pos="8760"/>
        </w:tabs>
        <w:spacing w:line="360" w:lineRule="auto"/>
        <w:ind w:firstLine="280" w:firstLineChars="1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lang w:val="en-US" w:eastAsia="zh-CN"/>
        </w:rPr>
        <w:t>3</w:t>
      </w:r>
    </w:p>
    <w:p>
      <w:pPr>
        <w:tabs>
          <w:tab w:val="left" w:leader="dot" w:pos="8760"/>
        </w:tabs>
        <w:spacing w:line="360" w:lineRule="auto"/>
        <w:ind w:firstLine="280" w:firstLineChars="1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第三章 评标办法（综合评估法）</w:t>
      </w:r>
      <w:r>
        <w:rPr>
          <w:rFonts w:hint="eastAsia" w:ascii="宋体" w:hAnsi="宋体" w:cs="宋体"/>
          <w:sz w:val="28"/>
          <w:szCs w:val="28"/>
          <w:highlight w:val="none"/>
        </w:rPr>
        <w:tab/>
      </w:r>
      <w:r>
        <w:rPr>
          <w:rFonts w:hint="eastAsia" w:ascii="宋体" w:hAnsi="宋体" w:cs="宋体"/>
          <w:sz w:val="28"/>
          <w:szCs w:val="28"/>
          <w:highlight w:val="none"/>
          <w:lang w:val="en-US" w:eastAsia="zh-CN"/>
        </w:rPr>
        <w:t>27</w:t>
      </w:r>
    </w:p>
    <w:p>
      <w:pPr>
        <w:tabs>
          <w:tab w:val="left" w:leader="dot" w:pos="8760"/>
        </w:tabs>
        <w:spacing w:line="360" w:lineRule="auto"/>
        <w:ind w:firstLine="280" w:firstLineChars="1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第四章 合同条款及格式</w:t>
      </w:r>
      <w:r>
        <w:rPr>
          <w:rFonts w:hint="eastAsia" w:ascii="宋体" w:hAnsi="宋体" w:cs="宋体"/>
          <w:sz w:val="28"/>
          <w:szCs w:val="28"/>
          <w:highlight w:val="none"/>
        </w:rPr>
        <w:tab/>
      </w:r>
      <w:r>
        <w:rPr>
          <w:rFonts w:hint="eastAsia" w:ascii="宋体" w:hAnsi="宋体" w:cs="宋体"/>
          <w:sz w:val="28"/>
          <w:szCs w:val="28"/>
          <w:highlight w:val="none"/>
          <w:lang w:val="en-US" w:eastAsia="zh-CN"/>
        </w:rPr>
        <w:t>35</w:t>
      </w:r>
    </w:p>
    <w:p>
      <w:pPr>
        <w:tabs>
          <w:tab w:val="left" w:leader="dot" w:pos="8760"/>
        </w:tabs>
        <w:spacing w:line="360" w:lineRule="auto"/>
        <w:ind w:firstLine="280" w:firstLineChars="1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第五章 委托人要求</w:t>
      </w:r>
      <w:r>
        <w:rPr>
          <w:rFonts w:hint="eastAsia" w:ascii="宋体" w:hAnsi="宋体" w:cs="宋体"/>
          <w:sz w:val="28"/>
          <w:szCs w:val="28"/>
          <w:highlight w:val="none"/>
        </w:rPr>
        <w:tab/>
      </w:r>
      <w:r>
        <w:rPr>
          <w:rFonts w:hint="eastAsia" w:ascii="宋体" w:hAnsi="宋体" w:cs="宋体"/>
          <w:sz w:val="28"/>
          <w:szCs w:val="28"/>
          <w:highlight w:val="none"/>
          <w:lang w:val="en-US" w:eastAsia="zh-CN"/>
        </w:rPr>
        <w:t>36</w:t>
      </w:r>
    </w:p>
    <w:p>
      <w:pPr>
        <w:tabs>
          <w:tab w:val="left" w:leader="dot" w:pos="8760"/>
        </w:tabs>
        <w:spacing w:line="360" w:lineRule="auto"/>
        <w:ind w:firstLine="280" w:firstLineChars="1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第六章 投标文件格式</w:t>
      </w:r>
      <w:r>
        <w:rPr>
          <w:rFonts w:hint="eastAsia" w:ascii="宋体" w:hAnsi="宋体" w:cs="宋体"/>
          <w:sz w:val="28"/>
          <w:szCs w:val="28"/>
          <w:highlight w:val="none"/>
        </w:rPr>
        <w:tab/>
      </w:r>
      <w:r>
        <w:rPr>
          <w:rFonts w:hint="eastAsia" w:ascii="宋体" w:hAnsi="宋体" w:cs="宋体"/>
          <w:sz w:val="28"/>
          <w:szCs w:val="28"/>
          <w:highlight w:val="none"/>
          <w:lang w:val="en-US" w:eastAsia="zh-CN"/>
        </w:rPr>
        <w:t>38</w:t>
      </w:r>
    </w:p>
    <w:p>
      <w:pPr>
        <w:tabs>
          <w:tab w:val="left" w:leader="dot" w:pos="8760"/>
        </w:tabs>
        <w:spacing w:line="360" w:lineRule="auto"/>
        <w:rPr>
          <w:rFonts w:ascii="宋体" w:hAnsi="宋体" w:cs="宋体"/>
          <w:sz w:val="28"/>
          <w:szCs w:val="28"/>
          <w:highlight w:val="none"/>
        </w:rPr>
      </w:pPr>
    </w:p>
    <w:p>
      <w:pPr>
        <w:tabs>
          <w:tab w:val="left" w:leader="dot" w:pos="8760"/>
        </w:tabs>
        <w:spacing w:line="270" w:lineRule="exact"/>
        <w:rPr>
          <w:rFonts w:ascii="Times New Roman" w:hAnsi="Times New Roman"/>
          <w:highlight w:val="none"/>
        </w:rPr>
        <w:sectPr>
          <w:footerReference r:id="rId5" w:type="default"/>
          <w:pgSz w:w="11906" w:h="16838"/>
          <w:pgMar w:top="1418" w:right="1418" w:bottom="1418" w:left="1418" w:header="851" w:footer="992" w:gutter="0"/>
          <w:pgNumType w:start="1"/>
          <w:cols w:space="720" w:num="1"/>
          <w:docGrid w:type="lines" w:linePitch="312" w:charSpace="0"/>
        </w:sectPr>
      </w:pPr>
      <w:bookmarkStart w:id="432" w:name="_GoBack"/>
      <w:bookmarkEnd w:id="432"/>
    </w:p>
    <w:p>
      <w:pPr>
        <w:spacing w:line="200" w:lineRule="exact"/>
        <w:rPr>
          <w:rFonts w:ascii="Times New Roman" w:hAnsi="Times New Roman"/>
          <w:highlight w:val="none"/>
        </w:rPr>
      </w:pPr>
    </w:p>
    <w:p>
      <w:pPr>
        <w:spacing w:line="200" w:lineRule="exact"/>
        <w:rPr>
          <w:rFonts w:ascii="Times New Roman" w:hAnsi="Times New Roman" w:eastAsia="Times New Roman"/>
          <w:highlight w:val="none"/>
        </w:rPr>
      </w:pPr>
    </w:p>
    <w:p>
      <w:pPr>
        <w:pStyle w:val="3"/>
        <w:jc w:val="center"/>
        <w:rPr>
          <w:highlight w:val="none"/>
        </w:rPr>
      </w:pPr>
      <w:bookmarkStart w:id="0" w:name="_Toc530728897"/>
      <w:r>
        <w:rPr>
          <w:highlight w:val="none"/>
        </w:rPr>
        <w:t>第一章</w:t>
      </w:r>
      <w:r>
        <w:rPr>
          <w:rFonts w:hint="eastAsia"/>
          <w:highlight w:val="none"/>
        </w:rPr>
        <w:t xml:space="preserve"> 招标公告</w:t>
      </w:r>
      <w:bookmarkEnd w:id="0"/>
    </w:p>
    <w:p>
      <w:pPr>
        <w:spacing w:line="360" w:lineRule="auto"/>
        <w:jc w:val="center"/>
        <w:rPr>
          <w:rFonts w:ascii="Times New Roman" w:hAnsi="Times New Roman"/>
          <w:b/>
          <w:sz w:val="43"/>
          <w:highlight w:val="none"/>
        </w:rPr>
      </w:pPr>
      <w:r>
        <w:rPr>
          <w:rFonts w:ascii="Times New Roman" w:hAnsi="Times New Roman"/>
          <w:b/>
          <w:sz w:val="43"/>
          <w:highlight w:val="none"/>
        </w:rPr>
        <w:t>（</w:t>
      </w:r>
      <w:r>
        <w:rPr>
          <w:rFonts w:hint="eastAsia" w:ascii="Times New Roman" w:hAnsi="Times New Roman"/>
          <w:b/>
          <w:sz w:val="43"/>
          <w:highlight w:val="none"/>
        </w:rPr>
        <w:t>略</w:t>
      </w:r>
      <w:r>
        <w:rPr>
          <w:rFonts w:ascii="Times New Roman" w:hAnsi="Times New Roman"/>
          <w:b/>
          <w:sz w:val="43"/>
          <w:highlight w:val="none"/>
        </w:rPr>
        <w:t>）</w:t>
      </w:r>
    </w:p>
    <w:p>
      <w:pPr>
        <w:spacing w:line="491" w:lineRule="exact"/>
        <w:jc w:val="center"/>
        <w:rPr>
          <w:rFonts w:ascii="Times New Roman" w:hAnsi="Times New Roman"/>
          <w:b/>
          <w:sz w:val="44"/>
          <w:highlight w:val="none"/>
        </w:rPr>
      </w:pPr>
    </w:p>
    <w:p>
      <w:pPr>
        <w:spacing w:line="491" w:lineRule="exact"/>
        <w:jc w:val="center"/>
        <w:rPr>
          <w:rFonts w:ascii="Times New Roman" w:hAnsi="Times New Roman"/>
          <w:b/>
          <w:sz w:val="44"/>
          <w:highlight w:val="none"/>
        </w:rPr>
      </w:pPr>
    </w:p>
    <w:p>
      <w:pPr>
        <w:spacing w:line="491" w:lineRule="exact"/>
        <w:jc w:val="center"/>
        <w:rPr>
          <w:rFonts w:ascii="Times New Roman" w:hAnsi="Times New Roman"/>
          <w:b/>
          <w:sz w:val="44"/>
          <w:highlight w:val="none"/>
        </w:rPr>
      </w:pPr>
    </w:p>
    <w:p>
      <w:pPr>
        <w:spacing w:line="491" w:lineRule="exact"/>
        <w:jc w:val="center"/>
        <w:rPr>
          <w:rFonts w:ascii="Times New Roman" w:hAnsi="Times New Roman"/>
          <w:b/>
          <w:sz w:val="44"/>
          <w:highlight w:val="none"/>
        </w:rPr>
      </w:pPr>
    </w:p>
    <w:p>
      <w:pPr>
        <w:spacing w:line="491" w:lineRule="exact"/>
        <w:jc w:val="center"/>
        <w:rPr>
          <w:rFonts w:ascii="Times New Roman" w:hAnsi="Times New Roman"/>
          <w:b/>
          <w:sz w:val="44"/>
          <w:highlight w:val="none"/>
        </w:rPr>
      </w:pPr>
    </w:p>
    <w:p>
      <w:pPr>
        <w:spacing w:line="491" w:lineRule="exact"/>
        <w:jc w:val="center"/>
        <w:rPr>
          <w:rFonts w:ascii="Times New Roman" w:hAnsi="Times New Roman"/>
          <w:b/>
          <w:sz w:val="44"/>
          <w:highlight w:val="none"/>
        </w:rPr>
        <w:sectPr>
          <w:footerReference r:id="rId8" w:type="first"/>
          <w:headerReference r:id="rId6" w:type="default"/>
          <w:footerReference r:id="rId7" w:type="default"/>
          <w:pgSz w:w="11907" w:h="16839"/>
          <w:pgMar w:top="1440" w:right="1440" w:bottom="1418" w:left="1440" w:header="993" w:footer="749" w:gutter="0"/>
          <w:cols w:space="720" w:num="1"/>
          <w:titlePg/>
          <w:docGrid w:linePitch="360" w:charSpace="0"/>
        </w:sectPr>
      </w:pPr>
    </w:p>
    <w:p>
      <w:pPr>
        <w:pStyle w:val="2"/>
        <w:jc w:val="center"/>
        <w:rPr>
          <w:rFonts w:ascii="Times New Roman" w:hAnsi="Times New Roman"/>
          <w:color w:val="auto"/>
          <w:highlight w:val="none"/>
        </w:rPr>
      </w:pPr>
      <w:bookmarkStart w:id="1" w:name="_Toc530728898"/>
      <w:r>
        <w:rPr>
          <w:rFonts w:ascii="Times New Roman" w:hAnsi="Times New Roman"/>
          <w:color w:val="auto"/>
          <w:highlight w:val="none"/>
        </w:rPr>
        <w:t>第二章</w:t>
      </w:r>
      <w:r>
        <w:rPr>
          <w:rFonts w:hint="eastAsia" w:ascii="Times New Roman" w:hAnsi="Times New Roman"/>
          <w:color w:val="auto"/>
          <w:highlight w:val="none"/>
        </w:rPr>
        <w:t xml:space="preserve"> </w:t>
      </w:r>
      <w:r>
        <w:rPr>
          <w:rFonts w:ascii="Times New Roman" w:hAnsi="Times New Roman"/>
          <w:color w:val="auto"/>
          <w:highlight w:val="none"/>
        </w:rPr>
        <w:t>投标人须知</w:t>
      </w:r>
      <w:bookmarkEnd w:id="1"/>
    </w:p>
    <w:p>
      <w:pPr>
        <w:spacing w:line="201" w:lineRule="exact"/>
        <w:rPr>
          <w:rFonts w:ascii="Times New Roman" w:hAnsi="Times New Roman" w:eastAsia="Times New Roman"/>
          <w:highlight w:val="none"/>
        </w:rPr>
      </w:pPr>
    </w:p>
    <w:p>
      <w:pPr>
        <w:spacing w:line="366" w:lineRule="exact"/>
        <w:ind w:left="357"/>
        <w:jc w:val="center"/>
        <w:outlineLvl w:val="2"/>
        <w:rPr>
          <w:rFonts w:ascii="Times New Roman" w:hAnsi="Times New Roman" w:eastAsia="黑体"/>
          <w:b/>
          <w:sz w:val="24"/>
          <w:szCs w:val="24"/>
          <w:highlight w:val="none"/>
        </w:rPr>
      </w:pPr>
      <w:r>
        <w:rPr>
          <w:rFonts w:ascii="Times New Roman" w:hAnsi="Times New Roman" w:eastAsia="黑体"/>
          <w:b/>
          <w:sz w:val="24"/>
          <w:szCs w:val="24"/>
          <w:highlight w:val="none"/>
        </w:rPr>
        <w:t>投标人须知前附表</w:t>
      </w:r>
    </w:p>
    <w:tbl>
      <w:tblPr>
        <w:tblStyle w:val="39"/>
        <w:tblpPr w:leftFromText="180" w:rightFromText="180" w:vertAnchor="text" w:horzAnchor="page" w:tblpX="1060" w:tblpY="187"/>
        <w:tblOverlap w:val="never"/>
        <w:tblW w:w="9972" w:type="dxa"/>
        <w:tblInd w:w="0" w:type="dxa"/>
        <w:tblLayout w:type="fixed"/>
        <w:tblCellMar>
          <w:top w:w="0" w:type="dxa"/>
          <w:left w:w="108" w:type="dxa"/>
          <w:bottom w:w="0" w:type="dxa"/>
          <w:right w:w="108" w:type="dxa"/>
        </w:tblCellMar>
      </w:tblPr>
      <w:tblGrid>
        <w:gridCol w:w="1165"/>
        <w:gridCol w:w="2159"/>
        <w:gridCol w:w="6648"/>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条款名称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center"/>
              <w:rPr>
                <w:rFonts w:ascii="宋体" w:hAnsi="宋体" w:cs="宋体"/>
                <w:b/>
                <w:sz w:val="24"/>
                <w:szCs w:val="24"/>
                <w:highlight w:val="none"/>
              </w:rPr>
            </w:pPr>
            <w:r>
              <w:rPr>
                <w:rFonts w:hint="eastAsia" w:ascii="宋体" w:hAnsi="宋体" w:cs="宋体"/>
                <w:b/>
                <w:sz w:val="24"/>
                <w:szCs w:val="24"/>
                <w:highlight w:val="none"/>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szCs w:val="24"/>
                <w:highlight w:val="none"/>
                <w:u w:val="single"/>
                <w:shd w:val="clear" w:color="auto" w:fill="FFFFFF"/>
              </w:rPr>
              <w:t>广州市越秀区人民政府大东街道办事处</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广州市越秀区东华东路东源东街17号</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邱先生</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u w:val="single"/>
              </w:rPr>
              <w:t>020-83828419</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szCs w:val="24"/>
                <w:highlight w:val="none"/>
                <w:u w:val="single"/>
              </w:rPr>
              <w:t>广东科瑞工程管理有限公司</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广州市越秀区东风中路448号成悅大厦15楼H室</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林工</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u w:val="single"/>
              </w:rPr>
              <w:t>020-83828358-8005、</w:t>
            </w:r>
            <w:r>
              <w:rPr>
                <w:rFonts w:hint="eastAsia" w:ascii="宋体" w:hAnsi="宋体" w:cs="宋体"/>
                <w:sz w:val="24"/>
                <w:szCs w:val="24"/>
                <w:highlight w:val="none"/>
                <w:u w:val="single"/>
              </w:rPr>
              <w:t>13539382489</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招标项目名称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越秀区城市更新改造补短板项目（二期）—中心城区品质化提升项目（大东街老旧小区改造）施工监理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项目建设地点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项目建设规模</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1.1.7</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工程项目施工预计开工日期和建设周期</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工程项目施工预计开工日期：开工时间以招标人通知为准。</w:t>
            </w:r>
          </w:p>
          <w:p>
            <w:pPr>
              <w:snapToGrid w:val="0"/>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建设周期：施工工期为业主下达开工令或开工报告审批之日起按施工进度要求控制。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1.1.8</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建筑安装工程费/工程概算</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资金来源及比例</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区财政资金，出资比例100%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招标范围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监理服务期限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1.3.3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质量标准</w:t>
            </w:r>
          </w:p>
        </w:tc>
        <w:tc>
          <w:tcPr>
            <w:tcW w:w="664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rPr>
                <w:rFonts w:ascii="宋体" w:hAnsi="宋体" w:cs="宋体"/>
                <w:sz w:val="24"/>
                <w:szCs w:val="24"/>
                <w:highlight w:val="none"/>
                <w:u w:val="single"/>
              </w:rPr>
            </w:pPr>
            <w:r>
              <w:rPr>
                <w:rFonts w:hint="eastAsia" w:ascii="宋体" w:hAnsi="宋体" w:cs="宋体"/>
                <w:sz w:val="24"/>
                <w:szCs w:val="24"/>
                <w:highlight w:val="none"/>
                <w:u w:val="single"/>
              </w:rPr>
              <w:t>一次竣工验收合格。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1.4.1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投标人资质条件、能力、信誉</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（1）资质要求：见招标公告投标人资格要求</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（2）财务要求：</w:t>
            </w:r>
            <w:r>
              <w:rPr>
                <w:rFonts w:hint="eastAsia" w:ascii="宋体" w:hAnsi="宋体" w:cs="宋体"/>
                <w:sz w:val="24"/>
                <w:szCs w:val="24"/>
                <w:highlight w:val="none"/>
                <w:u w:val="single"/>
              </w:rPr>
              <w:t>/</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（3）业绩要求：</w:t>
            </w:r>
            <w:r>
              <w:rPr>
                <w:rFonts w:hint="eastAsia" w:ascii="宋体" w:hAnsi="宋体" w:cs="宋体"/>
                <w:sz w:val="24"/>
                <w:szCs w:val="24"/>
                <w:highlight w:val="none"/>
                <w:u w:val="single"/>
              </w:rPr>
              <w:t>/</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（4）信誉要求：</w:t>
            </w:r>
            <w:r>
              <w:rPr>
                <w:rFonts w:hint="eastAsia" w:ascii="宋体" w:hAnsi="宋体" w:cs="宋体"/>
                <w:sz w:val="24"/>
                <w:szCs w:val="24"/>
                <w:highlight w:val="none"/>
                <w:u w:val="single"/>
              </w:rPr>
              <w:t>/</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rPr>
              <w:t>（5））总监理工程师的资格要求：见招标公告投标人资格要求</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（6）其他主要人员要求：</w:t>
            </w:r>
            <w:r>
              <w:rPr>
                <w:rFonts w:hint="eastAsia" w:ascii="宋体" w:hAnsi="宋体" w:cs="宋体"/>
                <w:sz w:val="24"/>
                <w:szCs w:val="24"/>
                <w:highlight w:val="none"/>
                <w:u w:val="single"/>
              </w:rPr>
              <w:t>/</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（7）试验检测仪器设备要求：</w:t>
            </w:r>
            <w:r>
              <w:rPr>
                <w:rFonts w:hint="eastAsia" w:ascii="宋体" w:hAnsi="宋体" w:cs="宋体"/>
                <w:sz w:val="24"/>
                <w:szCs w:val="24"/>
                <w:highlight w:val="none"/>
                <w:u w:val="single"/>
              </w:rPr>
              <w:t>/</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（8）其他要求：</w:t>
            </w:r>
            <w:r>
              <w:rPr>
                <w:rFonts w:hint="eastAsia" w:ascii="宋体" w:hAnsi="宋体" w:cs="宋体"/>
                <w:sz w:val="24"/>
                <w:szCs w:val="24"/>
                <w:highlight w:val="none"/>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1.4.2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是否接受联合体投标</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■不接受</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1.4.3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投标人不得存在的其他情形</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1.9.1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right="107" w:rightChars="51"/>
              <w:rPr>
                <w:rFonts w:ascii="宋体" w:hAnsi="宋体" w:eastAsia="宋体" w:cs="宋体"/>
                <w:sz w:val="24"/>
                <w:szCs w:val="24"/>
                <w:highlight w:val="none"/>
              </w:rPr>
            </w:pPr>
            <w:r>
              <w:rPr>
                <w:rFonts w:hint="eastAsia" w:ascii="宋体" w:hAnsi="宋体" w:eastAsia="宋体" w:cs="宋体"/>
                <w:sz w:val="24"/>
                <w:szCs w:val="24"/>
                <w:highlight w:val="none"/>
              </w:rPr>
              <w:t>■不组织</w:t>
            </w:r>
          </w:p>
          <w:p>
            <w:pPr>
              <w:pStyle w:val="15"/>
              <w:topLinePunct/>
              <w:spacing w:after="0" w:line="400" w:lineRule="exact"/>
              <w:ind w:right="107" w:rightChars="51"/>
              <w:rPr>
                <w:rFonts w:ascii="宋体" w:hAnsi="宋体" w:eastAsia="宋体" w:cs="宋体"/>
                <w:sz w:val="24"/>
                <w:szCs w:val="24"/>
                <w:highlight w:val="none"/>
              </w:rPr>
            </w:pPr>
            <w:r>
              <w:rPr>
                <w:rFonts w:hint="eastAsia" w:ascii="宋体" w:hAnsi="宋体" w:eastAsia="宋体" w:cs="宋体"/>
                <w:sz w:val="24"/>
                <w:szCs w:val="24"/>
                <w:highlight w:val="none"/>
              </w:rPr>
              <w:t>补充说明如下：</w:t>
            </w:r>
          </w:p>
          <w:p>
            <w:pPr>
              <w:pStyle w:val="15"/>
              <w:topLinePunct/>
              <w:spacing w:after="0" w:line="400" w:lineRule="exact"/>
              <w:ind w:right="107" w:rightChars="51"/>
              <w:rPr>
                <w:rFonts w:ascii="宋体" w:hAnsi="宋体" w:eastAsia="宋体" w:cs="宋体"/>
                <w:sz w:val="24"/>
                <w:szCs w:val="24"/>
                <w:highlight w:val="none"/>
              </w:rPr>
            </w:pPr>
            <w:r>
              <w:rPr>
                <w:rFonts w:hint="eastAsia" w:ascii="宋体" w:hAnsi="宋体" w:eastAsia="宋体" w:cs="宋体"/>
                <w:sz w:val="24"/>
                <w:szCs w:val="24"/>
                <w:highlight w:val="none"/>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15"/>
              <w:topLinePunct/>
              <w:spacing w:after="0" w:line="400" w:lineRule="exact"/>
              <w:ind w:right="107" w:rightChars="51"/>
              <w:rPr>
                <w:rFonts w:ascii="宋体" w:hAnsi="宋体" w:eastAsia="宋体" w:cs="宋体"/>
                <w:sz w:val="24"/>
                <w:szCs w:val="24"/>
                <w:highlight w:val="none"/>
              </w:rPr>
            </w:pPr>
            <w:r>
              <w:rPr>
                <w:rFonts w:hint="eastAsia" w:ascii="宋体" w:hAnsi="宋体" w:eastAsia="宋体" w:cs="宋体"/>
                <w:sz w:val="24"/>
                <w:szCs w:val="24"/>
                <w:highlight w:val="non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5"/>
              <w:topLinePunct/>
              <w:spacing w:after="0" w:line="400" w:lineRule="exact"/>
              <w:ind w:right="107" w:rightChars="51"/>
              <w:rPr>
                <w:rFonts w:ascii="宋体" w:hAnsi="宋体" w:eastAsia="宋体" w:cs="宋体"/>
                <w:sz w:val="24"/>
                <w:szCs w:val="24"/>
                <w:highlight w:val="none"/>
              </w:rPr>
            </w:pPr>
            <w:r>
              <w:rPr>
                <w:rFonts w:hint="eastAsia" w:ascii="宋体" w:hAnsi="宋体" w:eastAsia="宋体" w:cs="宋体"/>
                <w:sz w:val="24"/>
                <w:szCs w:val="24"/>
                <w:highlight w:val="none"/>
              </w:rPr>
              <w:t>□组织，踏勘时间：</w:t>
            </w:r>
          </w:p>
          <w:p>
            <w:pPr>
              <w:pStyle w:val="15"/>
              <w:topLinePunct/>
              <w:spacing w:after="0" w:line="400" w:lineRule="exact"/>
              <w:ind w:right="107" w:rightChars="51"/>
              <w:rPr>
                <w:rFonts w:ascii="宋体" w:hAnsi="宋体" w:eastAsia="宋体" w:cs="宋体"/>
                <w:sz w:val="24"/>
                <w:szCs w:val="24"/>
                <w:highlight w:val="none"/>
              </w:rPr>
            </w:pPr>
            <w:r>
              <w:rPr>
                <w:rFonts w:hint="eastAsia" w:ascii="宋体" w:hAnsi="宋体" w:eastAsia="宋体" w:cs="宋体"/>
                <w:sz w:val="24"/>
                <w:szCs w:val="24"/>
                <w:highlight w:val="none"/>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投标预备会</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■不召开</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□召开，召开时间：</w:t>
            </w:r>
            <w:r>
              <w:rPr>
                <w:rFonts w:hint="eastAsia" w:ascii="宋体" w:hAnsi="宋体" w:cs="宋体"/>
                <w:sz w:val="24"/>
                <w:szCs w:val="24"/>
                <w:highlight w:val="none"/>
                <w:u w:val="single"/>
              </w:rPr>
              <w:t>/</w:t>
            </w:r>
          </w:p>
          <w:p>
            <w:pPr>
              <w:spacing w:line="400" w:lineRule="exact"/>
              <w:ind w:left="40" w:leftChars="19" w:right="107" w:rightChars="51" w:firstLine="960" w:firstLineChars="400"/>
              <w:rPr>
                <w:rFonts w:ascii="宋体" w:hAnsi="宋体" w:cs="宋体"/>
                <w:sz w:val="24"/>
                <w:szCs w:val="24"/>
                <w:highlight w:val="none"/>
              </w:rPr>
            </w:pPr>
            <w:r>
              <w:rPr>
                <w:rFonts w:hint="eastAsia" w:ascii="宋体" w:hAnsi="宋体" w:cs="宋体"/>
                <w:sz w:val="24"/>
                <w:szCs w:val="24"/>
                <w:highlight w:val="none"/>
              </w:rPr>
              <w:t>召开地点：</w:t>
            </w: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1.10.2</w:t>
            </w:r>
          </w:p>
        </w:tc>
        <w:tc>
          <w:tcPr>
            <w:tcW w:w="21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投标人在投标预备会前提出问题</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215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1.10.3</w:t>
            </w:r>
          </w:p>
        </w:tc>
        <w:tc>
          <w:tcPr>
            <w:tcW w:w="2159"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实质性要求和条件</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1.12.3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偏差</w:t>
            </w:r>
          </w:p>
        </w:tc>
        <w:tc>
          <w:tcPr>
            <w:tcW w:w="6648" w:type="dxa"/>
            <w:tcBorders>
              <w:top w:val="single" w:color="auto" w:sz="4" w:space="0"/>
              <w:left w:val="single" w:color="auto" w:sz="4" w:space="0"/>
              <w:bottom w:val="single" w:color="auto" w:sz="4" w:space="0"/>
              <w:right w:val="single" w:color="auto" w:sz="4" w:space="0"/>
            </w:tcBorders>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■不允许</w:t>
            </w:r>
          </w:p>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□允许，偏差范围：</w:t>
            </w:r>
            <w:r>
              <w:rPr>
                <w:rFonts w:hint="eastAsia" w:ascii="宋体" w:hAnsi="宋体" w:eastAsia="宋体" w:cs="宋体"/>
                <w:sz w:val="24"/>
                <w:szCs w:val="24"/>
                <w:highlight w:val="none"/>
                <w:u w:val="single"/>
              </w:rPr>
              <w:t>/</w:t>
            </w:r>
          </w:p>
          <w:p>
            <w:pPr>
              <w:pStyle w:val="15"/>
              <w:topLinePunct/>
              <w:spacing w:after="0" w:line="400" w:lineRule="exact"/>
              <w:ind w:left="40" w:leftChars="19" w:right="107" w:rightChars="51"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偏差幅度：</w:t>
            </w:r>
            <w:r>
              <w:rPr>
                <w:rFonts w:hint="eastAsia" w:ascii="宋体" w:hAnsi="宋体" w:eastAsia="宋体" w:cs="宋体"/>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构成招标文件的其他资料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rPr>
          <w:trHeight w:val="203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2.2.1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投标人要求澄清招标文件</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u w:val="single"/>
              </w:rPr>
            </w:pPr>
            <w:r>
              <w:rPr>
                <w:rFonts w:hint="eastAsia" w:ascii="宋体" w:hAnsi="宋体" w:cs="宋体"/>
                <w:sz w:val="24"/>
                <w:szCs w:val="24"/>
                <w:highlight w:val="none"/>
                <w:u w:val="single"/>
              </w:rPr>
              <w:t>时间：在提交投标文件截止时间18天前提出。</w:t>
            </w:r>
          </w:p>
          <w:p>
            <w:pPr>
              <w:spacing w:line="360" w:lineRule="auto"/>
              <w:rPr>
                <w:rFonts w:ascii="宋体" w:hAnsi="宋体" w:cs="宋体"/>
                <w:sz w:val="24"/>
                <w:szCs w:val="24"/>
                <w:highlight w:val="none"/>
                <w:u w:val="single"/>
              </w:rPr>
            </w:pPr>
            <w:r>
              <w:rPr>
                <w:rFonts w:hint="eastAsia" w:ascii="宋体" w:hAnsi="宋体" w:cs="宋体"/>
                <w:sz w:val="24"/>
                <w:szCs w:val="24"/>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http://www.gzggzy.cn/fwznbszyjsgc/808820.jhtml)。提问一律不得署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2.2.2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招标人应在递交投标文件截止时间15日前将招标文件澄清文件在广州交易集团有限公司（广州公共资源交易中心）网站“项目查询(日程安排、答疑纪要)”专区发布（http://www.gzggzy.cn/xmcxjsgc/index.jhtml）。不足15日的，招标人应当顺延投标文件的截止时间。</w:t>
            </w:r>
          </w:p>
        </w:tc>
      </w:tr>
      <w:tr>
        <w:tblPrEx>
          <w:tblCellMar>
            <w:top w:w="0" w:type="dxa"/>
            <w:left w:w="108" w:type="dxa"/>
            <w:bottom w:w="0" w:type="dxa"/>
            <w:right w:w="108" w:type="dxa"/>
          </w:tblCellMar>
        </w:tblPrEx>
        <w:trPr>
          <w:trHeight w:val="126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21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投标人确认收到招标文件澄清</w:t>
            </w:r>
          </w:p>
        </w:tc>
        <w:tc>
          <w:tcPr>
            <w:tcW w:w="6648" w:type="dxa"/>
            <w:tcBorders>
              <w:top w:val="single" w:color="auto" w:sz="4" w:space="0"/>
              <w:left w:val="single" w:color="auto" w:sz="4" w:space="0"/>
              <w:righ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u w:val="single"/>
              </w:rPr>
              <w:t>招标文件的澄清或修改在广州交易集团有限公司（广州公共资源交易中心）网站“项目查询(日程安排、答疑纪要)”专区网上公开发布（http://www.gzggzy.cn/xmcxjsgc/index.jhtml），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2.3.1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招标文件修改发出的形式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u w:val="single"/>
              </w:rPr>
            </w:pPr>
            <w:r>
              <w:rPr>
                <w:rFonts w:hint="eastAsia" w:ascii="宋体" w:hAnsi="宋体" w:cs="宋体"/>
                <w:sz w:val="24"/>
                <w:szCs w:val="24"/>
                <w:highlight w:val="none"/>
                <w:u w:val="single"/>
              </w:rPr>
              <w:t>以补充公告或项目答疑澄清的方式在广州交易集团有限公司（广州公共资源交易中心）网站发布。</w:t>
            </w:r>
          </w:p>
        </w:tc>
      </w:tr>
      <w:tr>
        <w:tblPrEx>
          <w:tblCellMar>
            <w:top w:w="0" w:type="dxa"/>
            <w:left w:w="108" w:type="dxa"/>
            <w:bottom w:w="0" w:type="dxa"/>
            <w:right w:w="108" w:type="dxa"/>
          </w:tblCellMar>
        </w:tblPrEx>
        <w:trPr>
          <w:trHeight w:val="138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2.3.2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投标人确认收到招标文件修改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u w:val="single"/>
              </w:rPr>
              <w:t>招标文件的澄清或修改在广州交易集团有限公司（广州公共资源交易中心）网站“项目查询(日程安排、答疑纪要)”专区网上公开发布（http://www.gzggzy.cn/xmcxjsgc/index.jhtml），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ascii="宋体" w:hAnsi="宋体" w:cs="宋体"/>
                <w:sz w:val="24"/>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构成投标文件的其他资料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增值税税金的计算方法</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rPr>
          <w:trHeight w:val="207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报价方式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b/>
                <w:sz w:val="24"/>
                <w:szCs w:val="24"/>
                <w:highlight w:val="none"/>
                <w:u w:val="single"/>
              </w:rPr>
            </w:pPr>
            <w:r>
              <w:rPr>
                <w:rFonts w:hint="eastAsia" w:ascii="宋体" w:hAnsi="宋体" w:cs="宋体"/>
                <w:sz w:val="24"/>
                <w:szCs w:val="24"/>
                <w:highlight w:val="none"/>
                <w:u w:val="single"/>
              </w:rPr>
              <w:t>投标人报价以元为单位，精确到小数位后2位。投标报价不得高于招标控制价，投标人结合本项目的实际情况，以招标文件给出的最高投标限价为基础由投标人自报监理费率的形式报价。最终结算以财政部门或有权审核部门审定结果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3.2.4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最高投标限价</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□无</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rPr>
              <w:t>■有</w:t>
            </w:r>
            <w:r>
              <w:rPr>
                <w:rFonts w:hint="eastAsia" w:ascii="宋体" w:hAnsi="宋体" w:cs="宋体"/>
                <w:b/>
                <w:sz w:val="24"/>
                <w:szCs w:val="24"/>
                <w:highlight w:val="none"/>
                <w:u w:val="single"/>
              </w:rPr>
              <w:t>，</w:t>
            </w:r>
            <w:r>
              <w:rPr>
                <w:rFonts w:hint="eastAsia" w:ascii="宋体" w:hAnsi="宋体" w:cs="宋体"/>
                <w:sz w:val="24"/>
                <w:szCs w:val="24"/>
                <w:highlight w:val="none"/>
                <w:u w:val="single"/>
              </w:rPr>
              <w:t>最高投标限价（总价）：人民币</w:t>
            </w:r>
            <w:r>
              <w:rPr>
                <w:rFonts w:ascii="宋体" w:hAnsi="宋体" w:cs="宋体"/>
                <w:b/>
                <w:sz w:val="24"/>
                <w:szCs w:val="24"/>
                <w:highlight w:val="none"/>
                <w:u w:val="single"/>
              </w:rPr>
              <w:t>99.71</w:t>
            </w:r>
            <w:r>
              <w:rPr>
                <w:rFonts w:hint="eastAsia" w:ascii="宋体" w:hAnsi="宋体" w:cs="宋体"/>
                <w:b/>
                <w:sz w:val="24"/>
                <w:szCs w:val="24"/>
                <w:highlight w:val="none"/>
                <w:u w:val="single"/>
              </w:rPr>
              <w:t>万元。</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rPr>
              <w:t>注：凡投标总价超过招标人公布的最高投标限价，将被视为废标。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3.2.5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投标报价的其他要求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投标报价超过最高投标限价的投标文件将被否决其投标。</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投标人必须详细审阅全部招标文件及招标图纸，充分考虑职责和义务,全面地理解招标文件对投标报价的要求,并按招标人提出的条件及内容进行报价。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90</w:t>
            </w:r>
            <w:r>
              <w:rPr>
                <w:rFonts w:hint="eastAsia" w:ascii="宋体" w:hAnsi="宋体" w:cs="宋体"/>
                <w:sz w:val="24"/>
                <w:szCs w:val="24"/>
                <w:highlight w:val="none"/>
              </w:rPr>
              <w:t>日历天</w:t>
            </w:r>
            <w:r>
              <w:rPr>
                <w:rFonts w:hint="eastAsia" w:ascii="宋体" w:hAnsi="宋体" w:cs="宋体"/>
                <w:sz w:val="24"/>
                <w:szCs w:val="24"/>
                <w:highlight w:val="none"/>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szCs w:val="24"/>
                <w:highlight w:val="none"/>
              </w:rPr>
            </w:pPr>
            <w:r>
              <w:rPr>
                <w:rFonts w:hint="eastAsia" w:ascii="宋体" w:hAnsi="宋体" w:cs="宋体"/>
                <w:kern w:val="0"/>
                <w:sz w:val="24"/>
                <w:szCs w:val="24"/>
                <w:highlight w:val="none"/>
              </w:rPr>
              <w:t>是否要求投标人递交投标保证金：</w:t>
            </w:r>
          </w:p>
          <w:p>
            <w:pPr>
              <w:widowControl/>
              <w:spacing w:line="280" w:lineRule="exact"/>
              <w:jc w:val="left"/>
              <w:rPr>
                <w:rFonts w:ascii="宋体" w:hAnsi="宋体" w:cs="宋体"/>
                <w:kern w:val="0"/>
                <w:sz w:val="24"/>
                <w:szCs w:val="24"/>
                <w:highlight w:val="none"/>
              </w:rPr>
            </w:pPr>
            <w:r>
              <w:rPr>
                <w:rFonts w:hint="eastAsia" w:ascii="宋体" w:hAnsi="宋体" w:cs="宋体"/>
                <w:kern w:val="0"/>
                <w:sz w:val="24"/>
                <w:szCs w:val="24"/>
                <w:highlight w:val="none"/>
              </w:rPr>
              <w:t>□要求：</w:t>
            </w:r>
          </w:p>
          <w:p>
            <w:pPr>
              <w:widowControl/>
              <w:spacing w:line="280" w:lineRule="exact"/>
              <w:jc w:val="left"/>
              <w:rPr>
                <w:rFonts w:ascii="宋体" w:hAnsi="宋体" w:cs="宋体"/>
                <w:kern w:val="0"/>
                <w:sz w:val="24"/>
                <w:szCs w:val="24"/>
                <w:highlight w:val="none"/>
              </w:rPr>
            </w:pPr>
            <w:r>
              <w:rPr>
                <w:rFonts w:hint="eastAsia" w:ascii="宋体" w:hAnsi="宋体" w:cs="宋体"/>
                <w:kern w:val="0"/>
                <w:sz w:val="24"/>
                <w:szCs w:val="24"/>
                <w:highlight w:val="none"/>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3.4.4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其他可以不予退还投标保证金的情形</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u w:val="singl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rPr>
          <w:trHeight w:val="4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资格审查资料的特殊要求</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sz w:val="24"/>
                <w:szCs w:val="24"/>
                <w:highlight w:val="none"/>
                <w:u w:val="single"/>
              </w:rPr>
            </w:pPr>
            <w:r>
              <w:rPr>
                <w:rFonts w:hint="eastAsia" w:ascii="宋体" w:hAnsi="宋体" w:cs="宋体"/>
                <w:sz w:val="24"/>
                <w:szCs w:val="24"/>
                <w:highlight w:val="none"/>
                <w:u w:val="single"/>
              </w:rPr>
              <w:t>■无</w:t>
            </w:r>
          </w:p>
          <w:p>
            <w:pPr>
              <w:pStyle w:val="15"/>
              <w:topLinePunct/>
              <w:spacing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u w:val="single"/>
              </w:rPr>
              <w:t>□有。</w:t>
            </w:r>
          </w:p>
        </w:tc>
      </w:tr>
      <w:tr>
        <w:tblPrEx>
          <w:tblCellMar>
            <w:top w:w="0" w:type="dxa"/>
            <w:left w:w="108" w:type="dxa"/>
            <w:bottom w:w="0" w:type="dxa"/>
            <w:right w:w="108" w:type="dxa"/>
          </w:tblCellMar>
        </w:tblPrEx>
        <w:trPr>
          <w:trHeight w:val="2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3.5.2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近年财务状况的年份要求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rPr>
          <w:trHeight w:val="50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3.5.3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近年完成的类似项目情况的时间要求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rPr>
          <w:trHeight w:val="3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3.5.5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近年发生的诉讼及仲裁情况的时间要求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u w:val="single"/>
              </w:rPr>
              <w:t>/</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■不允许</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投标文件所附证书证件要求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投标文件签字或盖章要求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b/>
                <w:sz w:val="24"/>
                <w:szCs w:val="24"/>
                <w:highlight w:val="none"/>
              </w:rPr>
            </w:pPr>
            <w:r>
              <w:rPr>
                <w:rFonts w:hint="eastAsia" w:ascii="宋体" w:hAnsi="宋体" w:eastAsia="宋体" w:cs="宋体"/>
                <w:sz w:val="24"/>
                <w:szCs w:val="24"/>
                <w:highlight w:val="none"/>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4.1.1（B）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投标文件加密要求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网上递交的电子投标文件须进行加密。具体操作详见</w:t>
            </w:r>
            <w:r>
              <w:rPr>
                <w:rFonts w:hint="eastAsia" w:ascii="宋体" w:hAnsi="宋体" w:eastAsia="宋体" w:cs="宋体"/>
                <w:bCs/>
                <w:sz w:val="24"/>
                <w:szCs w:val="24"/>
                <w:highlight w:val="none"/>
                <w:u w:val="single"/>
              </w:rPr>
              <w:t>《房屋建筑和市政基础设施工程全流程电子化项目专章》。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封套上应载明的信息</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napToGrid w:val="0"/>
              <w:ind w:right="174" w:rightChars="83"/>
              <w:rPr>
                <w:rFonts w:ascii="宋体" w:hAnsi="宋体" w:eastAsia="宋体" w:cs="宋体"/>
                <w:sz w:val="24"/>
                <w:szCs w:val="24"/>
                <w:highlight w:val="none"/>
              </w:rPr>
            </w:pPr>
            <w:r>
              <w:rPr>
                <w:rFonts w:hint="eastAsia" w:ascii="宋体" w:hAnsi="宋体" w:eastAsia="宋体" w:cs="宋体"/>
                <w:sz w:val="24"/>
                <w:szCs w:val="24"/>
                <w:highlight w:val="none"/>
              </w:rPr>
              <w:t>如有提交投标文件光盘备用，封套上应注明如下信息：</w:t>
            </w:r>
          </w:p>
          <w:p>
            <w:pPr>
              <w:pStyle w:val="15"/>
              <w:topLinePunct/>
              <w:snapToGrid w:val="0"/>
              <w:ind w:right="174" w:rightChars="83"/>
              <w:rPr>
                <w:rFonts w:ascii="宋体" w:hAnsi="宋体" w:eastAsia="宋体" w:cs="宋体"/>
                <w:sz w:val="24"/>
                <w:szCs w:val="24"/>
                <w:highlight w:val="none"/>
              </w:rPr>
            </w:pPr>
            <w:r>
              <w:rPr>
                <w:rFonts w:hint="eastAsia" w:ascii="宋体" w:hAnsi="宋体" w:eastAsia="宋体" w:cs="宋体"/>
                <w:sz w:val="24"/>
                <w:szCs w:val="24"/>
                <w:highlight w:val="none"/>
              </w:rPr>
              <w:t>招标人名称：</w:t>
            </w:r>
          </w:p>
          <w:p>
            <w:pPr>
              <w:pStyle w:val="15"/>
              <w:topLinePunct/>
              <w:snapToGrid w:val="0"/>
              <w:ind w:right="174" w:rightChars="83"/>
              <w:rPr>
                <w:rFonts w:ascii="宋体" w:hAnsi="宋体" w:eastAsia="宋体" w:cs="宋体"/>
                <w:sz w:val="24"/>
                <w:szCs w:val="24"/>
                <w:highlight w:val="none"/>
                <w:u w:val="single"/>
              </w:rPr>
            </w:pPr>
            <w:r>
              <w:rPr>
                <w:rFonts w:hint="eastAsia" w:ascii="宋体" w:hAnsi="宋体" w:eastAsia="宋体" w:cs="宋体"/>
                <w:sz w:val="24"/>
                <w:szCs w:val="24"/>
                <w:highlight w:val="none"/>
              </w:rPr>
              <w:t>招标人地址：</w:t>
            </w:r>
          </w:p>
          <w:p>
            <w:pPr>
              <w:pStyle w:val="15"/>
              <w:topLinePunct/>
              <w:snapToGrid w:val="0"/>
              <w:ind w:right="174" w:rightChars="83"/>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（项目名称）投</w:t>
            </w:r>
            <w:r>
              <w:rPr>
                <w:rFonts w:hint="eastAsia" w:ascii="宋体" w:hAnsi="宋体" w:eastAsia="宋体" w:cs="宋体"/>
                <w:sz w:val="24"/>
                <w:szCs w:val="24"/>
                <w:highlight w:val="none"/>
              </w:rPr>
              <w:t>标文件</w:t>
            </w:r>
          </w:p>
          <w:p>
            <w:pPr>
              <w:pStyle w:val="15"/>
              <w:topLinePunct/>
              <w:snapToGrid w:val="0"/>
              <w:ind w:right="174" w:rightChars="83"/>
              <w:rPr>
                <w:rFonts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投标截止时间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投标截止时间：</w:t>
            </w:r>
            <w:r>
              <w:rPr>
                <w:rFonts w:hint="eastAsia" w:ascii="宋体" w:hAnsi="宋体" w:cs="宋体"/>
                <w:sz w:val="24"/>
                <w:szCs w:val="24"/>
                <w:highlight w:val="none"/>
                <w:u w:val="single"/>
              </w:rPr>
              <w:t xml:space="preserve"> 2023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分（北京时间）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投标文件是否退还</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■否</w:t>
            </w:r>
          </w:p>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□是，退还时间：</w:t>
            </w:r>
          </w:p>
        </w:tc>
      </w:tr>
      <w:tr>
        <w:tblPrEx>
          <w:tblCellMar>
            <w:top w:w="0" w:type="dxa"/>
            <w:left w:w="108" w:type="dxa"/>
            <w:bottom w:w="0" w:type="dxa"/>
            <w:right w:w="108" w:type="dxa"/>
          </w:tblCellMar>
        </w:tblPrEx>
        <w:trPr>
          <w:trHeight w:val="54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招标人在本章第 4.2.1 项规定的投标截止时间（开标时间）,通过电子招标投标交易平台公开开标，</w:t>
            </w:r>
            <w:r>
              <w:rPr>
                <w:rFonts w:hint="eastAsia" w:ascii="宋体" w:hAnsi="宋体" w:cs="宋体"/>
                <w:sz w:val="24"/>
                <w:szCs w:val="24"/>
                <w:highlight w:val="none"/>
                <w:u w:val="single"/>
              </w:rPr>
              <w:t>开标时，投标人代表有权出席现场开标会，也可以自主决定不参加开标会。</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5.2（B）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开标程序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电子招投标项目开标按下列程序进行：</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主持人按下列程序进行开标：</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（1）宣布开标纪律；</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（2）公布在投标截止时间前递交投标文件的投标人名称；</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（3）宣布开标人、唱标人、记录人、监标人等有关人员姓名；</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（4）投标人通过电子招标投标交易平台对已递交的电子投标文件进行解密，公布招标项目名称、投标人名称、投标保证金的递交情况、投标报价、监理服务期限及其他内容，并记录在案；</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（5）投标人代表、招标人代表、监标人、记录人等有关人员在开标记录上签字确认；若有关人员不签字的，不影响开标程序；</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（6）开标结束。</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5.2.2投标截止时间前未完成投标文件传输的或因投标人之外的原因造成投标文件未解密的，视为投标人其撤回投标文件。因投标人原因造成投标文件未解密的或未在投标截止时间后</w:t>
            </w:r>
            <w:r>
              <w:rPr>
                <w:rFonts w:hint="eastAsia" w:ascii="宋体" w:hAnsi="宋体" w:cs="宋体"/>
                <w:sz w:val="24"/>
                <w:szCs w:val="24"/>
                <w:highlight w:val="none"/>
                <w:u w:val="single"/>
              </w:rPr>
              <w:t>半小时内</w:t>
            </w:r>
            <w:r>
              <w:rPr>
                <w:rFonts w:hint="eastAsia" w:ascii="宋体" w:hAnsi="宋体" w:cs="宋体"/>
                <w:sz w:val="24"/>
                <w:szCs w:val="24"/>
                <w:highlight w:val="none"/>
              </w:rPr>
              <w:t>解密的，视为撤销其投标文件。</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5.2.3开标时，两个（含两个）以上的投标人加密打包投标文件电脑机器特征码一致的，不参与下一程序，并由评标委员会否决其投标。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5.2（B）</w:t>
            </w:r>
          </w:p>
          <w:p>
            <w:pPr>
              <w:jc w:val="center"/>
              <w:rPr>
                <w:rFonts w:ascii="宋体" w:hAnsi="宋体" w:cs="宋体"/>
                <w:sz w:val="24"/>
                <w:szCs w:val="24"/>
                <w:highlight w:val="none"/>
              </w:rPr>
            </w:pPr>
            <w:r>
              <w:rPr>
                <w:rFonts w:hint="eastAsia" w:ascii="宋体" w:hAnsi="宋体" w:cs="宋体"/>
                <w:sz w:val="24"/>
                <w:szCs w:val="24"/>
                <w:highlight w:val="none"/>
              </w:rPr>
              <w:t>（新增）</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开标异议</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评标委员会的组建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评标委员会推荐中标候选人的人数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u w:val="single"/>
              </w:rPr>
              <w:t>推荐3名中标候选人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中标候选人公示媒介及期限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rPr>
              <w:t>公示媒介：</w:t>
            </w:r>
            <w:r>
              <w:rPr>
                <w:rFonts w:hint="eastAsia" w:ascii="宋体" w:hAnsi="宋体" w:cs="宋体"/>
                <w:sz w:val="24"/>
                <w:szCs w:val="24"/>
                <w:highlight w:val="none"/>
                <w:u w:val="single"/>
              </w:rPr>
              <w:t>中国招标投标公共服务平台、广东省招标投标监管网、广州公共资源交易中心网。</w:t>
            </w:r>
          </w:p>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公示期限：</w:t>
            </w:r>
            <w:r>
              <w:rPr>
                <w:rFonts w:hint="eastAsia" w:ascii="宋体" w:hAnsi="宋体" w:cs="宋体"/>
                <w:sz w:val="24"/>
                <w:szCs w:val="24"/>
                <w:highlight w:val="none"/>
                <w:u w:val="single"/>
              </w:rPr>
              <w:t>3</w:t>
            </w:r>
            <w:r>
              <w:rPr>
                <w:rFonts w:hint="eastAsia" w:ascii="宋体" w:hAnsi="宋体" w:cs="宋体"/>
                <w:sz w:val="24"/>
                <w:szCs w:val="24"/>
                <w:highlight w:val="none"/>
              </w:rPr>
              <w:t>日</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highlight w:val="none"/>
              </w:rPr>
            </w:pPr>
            <w:r>
              <w:rPr>
                <w:rFonts w:hint="eastAsia" w:ascii="宋体" w:hAnsi="宋体" w:cs="宋体"/>
                <w:sz w:val="24"/>
                <w:szCs w:val="24"/>
                <w:highlight w:val="none"/>
              </w:rPr>
              <w:t>□是</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highlight w:val="none"/>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是否要求中标人提交履约保证金：</w:t>
            </w:r>
          </w:p>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□要求，履约保证金的形式：</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履约保证金的金额：</w:t>
            </w:r>
            <w:r>
              <w:rPr>
                <w:rFonts w:hint="eastAsia" w:ascii="宋体" w:hAnsi="宋体" w:eastAsia="宋体" w:cs="宋体"/>
                <w:sz w:val="24"/>
                <w:szCs w:val="24"/>
                <w:highlight w:val="none"/>
                <w:u w:val="single"/>
              </w:rPr>
              <w:t>/。</w:t>
            </w:r>
          </w:p>
          <w:p>
            <w:pPr>
              <w:pStyle w:val="15"/>
              <w:topLinePunct/>
              <w:spacing w:after="0" w:line="400" w:lineRule="exact"/>
              <w:ind w:left="40" w:leftChars="19" w:right="107" w:rightChars="51"/>
              <w:rPr>
                <w:rFonts w:ascii="宋体" w:hAnsi="宋体" w:eastAsia="宋体" w:cs="宋体"/>
                <w:sz w:val="24"/>
                <w:szCs w:val="24"/>
                <w:highlight w:val="none"/>
              </w:rPr>
            </w:pPr>
            <w:r>
              <w:rPr>
                <w:rFonts w:hint="eastAsia" w:ascii="宋体" w:hAnsi="宋体" w:eastAsia="宋体" w:cs="宋体"/>
                <w:sz w:val="24"/>
                <w:szCs w:val="24"/>
                <w:highlight w:val="none"/>
              </w:rPr>
              <w:t>■不要求</w:t>
            </w:r>
          </w:p>
        </w:tc>
      </w:tr>
      <w:tr>
        <w:tblPrEx>
          <w:tblCellMar>
            <w:top w:w="0" w:type="dxa"/>
            <w:left w:w="108" w:type="dxa"/>
            <w:bottom w:w="0" w:type="dxa"/>
            <w:right w:w="108" w:type="dxa"/>
          </w:tblCellMar>
        </w:tblPrEx>
        <w:trPr>
          <w:trHeight w:val="119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是否采用电子招标投标</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□否</w:t>
            </w:r>
          </w:p>
          <w:p>
            <w:pPr>
              <w:spacing w:line="360" w:lineRule="auto"/>
              <w:rPr>
                <w:rFonts w:ascii="宋体" w:hAnsi="宋体" w:cs="宋体"/>
                <w:sz w:val="24"/>
                <w:szCs w:val="24"/>
                <w:highlight w:val="none"/>
              </w:rPr>
            </w:pPr>
            <w:r>
              <w:rPr>
                <w:rFonts w:hint="eastAsia" w:ascii="宋体" w:hAnsi="宋体" w:cs="宋体"/>
                <w:sz w:val="24"/>
                <w:szCs w:val="24"/>
                <w:highlight w:val="none"/>
              </w:rPr>
              <w:t>■是，具体要求：1、具体操作详见《房屋建筑和市政基础设施工程全流程电子化项目专章》。</w:t>
            </w:r>
          </w:p>
          <w:p>
            <w:pPr>
              <w:spacing w:line="360" w:lineRule="auto"/>
              <w:rPr>
                <w:rFonts w:ascii="宋体" w:hAnsi="宋体" w:cs="宋体"/>
                <w:sz w:val="24"/>
                <w:szCs w:val="24"/>
                <w:highlight w:val="none"/>
              </w:rPr>
            </w:pPr>
            <w:r>
              <w:rPr>
                <w:rFonts w:hint="eastAsia" w:ascii="宋体" w:hAnsi="宋体" w:cs="宋体"/>
                <w:sz w:val="24"/>
                <w:szCs w:val="24"/>
                <w:highlight w:val="none"/>
              </w:rPr>
              <w:t>2、提交投标文件光盘备用</w:t>
            </w:r>
          </w:p>
          <w:p>
            <w:pPr>
              <w:spacing w:line="360" w:lineRule="auto"/>
              <w:rPr>
                <w:rFonts w:ascii="宋体" w:hAnsi="宋体" w:cs="宋体"/>
                <w:sz w:val="24"/>
                <w:szCs w:val="24"/>
                <w:highlight w:val="none"/>
              </w:rPr>
            </w:pPr>
            <w:r>
              <w:rPr>
                <w:rFonts w:hint="eastAsia" w:ascii="宋体" w:hAnsi="宋体" w:cs="宋体"/>
                <w:sz w:val="24"/>
                <w:szCs w:val="24"/>
                <w:highlight w:val="non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pPr>
              <w:spacing w:line="360" w:lineRule="auto"/>
              <w:rPr>
                <w:rFonts w:ascii="宋体" w:hAnsi="宋体" w:cs="宋体"/>
                <w:sz w:val="24"/>
                <w:szCs w:val="24"/>
                <w:highlight w:val="none"/>
              </w:rPr>
            </w:pPr>
            <w:r>
              <w:rPr>
                <w:rFonts w:hint="eastAsia" w:ascii="宋体" w:hAnsi="宋体" w:cs="宋体"/>
                <w:sz w:val="24"/>
                <w:szCs w:val="24"/>
                <w:highlight w:val="none"/>
              </w:rPr>
              <w:t>3、补救方案</w:t>
            </w:r>
          </w:p>
          <w:p>
            <w:pPr>
              <w:spacing w:line="360" w:lineRule="auto"/>
              <w:rPr>
                <w:rFonts w:ascii="宋体" w:hAnsi="宋体" w:cs="宋体"/>
                <w:sz w:val="24"/>
                <w:szCs w:val="24"/>
                <w:highlight w:val="none"/>
              </w:rPr>
            </w:pPr>
            <w:r>
              <w:rPr>
                <w:rFonts w:hint="eastAsia" w:ascii="宋体" w:hAnsi="宋体" w:cs="宋体"/>
                <w:sz w:val="24"/>
                <w:szCs w:val="24"/>
                <w:highlight w:val="none"/>
              </w:rPr>
              <w:t>（1）投标文件解密失败的补救方案：</w:t>
            </w:r>
          </w:p>
          <w:p>
            <w:pPr>
              <w:spacing w:line="360" w:lineRule="auto"/>
              <w:rPr>
                <w:rFonts w:ascii="宋体" w:hAnsi="宋体" w:cs="宋体"/>
                <w:sz w:val="24"/>
                <w:szCs w:val="24"/>
                <w:highlight w:val="none"/>
              </w:rPr>
            </w:pPr>
            <w:r>
              <w:rPr>
                <w:rFonts w:hint="eastAsia" w:ascii="宋体" w:hAnsi="宋体" w:cs="宋体"/>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sz w:val="24"/>
                <w:szCs w:val="24"/>
                <w:highlight w:val="none"/>
              </w:rPr>
            </w:pPr>
            <w:r>
              <w:rPr>
                <w:rFonts w:hint="eastAsia" w:ascii="宋体" w:hAnsi="宋体" w:cs="宋体"/>
                <w:sz w:val="24"/>
                <w:szCs w:val="24"/>
                <w:highlight w:val="none"/>
              </w:rPr>
              <w:t>（2）评标时突发情况的补救方案</w:t>
            </w:r>
          </w:p>
          <w:p>
            <w:pPr>
              <w:spacing w:line="360" w:lineRule="auto"/>
              <w:rPr>
                <w:rFonts w:ascii="宋体" w:hAnsi="宋体" w:cs="宋体"/>
                <w:sz w:val="24"/>
                <w:szCs w:val="24"/>
                <w:highlight w:val="none"/>
              </w:rPr>
            </w:pPr>
            <w:r>
              <w:rPr>
                <w:rFonts w:hint="eastAsia" w:ascii="宋体" w:hAnsi="宋体" w:cs="宋体"/>
                <w:sz w:val="24"/>
                <w:szCs w:val="24"/>
                <w:highlight w:val="none"/>
              </w:rPr>
              <w:t>若遇不可抗力发生（如：网络瘫痪、服务器损坏、交易系统故障短期无法恢复等因素），由评标委员会开启现场递交的全部投标文件光盘，并按光盘内容进行评审。</w:t>
            </w:r>
          </w:p>
          <w:p>
            <w:pPr>
              <w:spacing w:line="360" w:lineRule="auto"/>
              <w:ind w:left="40" w:leftChars="19" w:right="107" w:rightChars="51"/>
              <w:rPr>
                <w:rFonts w:ascii="宋体" w:hAnsi="宋体" w:cs="宋体"/>
                <w:sz w:val="24"/>
                <w:szCs w:val="24"/>
                <w:highlight w:val="none"/>
              </w:rPr>
            </w:pPr>
            <w:r>
              <w:rPr>
                <w:rFonts w:hint="eastAsia" w:ascii="宋体" w:hAnsi="宋体" w:cs="宋体"/>
                <w:sz w:val="24"/>
                <w:szCs w:val="24"/>
                <w:highlight w:val="non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0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u w:val="single"/>
              </w:rPr>
            </w:pPr>
            <w:r>
              <w:rPr>
                <w:rFonts w:hint="eastAsia" w:ascii="宋体" w:hAnsi="宋体" w:cs="宋体"/>
                <w:sz w:val="24"/>
                <w:szCs w:val="24"/>
                <w:highlight w:val="none"/>
                <w:u w:val="single"/>
              </w:rPr>
              <w:t>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u w:val="single"/>
              </w:rPr>
            </w:pPr>
            <w:r>
              <w:rPr>
                <w:rFonts w:hint="eastAsia" w:ascii="宋体" w:hAnsi="宋体" w:cs="宋体"/>
                <w:sz w:val="24"/>
                <w:szCs w:val="24"/>
                <w:highlight w:val="none"/>
                <w:u w:val="single"/>
              </w:rPr>
              <w:t>特别提示</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sz w:val="24"/>
                <w:szCs w:val="24"/>
                <w:highlight w:val="none"/>
              </w:rPr>
            </w:pPr>
            <w:r>
              <w:rPr>
                <w:rFonts w:hint="eastAsia" w:ascii="宋体" w:hAnsi="宋体" w:cs="宋体"/>
                <w:sz w:val="24"/>
                <w:szCs w:val="24"/>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pacing w:line="360" w:lineRule="auto"/>
              <w:ind w:right="107" w:rightChars="51"/>
              <w:jc w:val="left"/>
              <w:rPr>
                <w:rFonts w:ascii="宋体" w:hAnsi="宋体" w:cs="宋体"/>
                <w:sz w:val="24"/>
                <w:szCs w:val="24"/>
                <w:highlight w:val="none"/>
              </w:rPr>
            </w:pPr>
            <w:r>
              <w:rPr>
                <w:rFonts w:hint="eastAsia" w:ascii="宋体" w:hAnsi="宋体" w:cs="宋体"/>
                <w:sz w:val="24"/>
                <w:szCs w:val="24"/>
                <w:highlight w:val="none"/>
              </w:rPr>
              <w:t>（1）将中标工程转包或者违法分包的；</w:t>
            </w:r>
          </w:p>
          <w:p>
            <w:pPr>
              <w:widowControl/>
              <w:spacing w:line="360" w:lineRule="auto"/>
              <w:ind w:right="107" w:rightChars="51"/>
              <w:jc w:val="left"/>
              <w:rPr>
                <w:rFonts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pPr>
              <w:widowControl/>
              <w:spacing w:line="360" w:lineRule="auto"/>
              <w:ind w:right="107" w:rightChars="51"/>
              <w:jc w:val="left"/>
              <w:rPr>
                <w:rFonts w:ascii="宋体" w:hAnsi="宋体" w:cs="宋体"/>
                <w:sz w:val="24"/>
                <w:szCs w:val="24"/>
                <w:highlight w:val="none"/>
              </w:rPr>
            </w:pPr>
            <w:r>
              <w:rPr>
                <w:rFonts w:hint="eastAsia" w:ascii="宋体" w:hAnsi="宋体" w:cs="宋体"/>
                <w:sz w:val="24"/>
                <w:szCs w:val="24"/>
                <w:highlight w:val="none"/>
              </w:rPr>
              <w:t>（3）存在围标或串标情形的；</w:t>
            </w:r>
          </w:p>
          <w:p>
            <w:pPr>
              <w:widowControl/>
              <w:spacing w:line="360" w:lineRule="auto"/>
              <w:ind w:right="107" w:rightChars="51"/>
              <w:jc w:val="left"/>
              <w:rPr>
                <w:rFonts w:ascii="宋体" w:hAnsi="宋体" w:cs="宋体"/>
                <w:sz w:val="24"/>
                <w:szCs w:val="24"/>
                <w:highlight w:val="none"/>
              </w:rPr>
            </w:pPr>
            <w:r>
              <w:rPr>
                <w:rFonts w:hint="eastAsia" w:ascii="宋体" w:hAnsi="宋体" w:cs="宋体"/>
                <w:sz w:val="24"/>
                <w:szCs w:val="24"/>
                <w:highlight w:val="none"/>
              </w:rPr>
              <w:t xml:space="preserve">（4）存在弄虚作假骗取中标、行贿情形的； </w:t>
            </w:r>
          </w:p>
          <w:p>
            <w:pPr>
              <w:widowControl/>
              <w:spacing w:line="360" w:lineRule="auto"/>
              <w:ind w:right="107" w:rightChars="51"/>
              <w:jc w:val="left"/>
              <w:rPr>
                <w:highlight w:val="none"/>
              </w:rPr>
            </w:pPr>
            <w:r>
              <w:rPr>
                <w:rFonts w:hint="eastAsia" w:ascii="宋体" w:hAnsi="宋体" w:cs="宋体"/>
                <w:sz w:val="24"/>
                <w:szCs w:val="24"/>
                <w:highlight w:val="none"/>
              </w:rPr>
              <w:t>（5）存在因过错行为被生效法律文书认定承担违约或侵权责任的。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u w:val="single"/>
              </w:rPr>
            </w:pPr>
            <w:r>
              <w:rPr>
                <w:rFonts w:hint="eastAsia" w:ascii="宋体" w:hAnsi="宋体" w:cs="宋体"/>
                <w:sz w:val="24"/>
                <w:szCs w:val="24"/>
                <w:highlight w:val="none"/>
                <w:u w:val="single"/>
              </w:rPr>
              <w:t>10.2</w:t>
            </w:r>
          </w:p>
        </w:tc>
        <w:tc>
          <w:tcPr>
            <w:tcW w:w="215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pacing w:line="400" w:lineRule="exact"/>
              <w:jc w:val="center"/>
              <w:rPr>
                <w:rFonts w:ascii="宋体" w:hAnsi="宋体" w:cs="宋体"/>
                <w:sz w:val="24"/>
                <w:szCs w:val="24"/>
                <w:highlight w:val="none"/>
                <w:u w:val="single"/>
              </w:rPr>
            </w:pPr>
            <w:r>
              <w:rPr>
                <w:rFonts w:hint="eastAsia" w:ascii="宋体" w:hAnsi="宋体" w:cs="宋体"/>
                <w:sz w:val="24"/>
                <w:szCs w:val="24"/>
                <w:highlight w:val="none"/>
                <w:u w:val="single"/>
              </w:rPr>
              <w:t>招标失败的情形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sz w:val="24"/>
                <w:szCs w:val="24"/>
                <w:highlight w:val="none"/>
                <w:u w:val="single"/>
              </w:rPr>
            </w:pPr>
            <w:r>
              <w:rPr>
                <w:rFonts w:hint="eastAsia" w:ascii="宋体" w:hAnsi="宋体" w:cs="宋体"/>
                <w:sz w:val="24"/>
                <w:szCs w:val="24"/>
                <w:highlight w:val="none"/>
                <w:u w:val="single"/>
              </w:rPr>
              <w:t>本项目采用资格后审方式，满足资格审查合格条件或通过初步评审的投标申请人不足3名时为招标失败。招标人分析招标失败原因，修正招标方案，重新组织招标。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highlight w:val="none"/>
                <w:u w:val="single"/>
              </w:rPr>
            </w:pPr>
            <w:r>
              <w:rPr>
                <w:rFonts w:hint="eastAsia" w:ascii="宋体" w:hAnsi="宋体" w:cs="宋体"/>
                <w:sz w:val="24"/>
                <w:szCs w:val="24"/>
                <w:highlight w:val="none"/>
                <w:u w:val="single"/>
              </w:rPr>
              <w:t>10.3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u w:val="single"/>
              </w:rPr>
            </w:pPr>
            <w:r>
              <w:rPr>
                <w:rFonts w:hint="eastAsia" w:ascii="宋体" w:hAnsi="宋体" w:cs="宋体"/>
                <w:sz w:val="24"/>
                <w:szCs w:val="24"/>
                <w:highlight w:val="none"/>
                <w:u w:val="single"/>
              </w:rPr>
              <w:t>第一中标候选人放弃中标资格情形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rPr>
                <w:rFonts w:ascii="宋体" w:hAnsi="宋体" w:cs="宋体"/>
                <w:sz w:val="24"/>
                <w:szCs w:val="24"/>
                <w:highlight w:val="none"/>
                <w:u w:val="single"/>
              </w:rPr>
            </w:pPr>
            <w:r>
              <w:rPr>
                <w:rFonts w:hint="eastAsia" w:ascii="宋体" w:hAnsi="宋体" w:cs="宋体"/>
                <w:sz w:val="24"/>
                <w:szCs w:val="24"/>
                <w:highlight w:val="none"/>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tblPrEx>
          <w:tblCellMar>
            <w:top w:w="0" w:type="dxa"/>
            <w:left w:w="108" w:type="dxa"/>
            <w:bottom w:w="0" w:type="dxa"/>
            <w:right w:w="108" w:type="dxa"/>
          </w:tblCellMar>
        </w:tblPrEx>
        <w:trPr>
          <w:trHeight w:val="13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highlight w:val="none"/>
                <w:u w:val="single"/>
              </w:rPr>
            </w:pPr>
            <w:r>
              <w:rPr>
                <w:rFonts w:hint="eastAsia" w:ascii="宋体" w:hAnsi="宋体" w:cs="宋体"/>
                <w:sz w:val="24"/>
                <w:szCs w:val="24"/>
                <w:highlight w:val="none"/>
                <w:u w:val="single"/>
              </w:rPr>
              <w:t>10.4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highlight w:val="none"/>
                <w:u w:val="single"/>
              </w:rPr>
            </w:pPr>
            <w:r>
              <w:rPr>
                <w:rFonts w:hint="eastAsia" w:ascii="宋体" w:hAnsi="宋体" w:cs="宋体"/>
                <w:sz w:val="24"/>
                <w:szCs w:val="24"/>
                <w:highlight w:val="none"/>
                <w:u w:val="single"/>
              </w:rPr>
              <w:t>中标候选人公示要求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ascii="宋体" w:hAnsi="宋体" w:cs="宋体"/>
                <w:sz w:val="24"/>
                <w:szCs w:val="24"/>
                <w:highlight w:val="none"/>
                <w:u w:val="single"/>
              </w:rPr>
            </w:pPr>
            <w:r>
              <w:rPr>
                <w:rFonts w:hint="eastAsia" w:ascii="宋体" w:hAnsi="宋体" w:cs="宋体"/>
                <w:sz w:val="24"/>
                <w:szCs w:val="24"/>
                <w:highlight w:val="none"/>
              </w:rPr>
              <w:t>在产生中标候选人后，招标人将中标候选人的投标文件商务部分的电子版（报价清单、方案等涉及商业秘密的内容除外）在广州公共资源交易中心网站公开。</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10.5</w:t>
            </w:r>
          </w:p>
        </w:tc>
        <w:tc>
          <w:tcPr>
            <w:tcW w:w="2159" w:type="dxa"/>
            <w:tcBorders>
              <w:top w:val="single" w:color="auto" w:sz="4" w:space="0"/>
              <w:left w:val="single" w:color="auto" w:sz="4" w:space="0"/>
              <w:bottom w:val="single" w:color="auto" w:sz="4" w:space="0"/>
              <w:right w:val="single" w:color="auto" w:sz="4" w:space="0"/>
            </w:tcBorders>
            <w:vAlign w:val="center"/>
          </w:tcPr>
          <w:p>
            <w:pPr>
              <w:snapToGrid w:val="0"/>
              <w:ind w:firstLine="360" w:firstLineChars="150"/>
              <w:jc w:val="center"/>
              <w:rPr>
                <w:rFonts w:ascii="宋体" w:hAnsi="宋体" w:cs="宋体"/>
                <w:sz w:val="24"/>
                <w:szCs w:val="24"/>
                <w:highlight w:val="none"/>
              </w:rPr>
            </w:pPr>
            <w:r>
              <w:rPr>
                <w:rFonts w:hint="eastAsia" w:ascii="宋体" w:hAnsi="宋体" w:cs="宋体"/>
                <w:sz w:val="24"/>
                <w:szCs w:val="24"/>
                <w:highlight w:val="none"/>
              </w:rPr>
              <w:t>项目监理部人员组成配置要求</w:t>
            </w:r>
          </w:p>
        </w:tc>
        <w:tc>
          <w:tcPr>
            <w:tcW w:w="6648"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sz w:val="24"/>
                <w:szCs w:val="24"/>
                <w:highlight w:val="none"/>
              </w:rPr>
            </w:pPr>
            <w:r>
              <w:rPr>
                <w:rFonts w:hint="eastAsia" w:ascii="宋体" w:hAnsi="宋体" w:cs="宋体"/>
                <w:sz w:val="24"/>
                <w:szCs w:val="24"/>
                <w:highlight w:val="none"/>
              </w:rPr>
              <w:t>按《委托人要求》填写</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u w:val="single"/>
              </w:rPr>
            </w:pPr>
            <w:r>
              <w:rPr>
                <w:rFonts w:hint="eastAsia" w:ascii="宋体" w:hAnsi="宋体" w:cs="宋体"/>
                <w:sz w:val="24"/>
                <w:szCs w:val="24"/>
                <w:highlight w:val="none"/>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highlight w:val="none"/>
                <w:u w:val="single"/>
              </w:rPr>
            </w:pPr>
            <w:r>
              <w:rPr>
                <w:rFonts w:hint="eastAsia" w:ascii="宋体" w:hAnsi="宋体" w:cs="宋体"/>
                <w:sz w:val="24"/>
                <w:szCs w:val="24"/>
                <w:highlight w:val="none"/>
                <w:u w:val="single"/>
              </w:rPr>
              <w:t>否决投标条款</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否决投标条款：</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1.在投标截止期后逾期或未在广州公共资源交易中心数字交易平台（http://www.gzggzy.cn）递交电子投标文件的，电子招标投标交易平台将拒绝接收其投标文件。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2.投标文件应当对招标文件的实质性要求和条件作出满足性或更有利于招标人的响应，否则，投标人的投标将被否决。</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3.投标人有以下情形之一的，评标委员会应当否决其投标：</w:t>
            </w:r>
          </w:p>
          <w:p>
            <w:pPr>
              <w:spacing w:line="360" w:lineRule="auto"/>
              <w:ind w:firstLine="240" w:firstLineChars="100"/>
              <w:rPr>
                <w:rFonts w:ascii="宋体" w:hAnsi="宋体" w:cs="宋体"/>
                <w:sz w:val="24"/>
                <w:szCs w:val="24"/>
                <w:highlight w:val="none"/>
                <w:u w:val="single"/>
              </w:rPr>
            </w:pPr>
            <w:r>
              <w:rPr>
                <w:rFonts w:hint="eastAsia" w:ascii="宋体" w:hAnsi="宋体" w:cs="宋体"/>
                <w:sz w:val="24"/>
                <w:szCs w:val="24"/>
                <w:highlight w:val="none"/>
                <w:u w:val="single"/>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（2）有串通投标、弄虚作假、行贿等违法行为。</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4.投标报价有算术错误及其他错误的，评标委员会按以下原则要求投标人对投标报价进行修正，并要求投标人书面澄清确认。投标人拒不澄清确认的，评标委员会应当否决其投标：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（1）投标文件中的大写金额与小写金额不一致的，以大写金额为准；</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（2）总价金额与单价金额不一致的，以单价金额为准，但单价金额小数点有明显错误的除外。</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6.投标文件中投标报价高于最高投标限价的，其投标文件将被否决。</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highlight w:val="none"/>
                <w:u w:val="single"/>
              </w:rPr>
            </w:pPr>
            <w:r>
              <w:rPr>
                <w:rFonts w:hint="eastAsia" w:ascii="宋体" w:hAnsi="宋体" w:cs="宋体"/>
                <w:sz w:val="24"/>
                <w:szCs w:val="24"/>
                <w:highlight w:val="none"/>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highlight w:val="none"/>
                <w:u w:val="single"/>
              </w:rPr>
            </w:pPr>
            <w:r>
              <w:rPr>
                <w:rFonts w:hint="eastAsia" w:ascii="宋体" w:hAnsi="宋体" w:cs="宋体"/>
                <w:sz w:val="24"/>
                <w:szCs w:val="24"/>
                <w:highlight w:val="none"/>
                <w:u w:val="single"/>
              </w:rPr>
              <w:t>其他</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u w:val="single"/>
              </w:rPr>
            </w:pPr>
            <w:r>
              <w:rPr>
                <w:rFonts w:hint="eastAsia" w:ascii="宋体" w:hAnsi="宋体" w:cs="宋体"/>
                <w:sz w:val="24"/>
                <w:szCs w:val="24"/>
                <w:highlight w:val="none"/>
              </w:rPr>
              <w:t>在中标公示结束后</w:t>
            </w:r>
            <w:r>
              <w:rPr>
                <w:rFonts w:ascii="宋体" w:hAnsi="宋体" w:cs="宋体"/>
                <w:sz w:val="24"/>
                <w:szCs w:val="24"/>
                <w:highlight w:val="none"/>
              </w:rPr>
              <w:t>5个工作日内，第一中标候选人向招标人提交与在广州公共资源交易中心系统上传投标文件内容相同的已盖章的纸质版投标文件一正</w:t>
            </w:r>
            <w:r>
              <w:rPr>
                <w:rFonts w:hint="eastAsia" w:ascii="宋体" w:hAnsi="宋体" w:cs="宋体"/>
                <w:sz w:val="24"/>
                <w:szCs w:val="24"/>
                <w:highlight w:val="none"/>
              </w:rPr>
              <w:t>二</w:t>
            </w:r>
            <w:r>
              <w:rPr>
                <w:rFonts w:ascii="宋体" w:hAnsi="宋体" w:cs="宋体"/>
                <w:sz w:val="24"/>
                <w:szCs w:val="24"/>
                <w:highlight w:val="none"/>
              </w:rPr>
              <w:t>副；第二中标候选人、第三中标候选人分别向招标人提交与在广州公共资源交易中心系统上传投标文件内容相同的已盖章的纸质版投标文件正本一份。</w:t>
            </w:r>
          </w:p>
        </w:tc>
      </w:tr>
    </w:tbl>
    <w:p>
      <w:pPr>
        <w:spacing w:line="200" w:lineRule="exact"/>
        <w:rPr>
          <w:rFonts w:ascii="Times New Roman" w:hAnsi="Times New Roman"/>
          <w:highlight w:val="none"/>
        </w:rPr>
      </w:pPr>
    </w:p>
    <w:p>
      <w:pPr>
        <w:spacing w:line="200" w:lineRule="exact"/>
        <w:rPr>
          <w:rFonts w:ascii="Times New Roman" w:hAnsi="Times New Roman"/>
          <w:highlight w:val="none"/>
        </w:rPr>
      </w:pPr>
    </w:p>
    <w:p>
      <w:pPr>
        <w:pStyle w:val="4"/>
        <w:jc w:val="center"/>
        <w:rPr>
          <w:rFonts w:eastAsia="黑体" w:cs="Arial"/>
          <w:bCs w:val="0"/>
          <w:szCs w:val="20"/>
          <w:highlight w:val="none"/>
        </w:rPr>
      </w:pPr>
      <w:r>
        <w:rPr>
          <w:sz w:val="18"/>
          <w:highlight w:val="none"/>
        </w:rPr>
        <w:br w:type="page"/>
      </w:r>
      <w:bookmarkStart w:id="2" w:name="_Toc530728899"/>
      <w:bookmarkStart w:id="3" w:name="_Toc517280514"/>
      <w:r>
        <w:rPr>
          <w:rFonts w:hint="eastAsia" w:eastAsia="黑体" w:cs="Arial"/>
          <w:bCs w:val="0"/>
          <w:sz w:val="28"/>
          <w:szCs w:val="18"/>
          <w:highlight w:val="none"/>
        </w:rPr>
        <w:t>第二章  正文</w:t>
      </w:r>
      <w:r>
        <w:rPr>
          <w:rFonts w:eastAsia="黑体" w:cs="Arial"/>
          <w:bCs w:val="0"/>
          <w:sz w:val="28"/>
          <w:szCs w:val="18"/>
          <w:highlight w:val="none"/>
        </w:rPr>
        <w:t>按</w:t>
      </w:r>
      <w:r>
        <w:rPr>
          <w:rFonts w:hint="eastAsia" w:eastAsia="黑体" w:cs="Arial"/>
          <w:bCs w:val="0"/>
          <w:sz w:val="28"/>
          <w:szCs w:val="18"/>
          <w:highlight w:val="none"/>
        </w:rPr>
        <w:t>《中华人民共和国标准监理招标文件》</w:t>
      </w:r>
      <w:bookmarkEnd w:id="2"/>
      <w:bookmarkEnd w:id="3"/>
      <w:r>
        <w:rPr>
          <w:rFonts w:hint="eastAsia" w:eastAsia="黑体" w:cs="Arial"/>
          <w:bCs w:val="0"/>
          <w:sz w:val="28"/>
          <w:szCs w:val="18"/>
          <w:highlight w:val="none"/>
        </w:rPr>
        <w:t>（2017年版）</w:t>
      </w:r>
    </w:p>
    <w:p>
      <w:pPr>
        <w:pStyle w:val="4"/>
        <w:rPr>
          <w:highlight w:val="none"/>
        </w:rPr>
      </w:pPr>
      <w:bookmarkStart w:id="4" w:name="_Toc515205193"/>
      <w:bookmarkStart w:id="5" w:name="_Toc529196520"/>
      <w:r>
        <w:rPr>
          <w:highlight w:val="none"/>
        </w:rPr>
        <w:t>1. 总则</w:t>
      </w:r>
      <w:bookmarkEnd w:id="4"/>
      <w:bookmarkEnd w:id="5"/>
    </w:p>
    <w:p>
      <w:pPr>
        <w:pStyle w:val="4"/>
        <w:spacing w:before="120" w:after="120"/>
        <w:ind w:firstLine="137"/>
        <w:rPr>
          <w:highlight w:val="none"/>
        </w:rPr>
      </w:pPr>
      <w:bookmarkStart w:id="6" w:name="_Toc515205194"/>
      <w:bookmarkStart w:id="7" w:name="_Toc529196521"/>
      <w:r>
        <w:rPr>
          <w:highlight w:val="none"/>
        </w:rPr>
        <w:t>1.1 招标项目概况</w:t>
      </w:r>
      <w:bookmarkEnd w:id="6"/>
      <w:bookmarkEnd w:id="7"/>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1.1.2 招标人：见投标人须知前附表。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1.1.3 招标代理机构：见投标人须知前附表。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1.1.4 招标项目名称：见投标人须知前附表。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1.1.5 项目建设地点：见投标人须知前附表。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1.1.6 项目建设规模：见投标人须知前附表。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 xml:space="preserve">1.1.7 </w:t>
      </w:r>
      <w:r>
        <w:rPr>
          <w:rFonts w:hint="eastAsia" w:ascii="Times New Roman" w:hAnsi="Times New Roman"/>
          <w:sz w:val="24"/>
          <w:highlight w:val="none"/>
        </w:rPr>
        <w:t>工程项目施工预计开工日期和建设周期：见投标人须知前附表。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 xml:space="preserve">1.1.8 </w:t>
      </w:r>
      <w:r>
        <w:rPr>
          <w:rFonts w:hint="eastAsia" w:ascii="Times New Roman" w:hAnsi="Times New Roman"/>
          <w:sz w:val="24"/>
          <w:highlight w:val="none"/>
        </w:rPr>
        <w:t>建筑安装工程费</w:t>
      </w:r>
      <w:r>
        <w:rPr>
          <w:rFonts w:ascii="Times New Roman" w:hAnsi="Times New Roman"/>
          <w:sz w:val="24"/>
          <w:highlight w:val="none"/>
        </w:rPr>
        <w:t>/</w:t>
      </w:r>
      <w:r>
        <w:rPr>
          <w:rFonts w:hint="eastAsia" w:ascii="Times New Roman" w:hAnsi="Times New Roman"/>
          <w:sz w:val="24"/>
          <w:highlight w:val="none"/>
        </w:rPr>
        <w:t>工程概算：见投标人须知前附表。</w:t>
      </w:r>
    </w:p>
    <w:p>
      <w:pPr>
        <w:pStyle w:val="4"/>
        <w:ind w:firstLine="118"/>
        <w:rPr>
          <w:sz w:val="24"/>
          <w:szCs w:val="24"/>
          <w:highlight w:val="none"/>
        </w:rPr>
      </w:pPr>
      <w:bookmarkStart w:id="8" w:name="_Toc529196522"/>
      <w:bookmarkStart w:id="9" w:name="_Toc515205195"/>
      <w:r>
        <w:rPr>
          <w:sz w:val="24"/>
          <w:szCs w:val="24"/>
          <w:highlight w:val="none"/>
        </w:rPr>
        <w:t>1.2 招标项目的资金来源和落实情况</w:t>
      </w:r>
      <w:bookmarkEnd w:id="8"/>
      <w:bookmarkEnd w:id="9"/>
    </w:p>
    <w:p>
      <w:pPr>
        <w:spacing w:line="360" w:lineRule="auto"/>
        <w:ind w:firstLine="480" w:firstLineChars="200"/>
        <w:rPr>
          <w:rFonts w:ascii="Times New Roman" w:hAnsi="Times New Roman"/>
          <w:sz w:val="24"/>
          <w:highlight w:val="none"/>
        </w:rPr>
      </w:pPr>
      <w:r>
        <w:rPr>
          <w:rFonts w:ascii="Times New Roman" w:hAnsi="Times New Roman"/>
          <w:sz w:val="24"/>
          <w:highlight w:val="none"/>
        </w:rPr>
        <w:t>1.2.1 资金来源及比例：见投标人须知前附表。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1.2.2 资金落实情况：见投标人须知前附表。</w:t>
      </w:r>
    </w:p>
    <w:p>
      <w:pPr>
        <w:pStyle w:val="4"/>
        <w:ind w:firstLine="118"/>
        <w:rPr>
          <w:sz w:val="24"/>
          <w:szCs w:val="24"/>
          <w:highlight w:val="none"/>
        </w:rPr>
      </w:pPr>
      <w:bookmarkStart w:id="10" w:name="_Toc529196523"/>
      <w:bookmarkStart w:id="11" w:name="_Toc515205196"/>
      <w:r>
        <w:rPr>
          <w:sz w:val="24"/>
          <w:szCs w:val="24"/>
          <w:highlight w:val="none"/>
        </w:rPr>
        <w:t>1.3招标范围、服务期限和质量标准</w:t>
      </w:r>
      <w:bookmarkEnd w:id="10"/>
      <w:bookmarkEnd w:id="11"/>
    </w:p>
    <w:p>
      <w:pPr>
        <w:spacing w:line="360" w:lineRule="auto"/>
        <w:ind w:firstLine="480" w:firstLineChars="200"/>
        <w:rPr>
          <w:rFonts w:ascii="Times New Roman" w:hAnsi="Times New Roman"/>
          <w:sz w:val="24"/>
          <w:highlight w:val="none"/>
        </w:rPr>
      </w:pPr>
      <w:r>
        <w:rPr>
          <w:rFonts w:ascii="Times New Roman" w:hAnsi="Times New Roman"/>
          <w:sz w:val="24"/>
          <w:highlight w:val="none"/>
        </w:rPr>
        <w:t>1.3.1 招标范围：见投标人须知前附表。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1.3.2 服务期限：见投标人须知前附表。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1.3.3 质量标准：见投标人须知前附表。</w:t>
      </w:r>
    </w:p>
    <w:p>
      <w:pPr>
        <w:pStyle w:val="4"/>
        <w:ind w:firstLine="118"/>
        <w:rPr>
          <w:sz w:val="24"/>
          <w:szCs w:val="24"/>
          <w:highlight w:val="none"/>
        </w:rPr>
      </w:pPr>
      <w:bookmarkStart w:id="12" w:name="_Toc529196524"/>
      <w:bookmarkStart w:id="13" w:name="_Toc515205197"/>
      <w:r>
        <w:rPr>
          <w:sz w:val="24"/>
          <w:szCs w:val="24"/>
          <w:highlight w:val="none"/>
        </w:rPr>
        <w:t>1.4投标人资格要求</w:t>
      </w:r>
      <w:bookmarkEnd w:id="12"/>
      <w:bookmarkEnd w:id="13"/>
    </w:p>
    <w:p>
      <w:pPr>
        <w:spacing w:line="360" w:lineRule="auto"/>
        <w:ind w:firstLine="480" w:firstLineChars="200"/>
        <w:rPr>
          <w:rFonts w:ascii="Times New Roman" w:hAnsi="Times New Roman"/>
          <w:sz w:val="24"/>
          <w:highlight w:val="none"/>
        </w:rPr>
      </w:pPr>
      <w:r>
        <w:rPr>
          <w:rFonts w:ascii="Times New Roman" w:hAnsi="Times New Roman"/>
          <w:sz w:val="24"/>
          <w:highlight w:val="none"/>
        </w:rPr>
        <w:t>1.4.1 投标人应具备承担本招标项目资质条件、能力和信誉：</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（1）资质要求：见投标人须知前附表；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（2）财务要求：见投标人须知前附表；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（3）业绩要求：见投标人须知前附表；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（4）信誉要求：见投标人须知前附表；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（5）总监理工程师的资格要求：应当具备工程注册监理工程师执业资格</w:t>
      </w:r>
      <w:r>
        <w:rPr>
          <w:rFonts w:hint="eastAsia" w:ascii="Times New Roman" w:hAnsi="Times New Roman"/>
          <w:sz w:val="24"/>
          <w:highlight w:val="none"/>
        </w:rPr>
        <w:t>（如有）</w:t>
      </w:r>
      <w:r>
        <w:rPr>
          <w:rFonts w:ascii="Times New Roman" w:hAnsi="Times New Roman"/>
          <w:sz w:val="24"/>
          <w:highlight w:val="none"/>
        </w:rPr>
        <w:t>，具体要求见投标人须知前附表；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（6）其他主要人员要求：见投标人须知前附表。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（7）试验检测仪器设备要求：见投标人须知前附表。</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（8）其他要求：见投标人须知前附表。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需要提交的相关证明材料见本章第3.5款的规定。</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1.4.2投标人须知前附表规定接受联合体投标的，联合体除应符合本章第1.4.1项和投标人须知前附表的要求外，还应遵守以下规定：</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（1）联合体各方应按招标文件提供的格式签订联合体协议书，明确联合体牵头人和各方权利义务，并承诺就中标项目向招标人承担连带责任；</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（2）由同一专业的单位组成的联合体，按照资质等级较低的单位确定资质等级；</w:t>
      </w:r>
    </w:p>
    <w:p>
      <w:pPr>
        <w:spacing w:line="360" w:lineRule="auto"/>
        <w:ind w:firstLine="360" w:firstLineChars="150"/>
        <w:rPr>
          <w:rFonts w:ascii="Times New Roman" w:hAnsi="Times New Roman"/>
          <w:sz w:val="24"/>
          <w:highlight w:val="none"/>
        </w:rPr>
      </w:pPr>
      <w:r>
        <w:rPr>
          <w:rFonts w:ascii="Times New Roman" w:hAnsi="Times New Roman"/>
          <w:sz w:val="24"/>
          <w:highlight w:val="none"/>
        </w:rPr>
        <w:t>（3）联合体各方不得再以自己名义单独或参加其他联合体在本招标项目中投标，否则各相关投标均无效。</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1.4.3 投标人不得存在下列情形之一：</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（1）为招标人不具有独立法人资格的附属机构（单位）；</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（2）与招标人存在利害关系且可能影响招标公正性；</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（3）与本招标项目的其他投标人为同一个单位负责人；</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（4）与本招标项目的其他投标人存在控股、管理关系；</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（5）为本招标项目的代建人；</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（6）为本招标项目的招标代理机构；</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（7）与本招标项目的代建人或招标代理机构同为一个法定代表人；</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（8）与本招标项目的代建人或招标代理机构存在控股或参股关系；</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（9）</w:t>
      </w:r>
      <w:r>
        <w:rPr>
          <w:rFonts w:hint="eastAsia" w:ascii="Times New Roman" w:hAnsi="Times New Roman"/>
          <w:sz w:val="24"/>
          <w:highlight w:val="none"/>
        </w:rPr>
        <w:t>与</w:t>
      </w:r>
      <w:r>
        <w:rPr>
          <w:rFonts w:ascii="Times New Roman" w:hAnsi="Times New Roman"/>
          <w:sz w:val="24"/>
          <w:highlight w:val="none"/>
        </w:rPr>
        <w:t>本招标项目</w:t>
      </w:r>
      <w:r>
        <w:rPr>
          <w:rFonts w:hint="eastAsia" w:ascii="Times New Roman" w:hAnsi="Times New Roman"/>
          <w:sz w:val="24"/>
          <w:highlight w:val="none"/>
        </w:rPr>
        <w:t>的施工承包人以</w:t>
      </w:r>
      <w:r>
        <w:rPr>
          <w:rFonts w:ascii="Times New Roman" w:hAnsi="Times New Roman"/>
          <w:sz w:val="24"/>
          <w:highlight w:val="none"/>
        </w:rPr>
        <w:t>及建筑材料、建筑构配件和设备供应商有隶属关系或者其他利害关系；</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（10）被依法暂停或者取消投标资格；</w:t>
      </w:r>
      <w:r>
        <w:rPr>
          <w:rFonts w:hint="eastAsia" w:ascii="Times New Roman" w:hAnsi="Times New Roman"/>
          <w:sz w:val="24"/>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（11）被责令停产停业、暂扣或者吊销许可证、暂扣或者吊销执照；</w:t>
      </w:r>
      <w:r>
        <w:rPr>
          <w:rFonts w:hint="eastAsia" w:ascii="Times New Roman" w:hAnsi="Times New Roman"/>
          <w:sz w:val="24"/>
          <w:highlight w:val="none"/>
          <w:u w:val="single"/>
        </w:rPr>
        <w:t>（本项事实应当以根据《中华人民共和国行政处罚法》依法作出并已经生效的行政处罚决定为认定依据。）；</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（12）进入清算程序，或被宣告破产，或其他丧失履约能力的情形；</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（13）在最近三年内发生重大监理质量问题（以相关行业主管部门的行政处罚决定或司法机关出具的有关法律文书为准）</w:t>
      </w:r>
      <w:r>
        <w:rPr>
          <w:rFonts w:hint="eastAsia" w:ascii="Times New Roman" w:hAnsi="Times New Roman"/>
          <w:sz w:val="24"/>
          <w:highlight w:val="none"/>
        </w:rPr>
        <w:t>“最近三年”是指从投标截止时间之日起逆推三年，以相关行业主管部门、司法机关、仲裁机构出具的生效文件的落款时间起计算）；</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（14）法律法规或投标人须知前附表规定的其他情形。</w:t>
      </w:r>
    </w:p>
    <w:p>
      <w:pPr>
        <w:pStyle w:val="4"/>
        <w:ind w:firstLine="118"/>
        <w:rPr>
          <w:sz w:val="24"/>
          <w:szCs w:val="24"/>
          <w:highlight w:val="none"/>
        </w:rPr>
      </w:pPr>
      <w:bookmarkStart w:id="14" w:name="_Toc529196525"/>
      <w:bookmarkStart w:id="15" w:name="_Toc515205198"/>
      <w:r>
        <w:rPr>
          <w:sz w:val="24"/>
          <w:szCs w:val="24"/>
          <w:highlight w:val="none"/>
        </w:rPr>
        <w:t xml:space="preserve">1.5 </w:t>
      </w:r>
      <w:r>
        <w:rPr>
          <w:rFonts w:hint="eastAsia"/>
          <w:sz w:val="24"/>
          <w:szCs w:val="24"/>
          <w:highlight w:val="none"/>
        </w:rPr>
        <w:t>费用承担</w:t>
      </w:r>
      <w:bookmarkEnd w:id="14"/>
      <w:bookmarkEnd w:id="15"/>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投标人准备和参加投标活动发生的费用自理。</w:t>
      </w:r>
    </w:p>
    <w:p>
      <w:pPr>
        <w:pStyle w:val="4"/>
        <w:ind w:firstLine="118"/>
        <w:rPr>
          <w:sz w:val="24"/>
          <w:szCs w:val="24"/>
          <w:highlight w:val="none"/>
        </w:rPr>
      </w:pPr>
      <w:bookmarkStart w:id="16" w:name="_Toc529196526"/>
      <w:bookmarkStart w:id="17" w:name="_Toc515205199"/>
      <w:r>
        <w:rPr>
          <w:sz w:val="24"/>
          <w:szCs w:val="24"/>
          <w:highlight w:val="none"/>
        </w:rPr>
        <w:t>1.6</w:t>
      </w:r>
      <w:r>
        <w:rPr>
          <w:rFonts w:hint="eastAsia"/>
          <w:sz w:val="24"/>
          <w:szCs w:val="24"/>
          <w:highlight w:val="none"/>
        </w:rPr>
        <w:t>保密</w:t>
      </w:r>
      <w:bookmarkEnd w:id="16"/>
      <w:bookmarkEnd w:id="17"/>
    </w:p>
    <w:p>
      <w:pPr>
        <w:spacing w:line="360" w:lineRule="auto"/>
        <w:ind w:firstLine="480" w:firstLineChars="200"/>
        <w:rPr>
          <w:rFonts w:ascii="Times New Roman" w:hAnsi="Times New Roman"/>
          <w:sz w:val="24"/>
          <w:highlight w:val="none"/>
        </w:rPr>
      </w:pPr>
      <w:r>
        <w:rPr>
          <w:rFonts w:ascii="Times New Roman" w:hAnsi="Times New Roman"/>
          <w:sz w:val="24"/>
          <w:highlight w:val="none"/>
        </w:rPr>
        <w:t>参与招标投标活动的各方应对招标文件和投标文件中</w:t>
      </w:r>
      <w:bookmarkStart w:id="18" w:name="_Toc5326"/>
      <w:bookmarkStart w:id="19" w:name="_Toc384308214"/>
      <w:bookmarkStart w:id="20" w:name="_Toc361508589"/>
      <w:bookmarkStart w:id="21" w:name="_Toc352691477"/>
      <w:bookmarkStart w:id="22" w:name="_Toc369531519"/>
      <w:r>
        <w:rPr>
          <w:rFonts w:ascii="Times New Roman" w:hAnsi="Times New Roman"/>
          <w:sz w:val="24"/>
          <w:highlight w:val="none"/>
        </w:rPr>
        <w:t>的商业和技术等秘密保密</w:t>
      </w:r>
      <w:bookmarkEnd w:id="18"/>
      <w:bookmarkEnd w:id="19"/>
      <w:bookmarkEnd w:id="20"/>
      <w:bookmarkEnd w:id="21"/>
      <w:bookmarkEnd w:id="22"/>
      <w:r>
        <w:rPr>
          <w:rFonts w:ascii="Times New Roman" w:hAnsi="Times New Roman"/>
          <w:sz w:val="24"/>
          <w:highlight w:val="none"/>
        </w:rPr>
        <w:t>，否则应承担相应的法律责任。</w:t>
      </w:r>
    </w:p>
    <w:p>
      <w:pPr>
        <w:pStyle w:val="4"/>
        <w:ind w:firstLine="118"/>
        <w:rPr>
          <w:sz w:val="24"/>
          <w:szCs w:val="24"/>
          <w:highlight w:val="none"/>
        </w:rPr>
      </w:pPr>
      <w:bookmarkStart w:id="23" w:name="_Toc529196527"/>
      <w:bookmarkStart w:id="24" w:name="_Toc515205200"/>
      <w:r>
        <w:rPr>
          <w:sz w:val="24"/>
          <w:szCs w:val="24"/>
          <w:highlight w:val="none"/>
        </w:rPr>
        <w:t>1.7 语言文字</w:t>
      </w:r>
      <w:bookmarkEnd w:id="23"/>
      <w:bookmarkEnd w:id="24"/>
    </w:p>
    <w:p>
      <w:pPr>
        <w:spacing w:line="360" w:lineRule="auto"/>
        <w:ind w:firstLine="480" w:firstLineChars="200"/>
        <w:rPr>
          <w:rFonts w:ascii="Times New Roman" w:hAnsi="Times New Roman"/>
          <w:sz w:val="24"/>
          <w:highlight w:val="none"/>
        </w:rPr>
      </w:pPr>
      <w:r>
        <w:rPr>
          <w:rFonts w:ascii="Times New Roman" w:hAnsi="Times New Roman"/>
          <w:sz w:val="24"/>
          <w:highlight w:val="none"/>
        </w:rPr>
        <w:t>招标投标文件使用的语言文字为中文。专用术语使用外文的，应附有中文注释。</w:t>
      </w:r>
    </w:p>
    <w:p>
      <w:pPr>
        <w:pStyle w:val="4"/>
        <w:ind w:firstLine="118"/>
        <w:rPr>
          <w:sz w:val="24"/>
          <w:szCs w:val="24"/>
          <w:highlight w:val="none"/>
        </w:rPr>
      </w:pPr>
      <w:bookmarkStart w:id="25" w:name="_Toc515205201"/>
      <w:bookmarkStart w:id="26" w:name="_Toc529196528"/>
      <w:r>
        <w:rPr>
          <w:sz w:val="24"/>
          <w:szCs w:val="24"/>
          <w:highlight w:val="none"/>
        </w:rPr>
        <w:t>1.8计量单位</w:t>
      </w:r>
      <w:bookmarkEnd w:id="25"/>
      <w:bookmarkEnd w:id="26"/>
    </w:p>
    <w:p>
      <w:pPr>
        <w:spacing w:line="360" w:lineRule="auto"/>
        <w:ind w:firstLine="480" w:firstLineChars="200"/>
        <w:rPr>
          <w:rFonts w:ascii="Times New Roman" w:hAnsi="Times New Roman"/>
          <w:sz w:val="24"/>
          <w:highlight w:val="none"/>
        </w:rPr>
      </w:pPr>
      <w:r>
        <w:rPr>
          <w:rFonts w:ascii="Times New Roman" w:hAnsi="Times New Roman"/>
          <w:sz w:val="24"/>
          <w:highlight w:val="none"/>
        </w:rPr>
        <w:t>所有计量均采用中华人民共和国法定计量单位。</w:t>
      </w:r>
    </w:p>
    <w:p>
      <w:pPr>
        <w:pStyle w:val="4"/>
        <w:ind w:firstLine="118"/>
        <w:rPr>
          <w:sz w:val="24"/>
          <w:szCs w:val="24"/>
          <w:highlight w:val="none"/>
        </w:rPr>
      </w:pPr>
      <w:bookmarkStart w:id="27" w:name="_Toc361508594"/>
      <w:bookmarkStart w:id="28" w:name="_Toc384308219"/>
      <w:bookmarkStart w:id="29" w:name="_Toc152045539"/>
      <w:bookmarkStart w:id="30" w:name="_Toc152042315"/>
      <w:bookmarkStart w:id="31" w:name="_Toc300834959"/>
      <w:bookmarkStart w:id="32" w:name="_Toc529196529"/>
      <w:bookmarkStart w:id="33" w:name="_Toc391393967"/>
      <w:bookmarkStart w:id="34" w:name="_Toc370676289"/>
      <w:bookmarkStart w:id="35" w:name="_Toc515205202"/>
      <w:bookmarkStart w:id="36" w:name="_Toc247527563"/>
      <w:bookmarkStart w:id="37" w:name="_Toc144974507"/>
      <w:bookmarkStart w:id="38" w:name="_Toc482188480"/>
      <w:bookmarkStart w:id="39" w:name="_Toc247513962"/>
      <w:r>
        <w:rPr>
          <w:sz w:val="24"/>
          <w:szCs w:val="24"/>
          <w:highlight w:val="none"/>
        </w:rPr>
        <w:t xml:space="preserve">1.9 </w:t>
      </w:r>
      <w:r>
        <w:rPr>
          <w:rFonts w:hint="eastAsia"/>
          <w:sz w:val="24"/>
          <w:szCs w:val="24"/>
          <w:highlight w:val="none"/>
        </w:rPr>
        <w:t>踏勘现场</w:t>
      </w:r>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80" w:firstLineChars="200"/>
        <w:rPr>
          <w:rFonts w:ascii="Times New Roman" w:hAnsi="Times New Roman"/>
          <w:sz w:val="24"/>
          <w:highlight w:val="none"/>
        </w:rPr>
      </w:pPr>
      <w:r>
        <w:rPr>
          <w:rFonts w:ascii="Times New Roman" w:hAnsi="Times New Roman"/>
          <w:sz w:val="24"/>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1.9.2 投标人踏勘现场发生的费用自理。</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1.9.3 除招标人的原因外，投标人自行负责在踏勘现场中所发生的人员伤亡和财产损失。</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1.9.4 招标人在踏勘现场中介绍的工程场地和相关的周边环境情况，供投标人在编制投标文件时参考，招标人不对投标人据此作出的判断和决策负责。</w:t>
      </w:r>
    </w:p>
    <w:p>
      <w:pPr>
        <w:pStyle w:val="4"/>
        <w:ind w:firstLine="118"/>
        <w:rPr>
          <w:sz w:val="24"/>
          <w:szCs w:val="24"/>
          <w:highlight w:val="none"/>
        </w:rPr>
      </w:pPr>
      <w:bookmarkStart w:id="40" w:name="_Toc515205203"/>
      <w:bookmarkStart w:id="41" w:name="_Toc529196530"/>
      <w:r>
        <w:rPr>
          <w:sz w:val="24"/>
          <w:szCs w:val="24"/>
          <w:highlight w:val="none"/>
        </w:rPr>
        <w:t>1.10投标预备会</w:t>
      </w:r>
      <w:bookmarkEnd w:id="40"/>
      <w:bookmarkEnd w:id="41"/>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1.10.3 投标预备会后，招标人将对投标人所提问题的澄清，以投标人须知前附表规定的形式通知所有购买招标文件的投标人。该澄清内容为招标文件的组成部分。</w:t>
      </w:r>
    </w:p>
    <w:p>
      <w:pPr>
        <w:pStyle w:val="4"/>
        <w:ind w:firstLine="118"/>
        <w:rPr>
          <w:sz w:val="24"/>
          <w:szCs w:val="24"/>
          <w:highlight w:val="none"/>
        </w:rPr>
      </w:pPr>
      <w:bookmarkStart w:id="42" w:name="_Toc529196531"/>
      <w:bookmarkStart w:id="43" w:name="_Toc515205204"/>
      <w:r>
        <w:rPr>
          <w:sz w:val="24"/>
          <w:szCs w:val="24"/>
          <w:highlight w:val="none"/>
        </w:rPr>
        <w:t>1.11 分包</w:t>
      </w:r>
      <w:bookmarkEnd w:id="42"/>
      <w:bookmarkEnd w:id="43"/>
    </w:p>
    <w:p>
      <w:pPr>
        <w:spacing w:line="360" w:lineRule="auto"/>
        <w:ind w:firstLine="480" w:firstLineChars="200"/>
        <w:rPr>
          <w:rFonts w:ascii="Times New Roman" w:hAnsi="Times New Roman"/>
          <w:sz w:val="24"/>
          <w:highlight w:val="none"/>
        </w:rPr>
      </w:pPr>
      <w:r>
        <w:rPr>
          <w:rFonts w:ascii="Times New Roman" w:hAnsi="Times New Roman"/>
          <w:sz w:val="24"/>
          <w:highlight w:val="none"/>
        </w:rPr>
        <w:t>本项目严禁分包。</w:t>
      </w:r>
    </w:p>
    <w:p>
      <w:pPr>
        <w:pStyle w:val="4"/>
        <w:ind w:firstLine="118"/>
        <w:rPr>
          <w:sz w:val="24"/>
          <w:szCs w:val="24"/>
          <w:highlight w:val="none"/>
        </w:rPr>
      </w:pPr>
      <w:bookmarkStart w:id="44" w:name="_Toc515205205"/>
      <w:bookmarkStart w:id="45" w:name="_Toc529196532"/>
      <w:r>
        <w:rPr>
          <w:sz w:val="24"/>
          <w:szCs w:val="24"/>
          <w:highlight w:val="none"/>
        </w:rPr>
        <w:t>1.12响应和偏差</w:t>
      </w:r>
      <w:bookmarkEnd w:id="44"/>
      <w:bookmarkEnd w:id="45"/>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1.12.2 投标人应根据招标文件的要求提供投标监理大纲等内容以对招标文件作出响应。</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1.12.3投标人须知前附表允许投标文件偏离招标文件某些要求的，偏差应当符合招标文件规定的偏差范围和幅度。</w:t>
      </w:r>
    </w:p>
    <w:p>
      <w:pPr>
        <w:pStyle w:val="4"/>
        <w:rPr>
          <w:highlight w:val="none"/>
        </w:rPr>
      </w:pPr>
      <w:bookmarkStart w:id="46" w:name="_Toc515205206"/>
      <w:bookmarkStart w:id="47" w:name="_Toc529196533"/>
      <w:r>
        <w:rPr>
          <w:highlight w:val="none"/>
        </w:rPr>
        <w:t>2. 招标文件</w:t>
      </w:r>
      <w:bookmarkEnd w:id="46"/>
      <w:bookmarkEnd w:id="47"/>
    </w:p>
    <w:p>
      <w:pPr>
        <w:pStyle w:val="4"/>
        <w:spacing w:before="120" w:after="120"/>
        <w:ind w:firstLine="137"/>
        <w:rPr>
          <w:highlight w:val="none"/>
        </w:rPr>
      </w:pPr>
      <w:bookmarkStart w:id="48" w:name="_Toc515205207"/>
      <w:bookmarkStart w:id="49" w:name="_Toc529196534"/>
      <w:r>
        <w:rPr>
          <w:highlight w:val="none"/>
        </w:rPr>
        <w:t>2.1 招标文件的组成</w:t>
      </w:r>
      <w:bookmarkEnd w:id="48"/>
      <w:bookmarkEnd w:id="49"/>
    </w:p>
    <w:p>
      <w:pPr>
        <w:spacing w:line="360" w:lineRule="auto"/>
        <w:ind w:firstLine="410" w:firstLineChars="171"/>
        <w:rPr>
          <w:rFonts w:ascii="Times New Roman" w:hAnsi="Times New Roman"/>
          <w:sz w:val="24"/>
          <w:highlight w:val="none"/>
        </w:rPr>
      </w:pPr>
      <w:r>
        <w:rPr>
          <w:rFonts w:ascii="Times New Roman" w:hAnsi="Times New Roman"/>
          <w:sz w:val="24"/>
          <w:highlight w:val="none"/>
        </w:rPr>
        <w:t>本招标文件包括：</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（1）招标公告（或投标邀请书）；</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（2）投标人须知；</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（3）评标办法；</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（4）合同条款及格式；</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（5）委托人要求；</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（6）投标文件格式；</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（7）投标人须知前附表规定的其他资料。</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根据本章第1.10款、第2.2款和第2.3款对招标文件所作的澄清、修改，构成招标文件的组成部分。</w:t>
      </w:r>
    </w:p>
    <w:p>
      <w:pPr>
        <w:pStyle w:val="4"/>
        <w:spacing w:before="120" w:after="120"/>
        <w:ind w:firstLine="137"/>
        <w:rPr>
          <w:highlight w:val="none"/>
        </w:rPr>
      </w:pPr>
      <w:bookmarkStart w:id="50" w:name="_Toc529196535"/>
      <w:bookmarkStart w:id="51" w:name="_Toc515205208"/>
      <w:r>
        <w:rPr>
          <w:highlight w:val="none"/>
        </w:rPr>
        <w:t>2.2 招标文件的澄清</w:t>
      </w:r>
      <w:bookmarkEnd w:id="50"/>
      <w:bookmarkEnd w:id="51"/>
    </w:p>
    <w:p>
      <w:pPr>
        <w:spacing w:line="360" w:lineRule="auto"/>
        <w:ind w:firstLine="410" w:firstLineChars="171"/>
        <w:rPr>
          <w:rFonts w:ascii="Times New Roman" w:hAnsi="Times New Roman"/>
          <w:sz w:val="24"/>
          <w:highlight w:val="none"/>
        </w:rPr>
      </w:pPr>
      <w:r>
        <w:rPr>
          <w:rFonts w:ascii="Times New Roman" w:hAnsi="Times New Roman"/>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2.2.3 投标人在收到澄清后，应按投标人须知前附表规定的时间和形式通知招标人，确认已收到该澄清。</w:t>
      </w:r>
    </w:p>
    <w:p>
      <w:pPr>
        <w:spacing w:line="360" w:lineRule="auto"/>
        <w:ind w:firstLine="410" w:firstLineChars="171"/>
        <w:rPr>
          <w:rFonts w:ascii="Times New Roman" w:hAnsi="Times New Roman"/>
          <w:sz w:val="24"/>
          <w:highlight w:val="none"/>
        </w:rPr>
      </w:pPr>
      <w:r>
        <w:rPr>
          <w:rFonts w:ascii="Times New Roman" w:hAnsi="Times New Roman"/>
          <w:sz w:val="24"/>
          <w:highlight w:val="none"/>
        </w:rPr>
        <w:t>2.2.4 除非招标人认为确有必要答复，否则，招标人有权拒绝回复投标人在</w:t>
      </w:r>
      <w:r>
        <w:rPr>
          <w:rFonts w:hint="eastAsia" w:ascii="Times New Roman" w:hAnsi="Times New Roman"/>
          <w:sz w:val="24"/>
          <w:highlight w:val="none"/>
        </w:rPr>
        <w:t>本章第2.2.1项</w:t>
      </w:r>
      <w:r>
        <w:rPr>
          <w:rFonts w:ascii="Times New Roman" w:hAnsi="Times New Roman"/>
          <w:sz w:val="24"/>
          <w:highlight w:val="none"/>
        </w:rPr>
        <w:t>规定的时间后的任何澄清要求。</w:t>
      </w:r>
    </w:p>
    <w:p>
      <w:pPr>
        <w:pStyle w:val="4"/>
        <w:ind w:firstLine="137"/>
        <w:rPr>
          <w:highlight w:val="none"/>
        </w:rPr>
      </w:pPr>
      <w:bookmarkStart w:id="52" w:name="_Toc529196536"/>
      <w:bookmarkStart w:id="53" w:name="_Toc515205209"/>
      <w:bookmarkStart w:id="54" w:name="_Toc352691479"/>
      <w:r>
        <w:rPr>
          <w:highlight w:val="none"/>
        </w:rPr>
        <w:t>2.3 招标文件的修</w:t>
      </w:r>
      <w:bookmarkStart w:id="55" w:name="_Toc369531521"/>
      <w:bookmarkStart w:id="56" w:name="_Toc16514"/>
      <w:r>
        <w:rPr>
          <w:highlight w:val="none"/>
        </w:rPr>
        <w:t>改</w:t>
      </w:r>
      <w:bookmarkEnd w:id="52"/>
      <w:bookmarkEnd w:id="53"/>
    </w:p>
    <w:p>
      <w:pPr>
        <w:spacing w:line="360" w:lineRule="auto"/>
        <w:ind w:firstLine="410" w:firstLineChars="171"/>
        <w:rPr>
          <w:rFonts w:ascii="Times New Roman" w:hAnsi="Times New Roman"/>
          <w:sz w:val="24"/>
          <w:highlight w:val="none"/>
        </w:rPr>
      </w:pPr>
      <w:r>
        <w:rPr>
          <w:rFonts w:ascii="Times New Roman" w:hAnsi="Times New Roman"/>
          <w:sz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4"/>
    <w:bookmarkEnd w:id="55"/>
    <w:bookmarkEnd w:id="56"/>
    <w:p>
      <w:pPr>
        <w:spacing w:line="360" w:lineRule="auto"/>
        <w:ind w:firstLine="410" w:firstLineChars="171"/>
        <w:rPr>
          <w:rFonts w:ascii="Times New Roman" w:hAnsi="Times New Roman"/>
          <w:sz w:val="24"/>
          <w:highlight w:val="none"/>
        </w:rPr>
      </w:pPr>
      <w:r>
        <w:rPr>
          <w:rFonts w:ascii="Times New Roman" w:hAnsi="Times New Roman"/>
          <w:sz w:val="24"/>
          <w:highlight w:val="none"/>
        </w:rPr>
        <w:t>2.3.2 投标人收到修改内容</w:t>
      </w:r>
      <w:bookmarkStart w:id="57" w:name="_Toc247527562"/>
      <w:bookmarkStart w:id="58" w:name="_Toc247513961"/>
      <w:bookmarkStart w:id="59" w:name="_Toc152042314"/>
      <w:bookmarkStart w:id="60" w:name="_Toc152045538"/>
      <w:bookmarkStart w:id="61" w:name="_Toc24632"/>
      <w:bookmarkStart w:id="62" w:name="_Toc361508593"/>
      <w:bookmarkStart w:id="63" w:name="_Toc300834958"/>
      <w:bookmarkStart w:id="64" w:name="_Toc352691482"/>
      <w:bookmarkStart w:id="65" w:name="_Toc384308218"/>
      <w:bookmarkStart w:id="66" w:name="_Toc144974506"/>
      <w:bookmarkStart w:id="67" w:name="_Toc369531524"/>
      <w:r>
        <w:rPr>
          <w:rFonts w:ascii="Times New Roman" w:hAnsi="Times New Roman"/>
          <w:sz w:val="24"/>
          <w:highlight w:val="none"/>
        </w:rPr>
        <w:t>后，</w:t>
      </w:r>
      <w:bookmarkEnd w:id="57"/>
      <w:bookmarkEnd w:id="58"/>
      <w:bookmarkEnd w:id="59"/>
      <w:bookmarkEnd w:id="60"/>
      <w:bookmarkEnd w:id="61"/>
      <w:bookmarkEnd w:id="62"/>
      <w:bookmarkEnd w:id="63"/>
      <w:bookmarkEnd w:id="64"/>
      <w:bookmarkEnd w:id="65"/>
      <w:bookmarkEnd w:id="66"/>
      <w:bookmarkEnd w:id="67"/>
      <w:bookmarkStart w:id="68" w:name="_Toc152045540"/>
      <w:bookmarkStart w:id="69" w:name="_Toc247513963"/>
      <w:bookmarkStart w:id="70" w:name="_Toc369531526"/>
      <w:bookmarkStart w:id="71" w:name="_Toc384308220"/>
      <w:bookmarkStart w:id="72" w:name="_Toc352691484"/>
      <w:bookmarkStart w:id="73" w:name="_Toc361508595"/>
      <w:bookmarkStart w:id="74" w:name="_Toc247527564"/>
      <w:bookmarkStart w:id="75" w:name="_Toc16623"/>
      <w:bookmarkStart w:id="76" w:name="_Toc300834960"/>
      <w:bookmarkStart w:id="77" w:name="_Toc144974508"/>
      <w:bookmarkStart w:id="78" w:name="_Toc152042316"/>
      <w:r>
        <w:rPr>
          <w:rFonts w:ascii="Times New Roman" w:hAnsi="Times New Roman"/>
          <w:sz w:val="24"/>
          <w:highlight w:val="none"/>
        </w:rPr>
        <w:t>应按投标人须知前附表规定的时间和形式通知招标人，确认已收到该修改。</w:t>
      </w:r>
    </w:p>
    <w:p>
      <w:pPr>
        <w:pStyle w:val="4"/>
        <w:spacing w:before="120" w:after="120"/>
        <w:ind w:firstLine="137"/>
        <w:rPr>
          <w:highlight w:val="none"/>
        </w:rPr>
      </w:pPr>
      <w:bookmarkStart w:id="79" w:name="_Toc529196537"/>
      <w:bookmarkStart w:id="80" w:name="_Toc515205210"/>
      <w:r>
        <w:rPr>
          <w:highlight w:val="none"/>
        </w:rPr>
        <w:t>2.</w:t>
      </w:r>
      <w:bookmarkEnd w:id="68"/>
      <w:bookmarkEnd w:id="69"/>
      <w:bookmarkEnd w:id="70"/>
      <w:bookmarkEnd w:id="71"/>
      <w:bookmarkEnd w:id="72"/>
      <w:bookmarkEnd w:id="73"/>
      <w:bookmarkEnd w:id="74"/>
      <w:bookmarkEnd w:id="75"/>
      <w:bookmarkEnd w:id="76"/>
      <w:bookmarkEnd w:id="77"/>
      <w:bookmarkEnd w:id="78"/>
      <w:r>
        <w:rPr>
          <w:highlight w:val="none"/>
        </w:rPr>
        <w:t>4 招标文件的异议</w:t>
      </w:r>
      <w:bookmarkEnd w:id="79"/>
      <w:bookmarkEnd w:id="80"/>
    </w:p>
    <w:p>
      <w:pPr>
        <w:spacing w:line="360" w:lineRule="auto"/>
        <w:ind w:firstLine="410" w:firstLineChars="171"/>
        <w:rPr>
          <w:rFonts w:ascii="Times New Roman" w:hAnsi="Times New Roman"/>
          <w:sz w:val="24"/>
          <w:highlight w:val="none"/>
        </w:rPr>
      </w:pPr>
      <w:r>
        <w:rPr>
          <w:rFonts w:ascii="Times New Roman" w:hAnsi="Times New Roman"/>
          <w:sz w:val="24"/>
          <w:highlight w:val="none"/>
        </w:rPr>
        <w:t>投标人或者其他利害关系人对招标文件有异议的，应当在投标截止时间10日前以书面形式提出。招标人将在收到异议之日起3日内作出答复；作出答复前，将暂停招标投标活动。</w:t>
      </w:r>
    </w:p>
    <w:p>
      <w:pPr>
        <w:pStyle w:val="4"/>
        <w:rPr>
          <w:highlight w:val="none"/>
        </w:rPr>
      </w:pPr>
      <w:bookmarkStart w:id="81" w:name="_Toc515205211"/>
      <w:bookmarkStart w:id="82" w:name="_Toc529196538"/>
      <w:r>
        <w:rPr>
          <w:highlight w:val="none"/>
        </w:rPr>
        <w:t>3. 投标文件</w:t>
      </w:r>
      <w:bookmarkEnd w:id="81"/>
      <w:bookmarkEnd w:id="82"/>
    </w:p>
    <w:p>
      <w:pPr>
        <w:pStyle w:val="4"/>
        <w:spacing w:before="120" w:after="120"/>
        <w:ind w:firstLine="137"/>
        <w:rPr>
          <w:highlight w:val="none"/>
        </w:rPr>
      </w:pPr>
      <w:bookmarkStart w:id="83" w:name="_Toc515205212"/>
      <w:bookmarkStart w:id="84" w:name="_Toc529196539"/>
      <w:r>
        <w:rPr>
          <w:highlight w:val="none"/>
        </w:rPr>
        <w:t>3.1 投标文件的组成</w:t>
      </w:r>
      <w:bookmarkEnd w:id="83"/>
      <w:bookmarkEnd w:id="84"/>
    </w:p>
    <w:p>
      <w:pPr>
        <w:spacing w:line="360" w:lineRule="auto"/>
        <w:rPr>
          <w:rFonts w:ascii="Times New Roman" w:hAnsi="Times New Roman"/>
          <w:sz w:val="24"/>
          <w:highlight w:val="none"/>
        </w:rPr>
      </w:pPr>
      <w:r>
        <w:rPr>
          <w:rFonts w:ascii="Times New Roman" w:hAnsi="Times New Roman"/>
          <w:sz w:val="24"/>
          <w:highlight w:val="none"/>
        </w:rPr>
        <w:t>　　3.1.1 投标文件应包括下列内容：</w:t>
      </w:r>
    </w:p>
    <w:p>
      <w:pPr>
        <w:pStyle w:val="127"/>
        <w:ind w:firstLine="480"/>
        <w:rPr>
          <w:rFonts w:ascii="Times New Roman" w:hAnsi="Times New Roman"/>
          <w:spacing w:val="0"/>
          <w:highlight w:val="none"/>
        </w:rPr>
      </w:pPr>
      <w:r>
        <w:rPr>
          <w:rFonts w:hint="eastAsia" w:ascii="Times New Roman" w:hAnsi="Times New Roman"/>
          <w:spacing w:val="0"/>
          <w:highlight w:val="none"/>
        </w:rPr>
        <w:t>（1）</w:t>
      </w:r>
      <w:r>
        <w:rPr>
          <w:rFonts w:ascii="Times New Roman" w:hAnsi="Times New Roman"/>
          <w:spacing w:val="0"/>
          <w:highlight w:val="none"/>
        </w:rPr>
        <w:t>投标函及投标函附录</w:t>
      </w:r>
      <w:r>
        <w:rPr>
          <w:rFonts w:hint="eastAsia" w:ascii="Times New Roman" w:hAnsi="Times New Roman"/>
          <w:spacing w:val="0"/>
          <w:highlight w:val="none"/>
        </w:rPr>
        <w:t>；</w:t>
      </w:r>
    </w:p>
    <w:p>
      <w:pPr>
        <w:pStyle w:val="127"/>
        <w:ind w:firstLine="480"/>
        <w:rPr>
          <w:rFonts w:ascii="Times New Roman" w:hAnsi="Times New Roman"/>
          <w:spacing w:val="0"/>
          <w:highlight w:val="none"/>
        </w:rPr>
      </w:pPr>
      <w:r>
        <w:rPr>
          <w:rFonts w:hint="eastAsia" w:ascii="Times New Roman" w:hAnsi="Times New Roman"/>
          <w:spacing w:val="0"/>
          <w:highlight w:val="none"/>
        </w:rPr>
        <w:t>（2）</w:t>
      </w:r>
      <w:r>
        <w:rPr>
          <w:rFonts w:ascii="Times New Roman" w:hAnsi="Times New Roman"/>
          <w:spacing w:val="0"/>
          <w:highlight w:val="none"/>
        </w:rPr>
        <w:t>法定代表人身份证明或授权委托书</w:t>
      </w:r>
      <w:r>
        <w:rPr>
          <w:rFonts w:hint="eastAsia" w:ascii="Times New Roman" w:hAnsi="Times New Roman"/>
          <w:spacing w:val="0"/>
          <w:highlight w:val="none"/>
        </w:rPr>
        <w:t>；</w:t>
      </w:r>
    </w:p>
    <w:p>
      <w:pPr>
        <w:pStyle w:val="127"/>
        <w:ind w:firstLine="480"/>
        <w:rPr>
          <w:rFonts w:ascii="Times New Roman" w:hAnsi="Times New Roman"/>
          <w:strike/>
          <w:spacing w:val="0"/>
          <w:highlight w:val="none"/>
        </w:rPr>
      </w:pPr>
      <w:r>
        <w:rPr>
          <w:rFonts w:hint="eastAsia" w:ascii="Times New Roman" w:hAnsi="Times New Roman"/>
          <w:strike/>
          <w:spacing w:val="0"/>
          <w:highlight w:val="none"/>
        </w:rPr>
        <w:t>（3）</w:t>
      </w:r>
      <w:r>
        <w:rPr>
          <w:rFonts w:ascii="Times New Roman" w:hAnsi="Times New Roman"/>
          <w:strike/>
          <w:spacing w:val="0"/>
          <w:highlight w:val="none"/>
        </w:rPr>
        <w:t>投标保证金</w:t>
      </w:r>
    </w:p>
    <w:p>
      <w:pPr>
        <w:pStyle w:val="127"/>
        <w:ind w:firstLine="480"/>
        <w:rPr>
          <w:rFonts w:ascii="Times New Roman" w:hAnsi="Times New Roman"/>
          <w:spacing w:val="0"/>
          <w:highlight w:val="none"/>
        </w:rPr>
      </w:pPr>
      <w:r>
        <w:rPr>
          <w:rFonts w:hint="eastAsia" w:ascii="Times New Roman" w:hAnsi="Times New Roman"/>
          <w:spacing w:val="0"/>
          <w:highlight w:val="none"/>
        </w:rPr>
        <w:t>（4）</w:t>
      </w:r>
      <w:r>
        <w:rPr>
          <w:rFonts w:ascii="Times New Roman" w:hAnsi="Times New Roman"/>
          <w:spacing w:val="0"/>
          <w:highlight w:val="none"/>
        </w:rPr>
        <w:t>监理报酬清单</w:t>
      </w:r>
    </w:p>
    <w:p>
      <w:pPr>
        <w:pStyle w:val="127"/>
        <w:ind w:firstLine="480"/>
        <w:rPr>
          <w:rFonts w:ascii="Times New Roman" w:hAnsi="Times New Roman"/>
          <w:spacing w:val="0"/>
          <w:highlight w:val="none"/>
        </w:rPr>
      </w:pPr>
      <w:r>
        <w:rPr>
          <w:rFonts w:hint="eastAsia" w:ascii="Times New Roman" w:hAnsi="Times New Roman"/>
          <w:spacing w:val="0"/>
          <w:highlight w:val="none"/>
        </w:rPr>
        <w:t>（5）</w:t>
      </w:r>
      <w:r>
        <w:rPr>
          <w:rFonts w:ascii="Times New Roman" w:hAnsi="Times New Roman"/>
          <w:spacing w:val="0"/>
          <w:highlight w:val="none"/>
        </w:rPr>
        <w:t>资格审查资料</w:t>
      </w:r>
    </w:p>
    <w:p>
      <w:pPr>
        <w:pStyle w:val="127"/>
        <w:ind w:firstLine="480"/>
        <w:rPr>
          <w:rFonts w:ascii="Times New Roman" w:hAnsi="Times New Roman"/>
          <w:spacing w:val="0"/>
          <w:highlight w:val="none"/>
        </w:rPr>
      </w:pPr>
      <w:r>
        <w:rPr>
          <w:rFonts w:hint="eastAsia" w:ascii="Times New Roman" w:hAnsi="Times New Roman"/>
          <w:spacing w:val="0"/>
          <w:highlight w:val="none"/>
        </w:rPr>
        <w:t>（6）</w:t>
      </w:r>
      <w:r>
        <w:rPr>
          <w:rFonts w:ascii="Times New Roman" w:hAnsi="Times New Roman"/>
          <w:spacing w:val="0"/>
          <w:highlight w:val="none"/>
        </w:rPr>
        <w:t>监理大纲</w:t>
      </w:r>
      <w:r>
        <w:rPr>
          <w:rFonts w:hint="eastAsia" w:ascii="Times New Roman" w:hAnsi="Times New Roman"/>
          <w:spacing w:val="0"/>
          <w:highlight w:val="none"/>
        </w:rPr>
        <w:t>；</w:t>
      </w:r>
    </w:p>
    <w:p>
      <w:pPr>
        <w:pStyle w:val="127"/>
        <w:ind w:firstLine="480"/>
        <w:rPr>
          <w:rFonts w:ascii="Times New Roman" w:hAnsi="Times New Roman"/>
          <w:spacing w:val="0"/>
          <w:highlight w:val="none"/>
          <w:u w:val="single"/>
        </w:rPr>
      </w:pPr>
      <w:r>
        <w:rPr>
          <w:rFonts w:hint="eastAsia" w:ascii="Times New Roman" w:hAnsi="Times New Roman"/>
          <w:spacing w:val="0"/>
          <w:highlight w:val="none"/>
          <w:u w:val="single"/>
        </w:rPr>
        <w:t>（7）</w:t>
      </w:r>
      <w:r>
        <w:rPr>
          <w:rFonts w:ascii="Times New Roman" w:hAnsi="Times New Roman"/>
          <w:spacing w:val="0"/>
          <w:highlight w:val="none"/>
          <w:u w:val="single"/>
        </w:rPr>
        <w:t>其他资料</w:t>
      </w:r>
      <w:r>
        <w:rPr>
          <w:rFonts w:hint="eastAsia" w:ascii="Times New Roman" w:hAnsi="Times New Roman"/>
          <w:spacing w:val="0"/>
          <w:highlight w:val="none"/>
          <w:u w:val="single"/>
        </w:rPr>
        <w:t>；</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投标人在评标过程中作出的符合法律法规和招标文件规定的澄清确认，构成投标文件的组成部分。</w:t>
      </w:r>
    </w:p>
    <w:p>
      <w:pPr>
        <w:spacing w:line="360" w:lineRule="auto"/>
        <w:ind w:firstLine="410" w:firstLineChars="171"/>
        <w:rPr>
          <w:rFonts w:ascii="Times New Roman" w:hAnsi="Times New Roman"/>
          <w:strike/>
          <w:sz w:val="24"/>
          <w:highlight w:val="none"/>
        </w:rPr>
      </w:pPr>
      <w:r>
        <w:rPr>
          <w:rFonts w:ascii="Times New Roman" w:hAnsi="Times New Roman"/>
          <w:strike/>
          <w:sz w:val="24"/>
          <w:highlight w:val="none"/>
        </w:rPr>
        <w:t>3.1.2 投标人须知前附表规定不接受联合体投标的，或投标人没有组成联合体的，投标文件不包括本章第3.1.1（3）目所指的联合体协议书。</w:t>
      </w:r>
    </w:p>
    <w:p>
      <w:pPr>
        <w:spacing w:line="360" w:lineRule="auto"/>
        <w:ind w:firstLine="410" w:firstLineChars="171"/>
        <w:rPr>
          <w:rFonts w:ascii="Times New Roman" w:hAnsi="Times New Roman"/>
          <w:strike/>
          <w:sz w:val="24"/>
          <w:highlight w:val="none"/>
        </w:rPr>
      </w:pPr>
      <w:r>
        <w:rPr>
          <w:rFonts w:ascii="Times New Roman" w:hAnsi="Times New Roman"/>
          <w:strike/>
          <w:sz w:val="24"/>
          <w:highlight w:val="none"/>
        </w:rPr>
        <w:t>3.1.3 投标人须知前附表未要求提交投标保证金的，投标文件不包括本章第3.1.1（4）目所指的投标保证金。</w:t>
      </w:r>
    </w:p>
    <w:p>
      <w:pPr>
        <w:pStyle w:val="4"/>
        <w:ind w:firstLine="118"/>
        <w:rPr>
          <w:sz w:val="24"/>
          <w:szCs w:val="24"/>
          <w:highlight w:val="none"/>
        </w:rPr>
      </w:pPr>
      <w:bookmarkStart w:id="85" w:name="_Toc515205213"/>
      <w:bookmarkStart w:id="86" w:name="_Toc514876754"/>
      <w:bookmarkStart w:id="87" w:name="_Toc529196540"/>
      <w:r>
        <w:rPr>
          <w:sz w:val="24"/>
          <w:szCs w:val="24"/>
          <w:highlight w:val="none"/>
        </w:rPr>
        <w:t>3.2 投标报价</w:t>
      </w:r>
      <w:bookmarkEnd w:id="85"/>
      <w:bookmarkEnd w:id="86"/>
      <w:bookmarkEnd w:id="87"/>
    </w:p>
    <w:p>
      <w:pPr>
        <w:pStyle w:val="127"/>
        <w:ind w:firstLine="480"/>
        <w:rPr>
          <w:rFonts w:ascii="Times New Roman" w:hAnsi="Times New Roman"/>
          <w:spacing w:val="0"/>
          <w:highlight w:val="none"/>
        </w:rPr>
      </w:pPr>
      <w:r>
        <w:rPr>
          <w:rFonts w:hint="eastAsia" w:ascii="Times New Roman" w:hAnsi="Times New Roman"/>
          <w:spacing w:val="0"/>
          <w:highlight w:val="none"/>
        </w:rPr>
        <w:t xml:space="preserve">3.2.1 </w:t>
      </w:r>
      <w:r>
        <w:rPr>
          <w:rFonts w:ascii="Times New Roman" w:hAnsi="Times New Roman"/>
          <w:spacing w:val="0"/>
          <w:highlight w:val="none"/>
        </w:rPr>
        <w:t>投标报价应包括国家规定的增值税税金，除投标人须知前附表另有规定外，增值税税金按一般计税方法计算。投标人应按第六章“投标文件格式”的要求在投标函中进行报价并填写监理报酬清单。</w:t>
      </w:r>
    </w:p>
    <w:p>
      <w:pPr>
        <w:pStyle w:val="127"/>
        <w:ind w:firstLine="480"/>
        <w:rPr>
          <w:rFonts w:ascii="Times New Roman" w:hAnsi="Times New Roman"/>
          <w:spacing w:val="0"/>
          <w:highlight w:val="none"/>
        </w:rPr>
      </w:pPr>
      <w:r>
        <w:rPr>
          <w:rFonts w:hint="eastAsia" w:ascii="Times New Roman" w:hAnsi="Times New Roman"/>
          <w:spacing w:val="0"/>
          <w:highlight w:val="none"/>
        </w:rPr>
        <w:t xml:space="preserve">3.2.2 </w:t>
      </w:r>
      <w:r>
        <w:rPr>
          <w:rFonts w:ascii="Times New Roman" w:hAnsi="Times New Roman"/>
          <w:spacing w:val="0"/>
          <w:highlight w:val="none"/>
        </w:rPr>
        <w:t>投标人应充分了解该项目的总体情况以及影响投标报价的其他要素</w:t>
      </w:r>
      <w:r>
        <w:rPr>
          <w:rFonts w:hint="eastAsia" w:ascii="Times New Roman" w:hAnsi="Times New Roman"/>
          <w:spacing w:val="0"/>
          <w:highlight w:val="none"/>
        </w:rPr>
        <w:t>。</w:t>
      </w:r>
    </w:p>
    <w:p>
      <w:pPr>
        <w:pStyle w:val="127"/>
        <w:ind w:firstLine="480"/>
        <w:rPr>
          <w:rFonts w:ascii="Times New Roman" w:hAnsi="Times New Roman"/>
          <w:spacing w:val="0"/>
          <w:highlight w:val="none"/>
        </w:rPr>
      </w:pPr>
      <w:r>
        <w:rPr>
          <w:rFonts w:hint="eastAsia" w:ascii="Times New Roman" w:hAnsi="Times New Roman"/>
          <w:spacing w:val="0"/>
          <w:highlight w:val="none"/>
        </w:rPr>
        <w:t>3.2.3</w:t>
      </w:r>
      <w:r>
        <w:rPr>
          <w:rFonts w:ascii="Times New Roman" w:hAnsi="Times New Roman"/>
          <w:spacing w:val="0"/>
          <w:highlight w:val="none"/>
        </w:rPr>
        <w:t>本项目的报价方式见投标人须知前附表。投标人在投标截止时间前修改投标函中的投标报价总额，应同时修改投标文件“监理报酬清单”中的相应报价。此修改须符合本章第 4.3 款的有关要求</w:t>
      </w:r>
      <w:r>
        <w:rPr>
          <w:rFonts w:hint="eastAsia" w:ascii="Times New Roman" w:hAnsi="Times New Roman"/>
          <w:spacing w:val="0"/>
          <w:highlight w:val="none"/>
        </w:rPr>
        <w:t>。</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3.2.4．</w:t>
      </w:r>
      <w:r>
        <w:rPr>
          <w:rFonts w:ascii="Times New Roman" w:hAnsi="Times New Roman"/>
          <w:sz w:val="24"/>
          <w:highlight w:val="none"/>
        </w:rPr>
        <w:t>招标人设有最高投标限价的，投标人的投标报价不得超过最高投标限价，最高投标限价在投标人须知前附表中载明。</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3.2.5 投标报价的其他要求见投标人须知前附表。</w:t>
      </w:r>
    </w:p>
    <w:p>
      <w:pPr>
        <w:pStyle w:val="4"/>
        <w:ind w:firstLine="118"/>
        <w:rPr>
          <w:sz w:val="24"/>
          <w:szCs w:val="24"/>
          <w:highlight w:val="none"/>
        </w:rPr>
      </w:pPr>
      <w:bookmarkStart w:id="88" w:name="_Toc529196541"/>
      <w:bookmarkStart w:id="89" w:name="_Toc515205214"/>
      <w:r>
        <w:rPr>
          <w:sz w:val="24"/>
          <w:szCs w:val="24"/>
          <w:highlight w:val="none"/>
        </w:rPr>
        <w:t>3.3 投标有效期</w:t>
      </w:r>
      <w:bookmarkEnd w:id="88"/>
      <w:bookmarkEnd w:id="89"/>
    </w:p>
    <w:p>
      <w:pPr>
        <w:spacing w:line="360" w:lineRule="auto"/>
        <w:ind w:firstLine="480" w:firstLineChars="200"/>
        <w:rPr>
          <w:rFonts w:ascii="Times New Roman" w:hAnsi="Times New Roman"/>
          <w:sz w:val="24"/>
          <w:highlight w:val="none"/>
        </w:rPr>
      </w:pPr>
      <w:r>
        <w:rPr>
          <w:rFonts w:ascii="Times New Roman" w:hAnsi="Times New Roman"/>
          <w:sz w:val="24"/>
          <w:highlight w:val="none"/>
        </w:rPr>
        <w:t>3.3.1 除投标人须知前附表另有规定外，投标有效期为90天。</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3.3.2 在投标有效期内，投标人撤销投标文件的，应承担招标文件和法律规定的责任。</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spacing w:before="120" w:after="120"/>
        <w:ind w:firstLine="137"/>
        <w:rPr>
          <w:highlight w:val="none"/>
        </w:rPr>
      </w:pPr>
      <w:bookmarkStart w:id="90" w:name="_Toc529196542"/>
      <w:bookmarkStart w:id="91" w:name="_Toc515205215"/>
      <w:r>
        <w:rPr>
          <w:highlight w:val="none"/>
        </w:rPr>
        <w:t>3.4 投标保证金</w:t>
      </w:r>
      <w:bookmarkEnd w:id="90"/>
      <w:bookmarkEnd w:id="91"/>
    </w:p>
    <w:p>
      <w:pPr>
        <w:pStyle w:val="4"/>
        <w:spacing w:before="120" w:after="120"/>
        <w:ind w:firstLine="137"/>
        <w:rPr>
          <w:sz w:val="24"/>
          <w:highlight w:val="none"/>
          <w:u w:val="single"/>
        </w:rPr>
      </w:pPr>
      <w:bookmarkStart w:id="92" w:name="_Toc529196544"/>
      <w:bookmarkStart w:id="93" w:name="_Toc515205217"/>
      <w:r>
        <w:rPr>
          <w:rFonts w:hint="eastAsia"/>
          <w:sz w:val="24"/>
          <w:highlight w:val="none"/>
          <w:u w:val="single"/>
        </w:rPr>
        <w:t>本项目不收取投标保证金</w:t>
      </w:r>
    </w:p>
    <w:p>
      <w:pPr>
        <w:pStyle w:val="4"/>
        <w:spacing w:before="120" w:after="120"/>
        <w:ind w:firstLine="137"/>
        <w:rPr>
          <w:highlight w:val="none"/>
        </w:rPr>
      </w:pPr>
      <w:r>
        <w:rPr>
          <w:highlight w:val="none"/>
        </w:rPr>
        <w:t>3.5 资格审查资料（适用于</w:t>
      </w:r>
      <w:r>
        <w:rPr>
          <w:rFonts w:hint="eastAsia"/>
          <w:highlight w:val="none"/>
        </w:rPr>
        <w:t>未</w:t>
      </w:r>
      <w:r>
        <w:rPr>
          <w:highlight w:val="none"/>
        </w:rPr>
        <w:t>进行资格预审的）</w:t>
      </w:r>
      <w:bookmarkEnd w:id="92"/>
      <w:bookmarkEnd w:id="93"/>
    </w:p>
    <w:p>
      <w:pPr>
        <w:spacing w:line="360" w:lineRule="auto"/>
        <w:ind w:firstLine="480" w:firstLineChars="200"/>
        <w:rPr>
          <w:rFonts w:ascii="Times New Roman" w:hAnsi="Times New Roman"/>
          <w:sz w:val="24"/>
          <w:highlight w:val="none"/>
        </w:rPr>
      </w:pPr>
      <w:r>
        <w:rPr>
          <w:rFonts w:ascii="Times New Roman" w:hAnsi="Times New Roman"/>
          <w:sz w:val="24"/>
          <w:highlight w:val="none"/>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80" w:firstLineChars="200"/>
        <w:rPr>
          <w:rFonts w:ascii="Times New Roman" w:hAnsi="Times New Roman"/>
          <w:strike/>
          <w:sz w:val="24"/>
          <w:highlight w:val="none"/>
        </w:rPr>
      </w:pPr>
      <w:r>
        <w:rPr>
          <w:rFonts w:ascii="Times New Roman" w:hAnsi="Times New Roman"/>
          <w:strike/>
          <w:sz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ascii="Times New Roman" w:hAnsi="Times New Roman"/>
          <w:strike/>
          <w:sz w:val="24"/>
          <w:highlight w:val="none"/>
        </w:rPr>
        <w:t>（本项目不适用）</w:t>
      </w:r>
    </w:p>
    <w:p>
      <w:pPr>
        <w:spacing w:line="360" w:lineRule="auto"/>
        <w:ind w:firstLine="480" w:firstLineChars="200"/>
        <w:rPr>
          <w:rFonts w:ascii="Times New Roman" w:hAnsi="Times New Roman"/>
          <w:strike/>
          <w:sz w:val="24"/>
          <w:highlight w:val="none"/>
        </w:rPr>
      </w:pPr>
      <w:r>
        <w:rPr>
          <w:rFonts w:ascii="Times New Roman" w:hAnsi="Times New Roman"/>
          <w:strike/>
          <w:sz w:val="24"/>
          <w:highlight w:val="none"/>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3.5.5 “近年发生的诉讼及仲裁情况”应说明投标人败诉的监理合同的相关情况，并附法院或仲裁机构作出的判决、裁决等有关法律文书复印件，具体时间要求见投标人须知前附表。</w:t>
      </w:r>
      <w:r>
        <w:rPr>
          <w:rFonts w:hint="eastAsia" w:ascii="宋体" w:hAnsi="宋体"/>
          <w:sz w:val="24"/>
          <w:szCs w:val="24"/>
          <w:highlight w:val="none"/>
        </w:rPr>
        <w:t>（本项目不适用）</w:t>
      </w:r>
    </w:p>
    <w:p>
      <w:pPr>
        <w:spacing w:line="360" w:lineRule="auto"/>
        <w:ind w:firstLine="480" w:firstLineChars="200"/>
        <w:rPr>
          <w:rFonts w:ascii="Times New Roman" w:hAnsi="Times New Roman"/>
          <w:strike/>
          <w:sz w:val="24"/>
          <w:highlight w:val="none"/>
        </w:rPr>
      </w:pPr>
      <w:r>
        <w:rPr>
          <w:rFonts w:ascii="Times New Roman" w:hAnsi="Times New Roman"/>
          <w:strike/>
          <w:sz w:val="24"/>
          <w:highlight w:val="none"/>
        </w:rPr>
        <w:t>3.5.6 “拟委任的主要人员汇总表”应填报满足本章第 1.4.1 项规定的总监理工程师和其他主要人员的相关信息。“主要人员简历表”中总监理工程师应附身份证、学历证、职称证、注册监</w:t>
      </w:r>
      <w:bookmarkStart w:id="94" w:name="page28"/>
      <w:bookmarkEnd w:id="94"/>
      <w:r>
        <w:rPr>
          <w:rFonts w:ascii="Times New Roman" w:hAnsi="Times New Roman"/>
          <w:strike/>
          <w:sz w:val="24"/>
          <w:highlight w:val="none"/>
        </w:rPr>
        <w:t>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3.5.7 “拟投入本项目的主要试验检测仪器设备表”应填报满足本章第 1.4.1 项规定的试验检测仪器设备。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3.5.8</w:t>
      </w:r>
      <w:r>
        <w:rPr>
          <w:rFonts w:hint="eastAsia" w:ascii="宋体" w:hAnsi="宋体"/>
          <w:sz w:val="24"/>
          <w:szCs w:val="24"/>
          <w:highlight w:val="none"/>
          <w:u w:val="single"/>
        </w:rPr>
        <w:t>“投标人声明”（格式见招标公告附件一）。</w:t>
      </w:r>
    </w:p>
    <w:p>
      <w:pPr>
        <w:pStyle w:val="2"/>
        <w:rPr>
          <w:color w:val="auto"/>
          <w:highlight w:val="none"/>
        </w:rPr>
      </w:pPr>
    </w:p>
    <w:p>
      <w:pPr>
        <w:pStyle w:val="4"/>
        <w:spacing w:before="120" w:after="120"/>
        <w:ind w:firstLine="137"/>
        <w:rPr>
          <w:highlight w:val="none"/>
        </w:rPr>
      </w:pPr>
      <w:bookmarkStart w:id="95" w:name="_Toc515205218"/>
      <w:bookmarkStart w:id="96" w:name="_Toc529196545"/>
      <w:r>
        <w:rPr>
          <w:highlight w:val="none"/>
        </w:rPr>
        <w:t>3.6 备选投标方案</w:t>
      </w:r>
      <w:bookmarkEnd w:id="95"/>
      <w:bookmarkEnd w:id="96"/>
    </w:p>
    <w:p>
      <w:pPr>
        <w:spacing w:line="360" w:lineRule="auto"/>
        <w:ind w:firstLine="480" w:firstLineChars="200"/>
        <w:rPr>
          <w:rFonts w:ascii="Times New Roman" w:hAnsi="Times New Roman"/>
          <w:sz w:val="24"/>
          <w:highlight w:val="none"/>
        </w:rPr>
      </w:pPr>
      <w:r>
        <w:rPr>
          <w:rFonts w:ascii="Times New Roman" w:hAnsi="Times New Roman"/>
          <w:sz w:val="24"/>
          <w:highlight w:val="none"/>
        </w:rPr>
        <w:t>3.6.1 除投标人须知前附表规定允许外，投标人不得递交备选投标方案，否则其投标将被否决。</w:t>
      </w:r>
    </w:p>
    <w:p>
      <w:pPr>
        <w:spacing w:line="360" w:lineRule="auto"/>
        <w:ind w:firstLine="480" w:firstLineChars="200"/>
        <w:rPr>
          <w:rFonts w:ascii="Times New Roman" w:hAnsi="Times New Roman"/>
          <w:strike/>
          <w:sz w:val="24"/>
          <w:highlight w:val="none"/>
        </w:rPr>
      </w:pPr>
      <w:r>
        <w:rPr>
          <w:rFonts w:ascii="Times New Roman" w:hAnsi="Times New Roman"/>
          <w:strike/>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strike/>
          <w:sz w:val="24"/>
          <w:highlight w:val="none"/>
        </w:rPr>
      </w:pPr>
      <w:r>
        <w:rPr>
          <w:rFonts w:ascii="Times New Roman" w:hAnsi="Times New Roman"/>
          <w:strike/>
          <w:sz w:val="24"/>
          <w:highlight w:val="none"/>
        </w:rPr>
        <w:t>3.6.3 投标人提供两个或两个以上投标报价，或者在投标文件中提供一个报价，但同时提供两个或两个以上</w:t>
      </w:r>
      <w:bookmarkStart w:id="97" w:name="_Toc369531538"/>
      <w:bookmarkStart w:id="98" w:name="_Toc384308232"/>
      <w:bookmarkStart w:id="99" w:name="_Toc152045550"/>
      <w:bookmarkStart w:id="100" w:name="_Toc247513974"/>
      <w:bookmarkStart w:id="101" w:name="_Toc152042326"/>
      <w:bookmarkStart w:id="102" w:name="_Toc300834971"/>
      <w:bookmarkStart w:id="103" w:name="_Toc361508607"/>
      <w:bookmarkStart w:id="104" w:name="_Toc144974518"/>
      <w:bookmarkStart w:id="105" w:name="_Toc352691495"/>
      <w:bookmarkStart w:id="106" w:name="_Toc247527575"/>
      <w:bookmarkStart w:id="107" w:name="_Toc29902"/>
      <w:r>
        <w:rPr>
          <w:rFonts w:ascii="Times New Roman" w:hAnsi="Times New Roman"/>
          <w:strike/>
          <w:sz w:val="24"/>
          <w:highlight w:val="none"/>
        </w:rPr>
        <w:t>监理方案的</w:t>
      </w:r>
      <w:bookmarkEnd w:id="97"/>
      <w:bookmarkEnd w:id="98"/>
      <w:bookmarkEnd w:id="99"/>
      <w:bookmarkEnd w:id="100"/>
      <w:bookmarkEnd w:id="101"/>
      <w:bookmarkEnd w:id="102"/>
      <w:bookmarkEnd w:id="103"/>
      <w:bookmarkEnd w:id="104"/>
      <w:bookmarkEnd w:id="105"/>
      <w:bookmarkEnd w:id="106"/>
      <w:bookmarkEnd w:id="107"/>
      <w:r>
        <w:rPr>
          <w:rFonts w:ascii="Times New Roman" w:hAnsi="Times New Roman"/>
          <w:strike/>
          <w:sz w:val="24"/>
          <w:highlight w:val="none"/>
        </w:rPr>
        <w:t>，视为提供备选方案。</w:t>
      </w:r>
    </w:p>
    <w:p>
      <w:pPr>
        <w:pStyle w:val="4"/>
        <w:spacing w:before="120" w:after="120"/>
        <w:ind w:firstLine="137"/>
        <w:rPr>
          <w:highlight w:val="none"/>
        </w:rPr>
      </w:pPr>
      <w:bookmarkStart w:id="108" w:name="_Toc529196546"/>
      <w:bookmarkStart w:id="109" w:name="_Toc515205219"/>
      <w:r>
        <w:rPr>
          <w:highlight w:val="none"/>
        </w:rPr>
        <w:t>3.7 投标文件的编制</w:t>
      </w:r>
      <w:bookmarkEnd w:id="108"/>
      <w:bookmarkEnd w:id="109"/>
    </w:p>
    <w:p>
      <w:pPr>
        <w:spacing w:line="360" w:lineRule="auto"/>
        <w:ind w:firstLine="480" w:firstLineChars="200"/>
        <w:rPr>
          <w:rFonts w:ascii="Times New Roman" w:hAnsi="Times New Roman"/>
          <w:sz w:val="24"/>
          <w:highlight w:val="none"/>
        </w:rPr>
      </w:pPr>
      <w:r>
        <w:rPr>
          <w:rFonts w:ascii="Times New Roman" w:hAnsi="Times New Roman"/>
          <w:sz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sz w:val="24"/>
          <w:highlight w:val="none"/>
        </w:rPr>
      </w:pPr>
      <w:bookmarkStart w:id="110" w:name="_Toc514946914"/>
      <w:r>
        <w:rPr>
          <w:rFonts w:ascii="Times New Roman" w:hAnsi="Times New Roman"/>
          <w:sz w:val="24"/>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10"/>
    </w:p>
    <w:p>
      <w:pPr>
        <w:pStyle w:val="4"/>
        <w:rPr>
          <w:highlight w:val="none"/>
        </w:rPr>
      </w:pPr>
      <w:bookmarkStart w:id="111" w:name="_Toc515205220"/>
      <w:bookmarkStart w:id="112" w:name="_Toc529196547"/>
      <w:r>
        <w:rPr>
          <w:highlight w:val="none"/>
        </w:rPr>
        <w:t>4. 投标</w:t>
      </w:r>
      <w:bookmarkEnd w:id="111"/>
      <w:bookmarkEnd w:id="112"/>
    </w:p>
    <w:p>
      <w:pPr>
        <w:pStyle w:val="4"/>
        <w:spacing w:before="120" w:after="120"/>
        <w:ind w:firstLine="137"/>
        <w:rPr>
          <w:highlight w:val="none"/>
        </w:rPr>
      </w:pPr>
      <w:bookmarkStart w:id="113" w:name="_Toc529196548"/>
      <w:bookmarkStart w:id="114" w:name="_Toc515205221"/>
      <w:r>
        <w:rPr>
          <w:highlight w:val="none"/>
        </w:rPr>
        <w:t>4.1 投标文件的密封和标记</w:t>
      </w:r>
      <w:bookmarkEnd w:id="113"/>
      <w:bookmarkEnd w:id="114"/>
    </w:p>
    <w:p>
      <w:pPr>
        <w:spacing w:line="360" w:lineRule="auto"/>
        <w:ind w:firstLine="480" w:firstLineChars="200"/>
        <w:rPr>
          <w:rFonts w:ascii="Times New Roman" w:hAnsi="Times New Roman"/>
          <w:sz w:val="24"/>
          <w:highlight w:val="none"/>
        </w:rPr>
      </w:pPr>
      <w:r>
        <w:rPr>
          <w:rFonts w:ascii="Times New Roman" w:hAnsi="Times New Roman"/>
          <w:sz w:val="24"/>
          <w:highlight w:val="none"/>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4.1.2 投标文件封套上应写明的内容见投标人须知前附表。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4.1.3 未按本章第4.1.1项要求密封的投标文件，招标人将予以拒收。</w:t>
      </w:r>
    </w:p>
    <w:p>
      <w:pPr>
        <w:pStyle w:val="4"/>
        <w:ind w:firstLine="118"/>
        <w:rPr>
          <w:sz w:val="24"/>
          <w:szCs w:val="24"/>
          <w:highlight w:val="none"/>
        </w:rPr>
      </w:pPr>
      <w:bookmarkStart w:id="115" w:name="_Toc515205222"/>
      <w:bookmarkStart w:id="116" w:name="_Toc529196549"/>
      <w:r>
        <w:rPr>
          <w:sz w:val="24"/>
          <w:szCs w:val="24"/>
          <w:highlight w:val="none"/>
        </w:rPr>
        <w:t>4.2 投标文件的递交</w:t>
      </w:r>
      <w:bookmarkEnd w:id="115"/>
      <w:bookmarkEnd w:id="116"/>
    </w:p>
    <w:p>
      <w:pPr>
        <w:spacing w:line="360" w:lineRule="auto"/>
        <w:ind w:firstLine="480" w:firstLineChars="200"/>
        <w:rPr>
          <w:rFonts w:ascii="Times New Roman" w:hAnsi="Times New Roman"/>
          <w:sz w:val="24"/>
          <w:highlight w:val="none"/>
        </w:rPr>
      </w:pPr>
      <w:r>
        <w:rPr>
          <w:rFonts w:ascii="Times New Roman" w:hAnsi="Times New Roman"/>
          <w:sz w:val="24"/>
          <w:highlight w:val="none"/>
        </w:rPr>
        <w:t>4.2.1 投标人应在投标人须知前附表规定的投标截止时间前递交投标文件。</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4.2.2 （B）投标人通过下载招标文件的电子招标投标交易平台递交电子投标文件。</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4.2.3 除投标人须知前附表另有规定外，投标人所递交的投标文件不予退还。</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jc w:val="left"/>
        <w:rPr>
          <w:rFonts w:ascii="Times New Roman" w:hAnsi="Times New Roman"/>
          <w:sz w:val="24"/>
          <w:highlight w:val="none"/>
        </w:rPr>
      </w:pPr>
      <w:r>
        <w:rPr>
          <w:rFonts w:ascii="Times New Roman" w:hAnsi="Times New Roman"/>
          <w:sz w:val="24"/>
          <w:highlight w:val="none"/>
        </w:rPr>
        <w:t>4.2.5 （B）逾期送达的投标文件，电子招标投标交易平台将予以拒收。</w:t>
      </w:r>
    </w:p>
    <w:p>
      <w:pPr>
        <w:pStyle w:val="4"/>
        <w:ind w:firstLine="118"/>
        <w:rPr>
          <w:sz w:val="24"/>
          <w:szCs w:val="24"/>
          <w:highlight w:val="none"/>
        </w:rPr>
      </w:pPr>
      <w:bookmarkStart w:id="117" w:name="_Toc529196550"/>
      <w:bookmarkStart w:id="118" w:name="_Toc515205223"/>
      <w:r>
        <w:rPr>
          <w:sz w:val="24"/>
          <w:szCs w:val="24"/>
          <w:highlight w:val="none"/>
        </w:rPr>
        <w:t>4.3 投标文件的修改与撤回</w:t>
      </w:r>
      <w:bookmarkEnd w:id="117"/>
      <w:bookmarkEnd w:id="118"/>
    </w:p>
    <w:p>
      <w:pPr>
        <w:spacing w:line="360" w:lineRule="auto"/>
        <w:ind w:firstLine="480" w:firstLineChars="200"/>
        <w:rPr>
          <w:rFonts w:ascii="Times New Roman" w:hAnsi="Times New Roman"/>
          <w:sz w:val="24"/>
          <w:highlight w:val="none"/>
        </w:rPr>
      </w:pPr>
      <w:r>
        <w:rPr>
          <w:rFonts w:ascii="Times New Roman" w:hAnsi="Times New Roman"/>
          <w:sz w:val="24"/>
          <w:highlight w:val="none"/>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4.3.3 投标人撤回投标文件的，招标人自收到投标人书面撤回通知之日起5日内退还已收取的投标保证金。</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4.3.</w:t>
      </w:r>
      <w:bookmarkStart w:id="119" w:name="_Toc19203"/>
      <w:bookmarkStart w:id="120" w:name="_Toc361508610"/>
      <w:bookmarkStart w:id="121" w:name="_Toc144974521"/>
      <w:bookmarkStart w:id="122" w:name="_Toc352691497"/>
      <w:bookmarkStart w:id="123" w:name="_Toc152042329"/>
      <w:bookmarkStart w:id="124" w:name="_Toc384308235"/>
      <w:bookmarkStart w:id="125" w:name="_Toc152045553"/>
      <w:bookmarkStart w:id="126" w:name="_Toc300834974"/>
      <w:bookmarkStart w:id="127" w:name="_Toc369531541"/>
      <w:bookmarkStart w:id="128" w:name="_Toc247513977"/>
      <w:bookmarkStart w:id="129" w:name="_Toc247527578"/>
      <w:r>
        <w:rPr>
          <w:rFonts w:ascii="Times New Roman" w:hAnsi="Times New Roman"/>
          <w:sz w:val="24"/>
          <w:highlight w:val="none"/>
        </w:rPr>
        <w:t>4 修改的内容为投标</w:t>
      </w:r>
      <w:bookmarkEnd w:id="119"/>
      <w:bookmarkEnd w:id="120"/>
      <w:bookmarkEnd w:id="121"/>
      <w:bookmarkEnd w:id="122"/>
      <w:bookmarkEnd w:id="123"/>
      <w:bookmarkEnd w:id="124"/>
      <w:bookmarkEnd w:id="125"/>
      <w:bookmarkEnd w:id="126"/>
      <w:bookmarkEnd w:id="127"/>
      <w:bookmarkEnd w:id="128"/>
      <w:bookmarkEnd w:id="129"/>
      <w:r>
        <w:rPr>
          <w:rFonts w:ascii="Times New Roman" w:hAnsi="Times New Roman"/>
          <w:sz w:val="24"/>
          <w:highlight w:val="none"/>
        </w:rPr>
        <w:t>文件的组成部分。修改的投标文件应按照本章第3条、第4条的规定进行编制、密封、标记和递交，并标明“修改”字样。</w:t>
      </w:r>
    </w:p>
    <w:p>
      <w:pPr>
        <w:pStyle w:val="4"/>
        <w:rPr>
          <w:highlight w:val="none"/>
        </w:rPr>
      </w:pPr>
      <w:bookmarkStart w:id="130" w:name="_Toc515205224"/>
      <w:bookmarkStart w:id="131" w:name="_Toc529196551"/>
      <w:r>
        <w:rPr>
          <w:highlight w:val="none"/>
        </w:rPr>
        <w:t>5. 开标</w:t>
      </w:r>
      <w:bookmarkEnd w:id="130"/>
      <w:bookmarkEnd w:id="131"/>
    </w:p>
    <w:p>
      <w:pPr>
        <w:pStyle w:val="4"/>
        <w:ind w:firstLine="137"/>
        <w:rPr>
          <w:highlight w:val="none"/>
        </w:rPr>
      </w:pPr>
      <w:bookmarkStart w:id="132" w:name="_Toc529196553"/>
      <w:bookmarkStart w:id="133" w:name="_Toc515205226"/>
      <w:r>
        <w:rPr>
          <w:highlight w:val="none"/>
        </w:rPr>
        <w:t>5.1 开标时间和地点（B）</w:t>
      </w:r>
      <w:bookmarkEnd w:id="132"/>
      <w:bookmarkEnd w:id="133"/>
    </w:p>
    <w:p>
      <w:pPr>
        <w:spacing w:line="360" w:lineRule="auto"/>
        <w:ind w:firstLine="480" w:firstLineChars="200"/>
        <w:rPr>
          <w:rFonts w:ascii="宋体" w:hAnsi="宋体"/>
          <w:sz w:val="24"/>
          <w:szCs w:val="24"/>
          <w:highlight w:val="none"/>
        </w:rPr>
      </w:pPr>
      <w:r>
        <w:rPr>
          <w:rFonts w:ascii="Times New Roman" w:hAnsi="Times New Roman"/>
          <w:sz w:val="24"/>
          <w:highlight w:val="none"/>
        </w:rPr>
        <w:t>招</w:t>
      </w:r>
      <w:r>
        <w:rPr>
          <w:rFonts w:hint="eastAsia" w:ascii="宋体" w:hAnsi="宋体"/>
          <w:sz w:val="24"/>
          <w:szCs w:val="24"/>
          <w:highlight w:val="none"/>
        </w:rPr>
        <w:t>标人在本章第 4.2.1 项规定的投标截止时间（开标时间）,通过电子招标投标交易平台公开开标，</w:t>
      </w:r>
      <w:r>
        <w:rPr>
          <w:rFonts w:hint="eastAsia" w:ascii="宋体" w:hAnsi="宋体"/>
          <w:sz w:val="24"/>
          <w:szCs w:val="24"/>
          <w:highlight w:val="none"/>
          <w:u w:val="single"/>
        </w:rPr>
        <w:t>开标时，投标人代表有权出席开标会，也可以自主决定不参加开标会，若投标人代表对开标过程提出异议，该投标人代表须同时出示本人身份证原件，</w:t>
      </w:r>
      <w:r>
        <w:rPr>
          <w:rFonts w:hint="eastAsia" w:ascii="宋体" w:hAnsi="宋体"/>
          <w:sz w:val="24"/>
          <w:szCs w:val="24"/>
          <w:highlight w:val="none"/>
        </w:rPr>
        <w:t>不参加开标会视为对开标过程无异议。</w:t>
      </w:r>
    </w:p>
    <w:p>
      <w:pPr>
        <w:spacing w:line="360" w:lineRule="auto"/>
        <w:ind w:firstLine="480" w:firstLineChars="200"/>
        <w:rPr>
          <w:rFonts w:ascii="Times New Roman" w:hAnsi="Times New Roman"/>
          <w:sz w:val="24"/>
          <w:highlight w:val="none"/>
        </w:rPr>
      </w:pPr>
    </w:p>
    <w:p>
      <w:pPr>
        <w:pStyle w:val="4"/>
        <w:spacing w:before="120" w:after="120"/>
        <w:ind w:firstLine="137"/>
        <w:rPr>
          <w:highlight w:val="none"/>
        </w:rPr>
      </w:pPr>
      <w:bookmarkStart w:id="134" w:name="_Toc515205227"/>
      <w:bookmarkStart w:id="135" w:name="_Toc529196554"/>
      <w:r>
        <w:rPr>
          <w:highlight w:val="none"/>
        </w:rPr>
        <w:t>5.2 开标程序</w:t>
      </w:r>
      <w:bookmarkEnd w:id="134"/>
      <w:bookmarkEnd w:id="135"/>
    </w:p>
    <w:p>
      <w:pPr>
        <w:spacing w:line="360" w:lineRule="auto"/>
        <w:ind w:firstLine="480" w:firstLineChars="200"/>
        <w:rPr>
          <w:rFonts w:ascii="Times New Roman" w:hAnsi="Times New Roman"/>
          <w:sz w:val="24"/>
          <w:highlight w:val="none"/>
        </w:rPr>
      </w:pPr>
      <w:r>
        <w:rPr>
          <w:rFonts w:ascii="Times New Roman" w:hAnsi="Times New Roman"/>
          <w:sz w:val="24"/>
          <w:highlight w:val="none"/>
        </w:rPr>
        <w:t>主持人按下列程序进行开标：</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（1）宣布开标纪律；</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（2）公布在投标截止时间前递交投标文件的投标人名称；</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（3）宣布</w:t>
      </w:r>
      <w:bookmarkStart w:id="136" w:name="_Toc152045554"/>
      <w:bookmarkStart w:id="137" w:name="_Toc300834975"/>
      <w:bookmarkStart w:id="138" w:name="_Toc361508611"/>
      <w:bookmarkStart w:id="139" w:name="_Toc369531542"/>
      <w:bookmarkStart w:id="140" w:name="_Toc247527579"/>
      <w:bookmarkStart w:id="141" w:name="_Toc152042330"/>
      <w:bookmarkStart w:id="142" w:name="_Toc144974522"/>
      <w:bookmarkStart w:id="143" w:name="_Toc384308236"/>
      <w:bookmarkStart w:id="144" w:name="_Toc352691498"/>
      <w:bookmarkStart w:id="145" w:name="_Toc22119"/>
      <w:bookmarkStart w:id="146" w:name="_Toc247513978"/>
      <w:r>
        <w:rPr>
          <w:rFonts w:ascii="Times New Roman" w:hAnsi="Times New Roman"/>
          <w:sz w:val="24"/>
          <w:highlight w:val="none"/>
        </w:rPr>
        <w:t>开标人、唱标人、记录人</w:t>
      </w:r>
      <w:bookmarkEnd w:id="136"/>
      <w:bookmarkEnd w:id="137"/>
      <w:bookmarkEnd w:id="138"/>
      <w:bookmarkEnd w:id="139"/>
      <w:bookmarkEnd w:id="140"/>
      <w:bookmarkEnd w:id="141"/>
      <w:bookmarkEnd w:id="142"/>
      <w:bookmarkEnd w:id="143"/>
      <w:bookmarkEnd w:id="144"/>
      <w:bookmarkEnd w:id="145"/>
      <w:bookmarkEnd w:id="146"/>
      <w:r>
        <w:rPr>
          <w:rFonts w:ascii="Times New Roman" w:hAnsi="Times New Roman"/>
          <w:sz w:val="24"/>
          <w:highlight w:val="none"/>
        </w:rPr>
        <w:t>、监标人等有关人员姓名；</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（5）（B）</w:t>
      </w:r>
      <w:r>
        <w:rPr>
          <w:rFonts w:hint="eastAsia" w:ascii="宋体" w:hAnsi="宋体" w:cs="宋体"/>
          <w:sz w:val="24"/>
          <w:szCs w:val="24"/>
          <w:highlight w:val="none"/>
          <w:u w:val="single"/>
        </w:rPr>
        <w:t>投标人代表、招标人代表、监标人、记录人等有关人员在开标记录上签字确认；若有关人员不签字的，不影响开标程序；</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（6）开标结束。</w:t>
      </w:r>
    </w:p>
    <w:p>
      <w:pPr>
        <w:pStyle w:val="4"/>
        <w:spacing w:before="120" w:after="120"/>
        <w:ind w:firstLine="137"/>
        <w:rPr>
          <w:highlight w:val="none"/>
        </w:rPr>
      </w:pPr>
      <w:bookmarkStart w:id="147" w:name="_Toc529196555"/>
      <w:bookmarkStart w:id="148" w:name="_Toc515205228"/>
      <w:r>
        <w:rPr>
          <w:highlight w:val="none"/>
        </w:rPr>
        <w:t>5.3 开标异议</w:t>
      </w:r>
      <w:bookmarkEnd w:id="147"/>
      <w:bookmarkEnd w:id="148"/>
    </w:p>
    <w:p>
      <w:pPr>
        <w:spacing w:line="360" w:lineRule="auto"/>
        <w:ind w:firstLine="410" w:firstLineChars="171"/>
        <w:rPr>
          <w:rFonts w:ascii="Times New Roman" w:hAnsi="Times New Roman"/>
          <w:sz w:val="24"/>
          <w:highlight w:val="none"/>
        </w:rPr>
      </w:pPr>
      <w:r>
        <w:rPr>
          <w:rFonts w:ascii="Times New Roman" w:hAnsi="Times New Roman"/>
          <w:sz w:val="24"/>
          <w:highlight w:val="none"/>
        </w:rPr>
        <w:t>投标人对开标有异议的，应当在开标现场提出，招标人当场作出答复，并制作记录。</w:t>
      </w:r>
    </w:p>
    <w:p>
      <w:pPr>
        <w:pStyle w:val="4"/>
        <w:rPr>
          <w:highlight w:val="none"/>
        </w:rPr>
      </w:pPr>
      <w:bookmarkStart w:id="149" w:name="_Toc515205229"/>
      <w:bookmarkStart w:id="150" w:name="_Toc529196556"/>
      <w:r>
        <w:rPr>
          <w:highlight w:val="none"/>
        </w:rPr>
        <w:t>6. 评标</w:t>
      </w:r>
      <w:bookmarkEnd w:id="149"/>
      <w:bookmarkEnd w:id="150"/>
    </w:p>
    <w:p>
      <w:pPr>
        <w:pStyle w:val="4"/>
        <w:ind w:firstLine="137"/>
        <w:rPr>
          <w:highlight w:val="none"/>
        </w:rPr>
      </w:pPr>
      <w:bookmarkStart w:id="151" w:name="_Toc515205230"/>
      <w:bookmarkStart w:id="152" w:name="_Toc529196557"/>
      <w:r>
        <w:rPr>
          <w:highlight w:val="none"/>
        </w:rPr>
        <w:t>6.1 评标委员会</w:t>
      </w:r>
      <w:bookmarkEnd w:id="151"/>
      <w:bookmarkEnd w:id="152"/>
    </w:p>
    <w:p>
      <w:pPr>
        <w:spacing w:line="360" w:lineRule="auto"/>
        <w:ind w:firstLine="480" w:firstLineChars="200"/>
        <w:rPr>
          <w:rFonts w:ascii="Times New Roman" w:hAnsi="Times New Roman"/>
          <w:sz w:val="24"/>
          <w:highlight w:val="none"/>
        </w:rPr>
      </w:pPr>
      <w:r>
        <w:rPr>
          <w:rFonts w:ascii="Times New Roman" w:hAnsi="Times New Roman"/>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6.1.2 评标委员会成员有下列情形之一的，应当回避：</w:t>
      </w:r>
    </w:p>
    <w:p>
      <w:pPr>
        <w:spacing w:line="360" w:lineRule="auto"/>
        <w:ind w:firstLine="820" w:firstLineChars="342"/>
        <w:rPr>
          <w:rFonts w:ascii="Times New Roman" w:hAnsi="Times New Roman"/>
          <w:sz w:val="24"/>
          <w:highlight w:val="none"/>
        </w:rPr>
      </w:pPr>
      <w:r>
        <w:rPr>
          <w:rFonts w:ascii="Times New Roman" w:hAnsi="Times New Roman"/>
          <w:sz w:val="24"/>
          <w:highlight w:val="none"/>
        </w:rPr>
        <w:t>（1）投标人或投标人主要负责人的近亲属；</w:t>
      </w:r>
    </w:p>
    <w:p>
      <w:pPr>
        <w:spacing w:line="360" w:lineRule="auto"/>
        <w:ind w:firstLine="820" w:firstLineChars="342"/>
        <w:rPr>
          <w:rFonts w:ascii="Times New Roman" w:hAnsi="Times New Roman"/>
          <w:sz w:val="24"/>
          <w:highlight w:val="none"/>
        </w:rPr>
      </w:pPr>
      <w:r>
        <w:rPr>
          <w:rFonts w:ascii="Times New Roman" w:hAnsi="Times New Roman"/>
          <w:sz w:val="24"/>
          <w:highlight w:val="none"/>
        </w:rPr>
        <w:t>（2）项目主管部门或者行政监督部门的人员；</w:t>
      </w:r>
    </w:p>
    <w:p>
      <w:pPr>
        <w:spacing w:line="360" w:lineRule="auto"/>
        <w:ind w:firstLine="820" w:firstLineChars="342"/>
        <w:rPr>
          <w:rFonts w:ascii="Times New Roman" w:hAnsi="Times New Roman"/>
          <w:sz w:val="24"/>
          <w:highlight w:val="none"/>
        </w:rPr>
      </w:pPr>
      <w:r>
        <w:rPr>
          <w:rFonts w:ascii="Times New Roman" w:hAnsi="Times New Roman"/>
          <w:sz w:val="24"/>
          <w:highlight w:val="none"/>
        </w:rPr>
        <w:t>（3）与投标人有经济利益关系，可能影响对投标公正评审的；</w:t>
      </w:r>
    </w:p>
    <w:p>
      <w:pPr>
        <w:spacing w:line="360" w:lineRule="auto"/>
        <w:ind w:firstLine="820" w:firstLineChars="342"/>
        <w:rPr>
          <w:rFonts w:ascii="Times New Roman" w:hAnsi="Times New Roman"/>
          <w:sz w:val="24"/>
          <w:highlight w:val="none"/>
        </w:rPr>
      </w:pPr>
      <w:r>
        <w:rPr>
          <w:rFonts w:ascii="Times New Roman" w:hAnsi="Times New Roman"/>
          <w:sz w:val="24"/>
          <w:highlight w:val="none"/>
        </w:rPr>
        <w:t>（4）曾因在招标、评</w:t>
      </w:r>
      <w:bookmarkStart w:id="153" w:name="_Toc144974523"/>
      <w:bookmarkStart w:id="154" w:name="_Toc152045555"/>
      <w:bookmarkStart w:id="155" w:name="_Toc152042331"/>
      <w:bookmarkStart w:id="156" w:name="_Toc247513979"/>
      <w:bookmarkStart w:id="157" w:name="_Toc384308237"/>
      <w:bookmarkStart w:id="158" w:name="_Toc6230"/>
      <w:bookmarkStart w:id="159" w:name="_Toc300834976"/>
      <w:bookmarkStart w:id="160" w:name="_Toc369531543"/>
      <w:bookmarkStart w:id="161" w:name="_Toc361508612"/>
      <w:bookmarkStart w:id="162" w:name="_Toc247527580"/>
      <w:bookmarkStart w:id="163" w:name="_Toc352691499"/>
      <w:r>
        <w:rPr>
          <w:rFonts w:ascii="Times New Roman" w:hAnsi="Times New Roman"/>
          <w:sz w:val="24"/>
          <w:highlight w:val="none"/>
        </w:rPr>
        <w:t>标以及其他</w:t>
      </w:r>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sz w:val="24"/>
          <w:highlight w:val="none"/>
        </w:rPr>
        <w:t>与</w:t>
      </w:r>
      <w:bookmarkStart w:id="164" w:name="_Toc369531544"/>
      <w:bookmarkStart w:id="165" w:name="_Toc352691500"/>
      <w:bookmarkStart w:id="166" w:name="_Toc144974524"/>
      <w:bookmarkStart w:id="167" w:name="_Toc300834977"/>
      <w:bookmarkStart w:id="168" w:name="_Toc247513980"/>
      <w:bookmarkStart w:id="169" w:name="_Toc384308238"/>
      <w:bookmarkStart w:id="170" w:name="_Toc247527581"/>
      <w:bookmarkStart w:id="171" w:name="_Toc361508613"/>
      <w:bookmarkStart w:id="172" w:name="_Toc152042332"/>
      <w:bookmarkStart w:id="173" w:name="_Toc17703"/>
      <w:bookmarkStart w:id="174" w:name="_Toc152045556"/>
      <w:r>
        <w:rPr>
          <w:rFonts w:ascii="Times New Roman" w:hAnsi="Times New Roman"/>
          <w:sz w:val="24"/>
          <w:highlight w:val="none"/>
        </w:rPr>
        <w:t>招标投标有关活动中从事违法行</w:t>
      </w:r>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highlight w:val="none"/>
        </w:rPr>
        <w:t>为而受过行政处罚或刑事处罚的；</w:t>
      </w:r>
    </w:p>
    <w:p>
      <w:pPr>
        <w:spacing w:line="360" w:lineRule="auto"/>
        <w:ind w:firstLine="820" w:firstLineChars="342"/>
        <w:rPr>
          <w:rFonts w:ascii="Times New Roman" w:hAnsi="Times New Roman"/>
          <w:sz w:val="24"/>
          <w:highlight w:val="none"/>
        </w:rPr>
      </w:pPr>
      <w:r>
        <w:rPr>
          <w:rFonts w:ascii="Times New Roman" w:hAnsi="Times New Roman"/>
          <w:sz w:val="24"/>
          <w:highlight w:val="none"/>
        </w:rPr>
        <w:t>（5）与投标人有其他利害关系。</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ind w:firstLine="137"/>
        <w:rPr>
          <w:highlight w:val="none"/>
        </w:rPr>
      </w:pPr>
      <w:bookmarkStart w:id="175" w:name="_Toc529196558"/>
      <w:bookmarkStart w:id="176" w:name="_Toc515205231"/>
      <w:r>
        <w:rPr>
          <w:highlight w:val="none"/>
        </w:rPr>
        <w:t>6.2 评标原则</w:t>
      </w:r>
      <w:bookmarkEnd w:id="175"/>
      <w:bookmarkEnd w:id="176"/>
    </w:p>
    <w:p>
      <w:pPr>
        <w:spacing w:line="360" w:lineRule="auto"/>
        <w:ind w:firstLine="480" w:firstLineChars="200"/>
        <w:rPr>
          <w:rFonts w:ascii="Times New Roman" w:hAnsi="Times New Roman"/>
          <w:sz w:val="24"/>
          <w:highlight w:val="none"/>
        </w:rPr>
      </w:pPr>
      <w:r>
        <w:rPr>
          <w:rFonts w:ascii="Times New Roman" w:hAnsi="Times New Roman"/>
          <w:sz w:val="24"/>
          <w:highlight w:val="none"/>
        </w:rPr>
        <w:t>评标活动遵循公平、公正、科学和择优的原</w:t>
      </w:r>
      <w:bookmarkStart w:id="177" w:name="_Toc152045557"/>
      <w:bookmarkStart w:id="178" w:name="_Toc369531545"/>
      <w:bookmarkStart w:id="179" w:name="_Toc247513981"/>
      <w:bookmarkStart w:id="180" w:name="_Toc361508614"/>
      <w:bookmarkStart w:id="181" w:name="_Toc247527582"/>
      <w:bookmarkStart w:id="182" w:name="_Toc144974525"/>
      <w:bookmarkStart w:id="183" w:name="_Toc152042333"/>
      <w:bookmarkStart w:id="184" w:name="_Toc18949"/>
      <w:bookmarkStart w:id="185" w:name="_Toc300834978"/>
      <w:bookmarkStart w:id="186" w:name="_Toc384308239"/>
      <w:bookmarkStart w:id="187" w:name="_Toc352691501"/>
      <w:r>
        <w:rPr>
          <w:rFonts w:ascii="Times New Roman" w:hAnsi="Times New Roman"/>
          <w:sz w:val="24"/>
          <w:highlight w:val="none"/>
        </w:rPr>
        <w:t>则。</w:t>
      </w:r>
    </w:p>
    <w:p>
      <w:pPr>
        <w:pStyle w:val="4"/>
        <w:ind w:firstLine="137"/>
        <w:rPr>
          <w:highlight w:val="none"/>
        </w:rPr>
      </w:pPr>
      <w:bookmarkStart w:id="188" w:name="_Toc529196559"/>
      <w:bookmarkStart w:id="189" w:name="_Toc515205232"/>
      <w:r>
        <w:rPr>
          <w:highlight w:val="none"/>
        </w:rPr>
        <w:t>6.3 评标</w:t>
      </w:r>
      <w:bookmarkEnd w:id="188"/>
      <w:bookmarkEnd w:id="189"/>
    </w:p>
    <w:p>
      <w:pPr>
        <w:spacing w:line="360" w:lineRule="auto"/>
        <w:ind w:firstLine="480" w:firstLineChars="200"/>
        <w:rPr>
          <w:rFonts w:ascii="Times New Roman" w:hAnsi="Times New Roman"/>
          <w:sz w:val="24"/>
          <w:highlight w:val="none"/>
        </w:rPr>
      </w:pPr>
      <w:r>
        <w:rPr>
          <w:rFonts w:ascii="Times New Roman" w:hAnsi="Times New Roman"/>
          <w:sz w:val="24"/>
          <w:highlight w:val="none"/>
        </w:rPr>
        <w:t>6</w:t>
      </w:r>
      <w:bookmarkEnd w:id="177"/>
      <w:bookmarkEnd w:id="178"/>
      <w:bookmarkEnd w:id="179"/>
      <w:bookmarkEnd w:id="180"/>
      <w:bookmarkEnd w:id="181"/>
      <w:bookmarkEnd w:id="182"/>
      <w:bookmarkEnd w:id="183"/>
      <w:bookmarkEnd w:id="184"/>
      <w:bookmarkEnd w:id="185"/>
      <w:bookmarkEnd w:id="186"/>
      <w:bookmarkEnd w:id="187"/>
      <w:r>
        <w:rPr>
          <w:rFonts w:ascii="Times New Roman" w:hAnsi="Times New Roman"/>
          <w:sz w:val="24"/>
          <w:highlight w:val="none"/>
        </w:rPr>
        <w:t>.3.1评标委员会按照第三章“评标办法”规定的方法、评审因素、标准和程序对投标文件进行评审。第三章“评标办法”没有规定的方法、评审因素和标准，不作为评标依据。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6.3.2评标完成后，评标委员会应当向招标人提交书面评标报告和中标候选人名单。评标委员会推荐中标</w:t>
      </w:r>
      <w:bookmarkStart w:id="190" w:name="_Toc361508615"/>
      <w:bookmarkStart w:id="191" w:name="_Toc247513982"/>
      <w:bookmarkStart w:id="192" w:name="_Toc12259"/>
      <w:bookmarkStart w:id="193" w:name="_Toc300834979"/>
      <w:bookmarkStart w:id="194" w:name="_Toc369531546"/>
      <w:bookmarkStart w:id="195" w:name="_Toc384308240"/>
      <w:bookmarkStart w:id="196" w:name="_Toc152042334"/>
      <w:bookmarkStart w:id="197" w:name="_Toc152045558"/>
      <w:bookmarkStart w:id="198" w:name="_Toc352691502"/>
      <w:bookmarkStart w:id="199" w:name="_Toc144974526"/>
      <w:bookmarkStart w:id="200" w:name="_Toc247527583"/>
      <w:r>
        <w:rPr>
          <w:rFonts w:ascii="Times New Roman" w:hAnsi="Times New Roman"/>
          <w:sz w:val="24"/>
          <w:highlight w:val="none"/>
        </w:rPr>
        <w:t>候选人的人数见投标人须知前附</w:t>
      </w:r>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sz w:val="24"/>
          <w:highlight w:val="none"/>
        </w:rPr>
        <w:t>表。</w:t>
      </w:r>
    </w:p>
    <w:p>
      <w:pPr>
        <w:pStyle w:val="4"/>
        <w:rPr>
          <w:highlight w:val="none"/>
        </w:rPr>
      </w:pPr>
      <w:bookmarkStart w:id="201" w:name="_Toc529196560"/>
      <w:bookmarkStart w:id="202" w:name="_Toc515205233"/>
      <w:r>
        <w:rPr>
          <w:highlight w:val="none"/>
        </w:rPr>
        <w:t>7. 合同授予</w:t>
      </w:r>
      <w:bookmarkEnd w:id="201"/>
      <w:bookmarkEnd w:id="202"/>
    </w:p>
    <w:p>
      <w:pPr>
        <w:pStyle w:val="4"/>
        <w:ind w:firstLine="137"/>
        <w:rPr>
          <w:highlight w:val="none"/>
        </w:rPr>
      </w:pPr>
      <w:bookmarkStart w:id="203" w:name="_Toc529196561"/>
      <w:bookmarkStart w:id="204" w:name="_Toc515205234"/>
      <w:r>
        <w:rPr>
          <w:highlight w:val="none"/>
        </w:rPr>
        <w:t>7.1 中标候选人公示</w:t>
      </w:r>
      <w:bookmarkEnd w:id="203"/>
      <w:bookmarkEnd w:id="204"/>
    </w:p>
    <w:p>
      <w:pPr>
        <w:spacing w:line="360" w:lineRule="auto"/>
        <w:ind w:firstLine="480" w:firstLineChars="200"/>
        <w:rPr>
          <w:rFonts w:ascii="Times New Roman" w:hAnsi="Times New Roman"/>
          <w:sz w:val="24"/>
          <w:highlight w:val="none"/>
        </w:rPr>
      </w:pPr>
      <w:r>
        <w:rPr>
          <w:rFonts w:ascii="Times New Roman" w:hAnsi="Times New Roman"/>
          <w:sz w:val="24"/>
          <w:highlight w:val="none"/>
        </w:rPr>
        <w:t>招标人在收到评标报告之日起3日内，按照投标人须知前附表规定的公示媒介和期限公示中标候选人，公示期不得少于3天。</w:t>
      </w:r>
    </w:p>
    <w:p>
      <w:pPr>
        <w:pStyle w:val="4"/>
        <w:ind w:firstLine="137"/>
        <w:rPr>
          <w:highlight w:val="none"/>
        </w:rPr>
      </w:pPr>
      <w:bookmarkStart w:id="205" w:name="_Toc529196562"/>
      <w:bookmarkStart w:id="206" w:name="_Toc515205235"/>
      <w:r>
        <w:rPr>
          <w:highlight w:val="none"/>
        </w:rPr>
        <w:t>7.2 评标结果异议</w:t>
      </w:r>
      <w:bookmarkEnd w:id="205"/>
      <w:bookmarkEnd w:id="206"/>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投标人或者其他利</w:t>
      </w:r>
      <w:bookmarkStart w:id="207" w:name="_Toc361508618"/>
      <w:bookmarkStart w:id="208" w:name="_Toc300834982"/>
      <w:bookmarkStart w:id="209" w:name="_Toc152045561"/>
      <w:bookmarkStart w:id="210" w:name="_Toc369531549"/>
      <w:bookmarkStart w:id="211" w:name="_Toc352691505"/>
      <w:bookmarkStart w:id="212" w:name="_Toc247513985"/>
      <w:bookmarkStart w:id="213" w:name="_Toc144974529"/>
      <w:bookmarkStart w:id="214" w:name="_Toc30095"/>
      <w:bookmarkStart w:id="215" w:name="_Toc384308243"/>
      <w:bookmarkStart w:id="216" w:name="_Toc247527586"/>
      <w:bookmarkStart w:id="217" w:name="_Toc152042337"/>
      <w:r>
        <w:rPr>
          <w:rFonts w:ascii="Times New Roman" w:hAnsi="Times New Roman"/>
          <w:sz w:val="24"/>
          <w:highlight w:val="none"/>
        </w:rPr>
        <w:t>害关系人对评标结</w:t>
      </w:r>
      <w:bookmarkEnd w:id="207"/>
      <w:bookmarkEnd w:id="208"/>
      <w:bookmarkEnd w:id="209"/>
      <w:bookmarkEnd w:id="210"/>
      <w:bookmarkEnd w:id="211"/>
      <w:bookmarkEnd w:id="212"/>
      <w:bookmarkEnd w:id="213"/>
      <w:bookmarkEnd w:id="214"/>
      <w:bookmarkEnd w:id="215"/>
      <w:bookmarkEnd w:id="216"/>
      <w:bookmarkEnd w:id="217"/>
      <w:r>
        <w:rPr>
          <w:rFonts w:ascii="Times New Roman" w:hAnsi="Times New Roman"/>
          <w:sz w:val="24"/>
          <w:highlight w:val="none"/>
        </w:rPr>
        <w:t>果有异议的，应当在中标候选人公示期间提出。招标人将在收到异议之日起3日内作出答复；作出答复前，将暂停招标投标活动。</w:t>
      </w:r>
    </w:p>
    <w:p>
      <w:pPr>
        <w:pStyle w:val="4"/>
        <w:ind w:firstLine="137"/>
        <w:rPr>
          <w:highlight w:val="none"/>
        </w:rPr>
      </w:pPr>
      <w:bookmarkStart w:id="218" w:name="_Toc529196563"/>
      <w:bookmarkStart w:id="219" w:name="_Toc515205236"/>
      <w:r>
        <w:rPr>
          <w:highlight w:val="none"/>
        </w:rPr>
        <w:t>7.3 中标候选人履约能力审查</w:t>
      </w:r>
      <w:bookmarkEnd w:id="218"/>
      <w:bookmarkEnd w:id="219"/>
    </w:p>
    <w:p>
      <w:pPr>
        <w:spacing w:line="360" w:lineRule="auto"/>
        <w:ind w:firstLine="480" w:firstLineChars="200"/>
        <w:rPr>
          <w:rFonts w:ascii="Times New Roman" w:hAnsi="Times New Roman"/>
          <w:sz w:val="24"/>
          <w:highlight w:val="none"/>
        </w:rPr>
      </w:pPr>
      <w:r>
        <w:rPr>
          <w:rFonts w:ascii="Times New Roman" w:hAnsi="Times New Roman"/>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4"/>
        <w:ind w:firstLine="137"/>
        <w:rPr>
          <w:highlight w:val="none"/>
        </w:rPr>
      </w:pPr>
      <w:bookmarkStart w:id="220" w:name="_Toc529196564"/>
      <w:bookmarkStart w:id="221" w:name="_Toc515205237"/>
      <w:r>
        <w:rPr>
          <w:highlight w:val="none"/>
        </w:rPr>
        <w:t>7.4 定标</w:t>
      </w:r>
      <w:bookmarkEnd w:id="220"/>
      <w:bookmarkEnd w:id="221"/>
    </w:p>
    <w:p>
      <w:pPr>
        <w:spacing w:line="360" w:lineRule="auto"/>
        <w:ind w:firstLine="480" w:firstLineChars="200"/>
        <w:rPr>
          <w:rFonts w:ascii="Times New Roman" w:hAnsi="Times New Roman"/>
          <w:sz w:val="24"/>
          <w:highlight w:val="none"/>
        </w:rPr>
      </w:pPr>
      <w:r>
        <w:rPr>
          <w:rFonts w:ascii="Times New Roman" w:hAnsi="Times New Roman"/>
          <w:sz w:val="24"/>
          <w:highlight w:val="none"/>
        </w:rPr>
        <w:t>按照投标人须知前附表的规定，招标人或招标人授权的评标委员会依法确定中标人。</w:t>
      </w:r>
    </w:p>
    <w:p>
      <w:pPr>
        <w:pStyle w:val="4"/>
        <w:ind w:firstLine="137"/>
        <w:rPr>
          <w:highlight w:val="none"/>
        </w:rPr>
      </w:pPr>
      <w:bookmarkStart w:id="222" w:name="_Toc529196565"/>
      <w:bookmarkStart w:id="223" w:name="_Toc515205238"/>
      <w:r>
        <w:rPr>
          <w:highlight w:val="none"/>
        </w:rPr>
        <w:t>7.5 中标通知</w:t>
      </w:r>
      <w:bookmarkEnd w:id="222"/>
      <w:bookmarkEnd w:id="223"/>
    </w:p>
    <w:p>
      <w:pPr>
        <w:spacing w:line="360" w:lineRule="auto"/>
        <w:ind w:firstLine="480" w:firstLineChars="200"/>
        <w:rPr>
          <w:rFonts w:ascii="Times New Roman" w:hAnsi="Times New Roman"/>
          <w:sz w:val="24"/>
          <w:highlight w:val="none"/>
        </w:rPr>
      </w:pPr>
      <w:r>
        <w:rPr>
          <w:rFonts w:ascii="Times New Roman" w:hAnsi="Times New Roman"/>
          <w:sz w:val="24"/>
          <w:highlight w:val="none"/>
        </w:rPr>
        <w:t>在本章第3.3款规定的投标有效期内，招标人以书面形式向中标人发出中标</w:t>
      </w:r>
      <w:bookmarkStart w:id="224" w:name="_Toc352691506"/>
      <w:bookmarkStart w:id="225" w:name="_Toc384308244"/>
      <w:bookmarkStart w:id="226" w:name="_Toc5668"/>
      <w:bookmarkStart w:id="227" w:name="_Toc369531550"/>
      <w:bookmarkStart w:id="228" w:name="_Toc300834983"/>
      <w:bookmarkStart w:id="229" w:name="_Toc361508619"/>
      <w:r>
        <w:rPr>
          <w:rFonts w:ascii="Times New Roman" w:hAnsi="Times New Roman"/>
          <w:sz w:val="24"/>
          <w:highlight w:val="none"/>
        </w:rPr>
        <w:t>通知书，同时将中</w:t>
      </w:r>
      <w:bookmarkEnd w:id="224"/>
      <w:bookmarkEnd w:id="225"/>
      <w:bookmarkEnd w:id="226"/>
      <w:bookmarkEnd w:id="227"/>
      <w:bookmarkEnd w:id="228"/>
      <w:bookmarkEnd w:id="229"/>
      <w:r>
        <w:rPr>
          <w:rFonts w:ascii="Times New Roman" w:hAnsi="Times New Roman"/>
          <w:sz w:val="24"/>
          <w:highlight w:val="none"/>
        </w:rPr>
        <w:t>标结果通知未中标的投标人。</w:t>
      </w:r>
    </w:p>
    <w:p>
      <w:pPr>
        <w:pStyle w:val="4"/>
        <w:ind w:firstLine="137"/>
        <w:rPr>
          <w:highlight w:val="none"/>
        </w:rPr>
      </w:pPr>
      <w:bookmarkStart w:id="230" w:name="_Toc515205239"/>
      <w:bookmarkStart w:id="231" w:name="_Toc529196566"/>
      <w:r>
        <w:rPr>
          <w:highlight w:val="none"/>
        </w:rPr>
        <w:t>7.6 履约保证金</w:t>
      </w:r>
      <w:bookmarkEnd w:id="230"/>
      <w:bookmarkEnd w:id="231"/>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本项目不需要提交履约保证金。</w:t>
      </w:r>
    </w:p>
    <w:p>
      <w:pPr>
        <w:pStyle w:val="4"/>
        <w:ind w:firstLine="137"/>
        <w:rPr>
          <w:highlight w:val="none"/>
        </w:rPr>
      </w:pPr>
      <w:bookmarkStart w:id="232" w:name="_Toc515205240"/>
      <w:bookmarkStart w:id="233" w:name="_Toc529196567"/>
      <w:r>
        <w:rPr>
          <w:highlight w:val="none"/>
        </w:rPr>
        <w:t>7.7 签订合同</w:t>
      </w:r>
      <w:bookmarkEnd w:id="232"/>
      <w:bookmarkEnd w:id="233"/>
    </w:p>
    <w:p>
      <w:pPr>
        <w:spacing w:line="360" w:lineRule="auto"/>
        <w:ind w:firstLine="480" w:firstLineChars="200"/>
        <w:rPr>
          <w:rFonts w:ascii="Times New Roman" w:hAnsi="Times New Roman"/>
          <w:sz w:val="24"/>
          <w:highlight w:val="none"/>
        </w:rPr>
      </w:pPr>
      <w:r>
        <w:rPr>
          <w:rFonts w:ascii="Times New Roman" w:hAnsi="Times New Roman"/>
          <w:sz w:val="24"/>
          <w:highlight w:val="none"/>
        </w:rPr>
        <w:t>7.7.1 招标人和中标人应当在中标通知书发出之日起30日内，根据招标文件和中标人的投标文件订立书面合同。中标人无正当理由</w:t>
      </w:r>
      <w:r>
        <w:rPr>
          <w:rFonts w:hint="eastAsia" w:ascii="Times New Roman" w:hAnsi="Times New Roman"/>
          <w:sz w:val="24"/>
          <w:highlight w:val="none"/>
        </w:rPr>
        <w:t>拒签</w:t>
      </w:r>
      <w:r>
        <w:rPr>
          <w:rFonts w:ascii="Times New Roman" w:hAnsi="Times New Roman"/>
          <w:sz w:val="24"/>
          <w:highlight w:val="none"/>
        </w:rPr>
        <w:t>合同，在签订合同时向招标人提出附加条件，招标人有权取消其中标资格，其投标保证金不予退还；给招标人造成的损失超过投标保证金数额的，中标人还应当对超过部分予以赔偿。</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7.7.2 发出中标通知书后，招标人无正当理由拒签合同，或者在签订合同时</w:t>
      </w:r>
      <w:r>
        <w:rPr>
          <w:rFonts w:hint="eastAsia" w:ascii="Times New Roman" w:hAnsi="Times New Roman"/>
          <w:sz w:val="24"/>
          <w:highlight w:val="none"/>
        </w:rPr>
        <w:t>向中标人</w:t>
      </w:r>
      <w:r>
        <w:rPr>
          <w:rFonts w:ascii="Times New Roman" w:hAnsi="Times New Roman"/>
          <w:sz w:val="24"/>
          <w:highlight w:val="none"/>
        </w:rPr>
        <w:t>提出附加条件的，招标人向中标人退还投标保证金；给中标人造成损失的，还应当赔偿损失。</w:t>
      </w:r>
    </w:p>
    <w:p>
      <w:pPr>
        <w:pStyle w:val="4"/>
        <w:rPr>
          <w:highlight w:val="none"/>
        </w:rPr>
      </w:pPr>
      <w:bookmarkStart w:id="234" w:name="_Toc24067"/>
      <w:bookmarkStart w:id="235" w:name="_Toc361508627"/>
      <w:bookmarkStart w:id="236" w:name="_Toc384308252"/>
      <w:bookmarkStart w:id="237" w:name="_Toc529196568"/>
      <w:bookmarkStart w:id="238" w:name="_Toc515205241"/>
      <w:bookmarkStart w:id="239" w:name="_Toc247513992"/>
      <w:bookmarkStart w:id="240" w:name="_Toc247527593"/>
      <w:bookmarkStart w:id="241" w:name="_Toc152042344"/>
      <w:bookmarkStart w:id="242" w:name="_Toc152045568"/>
      <w:bookmarkStart w:id="243" w:name="_Toc300834991"/>
      <w:bookmarkStart w:id="244" w:name="_Toc144974536"/>
      <w:r>
        <w:rPr>
          <w:highlight w:val="none"/>
        </w:rPr>
        <w:t>8.</w:t>
      </w:r>
      <w:bookmarkEnd w:id="234"/>
      <w:bookmarkEnd w:id="235"/>
      <w:bookmarkEnd w:id="236"/>
      <w:r>
        <w:rPr>
          <w:highlight w:val="none"/>
        </w:rPr>
        <w:t>纪律和监督</w:t>
      </w:r>
      <w:bookmarkEnd w:id="237"/>
      <w:bookmarkEnd w:id="238"/>
    </w:p>
    <w:p>
      <w:pPr>
        <w:pStyle w:val="4"/>
        <w:ind w:firstLine="137"/>
        <w:rPr>
          <w:highlight w:val="none"/>
        </w:rPr>
      </w:pPr>
      <w:bookmarkStart w:id="245" w:name="_Toc529196569"/>
      <w:bookmarkStart w:id="246" w:name="_Toc515205242"/>
      <w:r>
        <w:rPr>
          <w:highlight w:val="none"/>
        </w:rPr>
        <w:t>8.1 对招标人的纪律要求</w:t>
      </w:r>
      <w:bookmarkEnd w:id="245"/>
      <w:bookmarkEnd w:id="246"/>
    </w:p>
    <w:p>
      <w:pPr>
        <w:spacing w:line="360" w:lineRule="auto"/>
        <w:ind w:firstLine="480" w:firstLineChars="200"/>
        <w:rPr>
          <w:rFonts w:ascii="Times New Roman" w:hAnsi="Times New Roman"/>
          <w:sz w:val="24"/>
          <w:highlight w:val="none"/>
        </w:rPr>
      </w:pPr>
      <w:r>
        <w:rPr>
          <w:rFonts w:ascii="Times New Roman" w:hAnsi="Times New Roman"/>
          <w:sz w:val="24"/>
          <w:highlight w:val="none"/>
        </w:rPr>
        <w:t>招标人不得泄露招标投标活动中应当保密的情况和资料，不得与投标人串通损害国家利益、社会公共利益或者他人合法权益。</w:t>
      </w:r>
    </w:p>
    <w:p>
      <w:pPr>
        <w:pStyle w:val="4"/>
        <w:ind w:firstLine="137"/>
        <w:rPr>
          <w:highlight w:val="none"/>
        </w:rPr>
      </w:pPr>
      <w:bookmarkStart w:id="247" w:name="_Toc529196570"/>
      <w:bookmarkStart w:id="248" w:name="_Toc515205243"/>
      <w:r>
        <w:rPr>
          <w:highlight w:val="none"/>
        </w:rPr>
        <w:t>8.2 对投标人的纪律要求</w:t>
      </w:r>
      <w:bookmarkEnd w:id="247"/>
      <w:bookmarkEnd w:id="248"/>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ind w:firstLine="137"/>
        <w:rPr>
          <w:highlight w:val="none"/>
        </w:rPr>
      </w:pPr>
      <w:bookmarkStart w:id="249" w:name="_Toc515205244"/>
      <w:bookmarkStart w:id="250" w:name="_Toc529196571"/>
      <w:r>
        <w:rPr>
          <w:highlight w:val="none"/>
        </w:rPr>
        <w:t>8.3 对评标委员会成员的纪律要求</w:t>
      </w:r>
      <w:bookmarkEnd w:id="249"/>
      <w:bookmarkEnd w:id="250"/>
    </w:p>
    <w:p>
      <w:pPr>
        <w:spacing w:line="360" w:lineRule="auto"/>
        <w:ind w:firstLine="480" w:firstLineChars="200"/>
        <w:rPr>
          <w:rFonts w:ascii="Times New Roman" w:hAnsi="Times New Roman"/>
          <w:sz w:val="24"/>
          <w:highlight w:val="none"/>
        </w:rPr>
      </w:pPr>
      <w:r>
        <w:rPr>
          <w:rFonts w:ascii="Times New Roman" w:hAnsi="Times New Roman"/>
          <w:sz w:val="24"/>
          <w:highlight w:val="none"/>
        </w:rPr>
        <w:t>评标委员会成员不得收受他人的财物或者其他好处，不得向他人透露对投标文件的评审</w:t>
      </w:r>
      <w:bookmarkStart w:id="251" w:name="_Toc361508628"/>
      <w:bookmarkStart w:id="252" w:name="_Toc13644"/>
      <w:bookmarkStart w:id="253" w:name="_Toc352691515"/>
      <w:bookmarkStart w:id="254" w:name="_Toc384308253"/>
      <w:bookmarkStart w:id="255" w:name="_Toc369531559"/>
      <w:r>
        <w:rPr>
          <w:rFonts w:ascii="Times New Roman" w:hAnsi="Times New Roman"/>
          <w:sz w:val="24"/>
          <w:highlight w:val="none"/>
        </w:rPr>
        <w:t>和比较、中标候选人</w:t>
      </w:r>
      <w:bookmarkEnd w:id="239"/>
      <w:bookmarkEnd w:id="240"/>
      <w:bookmarkEnd w:id="241"/>
      <w:bookmarkEnd w:id="242"/>
      <w:bookmarkEnd w:id="243"/>
      <w:bookmarkEnd w:id="244"/>
      <w:bookmarkEnd w:id="251"/>
      <w:bookmarkEnd w:id="252"/>
      <w:bookmarkEnd w:id="253"/>
      <w:bookmarkEnd w:id="254"/>
      <w:bookmarkEnd w:id="255"/>
      <w:r>
        <w:rPr>
          <w:rFonts w:ascii="Times New Roman" w:hAnsi="Times New Roman"/>
          <w:sz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ind w:firstLine="137"/>
        <w:rPr>
          <w:highlight w:val="none"/>
        </w:rPr>
      </w:pPr>
      <w:bookmarkStart w:id="256" w:name="_Toc515205245"/>
      <w:bookmarkStart w:id="257" w:name="_Toc529196572"/>
      <w:r>
        <w:rPr>
          <w:highlight w:val="none"/>
        </w:rPr>
        <w:t>8.4 对与评标活动有关的工作人员的纪律要求</w:t>
      </w:r>
      <w:bookmarkEnd w:id="256"/>
      <w:bookmarkEnd w:id="257"/>
    </w:p>
    <w:p>
      <w:pPr>
        <w:spacing w:line="360" w:lineRule="auto"/>
        <w:ind w:firstLine="480" w:firstLineChars="200"/>
        <w:rPr>
          <w:rFonts w:ascii="Times New Roman" w:hAnsi="Times New Roman"/>
          <w:sz w:val="24"/>
          <w:highlight w:val="none"/>
        </w:rPr>
      </w:pPr>
      <w:r>
        <w:rPr>
          <w:rFonts w:ascii="Times New Roman" w:hAnsi="Times New Roman"/>
          <w:sz w:val="24"/>
          <w:highlight w:val="none"/>
        </w:rPr>
        <w:t>与评标活动有关的工作人员不得收受他人的财物或者其他好处，不得向他人透露对投标文件</w:t>
      </w:r>
      <w:bookmarkStart w:id="258" w:name="_Toc352691516"/>
      <w:bookmarkStart w:id="259" w:name="_Toc300834992"/>
      <w:bookmarkStart w:id="260" w:name="_Toc144974537"/>
      <w:bookmarkStart w:id="261" w:name="_Toc384308254"/>
      <w:bookmarkStart w:id="262" w:name="_Toc152042345"/>
      <w:bookmarkStart w:id="263" w:name="_Toc361508629"/>
      <w:bookmarkStart w:id="264" w:name="_Toc152045569"/>
      <w:bookmarkStart w:id="265" w:name="_Toc247527594"/>
      <w:bookmarkStart w:id="266" w:name="_Toc247513993"/>
      <w:bookmarkStart w:id="267" w:name="_Toc19429"/>
      <w:bookmarkStart w:id="268" w:name="_Toc369531560"/>
      <w:r>
        <w:rPr>
          <w:rFonts w:ascii="Times New Roman" w:hAnsi="Times New Roman"/>
          <w:sz w:val="24"/>
          <w:highlight w:val="none"/>
        </w:rPr>
        <w:t>的评审和比较、中标</w:t>
      </w:r>
      <w:bookmarkEnd w:id="258"/>
      <w:bookmarkEnd w:id="259"/>
      <w:bookmarkEnd w:id="260"/>
      <w:bookmarkEnd w:id="261"/>
      <w:bookmarkEnd w:id="262"/>
      <w:bookmarkEnd w:id="263"/>
      <w:bookmarkEnd w:id="264"/>
      <w:bookmarkEnd w:id="265"/>
      <w:bookmarkEnd w:id="266"/>
      <w:bookmarkEnd w:id="267"/>
      <w:bookmarkEnd w:id="268"/>
      <w:r>
        <w:rPr>
          <w:rFonts w:ascii="Times New Roman" w:hAnsi="Times New Roman"/>
          <w:sz w:val="24"/>
          <w:highlight w:val="none"/>
        </w:rPr>
        <w:t>候选人的推荐情况以及评标有关的其他情况。在评标活动中，与评标活动有关的工作人员不得擅离职守，影响评标程序正常进行。</w:t>
      </w:r>
    </w:p>
    <w:p>
      <w:pPr>
        <w:pStyle w:val="4"/>
        <w:ind w:firstLine="137"/>
        <w:rPr>
          <w:highlight w:val="none"/>
        </w:rPr>
      </w:pPr>
      <w:bookmarkStart w:id="269" w:name="_Toc515205246"/>
      <w:bookmarkStart w:id="270" w:name="_Toc529196573"/>
      <w:r>
        <w:rPr>
          <w:highlight w:val="none"/>
        </w:rPr>
        <w:t>8.5 投诉</w:t>
      </w:r>
      <w:bookmarkEnd w:id="269"/>
      <w:bookmarkEnd w:id="270"/>
    </w:p>
    <w:p>
      <w:pPr>
        <w:spacing w:line="360" w:lineRule="auto"/>
        <w:ind w:firstLine="480" w:firstLineChars="200"/>
        <w:rPr>
          <w:rFonts w:ascii="Times New Roman" w:hAnsi="Times New Roman"/>
          <w:sz w:val="24"/>
          <w:highlight w:val="none"/>
        </w:rPr>
      </w:pPr>
      <w:r>
        <w:rPr>
          <w:rFonts w:ascii="Times New Roman" w:hAnsi="Times New Roman"/>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8.5.2 投标人或者其他利害关系人对招标文件、开标和评标结果提出投诉的，应当按照投标人须知第2.4款、第5.3款和第7.2款的规定先向招标人提出异议。异议答复期间</w:t>
      </w:r>
      <w:bookmarkStart w:id="271" w:name="_Toc247527595"/>
      <w:bookmarkStart w:id="272" w:name="_Toc361508630"/>
      <w:bookmarkStart w:id="273" w:name="_Toc384308255"/>
      <w:bookmarkStart w:id="274" w:name="_Toc152045570"/>
      <w:bookmarkStart w:id="275" w:name="_Toc144974538"/>
      <w:bookmarkStart w:id="276" w:name="_Toc152042346"/>
      <w:bookmarkStart w:id="277" w:name="_Toc369531561"/>
      <w:bookmarkStart w:id="278" w:name="_Toc352691517"/>
      <w:bookmarkStart w:id="279" w:name="_Toc247513994"/>
      <w:bookmarkStart w:id="280" w:name="_Toc12776"/>
      <w:bookmarkStart w:id="281" w:name="_Toc300834993"/>
      <w:r>
        <w:rPr>
          <w:rFonts w:ascii="Times New Roman" w:hAnsi="Times New Roman"/>
          <w:sz w:val="24"/>
          <w:highlight w:val="none"/>
        </w:rPr>
        <w:t>不计算在第8.5.</w:t>
      </w:r>
      <w:bookmarkEnd w:id="271"/>
      <w:bookmarkEnd w:id="272"/>
      <w:bookmarkEnd w:id="273"/>
      <w:bookmarkEnd w:id="274"/>
      <w:bookmarkEnd w:id="275"/>
      <w:bookmarkEnd w:id="276"/>
      <w:bookmarkEnd w:id="277"/>
      <w:bookmarkEnd w:id="278"/>
      <w:bookmarkEnd w:id="279"/>
      <w:bookmarkEnd w:id="280"/>
      <w:bookmarkEnd w:id="281"/>
      <w:r>
        <w:rPr>
          <w:rFonts w:ascii="Times New Roman" w:hAnsi="Times New Roman"/>
          <w:sz w:val="24"/>
          <w:highlight w:val="none"/>
        </w:rPr>
        <w:t>1项规定的期限内。</w:t>
      </w:r>
    </w:p>
    <w:p>
      <w:pPr>
        <w:pStyle w:val="4"/>
        <w:rPr>
          <w:highlight w:val="none"/>
        </w:rPr>
      </w:pPr>
      <w:bookmarkStart w:id="282" w:name="_Toc515205247"/>
      <w:bookmarkStart w:id="283" w:name="_Toc477134992"/>
      <w:bookmarkStart w:id="284" w:name="_Toc529196574"/>
      <w:r>
        <w:rPr>
          <w:highlight w:val="none"/>
        </w:rPr>
        <w:t>9. 是否采用电子招标投标</w:t>
      </w:r>
      <w:bookmarkEnd w:id="282"/>
      <w:bookmarkEnd w:id="283"/>
      <w:bookmarkEnd w:id="284"/>
    </w:p>
    <w:p>
      <w:pPr>
        <w:spacing w:line="360" w:lineRule="auto"/>
        <w:ind w:firstLine="480" w:firstLineChars="200"/>
        <w:rPr>
          <w:rFonts w:ascii="Times New Roman" w:hAnsi="Times New Roman"/>
          <w:sz w:val="24"/>
          <w:highlight w:val="none"/>
        </w:rPr>
      </w:pPr>
      <w:r>
        <w:rPr>
          <w:rFonts w:ascii="Times New Roman" w:hAnsi="Times New Roman"/>
          <w:sz w:val="24"/>
          <w:highlight w:val="none"/>
        </w:rPr>
        <w:t>本招标项目是否采用电子招标投标方式，见投标人须知前附表。</w:t>
      </w:r>
    </w:p>
    <w:p>
      <w:pPr>
        <w:pStyle w:val="4"/>
        <w:rPr>
          <w:highlight w:val="none"/>
        </w:rPr>
      </w:pPr>
      <w:bookmarkStart w:id="285" w:name="_Toc515205248"/>
      <w:bookmarkStart w:id="286" w:name="_Toc529196575"/>
      <w:r>
        <w:rPr>
          <w:highlight w:val="none"/>
        </w:rPr>
        <w:t>10. 需要补充的其他内容</w:t>
      </w:r>
      <w:bookmarkEnd w:id="285"/>
      <w:bookmarkEnd w:id="286"/>
    </w:p>
    <w:p>
      <w:pPr>
        <w:pStyle w:val="4"/>
        <w:spacing w:line="412" w:lineRule="auto"/>
        <w:ind w:firstLine="118" w:firstLineChars="49"/>
        <w:rPr>
          <w:b w:val="0"/>
          <w:bCs w:val="0"/>
          <w:sz w:val="28"/>
          <w:szCs w:val="20"/>
          <w:highlight w:val="none"/>
        </w:rPr>
      </w:pPr>
      <w:r>
        <w:rPr>
          <w:sz w:val="24"/>
          <w:highlight w:val="none"/>
        </w:rPr>
        <w:t>见投标人须知前附表。</w:t>
      </w:r>
      <w:r>
        <w:rPr>
          <w:b w:val="0"/>
          <w:bCs w:val="0"/>
          <w:sz w:val="28"/>
          <w:szCs w:val="20"/>
          <w:highlight w:val="none"/>
        </w:rPr>
        <w:br w:type="page"/>
      </w:r>
      <w:bookmarkStart w:id="287" w:name="_Toc530728900"/>
      <w:r>
        <w:rPr>
          <w:b w:val="0"/>
          <w:bCs w:val="0"/>
          <w:sz w:val="28"/>
          <w:szCs w:val="20"/>
          <w:highlight w:val="none"/>
        </w:rPr>
        <w:t>附件一：开标记录表</w:t>
      </w:r>
      <w:bookmarkEnd w:id="287"/>
    </w:p>
    <w:p>
      <w:pPr>
        <w:spacing w:line="440" w:lineRule="exact"/>
        <w:jc w:val="center"/>
        <w:rPr>
          <w:rFonts w:ascii="Times New Roman" w:hAnsi="Times New Roman" w:eastAsia="黑体"/>
          <w:sz w:val="28"/>
          <w:highlight w:val="none"/>
        </w:rPr>
      </w:pPr>
      <w:r>
        <w:rPr>
          <w:rFonts w:ascii="Times New Roman" w:hAnsi="Times New Roman" w:eastAsia="黑体"/>
          <w:sz w:val="28"/>
          <w:highlight w:val="none"/>
        </w:rPr>
        <w:t>开标记录表</w:t>
      </w:r>
    </w:p>
    <w:p>
      <w:pPr>
        <w:wordWrap w:val="0"/>
        <w:spacing w:before="120" w:beforeLines="50" w:after="120" w:afterLines="50" w:line="400" w:lineRule="exact"/>
        <w:ind w:right="420"/>
        <w:jc w:val="right"/>
        <w:rPr>
          <w:rFonts w:ascii="Times New Roman" w:hAnsi="Times New Roman"/>
          <w:highlight w:val="none"/>
        </w:rPr>
      </w:pPr>
      <w:r>
        <w:rPr>
          <w:rFonts w:ascii="Times New Roman" w:hAnsi="Times New Roman"/>
          <w:highlight w:val="none"/>
        </w:rPr>
        <w:t>开标时间：</w:t>
      </w:r>
      <w:r>
        <w:rPr>
          <w:rFonts w:hint="eastAsia" w:ascii="Times New Roman" w:hAnsi="Times New Roman"/>
          <w:highlight w:val="none"/>
        </w:rPr>
        <w:t xml:space="preserve">  </w:t>
      </w:r>
      <w:r>
        <w:rPr>
          <w:rFonts w:ascii="Times New Roman" w:hAnsi="Times New Roman"/>
          <w:highlight w:val="none"/>
        </w:rPr>
        <w:t>年</w:t>
      </w:r>
      <w:r>
        <w:rPr>
          <w:rFonts w:hint="eastAsia" w:ascii="Times New Roman" w:hAnsi="Times New Roman"/>
          <w:highlight w:val="none"/>
        </w:rPr>
        <w:t xml:space="preserve">  </w:t>
      </w:r>
      <w:r>
        <w:rPr>
          <w:rFonts w:ascii="Times New Roman" w:hAnsi="Times New Roman"/>
          <w:highlight w:val="none"/>
        </w:rPr>
        <w:t>月</w:t>
      </w:r>
      <w:r>
        <w:rPr>
          <w:rFonts w:hint="eastAsia" w:ascii="Times New Roman" w:hAnsi="Times New Roman"/>
          <w:highlight w:val="none"/>
        </w:rPr>
        <w:t xml:space="preserve">  </w:t>
      </w:r>
      <w:r>
        <w:rPr>
          <w:rFonts w:ascii="Times New Roman" w:hAnsi="Times New Roman"/>
          <w:highlight w:val="none"/>
        </w:rPr>
        <w:t>日</w:t>
      </w:r>
      <w:r>
        <w:rPr>
          <w:rFonts w:hint="eastAsia" w:ascii="Times New Roman" w:hAnsi="Times New Roman"/>
          <w:highlight w:val="none"/>
        </w:rPr>
        <w:t xml:space="preserve">  </w:t>
      </w:r>
      <w:r>
        <w:rPr>
          <w:rFonts w:ascii="Times New Roman" w:hAnsi="Times New Roman"/>
          <w:highlight w:val="none"/>
        </w:rPr>
        <w:t>时</w:t>
      </w:r>
      <w:r>
        <w:rPr>
          <w:rFonts w:hint="eastAsia" w:ascii="Times New Roman" w:hAnsi="Times New Roman"/>
          <w:highlight w:val="none"/>
        </w:rPr>
        <w:t xml:space="preserve">  </w:t>
      </w:r>
      <w:r>
        <w:rPr>
          <w:rFonts w:ascii="Times New Roman" w:hAnsi="Times New Roman"/>
          <w:highlight w:val="none"/>
        </w:rPr>
        <w:t>分</w:t>
      </w:r>
    </w:p>
    <w:p>
      <w:pPr>
        <w:spacing w:before="120" w:beforeLines="50" w:after="120" w:afterLines="50" w:line="400" w:lineRule="exact"/>
        <w:ind w:right="420"/>
        <w:rPr>
          <w:rFonts w:ascii="Times New Roman" w:hAnsi="Times New Roman"/>
          <w:highlight w:val="none"/>
        </w:rPr>
      </w:pPr>
      <w:r>
        <w:rPr>
          <w:rFonts w:hint="eastAsia" w:ascii="Times New Roman" w:hAnsi="Times New Roman"/>
          <w:highlight w:val="none"/>
        </w:rPr>
        <w:t>项目</w:t>
      </w:r>
      <w:r>
        <w:rPr>
          <w:rFonts w:ascii="Times New Roman" w:hAnsi="Times New Roman"/>
          <w:highlight w:val="none"/>
        </w:rPr>
        <w:t>名称：</w:t>
      </w:r>
    </w:p>
    <w:tbl>
      <w:tblPr>
        <w:tblStyle w:val="39"/>
        <w:tblW w:w="9243" w:type="dxa"/>
        <w:tblInd w:w="0" w:type="dxa"/>
        <w:tblLayout w:type="fixed"/>
        <w:tblCellMar>
          <w:top w:w="0" w:type="dxa"/>
          <w:left w:w="108" w:type="dxa"/>
          <w:bottom w:w="0" w:type="dxa"/>
          <w:right w:w="108" w:type="dxa"/>
        </w:tblCellMar>
      </w:tblPr>
      <w:tblGrid>
        <w:gridCol w:w="467"/>
        <w:gridCol w:w="602"/>
        <w:gridCol w:w="736"/>
        <w:gridCol w:w="860"/>
        <w:gridCol w:w="782"/>
        <w:gridCol w:w="1039"/>
        <w:gridCol w:w="847"/>
        <w:gridCol w:w="1080"/>
        <w:gridCol w:w="1246"/>
        <w:gridCol w:w="471"/>
        <w:gridCol w:w="1113"/>
      </w:tblGrid>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序号</w:t>
            </w:r>
          </w:p>
        </w:tc>
        <w:tc>
          <w:tcPr>
            <w:tcW w:w="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投标人</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密封情况</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投标保证金</w:t>
            </w:r>
          </w:p>
        </w:tc>
        <w:tc>
          <w:tcPr>
            <w:tcW w:w="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投标报价</w:t>
            </w:r>
          </w:p>
          <w:p>
            <w:pPr>
              <w:spacing w:line="360" w:lineRule="auto"/>
              <w:jc w:val="center"/>
              <w:rPr>
                <w:rFonts w:ascii="Times New Roman" w:hAnsi="Times New Roman"/>
                <w:sz w:val="18"/>
                <w:highlight w:val="none"/>
              </w:rPr>
            </w:pPr>
            <w:r>
              <w:rPr>
                <w:rFonts w:hint="eastAsia" w:ascii="Times New Roman" w:hAnsi="Times New Roman"/>
                <w:sz w:val="18"/>
                <w:highlight w:val="none"/>
              </w:rPr>
              <w:t>（元）</w:t>
            </w:r>
          </w:p>
        </w:tc>
        <w:tc>
          <w:tcPr>
            <w:tcW w:w="10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
                <w:sz w:val="18"/>
                <w:highlight w:val="none"/>
              </w:rPr>
            </w:pPr>
            <w:r>
              <w:rPr>
                <w:rFonts w:hint="eastAsia" w:ascii="Times New Roman" w:hAnsi="Times New Roman"/>
                <w:bCs/>
                <w:sz w:val="18"/>
                <w:highlight w:val="none"/>
              </w:rPr>
              <w:t>监理服务期限</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项目总监</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投标文件递交情况</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投标文件解密情况</w:t>
            </w:r>
          </w:p>
        </w:tc>
        <w:tc>
          <w:tcPr>
            <w:tcW w:w="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备注</w:t>
            </w:r>
          </w:p>
        </w:tc>
        <w:tc>
          <w:tcPr>
            <w:tcW w:w="11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highlight w:val="none"/>
              </w:rPr>
            </w:pPr>
            <w:r>
              <w:rPr>
                <w:rFonts w:hint="eastAsia" w:ascii="Times New Roman" w:hAnsi="Times New Roman"/>
                <w:sz w:val="18"/>
                <w:highlight w:val="none"/>
              </w:rPr>
              <w:t>投标人代表签名</w:t>
            </w: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r>
        <w:tblPrEx>
          <w:tblCellMar>
            <w:top w:w="0" w:type="dxa"/>
            <w:left w:w="108" w:type="dxa"/>
            <w:bottom w:w="0" w:type="dxa"/>
            <w:right w:w="108" w:type="dxa"/>
          </w:tblCellMar>
        </w:tblPrEx>
        <w:trPr>
          <w:trHeight w:val="800" w:hRule="atLeast"/>
        </w:trPr>
        <w:tc>
          <w:tcPr>
            <w:tcW w:w="1805"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r>
              <w:rPr>
                <w:rFonts w:hint="eastAsia" w:ascii="Times New Roman" w:hAnsi="Times New Roman"/>
                <w:highlight w:val="none"/>
              </w:rPr>
              <w:t>最高投标限价：</w:t>
            </w:r>
          </w:p>
        </w:tc>
        <w:tc>
          <w:tcPr>
            <w:tcW w:w="8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highlight w:val="none"/>
              </w:rPr>
            </w:pPr>
          </w:p>
        </w:tc>
        <w:tc>
          <w:tcPr>
            <w:tcW w:w="6578"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highlight w:val="none"/>
              </w:rPr>
            </w:pPr>
          </w:p>
        </w:tc>
      </w:tr>
    </w:tbl>
    <w:p>
      <w:pPr>
        <w:spacing w:line="440" w:lineRule="exact"/>
        <w:rPr>
          <w:rFonts w:ascii="Times New Roman" w:hAnsi="Times New Roman"/>
          <w:highlight w:val="none"/>
        </w:rPr>
      </w:pPr>
      <w:r>
        <w:rPr>
          <w:rFonts w:ascii="Times New Roman" w:hAnsi="Times New Roman"/>
          <w:highlight w:val="none"/>
        </w:rPr>
        <w:t>　</w:t>
      </w:r>
    </w:p>
    <w:p>
      <w:pPr>
        <w:spacing w:line="620" w:lineRule="exact"/>
        <w:rPr>
          <w:rFonts w:ascii="Times New Roman" w:hAnsi="Times New Roman"/>
          <w:highlight w:val="none"/>
        </w:rPr>
      </w:pPr>
      <w:r>
        <w:rPr>
          <w:rFonts w:ascii="Times New Roman" w:hAnsi="Times New Roman"/>
          <w:highlight w:val="none"/>
        </w:rPr>
        <w:t>招标人代表：</w:t>
      </w:r>
      <w:r>
        <w:rPr>
          <w:rFonts w:hint="eastAsia" w:ascii="Times New Roman" w:hAnsi="Times New Roman"/>
          <w:highlight w:val="none"/>
        </w:rPr>
        <w:t xml:space="preserve">       </w:t>
      </w:r>
      <w:r>
        <w:rPr>
          <w:rFonts w:ascii="Times New Roman" w:hAnsi="Times New Roman"/>
          <w:highlight w:val="none"/>
        </w:rPr>
        <w:t>记录人：</w:t>
      </w:r>
      <w:r>
        <w:rPr>
          <w:rFonts w:hint="eastAsia" w:ascii="Times New Roman" w:hAnsi="Times New Roman"/>
          <w:highlight w:val="none"/>
        </w:rPr>
        <w:t xml:space="preserve">              </w:t>
      </w:r>
      <w:r>
        <w:rPr>
          <w:rFonts w:ascii="Times New Roman" w:hAnsi="Times New Roman"/>
          <w:highlight w:val="none"/>
        </w:rPr>
        <w:t>监标人：</w:t>
      </w:r>
    </w:p>
    <w:p>
      <w:pPr>
        <w:wordWrap w:val="0"/>
        <w:spacing w:line="620" w:lineRule="exact"/>
        <w:jc w:val="right"/>
        <w:rPr>
          <w:rFonts w:ascii="Times New Roman" w:hAnsi="Times New Roman"/>
          <w:highlight w:val="none"/>
        </w:rPr>
      </w:pPr>
      <w:r>
        <w:rPr>
          <w:rFonts w:ascii="Times New Roman" w:hAnsi="Times New Roman"/>
          <w:highlight w:val="none"/>
        </w:rPr>
        <w:t xml:space="preserve">   年</w:t>
      </w:r>
      <w:r>
        <w:rPr>
          <w:rFonts w:hint="eastAsia" w:ascii="Times New Roman" w:hAnsi="Times New Roman"/>
          <w:highlight w:val="none"/>
        </w:rPr>
        <w:t xml:space="preserve">    </w:t>
      </w:r>
      <w:r>
        <w:rPr>
          <w:rFonts w:ascii="Times New Roman" w:hAnsi="Times New Roman"/>
          <w:highlight w:val="none"/>
        </w:rPr>
        <w:t>月</w:t>
      </w:r>
      <w:r>
        <w:rPr>
          <w:rFonts w:hint="eastAsia" w:ascii="Times New Roman" w:hAnsi="Times New Roman"/>
          <w:highlight w:val="none"/>
        </w:rPr>
        <w:t xml:space="preserve">    </w:t>
      </w:r>
      <w:r>
        <w:rPr>
          <w:rFonts w:ascii="Times New Roman" w:hAnsi="Times New Roman"/>
          <w:highlight w:val="none"/>
        </w:rPr>
        <w:t>日</w:t>
      </w:r>
      <w:bookmarkStart w:id="288" w:name="_Toc530728901"/>
    </w:p>
    <w:p>
      <w:pPr>
        <w:spacing w:line="360" w:lineRule="auto"/>
        <w:jc w:val="left"/>
        <w:rPr>
          <w:b/>
          <w:bCs/>
          <w:sz w:val="28"/>
          <w:szCs w:val="28"/>
          <w:highlight w:val="none"/>
        </w:rPr>
      </w:pPr>
    </w:p>
    <w:p>
      <w:pPr>
        <w:spacing w:line="360" w:lineRule="auto"/>
        <w:jc w:val="left"/>
        <w:rPr>
          <w:b/>
          <w:bCs/>
          <w:sz w:val="28"/>
          <w:szCs w:val="28"/>
          <w:highlight w:val="none"/>
        </w:rPr>
      </w:pPr>
    </w:p>
    <w:p>
      <w:pPr>
        <w:spacing w:line="360" w:lineRule="auto"/>
        <w:jc w:val="left"/>
        <w:rPr>
          <w:b/>
          <w:bCs/>
          <w:sz w:val="28"/>
          <w:szCs w:val="28"/>
          <w:highlight w:val="none"/>
        </w:rPr>
      </w:pPr>
      <w:r>
        <w:rPr>
          <w:b/>
          <w:bCs/>
          <w:sz w:val="28"/>
          <w:szCs w:val="28"/>
          <w:highlight w:val="none"/>
        </w:rPr>
        <w:t>附件二：问题澄清通知</w:t>
      </w:r>
      <w:r>
        <w:rPr>
          <w:rFonts w:hint="eastAsia"/>
          <w:b/>
          <w:bCs/>
          <w:sz w:val="28"/>
          <w:szCs w:val="28"/>
          <w:highlight w:val="none"/>
        </w:rPr>
        <w:t>（按广州公共资源交易中心版式为准）</w:t>
      </w:r>
      <w:bookmarkEnd w:id="288"/>
    </w:p>
    <w:p>
      <w:pPr>
        <w:pStyle w:val="4"/>
        <w:spacing w:before="0" w:after="0" w:line="360" w:lineRule="auto"/>
        <w:rPr>
          <w:rFonts w:eastAsia="黑体"/>
          <w:sz w:val="28"/>
          <w:szCs w:val="28"/>
          <w:highlight w:val="none"/>
        </w:rPr>
      </w:pPr>
      <w:bookmarkStart w:id="289" w:name="_Toc530728902"/>
      <w:r>
        <w:rPr>
          <w:rFonts w:hint="eastAsia"/>
          <w:sz w:val="28"/>
          <w:szCs w:val="28"/>
          <w:highlight w:val="none"/>
        </w:rPr>
        <w:t>附</w:t>
      </w:r>
      <w:r>
        <w:rPr>
          <w:sz w:val="28"/>
          <w:szCs w:val="28"/>
          <w:highlight w:val="none"/>
        </w:rPr>
        <w:t>件三：问题的澄清</w:t>
      </w:r>
      <w:r>
        <w:rPr>
          <w:rFonts w:hint="eastAsia"/>
          <w:sz w:val="28"/>
          <w:szCs w:val="28"/>
          <w:highlight w:val="none"/>
        </w:rPr>
        <w:t>（按广州公共资源交易中心版式为准）</w:t>
      </w:r>
      <w:bookmarkEnd w:id="289"/>
    </w:p>
    <w:p>
      <w:pPr>
        <w:pStyle w:val="4"/>
        <w:spacing w:before="0" w:after="0" w:line="360" w:lineRule="auto"/>
        <w:rPr>
          <w:sz w:val="28"/>
          <w:szCs w:val="28"/>
          <w:highlight w:val="none"/>
        </w:rPr>
      </w:pPr>
      <w:bookmarkStart w:id="290" w:name="_Toc530728903"/>
      <w:r>
        <w:rPr>
          <w:rFonts w:hint="eastAsia"/>
          <w:sz w:val="28"/>
          <w:szCs w:val="28"/>
          <w:highlight w:val="none"/>
        </w:rPr>
        <w:t>附件四：中标通知书（按广州公共资源交易中心中标通知书格式）</w:t>
      </w:r>
      <w:bookmarkEnd w:id="290"/>
    </w:p>
    <w:p>
      <w:pPr>
        <w:spacing w:line="440" w:lineRule="exact"/>
        <w:rPr>
          <w:rFonts w:ascii="Times New Roman" w:hAnsi="Times New Roman" w:eastAsia="黑体"/>
          <w:b/>
          <w:bCs/>
          <w:sz w:val="28"/>
          <w:szCs w:val="28"/>
          <w:highlight w:val="none"/>
        </w:rPr>
      </w:pPr>
    </w:p>
    <w:p>
      <w:pPr>
        <w:spacing w:line="502" w:lineRule="exact"/>
        <w:jc w:val="center"/>
        <w:outlineLvl w:val="1"/>
        <w:rPr>
          <w:rFonts w:ascii="Times New Roman" w:hAnsi="Times New Roman"/>
          <w:b/>
          <w:sz w:val="44"/>
          <w:highlight w:val="none"/>
        </w:rPr>
      </w:pPr>
      <w:r>
        <w:rPr>
          <w:rFonts w:ascii="Times New Roman" w:hAnsi="Times New Roman" w:eastAsia="黑体"/>
          <w:b/>
          <w:sz w:val="32"/>
          <w:highlight w:val="none"/>
        </w:rPr>
        <w:br w:type="page"/>
      </w:r>
      <w:bookmarkStart w:id="291" w:name="_Toc530728906"/>
      <w:r>
        <w:rPr>
          <w:rFonts w:ascii="Times New Roman" w:hAnsi="Times New Roman"/>
          <w:b/>
          <w:sz w:val="44"/>
          <w:highlight w:val="none"/>
        </w:rPr>
        <w:t>第三章</w:t>
      </w:r>
      <w:r>
        <w:rPr>
          <w:rFonts w:hint="eastAsia" w:ascii="Times New Roman" w:hAnsi="Times New Roman"/>
          <w:b/>
          <w:sz w:val="44"/>
          <w:highlight w:val="none"/>
        </w:rPr>
        <w:t xml:space="preserve"> </w:t>
      </w:r>
      <w:r>
        <w:rPr>
          <w:rFonts w:ascii="Times New Roman" w:hAnsi="Times New Roman"/>
          <w:b/>
          <w:sz w:val="44"/>
          <w:highlight w:val="none"/>
        </w:rPr>
        <w:t>评标办法（综合评估法）</w:t>
      </w:r>
      <w:bookmarkEnd w:id="291"/>
    </w:p>
    <w:p>
      <w:pPr>
        <w:spacing w:before="120" w:beforeLines="50" w:after="120" w:afterLines="50" w:line="366" w:lineRule="exact"/>
        <w:ind w:left="357"/>
        <w:jc w:val="center"/>
        <w:rPr>
          <w:rFonts w:ascii="Times New Roman" w:hAnsi="Times New Roman" w:eastAsia="黑体"/>
          <w:b/>
          <w:sz w:val="32"/>
          <w:highlight w:val="none"/>
        </w:rPr>
      </w:pPr>
      <w:r>
        <w:rPr>
          <w:rFonts w:ascii="Times New Roman" w:hAnsi="Times New Roman" w:eastAsia="黑体"/>
          <w:b/>
          <w:sz w:val="32"/>
          <w:highlight w:val="none"/>
        </w:rPr>
        <w:t>评标办法前附表</w:t>
      </w:r>
    </w:p>
    <w:tbl>
      <w:tblPr>
        <w:tblStyle w:val="39"/>
        <w:tblW w:w="10241" w:type="dxa"/>
        <w:tblInd w:w="-4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938"/>
        <w:gridCol w:w="14"/>
        <w:gridCol w:w="1504"/>
        <w:gridCol w:w="6959"/>
        <w:gridCol w:w="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1750"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评审因素</w:t>
            </w:r>
          </w:p>
        </w:tc>
        <w:tc>
          <w:tcPr>
            <w:tcW w:w="6959"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506" w:hRule="atLeast"/>
        </w:trPr>
        <w:tc>
          <w:tcPr>
            <w:tcW w:w="812"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评标方法</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中标候选人排序方法</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果监理服务大纲得分也相等，以投标人诚信得分高的优先。如以上都存在相同，则由评委采用记名投票方式，确定相等得分的中标候选人的排序。本项目推荐三名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restart"/>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2.1.1</w:t>
            </w:r>
          </w:p>
        </w:tc>
        <w:tc>
          <w:tcPr>
            <w:tcW w:w="938"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形式评审标准</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投标函及投标函附录签字盖章</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有法定代表人或被授权人签字（或盖章）并加盖单位章。由法定代表人签字的，应附法定代表人身份证明；由被授权人签字的，应附法定代表人身份证明及授权委托书；符合第六章“投标文件格式”的规定。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投标文件格式</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kern w:val="0"/>
                <w:szCs w:val="21"/>
                <w:highlight w:val="none"/>
                <w:u w:val="single"/>
              </w:rPr>
            </w:pPr>
            <w:r>
              <w:rPr>
                <w:rFonts w:hint="eastAsia" w:ascii="宋体" w:hAnsi="宋体" w:cs="宋体"/>
                <w:kern w:val="0"/>
                <w:szCs w:val="21"/>
                <w:highlight w:val="none"/>
                <w:u w:val="single"/>
              </w:rPr>
              <w:t>符合第六章“投标文件格式”格式的规定；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pacing w:val="-7"/>
                <w:szCs w:val="21"/>
                <w:highlight w:val="none"/>
              </w:rPr>
              <w:t>备选投标方案</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kern w:val="0"/>
                <w:szCs w:val="21"/>
                <w:highlight w:val="none"/>
                <w:u w:val="single"/>
              </w:rPr>
              <w:t>不接受备选投标方案</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1319" w:hRule="atLeast"/>
        </w:trPr>
        <w:tc>
          <w:tcPr>
            <w:tcW w:w="812" w:type="dxa"/>
            <w:vMerge w:val="continue"/>
            <w:tcBorders>
              <w:top w:val="nil"/>
              <w:bottom w:val="single" w:color="auto" w:sz="4" w:space="0"/>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right w:val="single" w:color="auto" w:sz="4" w:space="0"/>
            </w:tcBorders>
            <w:vAlign w:val="center"/>
          </w:tcPr>
          <w:p>
            <w:pPr>
              <w:spacing w:line="360" w:lineRule="auto"/>
              <w:rPr>
                <w:rFonts w:ascii="宋体" w:hAnsi="宋体" w:cs="宋体"/>
                <w:szCs w:val="21"/>
                <w:highlight w:val="none"/>
              </w:rPr>
            </w:pPr>
          </w:p>
        </w:tc>
        <w:tc>
          <w:tcPr>
            <w:tcW w:w="1518"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投标人机器码</w:t>
            </w:r>
          </w:p>
        </w:tc>
        <w:tc>
          <w:tcPr>
            <w:tcW w:w="6959" w:type="dxa"/>
            <w:tcBorders>
              <w:top w:val="single" w:color="auto" w:sz="4" w:space="0"/>
              <w:lef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2.1.2</w:t>
            </w:r>
          </w:p>
        </w:tc>
        <w:tc>
          <w:tcPr>
            <w:tcW w:w="93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kern w:val="0"/>
                <w:szCs w:val="21"/>
                <w:highlight w:val="none"/>
              </w:rPr>
              <w:t>资格评审标准</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营业执照和组织机构代码证</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ind w:right="71" w:rightChars="34"/>
              <w:jc w:val="left"/>
              <w:rPr>
                <w:rFonts w:ascii="宋体" w:hAnsi="宋体" w:cs="宋体"/>
                <w:kern w:val="0"/>
                <w:szCs w:val="21"/>
                <w:highlight w:val="none"/>
              </w:rPr>
            </w:pPr>
            <w:r>
              <w:rPr>
                <w:rFonts w:hint="eastAsia" w:ascii="宋体" w:hAnsi="宋体" w:cs="宋体"/>
                <w:kern w:val="0"/>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583" w:hRule="atLeas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资质要求</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630" w:hRule="atLeas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总监理工程师</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其他要求</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szCs w:val="21"/>
                <w:highlight w:val="none"/>
              </w:rPr>
            </w:pPr>
            <w:r>
              <w:rPr>
                <w:rFonts w:hint="eastAsia" w:ascii="宋体" w:hAnsi="宋体" w:cs="宋体"/>
                <w:szCs w:val="21"/>
                <w:highlight w:val="none"/>
              </w:rPr>
              <w:t>联合体投标人</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szCs w:val="21"/>
                <w:highlight w:val="none"/>
              </w:rPr>
            </w:pPr>
            <w:r>
              <w:rPr>
                <w:rFonts w:hint="eastAsia" w:ascii="宋体" w:hAnsi="宋体" w:cs="宋体"/>
                <w:szCs w:val="21"/>
                <w:highlight w:val="none"/>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kern w:val="0"/>
                <w:szCs w:val="21"/>
                <w:highlight w:val="none"/>
              </w:rPr>
            </w:pPr>
            <w:r>
              <w:rPr>
                <w:rFonts w:hint="eastAsia" w:ascii="宋体" w:hAnsi="宋体" w:cs="宋体"/>
                <w:szCs w:val="21"/>
                <w:highlight w:val="none"/>
              </w:rPr>
              <w:t>不存在禁止投标的情形</w:t>
            </w:r>
          </w:p>
        </w:tc>
        <w:tc>
          <w:tcPr>
            <w:tcW w:w="6959" w:type="dxa"/>
            <w:tcBorders>
              <w:top w:val="single" w:color="auto" w:sz="4" w:space="0"/>
              <w:left w:val="single" w:color="auto" w:sz="4" w:space="0"/>
              <w:bottom w:val="single" w:color="auto" w:sz="4" w:space="0"/>
            </w:tcBorders>
            <w:vAlign w:val="center"/>
          </w:tcPr>
          <w:p>
            <w:pPr>
              <w:widowControl/>
              <w:spacing w:before="100" w:beforeAutospacing="1" w:after="100" w:afterAutospacing="1" w:line="360" w:lineRule="auto"/>
              <w:jc w:val="left"/>
              <w:rPr>
                <w:rFonts w:ascii="宋体" w:hAnsi="宋体" w:cs="宋体"/>
                <w:kern w:val="0"/>
                <w:szCs w:val="21"/>
                <w:highlight w:val="none"/>
              </w:rPr>
            </w:pPr>
            <w:r>
              <w:rPr>
                <w:rFonts w:hint="eastAsia" w:ascii="宋体" w:hAnsi="宋体" w:cs="宋体"/>
                <w:kern w:val="0"/>
                <w:szCs w:val="21"/>
                <w:highlight w:val="none"/>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817" w:hRule="atLeast"/>
        </w:trPr>
        <w:tc>
          <w:tcPr>
            <w:tcW w:w="812" w:type="dxa"/>
            <w:vMerge w:val="restart"/>
            <w:tcBorders>
              <w:top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2.1.3</w:t>
            </w:r>
          </w:p>
        </w:tc>
        <w:tc>
          <w:tcPr>
            <w:tcW w:w="93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响应性评审标准</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投标报价</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投标内容</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服务期限</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jc w:val="center"/>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质量标准</w:t>
            </w:r>
          </w:p>
        </w:tc>
        <w:tc>
          <w:tcPr>
            <w:tcW w:w="6959" w:type="dxa"/>
            <w:tcBorders>
              <w:top w:val="single" w:color="auto" w:sz="4" w:space="0"/>
              <w:left w:val="single" w:color="auto" w:sz="4" w:space="0"/>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Pr>
        <w:tc>
          <w:tcPr>
            <w:tcW w:w="812" w:type="dxa"/>
            <w:vMerge w:val="continue"/>
            <w:tcBorders>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rPr>
                <w:rFonts w:ascii="宋体" w:hAnsi="宋体" w:cs="宋体"/>
                <w:szCs w:val="21"/>
                <w:highlight w:val="none"/>
              </w:rPr>
            </w:pPr>
          </w:p>
        </w:tc>
        <w:tc>
          <w:tcPr>
            <w:tcW w:w="1518"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6959" w:type="dxa"/>
            <w:tcBorders>
              <w:top w:val="single" w:color="auto" w:sz="4" w:space="0"/>
              <w:left w:val="single" w:color="auto" w:sz="4" w:space="0"/>
              <w:bottom w:val="single" w:color="auto" w:sz="4" w:space="0"/>
            </w:tcBorders>
          </w:tcPr>
          <w:p>
            <w:pPr>
              <w:spacing w:line="360" w:lineRule="auto"/>
              <w:rPr>
                <w:rFonts w:ascii="宋体" w:hAnsi="宋体" w:cs="宋体"/>
                <w:szCs w:val="21"/>
                <w:highlight w:val="none"/>
              </w:rPr>
            </w:pPr>
            <w:r>
              <w:rPr>
                <w:rFonts w:hint="eastAsia" w:ascii="宋体" w:hAnsi="宋体" w:cs="宋体"/>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cantSplit/>
          <w:trHeight w:val="830" w:hRule="atLeast"/>
        </w:trPr>
        <w:tc>
          <w:tcPr>
            <w:tcW w:w="812" w:type="dxa"/>
            <w:vMerge w:val="continue"/>
            <w:tcBorders>
              <w:right w:val="single" w:color="auto" w:sz="4" w:space="0"/>
            </w:tcBorders>
            <w:vAlign w:val="center"/>
          </w:tcPr>
          <w:p>
            <w:pPr>
              <w:spacing w:line="360" w:lineRule="auto"/>
              <w:rPr>
                <w:rFonts w:ascii="宋体" w:hAnsi="宋体" w:cs="宋体"/>
                <w:szCs w:val="21"/>
                <w:highlight w:val="none"/>
              </w:rPr>
            </w:pPr>
          </w:p>
        </w:tc>
        <w:tc>
          <w:tcPr>
            <w:tcW w:w="938" w:type="dxa"/>
            <w:vMerge w:val="continue"/>
            <w:tcBorders>
              <w:left w:val="single" w:color="auto" w:sz="4" w:space="0"/>
              <w:right w:val="single" w:color="auto" w:sz="4" w:space="0"/>
            </w:tcBorders>
            <w:vAlign w:val="center"/>
          </w:tcPr>
          <w:p>
            <w:pPr>
              <w:spacing w:line="360" w:lineRule="auto"/>
              <w:rPr>
                <w:rFonts w:ascii="宋体" w:hAnsi="宋体" w:cs="宋体"/>
                <w:szCs w:val="21"/>
                <w:highlight w:val="none"/>
              </w:rPr>
            </w:pPr>
          </w:p>
        </w:tc>
        <w:tc>
          <w:tcPr>
            <w:tcW w:w="1518"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center"/>
              <w:rPr>
                <w:rFonts w:ascii="宋体" w:hAnsi="宋体" w:cs="宋体"/>
                <w:szCs w:val="21"/>
                <w:highlight w:val="none"/>
              </w:rPr>
            </w:pPr>
            <w:r>
              <w:rPr>
                <w:rFonts w:hint="eastAsia" w:ascii="宋体" w:hAnsi="宋体" w:cs="宋体"/>
                <w:kern w:val="0"/>
                <w:szCs w:val="21"/>
                <w:highlight w:val="none"/>
              </w:rPr>
              <w:t>串通投标情形</w:t>
            </w:r>
          </w:p>
        </w:tc>
        <w:tc>
          <w:tcPr>
            <w:tcW w:w="6959" w:type="dxa"/>
            <w:tcBorders>
              <w:top w:val="single" w:color="auto" w:sz="4" w:space="0"/>
              <w:left w:val="single" w:color="auto" w:sz="4" w:space="0"/>
            </w:tcBorders>
          </w:tcPr>
          <w:p>
            <w:pPr>
              <w:widowControl/>
              <w:spacing w:before="100" w:beforeAutospacing="1" w:after="100" w:afterAutospacing="1" w:line="360" w:lineRule="auto"/>
              <w:jc w:val="left"/>
              <w:rPr>
                <w:rFonts w:ascii="宋体" w:hAnsi="宋体" w:cs="宋体"/>
                <w:szCs w:val="21"/>
                <w:highlight w:val="none"/>
              </w:rPr>
            </w:pPr>
            <w:r>
              <w:rPr>
                <w:rFonts w:hint="eastAsia" w:ascii="宋体" w:hAnsi="宋体" w:cs="宋体"/>
                <w:kern w:val="0"/>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70" w:hRule="atLeast"/>
        </w:trPr>
        <w:tc>
          <w:tcPr>
            <w:tcW w:w="1750" w:type="dxa"/>
            <w:gridSpan w:val="2"/>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1518" w:type="dxa"/>
            <w:gridSpan w:val="2"/>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条款内容</w:t>
            </w:r>
          </w:p>
        </w:tc>
        <w:tc>
          <w:tcPr>
            <w:tcW w:w="6959" w:type="dxa"/>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710" w:hRule="atLeast"/>
        </w:trPr>
        <w:tc>
          <w:tcPr>
            <w:tcW w:w="175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2.2.1</w:t>
            </w:r>
          </w:p>
        </w:tc>
        <w:tc>
          <w:tcPr>
            <w:tcW w:w="1518"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分值构成</w:t>
            </w:r>
          </w:p>
          <w:p>
            <w:pPr>
              <w:spacing w:line="360" w:lineRule="auto"/>
              <w:rPr>
                <w:rFonts w:ascii="宋体" w:hAnsi="宋体" w:cs="宋体"/>
                <w:szCs w:val="21"/>
                <w:highlight w:val="none"/>
              </w:rPr>
            </w:pPr>
            <w:r>
              <w:rPr>
                <w:rFonts w:hint="eastAsia" w:ascii="宋体" w:hAnsi="宋体" w:cs="宋体"/>
                <w:szCs w:val="21"/>
                <w:highlight w:val="none"/>
              </w:rPr>
              <w:t xml:space="preserve">(总分100分) </w:t>
            </w:r>
          </w:p>
        </w:tc>
        <w:tc>
          <w:tcPr>
            <w:tcW w:w="6959" w:type="dxa"/>
            <w:vAlign w:val="center"/>
          </w:tcPr>
          <w:p>
            <w:pPr>
              <w:rPr>
                <w:rFonts w:ascii="宋体" w:hAnsi="宋体" w:cs="宋体"/>
                <w:szCs w:val="21"/>
                <w:highlight w:val="none"/>
                <w:u w:val="single"/>
              </w:rPr>
            </w:pPr>
            <w:r>
              <w:rPr>
                <w:rFonts w:hint="eastAsia" w:ascii="宋体" w:hAnsi="宋体" w:cs="宋体"/>
                <w:szCs w:val="21"/>
                <w:highlight w:val="none"/>
                <w:u w:val="single"/>
              </w:rPr>
              <w:t>资信业绩部分：45分</w:t>
            </w:r>
          </w:p>
          <w:p>
            <w:pPr>
              <w:rPr>
                <w:rFonts w:ascii="宋体" w:hAnsi="宋体" w:cs="宋体"/>
                <w:szCs w:val="21"/>
                <w:highlight w:val="none"/>
                <w:u w:val="single"/>
              </w:rPr>
            </w:pPr>
            <w:r>
              <w:rPr>
                <w:rFonts w:hint="eastAsia" w:ascii="宋体" w:hAnsi="宋体" w:cs="宋体"/>
                <w:szCs w:val="21"/>
                <w:highlight w:val="none"/>
                <w:u w:val="single"/>
              </w:rPr>
              <w:t>监理大纲部分：35分</w:t>
            </w:r>
          </w:p>
          <w:p>
            <w:pPr>
              <w:rPr>
                <w:rFonts w:ascii="宋体" w:hAnsi="宋体" w:cs="宋体"/>
                <w:szCs w:val="21"/>
                <w:highlight w:val="none"/>
                <w:u w:val="single"/>
              </w:rPr>
            </w:pPr>
            <w:r>
              <w:rPr>
                <w:rFonts w:hint="eastAsia" w:ascii="宋体" w:hAnsi="宋体" w:cs="宋体"/>
                <w:szCs w:val="21"/>
                <w:highlight w:val="none"/>
                <w:u w:val="single"/>
              </w:rPr>
              <w:t>投标报价：10分</w:t>
            </w:r>
          </w:p>
          <w:p>
            <w:pPr>
              <w:rPr>
                <w:rFonts w:ascii="宋体" w:hAnsi="宋体" w:cs="宋体"/>
                <w:b/>
                <w:szCs w:val="21"/>
                <w:highlight w:val="none"/>
              </w:rPr>
            </w:pPr>
            <w:r>
              <w:rPr>
                <w:rFonts w:hint="eastAsia" w:ascii="宋体" w:hAnsi="宋体" w:cs="宋体"/>
                <w:szCs w:val="21"/>
                <w:highlight w:val="none"/>
                <w:u w:val="single"/>
              </w:rPr>
              <w:t>其他评分因素：投标人诚信得分10分</w:t>
            </w:r>
          </w:p>
          <w:p>
            <w:pPr>
              <w:rPr>
                <w:rFonts w:ascii="宋体" w:hAnsi="宋体" w:cs="宋体"/>
                <w:szCs w:val="21"/>
                <w:highlight w:val="none"/>
              </w:rPr>
            </w:pPr>
            <w:r>
              <w:rPr>
                <w:rFonts w:hint="eastAsia" w:ascii="宋体" w:hAnsi="宋体" w:cs="宋体"/>
                <w:szCs w:val="21"/>
                <w:highlight w:val="none"/>
              </w:rPr>
              <w:t>(注:投标人诚信得分=企业的诚信综合评价排名得分*10%。企业的诚信综合评价排名得分以投标截止当日广州市工程招标代理行业协会网站监理企业专栏上公布的企业60日诚信分得分为准。企业诚信综合诚信评价排名得分以</w:t>
            </w:r>
            <w:r>
              <w:rPr>
                <w:rFonts w:hint="eastAsia" w:ascii="宋体" w:hAnsi="宋体" w:cs="宋体"/>
                <w:b/>
                <w:bCs/>
                <w:szCs w:val="21"/>
                <w:highlight w:val="none"/>
              </w:rPr>
              <w:t>监理-房建</w:t>
            </w:r>
            <w:r>
              <w:rPr>
                <w:rFonts w:hint="eastAsia" w:ascii="宋体" w:hAnsi="宋体" w:cs="宋体"/>
                <w:szCs w:val="21"/>
                <w:highlight w:val="none"/>
              </w:rPr>
              <w:t>排名得分为准。）</w:t>
            </w:r>
          </w:p>
          <w:p>
            <w:pPr>
              <w:pStyle w:val="12"/>
              <w:ind w:firstLine="0"/>
              <w:rPr>
                <w:highlight w:val="none"/>
              </w:rPr>
            </w:pPr>
            <w:r>
              <w:rPr>
                <w:rFonts w:hint="eastAsia"/>
                <w:highlight w:val="none"/>
              </w:rPr>
              <w:t>投标人得分=</w:t>
            </w:r>
            <w:r>
              <w:rPr>
                <w:rFonts w:hint="eastAsia" w:ascii="宋体" w:hAnsi="宋体" w:cs="宋体"/>
                <w:szCs w:val="21"/>
                <w:highlight w:val="none"/>
              </w:rPr>
              <w:t>资信业绩部分+监理大纲部分+投标报价+投标人诚信得分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512" w:hRule="atLeast"/>
        </w:trPr>
        <w:tc>
          <w:tcPr>
            <w:tcW w:w="175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2.2.2</w:t>
            </w:r>
          </w:p>
        </w:tc>
        <w:tc>
          <w:tcPr>
            <w:tcW w:w="1518"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评标基准价计算方法</w:t>
            </w:r>
          </w:p>
        </w:tc>
        <w:tc>
          <w:tcPr>
            <w:tcW w:w="6959" w:type="dxa"/>
            <w:vAlign w:val="center"/>
          </w:tcPr>
          <w:p>
            <w:pPr>
              <w:spacing w:line="360" w:lineRule="auto"/>
              <w:rPr>
                <w:rFonts w:ascii="宋体" w:hAnsi="宋体" w:cs="宋体"/>
                <w:szCs w:val="21"/>
                <w:highlight w:val="none"/>
              </w:rPr>
            </w:pPr>
            <w:r>
              <w:rPr>
                <w:rFonts w:hint="eastAsia" w:ascii="宋体" w:hAnsi="宋体" w:cs="宋体"/>
                <w:szCs w:val="21"/>
                <w:highlight w:val="none"/>
              </w:rPr>
              <w:t>当通过初步评审且位于[最高投标限价×90%，最高投标限价]区间的投标价中的有效投标人大于或等于5名时，所有入围的有效投标价中去掉一个最高价和一个最低价，取余下有效投标价的算术平均值的作为评标参考价。当通过初步评审且位于[最高投标限价×90%，最高投标限价]区间的投标价中的有效投标人小于5名时，取所有入围的有效投标价的算术平均值的作为评标参考价。若当通过初步评审且没有投标价位于[最高投标限价×90%，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808" w:hRule="atLeast"/>
        </w:trPr>
        <w:tc>
          <w:tcPr>
            <w:tcW w:w="1750"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2.2.3</w:t>
            </w:r>
          </w:p>
        </w:tc>
        <w:tc>
          <w:tcPr>
            <w:tcW w:w="1518" w:type="dxa"/>
            <w:gridSpan w:val="2"/>
            <w:vAlign w:val="center"/>
          </w:tcPr>
          <w:p>
            <w:pPr>
              <w:spacing w:line="360" w:lineRule="auto"/>
              <w:rPr>
                <w:rFonts w:ascii="宋体" w:hAnsi="宋体" w:cs="宋体"/>
                <w:szCs w:val="21"/>
                <w:highlight w:val="none"/>
              </w:rPr>
            </w:pPr>
            <w:r>
              <w:rPr>
                <w:rFonts w:hint="eastAsia" w:ascii="宋体" w:hAnsi="宋体" w:cs="宋体"/>
                <w:szCs w:val="21"/>
                <w:highlight w:val="none"/>
              </w:rPr>
              <w:t>投标报价的偏差率计算公式</w:t>
            </w:r>
          </w:p>
        </w:tc>
        <w:tc>
          <w:tcPr>
            <w:tcW w:w="6959" w:type="dxa"/>
            <w:vAlign w:val="center"/>
          </w:tcPr>
          <w:p>
            <w:pPr>
              <w:ind w:right="-84" w:rightChars="-40"/>
              <w:rPr>
                <w:rFonts w:ascii="宋体" w:hAnsi="宋体" w:cs="宋体"/>
                <w:szCs w:val="21"/>
                <w:highlight w:val="none"/>
              </w:rPr>
            </w:pPr>
            <w:r>
              <w:rPr>
                <w:rFonts w:hint="eastAsia" w:ascii="宋体" w:hAnsi="宋体" w:cs="宋体"/>
                <w:szCs w:val="21"/>
                <w:highlight w:val="none"/>
              </w:rPr>
              <w:t>偏差率= ∣投标人有效投标报价—评标基准价∣/评标基准价*100% ，</w:t>
            </w:r>
          </w:p>
          <w:p>
            <w:pPr>
              <w:rPr>
                <w:rFonts w:ascii="宋体" w:hAnsi="宋体" w:cs="宋体"/>
                <w:szCs w:val="21"/>
                <w:highlight w:val="none"/>
              </w:rPr>
            </w:pPr>
            <w:r>
              <w:rPr>
                <w:rFonts w:hint="eastAsia" w:ascii="宋体" w:hAnsi="宋体" w:cs="宋体"/>
                <w:szCs w:val="21"/>
                <w:highlight w:val="none"/>
              </w:rPr>
              <w:t>（偏差率四舍五入保留2位小数，报价偏差率不足1%的，按直线内插法计算投标报价得分）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124" w:hRule="atLeast"/>
        </w:trPr>
        <w:tc>
          <w:tcPr>
            <w:tcW w:w="1750"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条款号</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评分因素</w:t>
            </w:r>
          </w:p>
        </w:tc>
        <w:tc>
          <w:tcPr>
            <w:tcW w:w="69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8" w:hRule="atLeast"/>
        </w:trPr>
        <w:tc>
          <w:tcPr>
            <w:tcW w:w="812"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2.2.4（1）</w:t>
            </w:r>
          </w:p>
        </w:tc>
        <w:tc>
          <w:tcPr>
            <w:tcW w:w="952" w:type="dxa"/>
            <w:gridSpan w:val="2"/>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企业资信业绩评分标</w:t>
            </w:r>
          </w:p>
          <w:p>
            <w:pPr>
              <w:snapToGrid w:val="0"/>
              <w:spacing w:line="360" w:lineRule="auto"/>
              <w:rPr>
                <w:rFonts w:ascii="宋体" w:hAnsi="宋体" w:cs="宋体"/>
                <w:szCs w:val="21"/>
                <w:highlight w:val="none"/>
              </w:rPr>
            </w:pPr>
            <w:r>
              <w:rPr>
                <w:rFonts w:hint="eastAsia" w:ascii="宋体" w:hAnsi="宋体" w:cs="宋体"/>
                <w:szCs w:val="21"/>
                <w:highlight w:val="none"/>
              </w:rPr>
              <w:t>准（45分）</w:t>
            </w: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类似监理业绩</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（4分）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投标人2019年1月1日至今，每完成过一个质量合格的类似工程监理业绩得</w:t>
            </w:r>
            <w:r>
              <w:rPr>
                <w:rFonts w:ascii="宋体" w:hAnsi="宋体" w:cs="宋体"/>
                <w:kern w:val="0"/>
                <w:szCs w:val="21"/>
                <w:highlight w:val="none"/>
              </w:rPr>
              <w:t>2</w:t>
            </w:r>
            <w:r>
              <w:rPr>
                <w:rFonts w:hint="eastAsia" w:ascii="宋体" w:hAnsi="宋体" w:cs="宋体"/>
                <w:kern w:val="0"/>
                <w:szCs w:val="21"/>
                <w:highlight w:val="none"/>
              </w:rPr>
              <w:t>分，本项最多得4分。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3"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获奖监理业绩</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（6分）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投标人2019年1月1日至今，承接的类似工程奖项情况：</w:t>
            </w:r>
          </w:p>
          <w:p>
            <w:pPr>
              <w:snapToGrid w:val="0"/>
              <w:spacing w:line="360" w:lineRule="auto"/>
              <w:ind w:leftChars="-10" w:right="-13" w:hanging="21" w:hangingChars="10"/>
              <w:rPr>
                <w:rFonts w:ascii="宋体" w:hAnsi="宋体" w:cs="宋体"/>
                <w:kern w:val="0"/>
                <w:szCs w:val="21"/>
                <w:highlight w:val="none"/>
              </w:rPr>
            </w:pPr>
            <w:r>
              <w:rPr>
                <w:rFonts w:hint="eastAsia" w:ascii="宋体" w:hAnsi="宋体" w:cs="宋体"/>
                <w:kern w:val="0"/>
                <w:szCs w:val="21"/>
                <w:highlight w:val="none"/>
              </w:rPr>
              <w:t>1、获得国家级奖项的每个得2分，最多得</w:t>
            </w:r>
            <w:r>
              <w:rPr>
                <w:rFonts w:ascii="宋体" w:hAnsi="宋体" w:cs="宋体"/>
                <w:kern w:val="0"/>
                <w:szCs w:val="21"/>
                <w:highlight w:val="none"/>
              </w:rPr>
              <w:t>6</w:t>
            </w:r>
            <w:r>
              <w:rPr>
                <w:rFonts w:hint="eastAsia" w:ascii="宋体" w:hAnsi="宋体" w:cs="宋体"/>
                <w:kern w:val="0"/>
                <w:szCs w:val="21"/>
                <w:highlight w:val="none"/>
              </w:rPr>
              <w:t>分；</w:t>
            </w:r>
          </w:p>
          <w:p>
            <w:pPr>
              <w:snapToGrid w:val="0"/>
              <w:spacing w:line="360" w:lineRule="auto"/>
              <w:ind w:leftChars="-10" w:right="-13" w:hanging="21" w:hangingChars="10"/>
              <w:rPr>
                <w:rFonts w:ascii="宋体" w:hAnsi="宋体" w:cs="宋体"/>
                <w:kern w:val="0"/>
                <w:szCs w:val="21"/>
                <w:highlight w:val="none"/>
              </w:rPr>
            </w:pPr>
            <w:r>
              <w:rPr>
                <w:rFonts w:hint="eastAsia" w:ascii="宋体" w:hAnsi="宋体" w:cs="宋体"/>
                <w:kern w:val="0"/>
                <w:szCs w:val="21"/>
                <w:highlight w:val="none"/>
              </w:rPr>
              <w:t>2、获得省级奖项的每项得1分，最多得</w:t>
            </w:r>
            <w:r>
              <w:rPr>
                <w:rFonts w:ascii="宋体" w:hAnsi="宋体" w:cs="宋体"/>
                <w:kern w:val="0"/>
                <w:szCs w:val="21"/>
                <w:highlight w:val="none"/>
              </w:rPr>
              <w:t>3</w:t>
            </w:r>
            <w:r>
              <w:rPr>
                <w:rFonts w:hint="eastAsia" w:ascii="宋体" w:hAnsi="宋体" w:cs="宋体"/>
                <w:kern w:val="0"/>
                <w:szCs w:val="21"/>
                <w:highlight w:val="none"/>
              </w:rPr>
              <w:t>分；</w:t>
            </w:r>
          </w:p>
          <w:p>
            <w:pPr>
              <w:snapToGrid w:val="0"/>
              <w:spacing w:line="360" w:lineRule="auto"/>
              <w:ind w:leftChars="-10" w:right="-13" w:hanging="21" w:hangingChars="10"/>
              <w:rPr>
                <w:rFonts w:ascii="宋体" w:hAnsi="宋体" w:cs="宋体"/>
                <w:kern w:val="0"/>
                <w:szCs w:val="21"/>
                <w:highlight w:val="none"/>
              </w:rPr>
            </w:pPr>
            <w:r>
              <w:rPr>
                <w:rFonts w:hint="eastAsia" w:ascii="宋体" w:hAnsi="宋体" w:cs="宋体"/>
                <w:kern w:val="0"/>
                <w:szCs w:val="21"/>
                <w:highlight w:val="none"/>
              </w:rPr>
              <w:t>3、获得市级奖项的每项得0.5分，最多得</w:t>
            </w:r>
            <w:r>
              <w:rPr>
                <w:rFonts w:ascii="宋体" w:hAnsi="宋体" w:cs="宋体"/>
                <w:kern w:val="0"/>
                <w:szCs w:val="21"/>
                <w:highlight w:val="none"/>
              </w:rPr>
              <w:t>1</w:t>
            </w:r>
            <w:r>
              <w:rPr>
                <w:rFonts w:hint="eastAsia" w:ascii="宋体" w:hAnsi="宋体" w:cs="宋体"/>
                <w:kern w:val="0"/>
                <w:szCs w:val="21"/>
                <w:highlight w:val="none"/>
              </w:rPr>
              <w:t>分；</w:t>
            </w:r>
          </w:p>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本评分项最多得</w:t>
            </w:r>
            <w:r>
              <w:rPr>
                <w:rFonts w:ascii="宋体" w:hAnsi="宋体" w:cs="宋体"/>
                <w:kern w:val="0"/>
                <w:szCs w:val="21"/>
                <w:highlight w:val="none"/>
              </w:rPr>
              <w:t>6</w:t>
            </w:r>
            <w:r>
              <w:rPr>
                <w:rFonts w:hint="eastAsia" w:ascii="宋体" w:hAnsi="宋体" w:cs="宋体"/>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总监理工程师</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（2分）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具备工程类中级职称或以上职称的得2分。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88"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其他主要人员</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（6分）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highlight w:val="none"/>
              </w:rPr>
            </w:pPr>
            <w:r>
              <w:rPr>
                <w:rFonts w:hint="eastAsia" w:ascii="宋体" w:hAnsi="宋体"/>
                <w:szCs w:val="21"/>
                <w:highlight w:val="none"/>
              </w:rPr>
              <w:t>配备的人员中（不含总监）：</w:t>
            </w:r>
          </w:p>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1、满足《项目监理人员组成配备要求表》得2分，不满足则不得分。</w:t>
            </w:r>
          </w:p>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2、在满足《项目监理人员组成配备要求表》基础上，拟投入的人员具有高级工程师（或以上）职称的，每人得1分，最高得4分；</w:t>
            </w:r>
          </w:p>
          <w:p>
            <w:pPr>
              <w:pStyle w:val="2"/>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本项最高得6分。</w:t>
            </w:r>
          </w:p>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备注：投入监理人员的专业以其注册监理工程师注册执业证书或职称证上所列的相关专业为准。如同一专业配置多名人员的仅按一名最高级别计算得分。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2"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企业信誉（6分）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投标人自2019至今曾获得过省级或以上科技创新企业称号的每次得2分，最多得6分，没有的不得分。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2" w:hRule="atLeast"/>
        </w:trPr>
        <w:tc>
          <w:tcPr>
            <w:tcW w:w="812" w:type="dxa"/>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952" w:type="dxa"/>
            <w:gridSpan w:val="2"/>
            <w:vMerge w:val="continue"/>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财务状况（5分）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被评为A级纳税人称号的单位，按连续年份的长短排名，第1-2名的得5分，第3-4名的得3分，第5名及之后的得1分，没有的不得分。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高新企业</w:t>
            </w:r>
          </w:p>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（6分）</w:t>
            </w:r>
          </w:p>
        </w:tc>
        <w:tc>
          <w:tcPr>
            <w:tcW w:w="6973" w:type="dxa"/>
            <w:gridSpan w:val="2"/>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投标人具有高新技术企业证书且在有效期内的，得6分。没有的不得分。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9"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企业技术管理能力</w:t>
            </w:r>
          </w:p>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（10分）</w:t>
            </w:r>
          </w:p>
        </w:tc>
        <w:tc>
          <w:tcPr>
            <w:tcW w:w="6973" w:type="dxa"/>
            <w:gridSpan w:val="2"/>
            <w:tcBorders>
              <w:top w:val="single" w:color="auto" w:sz="4" w:space="0"/>
              <w:left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投标人</w:t>
            </w:r>
            <w:r>
              <w:rPr>
                <w:rFonts w:ascii="宋体" w:hAnsi="宋体" w:cs="宋体"/>
                <w:kern w:val="0"/>
                <w:szCs w:val="21"/>
                <w:highlight w:val="none"/>
              </w:rPr>
              <w:t>2019</w:t>
            </w:r>
            <w:r>
              <w:rPr>
                <w:rFonts w:hint="eastAsia" w:ascii="宋体" w:hAnsi="宋体" w:cs="宋体"/>
                <w:kern w:val="0"/>
                <w:szCs w:val="21"/>
                <w:highlight w:val="none"/>
              </w:rPr>
              <w:t>年</w:t>
            </w:r>
            <w:r>
              <w:rPr>
                <w:rFonts w:ascii="宋体" w:hAnsi="宋体" w:cs="宋体"/>
                <w:kern w:val="0"/>
                <w:szCs w:val="21"/>
                <w:highlight w:val="none"/>
              </w:rPr>
              <w:t>1</w:t>
            </w:r>
            <w:r>
              <w:rPr>
                <w:rFonts w:hint="eastAsia" w:ascii="宋体" w:hAnsi="宋体" w:cs="宋体"/>
                <w:kern w:val="0"/>
                <w:szCs w:val="21"/>
                <w:highlight w:val="none"/>
              </w:rPr>
              <w:t>月</w:t>
            </w:r>
            <w:r>
              <w:rPr>
                <w:rFonts w:ascii="宋体" w:hAnsi="宋体" w:cs="宋体"/>
                <w:kern w:val="0"/>
                <w:szCs w:val="21"/>
                <w:highlight w:val="none"/>
              </w:rPr>
              <w:t>1</w:t>
            </w:r>
            <w:r>
              <w:rPr>
                <w:rFonts w:hint="eastAsia" w:ascii="宋体" w:hAnsi="宋体" w:cs="宋体"/>
                <w:kern w:val="0"/>
                <w:szCs w:val="21"/>
                <w:highlight w:val="none"/>
              </w:rPr>
              <w:t>日至今，投标人获得省级或以上工程类科学技术奖项的，每个奖项得1分，最多得</w:t>
            </w:r>
            <w:r>
              <w:rPr>
                <w:rFonts w:ascii="宋体" w:hAnsi="宋体" w:cs="宋体"/>
                <w:kern w:val="0"/>
                <w:szCs w:val="21"/>
                <w:highlight w:val="none"/>
              </w:rPr>
              <w:t>10</w:t>
            </w:r>
            <w:r>
              <w:rPr>
                <w:rFonts w:hint="eastAsia" w:ascii="宋体" w:hAnsi="宋体" w:cs="宋体"/>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812" w:type="dxa"/>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2.2.4（2）</w:t>
            </w:r>
          </w:p>
        </w:tc>
        <w:tc>
          <w:tcPr>
            <w:tcW w:w="952" w:type="dxa"/>
            <w:gridSpan w:val="2"/>
            <w:vMerge w:val="restart"/>
            <w:tcBorders>
              <w:top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监理大纲评分标准</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（35分）</w:t>
            </w: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质量控制措施</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要求目标明确、方法合理可行、措施具体、针对性强。方案为优得4分；良得3分；一般得2分；差不得分；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0" w:hRule="atLeast"/>
        </w:trPr>
        <w:tc>
          <w:tcPr>
            <w:tcW w:w="812" w:type="dxa"/>
            <w:vMerge w:val="continue"/>
            <w:tcBorders>
              <w:right w:val="single" w:color="auto" w:sz="4" w:space="0"/>
            </w:tcBorders>
            <w:vAlign w:val="center"/>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进度控制措施</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要求目标明确、方法合理可行、措施具体、针对性强。方案为优得4分；良得 3分；一般得2分；差不得分；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投资控制措施</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要求目标明确、方法合理可行、措施具体、针对性强。方案为优得4分；良得 3分；一般得2分；差不得分；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合同管理、信息管理</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（4分）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合同管理、信息管理方法、针对性强、措施具体、针对性强。方案为优得4分；良得3分；一般得2 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 xml:space="preserve">组织协调 </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协调方法清晰合理，有具体措施。方案为优得3分；良得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3"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安全、文明施工管理（3分）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安全、文明施工管理。方案为优得3分；良得2分；一般得1分；差不得分；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 xml:space="preserve">工作程序和制度  </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有清晰的工作流程图、工作准则。方案为优得3分；良得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 xml:space="preserve">会议制度  </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建立完善的工地会议制度。方案为优得3分；良得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工程进度款、工程结算的管理</w:t>
            </w:r>
          </w:p>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（3分）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管理方法合理有效、有具体措施。方案为优得3分；良得2分；一般得1分；差不得分。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812" w:type="dxa"/>
            <w:vMerge w:val="continue"/>
            <w:tcBorders>
              <w:right w:val="single" w:color="auto" w:sz="4" w:space="0"/>
            </w:tcBorders>
          </w:tcPr>
          <w:p>
            <w:pPr>
              <w:snapToGrid w:val="0"/>
              <w:spacing w:line="360" w:lineRule="auto"/>
              <w:rPr>
                <w:rFonts w:ascii="宋体" w:hAnsi="宋体" w:cs="宋体"/>
                <w:szCs w:val="21"/>
                <w:highlight w:val="none"/>
              </w:rPr>
            </w:pPr>
          </w:p>
        </w:tc>
        <w:tc>
          <w:tcPr>
            <w:tcW w:w="952" w:type="dxa"/>
            <w:gridSpan w:val="2"/>
            <w:vMerge w:val="continue"/>
            <w:tcBorders>
              <w:right w:val="single" w:color="auto" w:sz="4" w:space="0"/>
            </w:tcBorders>
          </w:tcPr>
          <w:p>
            <w:pPr>
              <w:snapToGrid w:val="0"/>
              <w:spacing w:line="360" w:lineRule="auto"/>
              <w:rPr>
                <w:rFonts w:ascii="宋体" w:hAnsi="宋体" w:cs="宋体"/>
                <w:szCs w:val="21"/>
                <w:highlight w:val="none"/>
              </w:rPr>
            </w:pPr>
          </w:p>
        </w:tc>
        <w:tc>
          <w:tcPr>
            <w:tcW w:w="150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jc w:val="center"/>
              <w:rPr>
                <w:rFonts w:ascii="宋体" w:hAnsi="宋体" w:cs="宋体"/>
                <w:szCs w:val="21"/>
                <w:highlight w:val="none"/>
              </w:rPr>
            </w:pPr>
            <w:r>
              <w:rPr>
                <w:rFonts w:hint="eastAsia" w:ascii="宋体" w:hAnsi="宋体" w:cs="宋体"/>
                <w:kern w:val="0"/>
                <w:szCs w:val="21"/>
                <w:highlight w:val="none"/>
              </w:rPr>
              <w:t>工作重点、难点分析（4分）</w:t>
            </w:r>
          </w:p>
        </w:tc>
        <w:tc>
          <w:tcPr>
            <w:tcW w:w="6973"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napToGrid w:val="0"/>
              <w:spacing w:line="360" w:lineRule="auto"/>
              <w:rPr>
                <w:rFonts w:ascii="宋体" w:hAnsi="宋体" w:cs="宋体"/>
                <w:szCs w:val="21"/>
                <w:highlight w:val="none"/>
              </w:rPr>
            </w:pPr>
            <w:r>
              <w:rPr>
                <w:rFonts w:hint="eastAsia" w:ascii="宋体" w:hAnsi="宋体" w:cs="宋体"/>
                <w:kern w:val="0"/>
                <w:szCs w:val="21"/>
                <w:highlight w:val="none"/>
              </w:rPr>
              <w:t>要求针对性强、措施具体、可操作。优得4分；中得 3分；差得2分；无措施不得分。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0" w:hRule="atLeast"/>
        </w:trPr>
        <w:tc>
          <w:tcPr>
            <w:tcW w:w="8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2.2.4（3）</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投标报价评分标准</w:t>
            </w:r>
          </w:p>
          <w:p>
            <w:pPr>
              <w:snapToGrid w:val="0"/>
              <w:spacing w:line="360" w:lineRule="auto"/>
              <w:jc w:val="center"/>
              <w:rPr>
                <w:rFonts w:ascii="宋体" w:hAnsi="宋体" w:cs="宋体"/>
                <w:szCs w:val="21"/>
                <w:highlight w:val="none"/>
              </w:rPr>
            </w:pPr>
            <w:r>
              <w:rPr>
                <w:rFonts w:hint="eastAsia" w:ascii="宋体" w:hAnsi="宋体" w:cs="宋体"/>
                <w:szCs w:val="21"/>
                <w:highlight w:val="none"/>
              </w:rPr>
              <w:t>(10分)</w:t>
            </w: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投标报价(10分)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szCs w:val="21"/>
                <w:highlight w:val="none"/>
              </w:rPr>
              <w:t>监理报价以竞争性报价形式的，监理报价得分以评标基准价作为计算各有效投标报价得分的基础，当有效投标报价等于评标基准价时得1</w:t>
            </w:r>
            <w:r>
              <w:rPr>
                <w:rFonts w:ascii="宋体" w:hAnsi="宋体"/>
                <w:szCs w:val="21"/>
                <w:highlight w:val="none"/>
              </w:rPr>
              <w:t>0</w:t>
            </w:r>
            <w:r>
              <w:rPr>
                <w:rFonts w:hint="eastAsia" w:ascii="宋体" w:hAnsi="宋体"/>
                <w:szCs w:val="21"/>
                <w:highlight w:val="none"/>
              </w:rPr>
              <w:t>分；投标有效投价与评标基准价相比，每上偏</w:t>
            </w:r>
            <w:r>
              <w:rPr>
                <w:rFonts w:ascii="宋体" w:hAnsi="宋体"/>
                <w:szCs w:val="21"/>
                <w:highlight w:val="none"/>
              </w:rPr>
              <w:t>1%</w:t>
            </w:r>
            <w:r>
              <w:rPr>
                <w:rFonts w:hint="eastAsia" w:ascii="宋体" w:hAnsi="宋体"/>
                <w:szCs w:val="21"/>
                <w:highlight w:val="none"/>
              </w:rPr>
              <w:t>扣0.5分，每下偏</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0.</w:t>
            </w:r>
            <w:r>
              <w:rPr>
                <w:rFonts w:hint="eastAsia" w:ascii="宋体" w:hAnsi="宋体"/>
                <w:szCs w:val="21"/>
                <w:highlight w:val="none"/>
              </w:rPr>
              <w:t>3分。最多扣</w:t>
            </w:r>
            <w:r>
              <w:rPr>
                <w:rFonts w:ascii="宋体" w:hAnsi="宋体"/>
                <w:szCs w:val="21"/>
                <w:highlight w:val="none"/>
              </w:rPr>
              <w:t>10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2" w:hRule="atLeast"/>
        </w:trPr>
        <w:tc>
          <w:tcPr>
            <w:tcW w:w="8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2.2.4（4）</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其他因素评分标准（10分）</w:t>
            </w:r>
          </w:p>
        </w:tc>
        <w:tc>
          <w:tcPr>
            <w:tcW w:w="1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诚信得分（10分）</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b/>
                <w:szCs w:val="21"/>
                <w:highlight w:val="none"/>
              </w:rPr>
              <w:t>投标人诚信得分</w:t>
            </w:r>
            <w:r>
              <w:rPr>
                <w:rFonts w:ascii="宋体" w:hAnsi="宋体" w:cs="宋体"/>
                <w:b/>
                <w:szCs w:val="21"/>
                <w:highlight w:val="none"/>
              </w:rPr>
              <w:t>=</w:t>
            </w:r>
            <w:r>
              <w:rPr>
                <w:rFonts w:hint="eastAsia" w:ascii="宋体" w:hAnsi="宋体" w:cs="宋体"/>
                <w:b/>
                <w:szCs w:val="21"/>
                <w:highlight w:val="none"/>
              </w:rPr>
              <w:t>企业的诚信综合评价排名得分×1</w:t>
            </w:r>
            <w:r>
              <w:rPr>
                <w:rFonts w:ascii="宋体" w:hAnsi="宋体" w:cs="宋体"/>
                <w:b/>
                <w:szCs w:val="21"/>
                <w:highlight w:val="none"/>
              </w:rPr>
              <w:t>0%</w:t>
            </w:r>
            <w:r>
              <w:rPr>
                <w:rFonts w:hint="eastAsia" w:ascii="宋体" w:hAnsi="宋体" w:cs="宋体"/>
                <w:b/>
                <w:szCs w:val="21"/>
                <w:highlight w:val="none"/>
              </w:rPr>
              <w:t>。</w:t>
            </w:r>
            <w:r>
              <w:rPr>
                <w:rFonts w:hint="eastAsia" w:ascii="宋体" w:hAnsi="宋体" w:cs="宋体"/>
                <w:szCs w:val="21"/>
                <w:highlight w:val="none"/>
              </w:rPr>
              <w:t>企业的诚信综合评价排名得分以投标截止当日广州市工程招标代理行业协会网站监理企业专栏上公布的企业</w:t>
            </w:r>
            <w:r>
              <w:rPr>
                <w:rFonts w:ascii="宋体" w:hAnsi="宋体" w:cs="宋体"/>
                <w:szCs w:val="21"/>
                <w:highlight w:val="none"/>
              </w:rPr>
              <w:t>60</w:t>
            </w:r>
            <w:r>
              <w:rPr>
                <w:rFonts w:hint="eastAsia" w:ascii="宋体" w:hAnsi="宋体" w:cs="宋体"/>
                <w:szCs w:val="21"/>
                <w:highlight w:val="none"/>
              </w:rPr>
              <w:t>日诚信分得分为准。企业诚信综合诚信评价排名得分以</w:t>
            </w:r>
            <w:r>
              <w:rPr>
                <w:rFonts w:hint="eastAsia" w:ascii="宋体" w:hAnsi="宋体" w:cs="宋体"/>
                <w:b/>
                <w:bCs/>
                <w:szCs w:val="21"/>
                <w:highlight w:val="none"/>
              </w:rPr>
              <w:t>监理</w:t>
            </w:r>
            <w:r>
              <w:rPr>
                <w:rFonts w:ascii="宋体" w:hAnsi="宋体" w:cs="宋体"/>
                <w:b/>
                <w:bCs/>
                <w:szCs w:val="21"/>
                <w:highlight w:val="none"/>
              </w:rPr>
              <w:t>-</w:t>
            </w:r>
            <w:r>
              <w:rPr>
                <w:rFonts w:hint="eastAsia" w:ascii="宋体" w:hAnsi="宋体" w:cs="宋体"/>
                <w:b/>
                <w:bCs/>
                <w:szCs w:val="21"/>
                <w:highlight w:val="none"/>
              </w:rPr>
              <w:t>房建</w:t>
            </w:r>
            <w:r>
              <w:rPr>
                <w:rFonts w:hint="eastAsia" w:ascii="宋体" w:hAnsi="宋体" w:cs="宋体"/>
                <w:szCs w:val="21"/>
                <w:highlight w:val="none"/>
              </w:rPr>
              <w:t>排名得分为准</w:t>
            </w:r>
            <w:r>
              <w:rPr>
                <w:rFonts w:hint="eastAsia" w:ascii="宋体" w:hAnsi="Courier New"/>
                <w:szCs w:val="21"/>
                <w:highlight w:val="none"/>
              </w:rPr>
              <w:t>。</w:t>
            </w:r>
          </w:p>
        </w:tc>
      </w:tr>
    </w:tbl>
    <w:p>
      <w:pPr>
        <w:rPr>
          <w:rFonts w:ascii="宋体" w:hAnsi="宋体"/>
          <w:szCs w:val="21"/>
          <w:highlight w:val="none"/>
        </w:rPr>
      </w:pPr>
      <w:r>
        <w:rPr>
          <w:rFonts w:hint="eastAsia" w:ascii="宋体" w:hAnsi="宋体"/>
          <w:szCs w:val="21"/>
          <w:highlight w:val="none"/>
        </w:rPr>
        <w:t>说明：</w:t>
      </w:r>
    </w:p>
    <w:p>
      <w:pPr>
        <w:pStyle w:val="12"/>
        <w:ind w:firstLine="630" w:firstLineChars="300"/>
        <w:rPr>
          <w:highlight w:val="none"/>
        </w:rPr>
      </w:pPr>
      <w:r>
        <w:rPr>
          <w:rFonts w:hint="eastAsia"/>
          <w:highlight w:val="none"/>
        </w:rPr>
        <w:t>（1）投标人的得分为各评委的评分的算术平均值。评分分数出现小数点时，保留小数点后二位，第三位小数四舍五入。</w:t>
      </w:r>
    </w:p>
    <w:p>
      <w:pPr>
        <w:pStyle w:val="12"/>
        <w:ind w:firstLine="630" w:firstLineChars="300"/>
        <w:rPr>
          <w:highlight w:val="none"/>
        </w:rPr>
      </w:pPr>
    </w:p>
    <w:p>
      <w:pPr>
        <w:pStyle w:val="12"/>
        <w:ind w:firstLine="630" w:firstLineChars="300"/>
        <w:rPr>
          <w:highlight w:val="none"/>
        </w:rPr>
      </w:pPr>
      <w:r>
        <w:rPr>
          <w:rFonts w:hint="eastAsia"/>
          <w:highlight w:val="none"/>
        </w:rPr>
        <w:t>（2）拟投入人员需</w:t>
      </w:r>
      <w:r>
        <w:rPr>
          <w:rFonts w:hint="eastAsia"/>
          <w:highlight w:val="none"/>
          <w:u w:val="single"/>
        </w:rPr>
        <w:t>提供近一个月（即2023年04月）</w:t>
      </w:r>
      <w:r>
        <w:rPr>
          <w:rFonts w:hint="eastAsia"/>
          <w:highlight w:val="none"/>
        </w:rPr>
        <w:t>的社保证明材料原件扫描件（社保缴纳期限包含疫情防控期的，若当地政府部门允许企业在疫情防控期间缓缴社会保险费的，投标人可提供当地政府部门允许缓缴社保的相关文件作为缴纳社保的证明。</w:t>
      </w:r>
    </w:p>
    <w:p>
      <w:pPr>
        <w:pStyle w:val="12"/>
        <w:ind w:firstLine="630" w:firstLineChars="300"/>
        <w:rPr>
          <w:highlight w:val="none"/>
        </w:rPr>
      </w:pPr>
    </w:p>
    <w:p>
      <w:pPr>
        <w:spacing w:after="123" w:line="300" w:lineRule="exact"/>
        <w:ind w:right="102" w:firstLine="420" w:firstLineChars="200"/>
        <w:rPr>
          <w:rFonts w:ascii="宋体" w:hAnsi="宋体"/>
          <w:highlight w:val="none"/>
        </w:rPr>
      </w:pPr>
      <w:r>
        <w:rPr>
          <w:rFonts w:hint="eastAsia" w:ascii="宋体" w:hAnsi="宋体"/>
          <w:highlight w:val="none"/>
        </w:rPr>
        <w:t>（3）类似工程：是指招标公告中3.1所述资质方能承接的房屋建筑工程，需同时提供中标通知书或免招标的相关证明、施工监理合同、竣工验收报告或竣工验收证明（至少具有建设单位、设计、施工和监理单位盖章），业绩时间以竣工验收报告或竣工验收证明出具时间为准。</w:t>
      </w:r>
    </w:p>
    <w:p>
      <w:pPr>
        <w:spacing w:after="123" w:line="300" w:lineRule="exact"/>
        <w:ind w:right="102" w:firstLine="420" w:firstLineChars="200"/>
        <w:rPr>
          <w:rFonts w:ascii="宋体" w:hAnsi="宋体"/>
          <w:highlight w:val="none"/>
        </w:rPr>
      </w:pPr>
      <w:r>
        <w:rPr>
          <w:rFonts w:hint="eastAsia" w:ascii="宋体" w:hAnsi="宋体"/>
          <w:highlight w:val="none"/>
        </w:rPr>
        <w:t>（4）获奖业绩：①以投标人获奖证书为准，获奖时间以获奖证书颁发日期为准；②同一工程获得多个奖项的，按最高奖项计取，不重复计算。 ③国家级奖项是指：中国土木工程詹天佑奖、中国建设工程鲁班奖、国家优质工程金质奖（金奖）、国家优质工程奖等；④省级或市级奖项是指由建设行政主管部门或行业协会、学会颁发（行业协会、学会须在民政部门备案）的奖项，获奖时间以证书颁发日期为准。</w:t>
      </w:r>
      <w:r>
        <w:rPr>
          <w:rFonts w:hint="eastAsia" w:ascii="宋体" w:hAnsi="宋体"/>
          <w:szCs w:val="21"/>
          <w:highlight w:val="none"/>
        </w:rPr>
        <w:t>⑤</w:t>
      </w:r>
      <w:r>
        <w:rPr>
          <w:rFonts w:hint="eastAsia" w:ascii="宋体" w:hAnsi="宋体" w:cs="宋体"/>
          <w:bCs/>
          <w:szCs w:val="21"/>
          <w:highlight w:val="none"/>
        </w:rPr>
        <w:t>非质量类获奖不予计算。</w:t>
      </w:r>
    </w:p>
    <w:p>
      <w:pPr>
        <w:spacing w:after="123" w:line="300" w:lineRule="exact"/>
        <w:ind w:right="102" w:firstLine="420" w:firstLineChars="200"/>
        <w:rPr>
          <w:rFonts w:ascii="宋体" w:hAnsi="宋体"/>
          <w:highlight w:val="none"/>
        </w:rPr>
      </w:pPr>
      <w:r>
        <w:rPr>
          <w:rFonts w:hint="eastAsia" w:ascii="宋体" w:hAnsi="宋体"/>
          <w:highlight w:val="none"/>
        </w:rPr>
        <w:t>（5）“A级纳税人称号”：A级纳税人称号情况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w:t>
      </w:r>
    </w:p>
    <w:p>
      <w:pPr>
        <w:spacing w:after="123" w:line="300" w:lineRule="exact"/>
        <w:ind w:right="102" w:firstLine="420" w:firstLineChars="200"/>
        <w:rPr>
          <w:rFonts w:ascii="宋体" w:hAnsi="宋体"/>
          <w:highlight w:val="none"/>
        </w:rPr>
      </w:pPr>
      <w:r>
        <w:rPr>
          <w:rFonts w:hint="eastAsia" w:ascii="宋体" w:hAnsi="宋体"/>
          <w:highlight w:val="none"/>
        </w:rPr>
        <w:t>（6）“ A级纳税人”排名若名次排列出现并列，有几家企业并列则取消并列名次以后的几个名次，下一名次将跳跃排列。即若有两名投标人并列第一，则下一名次按第三名档次得分。</w:t>
      </w:r>
    </w:p>
    <w:p>
      <w:pPr>
        <w:spacing w:after="123" w:line="300" w:lineRule="exact"/>
        <w:ind w:right="102" w:firstLine="420" w:firstLineChars="200"/>
        <w:rPr>
          <w:rFonts w:ascii="宋体" w:hAnsi="宋体"/>
          <w:highlight w:val="none"/>
        </w:rPr>
      </w:pPr>
      <w:r>
        <w:rPr>
          <w:rFonts w:hint="eastAsia" w:ascii="宋体" w:hAnsi="宋体"/>
          <w:highlight w:val="none"/>
        </w:rPr>
        <w:t>（7）</w:t>
      </w:r>
      <w:r>
        <w:rPr>
          <w:rFonts w:hint="eastAsia" w:ascii="宋体" w:hAnsi="宋体"/>
          <w:highlight w:val="none"/>
        </w:rPr>
        <w:t>企业技术管理：</w:t>
      </w:r>
      <w:r>
        <w:rPr>
          <w:rFonts w:hint="eastAsia" w:ascii="宋体" w:hAnsi="宋体"/>
          <w:highlight w:val="none"/>
        </w:rPr>
        <w:t>须提供相关证明文件或证书作为评审依据；“工程类科学技术奖项”需经省级科技厅批准设立并在国家科技部登记。</w:t>
      </w:r>
    </w:p>
    <w:p>
      <w:pPr>
        <w:rPr>
          <w:highlight w:val="none"/>
        </w:rPr>
      </w:pPr>
      <w:r>
        <w:rPr>
          <w:highlight w:val="none"/>
        </w:rPr>
        <w:br w:type="page"/>
      </w:r>
    </w:p>
    <w:p>
      <w:pPr>
        <w:rPr>
          <w:highlight w:val="none"/>
        </w:rPr>
      </w:pPr>
    </w:p>
    <w:p>
      <w:pPr>
        <w:pStyle w:val="4"/>
        <w:rPr>
          <w:highlight w:val="none"/>
        </w:rPr>
      </w:pPr>
      <w:bookmarkStart w:id="292" w:name="_Toc529196583"/>
      <w:bookmarkStart w:id="293" w:name="_Toc515205256"/>
      <w:r>
        <w:rPr>
          <w:highlight w:val="none"/>
        </w:rPr>
        <w:t>1. 评标方法</w:t>
      </w:r>
      <w:bookmarkEnd w:id="292"/>
      <w:bookmarkEnd w:id="293"/>
    </w:p>
    <w:p>
      <w:pPr>
        <w:spacing w:line="360" w:lineRule="auto"/>
        <w:ind w:firstLine="480" w:firstLineChars="200"/>
        <w:rPr>
          <w:rFonts w:ascii="Times New Roman" w:hAnsi="Times New Roman"/>
          <w:sz w:val="24"/>
          <w:highlight w:val="none"/>
        </w:rPr>
      </w:pPr>
      <w:r>
        <w:rPr>
          <w:rFonts w:ascii="Times New Roman" w:hAnsi="Times New Roman"/>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294" w:name="_Toc152042375"/>
      <w:bookmarkStart w:id="295" w:name="_Toc247527623"/>
      <w:bookmarkStart w:id="296" w:name="_Toc300835008"/>
      <w:bookmarkStart w:id="297" w:name="_Toc361508646"/>
      <w:bookmarkStart w:id="298" w:name="_Toc152045598"/>
      <w:bookmarkStart w:id="299" w:name="_Toc144974565"/>
      <w:bookmarkStart w:id="300" w:name="_Toc247514022"/>
      <w:bookmarkStart w:id="301" w:name="_Toc384308272"/>
      <w:bookmarkStart w:id="302" w:name="_Toc352691533"/>
      <w:bookmarkStart w:id="303" w:name="_Toc369531577"/>
      <w:bookmarkStart w:id="304" w:name="_Toc4497"/>
      <w:r>
        <w:rPr>
          <w:rFonts w:ascii="Times New Roman" w:hAnsi="Times New Roman"/>
          <w:sz w:val="24"/>
          <w:highlight w:val="none"/>
        </w:rPr>
        <w:t>外。综合评分相等</w:t>
      </w:r>
      <w:bookmarkEnd w:id="294"/>
      <w:bookmarkEnd w:id="295"/>
      <w:bookmarkEnd w:id="296"/>
      <w:bookmarkEnd w:id="297"/>
      <w:bookmarkEnd w:id="298"/>
      <w:bookmarkEnd w:id="299"/>
      <w:bookmarkEnd w:id="300"/>
      <w:bookmarkEnd w:id="301"/>
      <w:r>
        <w:rPr>
          <w:rFonts w:ascii="Times New Roman" w:hAnsi="Times New Roman"/>
          <w:sz w:val="24"/>
          <w:highlight w:val="none"/>
        </w:rPr>
        <w:t>时，以投标报价低的</w:t>
      </w:r>
      <w:bookmarkEnd w:id="302"/>
      <w:bookmarkEnd w:id="303"/>
      <w:bookmarkEnd w:id="304"/>
      <w:r>
        <w:rPr>
          <w:rFonts w:ascii="Times New Roman" w:hAnsi="Times New Roman"/>
          <w:sz w:val="24"/>
          <w:highlight w:val="none"/>
        </w:rPr>
        <w:t>优</w:t>
      </w:r>
      <w:bookmarkStart w:id="305" w:name="_Toc247527624"/>
      <w:bookmarkStart w:id="306" w:name="_Toc152045599"/>
      <w:bookmarkStart w:id="307" w:name="_Toc300835009"/>
      <w:bookmarkStart w:id="308" w:name="_Toc247514023"/>
      <w:bookmarkStart w:id="309" w:name="_Toc39"/>
      <w:bookmarkStart w:id="310" w:name="_Toc144974566"/>
      <w:bookmarkStart w:id="311" w:name="_Toc361508647"/>
      <w:bookmarkStart w:id="312" w:name="_Toc352691534"/>
      <w:bookmarkStart w:id="313" w:name="_Toc152042376"/>
      <w:bookmarkStart w:id="314" w:name="_Toc369531578"/>
      <w:bookmarkStart w:id="315" w:name="_Toc384308273"/>
      <w:r>
        <w:rPr>
          <w:rFonts w:ascii="Times New Roman" w:hAnsi="Times New Roman"/>
          <w:sz w:val="24"/>
          <w:highlight w:val="none"/>
        </w:rPr>
        <w:t>先；投标报价也相等</w:t>
      </w:r>
      <w:bookmarkEnd w:id="305"/>
      <w:bookmarkEnd w:id="306"/>
      <w:bookmarkEnd w:id="307"/>
      <w:bookmarkEnd w:id="308"/>
      <w:bookmarkEnd w:id="309"/>
      <w:bookmarkEnd w:id="310"/>
      <w:bookmarkEnd w:id="311"/>
      <w:bookmarkEnd w:id="312"/>
      <w:bookmarkEnd w:id="313"/>
      <w:bookmarkEnd w:id="314"/>
      <w:bookmarkEnd w:id="315"/>
      <w:r>
        <w:rPr>
          <w:rFonts w:ascii="Times New Roman" w:hAnsi="Times New Roman"/>
          <w:sz w:val="24"/>
          <w:highlight w:val="none"/>
        </w:rPr>
        <w:t>的</w:t>
      </w:r>
      <w:r>
        <w:rPr>
          <w:rFonts w:hint="eastAsia" w:ascii="Times New Roman" w:hAnsi="Times New Roman"/>
          <w:sz w:val="24"/>
          <w:highlight w:val="none"/>
        </w:rPr>
        <w:t>，以</w:t>
      </w:r>
      <w:r>
        <w:rPr>
          <w:rFonts w:ascii="Times New Roman" w:hAnsi="Times New Roman"/>
          <w:sz w:val="24"/>
          <w:highlight w:val="none"/>
        </w:rPr>
        <w:t>监理大纲得分高的优先</w:t>
      </w:r>
      <w:r>
        <w:rPr>
          <w:rFonts w:hint="eastAsia" w:ascii="Times New Roman" w:hAnsi="Times New Roman"/>
          <w:sz w:val="24"/>
          <w:highlight w:val="none"/>
        </w:rPr>
        <w:t>；</w:t>
      </w:r>
      <w:r>
        <w:rPr>
          <w:rFonts w:ascii="Times New Roman" w:hAnsi="Times New Roman"/>
          <w:sz w:val="24"/>
          <w:highlight w:val="none"/>
        </w:rPr>
        <w:t>如果监理大纲得分也相</w:t>
      </w:r>
      <w:r>
        <w:rPr>
          <w:rFonts w:hint="eastAsia" w:ascii="Times New Roman" w:hAnsi="Times New Roman"/>
          <w:sz w:val="24"/>
          <w:highlight w:val="none"/>
        </w:rPr>
        <w:t>等</w:t>
      </w:r>
      <w:r>
        <w:rPr>
          <w:rFonts w:ascii="Times New Roman" w:hAnsi="Times New Roman"/>
          <w:sz w:val="24"/>
          <w:highlight w:val="none"/>
        </w:rPr>
        <w:t>，按照评标办法前附表的规定确定中标候选人顺序。</w:t>
      </w:r>
    </w:p>
    <w:p>
      <w:pPr>
        <w:pStyle w:val="4"/>
        <w:rPr>
          <w:highlight w:val="none"/>
        </w:rPr>
      </w:pPr>
      <w:bookmarkStart w:id="316" w:name="_Toc529196584"/>
      <w:bookmarkStart w:id="317" w:name="_Toc515205257"/>
      <w:r>
        <w:rPr>
          <w:highlight w:val="none"/>
        </w:rPr>
        <w:t>2. 评审标准</w:t>
      </w:r>
      <w:bookmarkEnd w:id="316"/>
      <w:bookmarkEnd w:id="317"/>
    </w:p>
    <w:p>
      <w:pPr>
        <w:pStyle w:val="4"/>
        <w:ind w:firstLine="137"/>
        <w:rPr>
          <w:highlight w:val="none"/>
        </w:rPr>
      </w:pPr>
      <w:bookmarkStart w:id="318" w:name="_Toc515205258"/>
      <w:bookmarkStart w:id="319" w:name="_Toc529196585"/>
      <w:r>
        <w:rPr>
          <w:highlight w:val="none"/>
        </w:rPr>
        <w:t>2.1 初步评审标准</w:t>
      </w:r>
      <w:bookmarkEnd w:id="318"/>
      <w:bookmarkEnd w:id="319"/>
    </w:p>
    <w:p>
      <w:pPr>
        <w:spacing w:line="360" w:lineRule="auto"/>
        <w:ind w:firstLine="480" w:firstLineChars="200"/>
        <w:rPr>
          <w:rFonts w:ascii="Times New Roman" w:hAnsi="Times New Roman"/>
          <w:sz w:val="24"/>
          <w:highlight w:val="none"/>
        </w:rPr>
      </w:pPr>
      <w:r>
        <w:rPr>
          <w:rFonts w:ascii="Times New Roman" w:hAnsi="Times New Roman"/>
          <w:sz w:val="24"/>
          <w:highlight w:val="none"/>
        </w:rPr>
        <w:t>2.1.1 形式评审标准：见评标办法前附表。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2.1.2 资格评审标准：见评标办法前附表。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2.1.3 响应性评审标准：见评标办法前附表。</w:t>
      </w:r>
    </w:p>
    <w:p>
      <w:pPr>
        <w:pStyle w:val="4"/>
        <w:ind w:firstLine="137"/>
        <w:rPr>
          <w:highlight w:val="none"/>
        </w:rPr>
      </w:pPr>
      <w:bookmarkStart w:id="320" w:name="_Toc515205259"/>
      <w:bookmarkStart w:id="321" w:name="_Toc529196586"/>
      <w:r>
        <w:rPr>
          <w:highlight w:val="none"/>
        </w:rPr>
        <w:t>2.2 分值构成与评分标准</w:t>
      </w:r>
      <w:bookmarkEnd w:id="320"/>
      <w:bookmarkEnd w:id="321"/>
    </w:p>
    <w:p>
      <w:pPr>
        <w:spacing w:line="360" w:lineRule="auto"/>
        <w:ind w:firstLine="480" w:firstLineChars="200"/>
        <w:rPr>
          <w:rFonts w:ascii="Times New Roman" w:hAnsi="Times New Roman"/>
          <w:sz w:val="24"/>
          <w:highlight w:val="none"/>
        </w:rPr>
      </w:pPr>
      <w:r>
        <w:rPr>
          <w:rFonts w:ascii="Times New Roman" w:hAnsi="Times New Roman"/>
          <w:sz w:val="24"/>
          <w:highlight w:val="none"/>
        </w:rPr>
        <w:t>2.2.1 分值构成</w:t>
      </w:r>
      <w:r>
        <w:rPr>
          <w:rFonts w:hint="eastAsia" w:ascii="Times New Roman" w:hAnsi="Times New Roman"/>
          <w:sz w:val="24"/>
          <w:highlight w:val="none"/>
        </w:rPr>
        <w:t>：</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（1）资信业绩部分：见评标办法前附表；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（2）监理大纲部分：见评标办法前附表；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（3）投标报价：见评标办法前附表；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（4）其他评分因素：见评标办法前附表。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2.2.2 评标基准价计算</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评标基准价计算方法：见评标办法前附表。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2.2.3 投标报价的偏差率计算</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投标报价的偏差率计算公式：见评标办法前附表。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2.2.4 评分标准</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（1）资信业绩评分标准：见评标办法前附表；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（2）监理大纲评分标准：见评标办法前附表；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（3）投标报价评分标准：见评标办法前附表；</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（4）其他因素评分标准：见评标办法前附表。</w:t>
      </w:r>
    </w:p>
    <w:p>
      <w:pPr>
        <w:pStyle w:val="4"/>
        <w:rPr>
          <w:highlight w:val="none"/>
        </w:rPr>
      </w:pPr>
      <w:bookmarkStart w:id="322" w:name="_Toc515205260"/>
      <w:bookmarkStart w:id="323" w:name="_Toc529196587"/>
      <w:r>
        <w:rPr>
          <w:highlight w:val="none"/>
        </w:rPr>
        <w:t>3. 评标程序</w:t>
      </w:r>
      <w:bookmarkEnd w:id="322"/>
      <w:bookmarkEnd w:id="323"/>
    </w:p>
    <w:p>
      <w:pPr>
        <w:pStyle w:val="4"/>
        <w:ind w:firstLine="137"/>
        <w:rPr>
          <w:highlight w:val="none"/>
        </w:rPr>
      </w:pPr>
      <w:bookmarkStart w:id="324" w:name="_Toc515205261"/>
      <w:bookmarkStart w:id="325" w:name="_Toc529196588"/>
      <w:r>
        <w:rPr>
          <w:highlight w:val="none"/>
        </w:rPr>
        <w:t>3.1 初步评审</w:t>
      </w:r>
      <w:bookmarkEnd w:id="324"/>
      <w:bookmarkEnd w:id="325"/>
    </w:p>
    <w:p>
      <w:pPr>
        <w:spacing w:line="360" w:lineRule="auto"/>
        <w:ind w:firstLine="480" w:firstLineChars="200"/>
        <w:rPr>
          <w:rFonts w:ascii="Times New Roman" w:hAnsi="Times New Roman"/>
          <w:sz w:val="24"/>
          <w:highlight w:val="none"/>
        </w:rPr>
      </w:pPr>
      <w:r>
        <w:rPr>
          <w:rFonts w:ascii="Times New Roman" w:hAnsi="Times New Roman"/>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3.1.2 投标人有以下情形之一的，评标委员会应当否决其投标：</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（1）投标文件没有对招标文件的实质性要求和条件作出响应，或者对招标文件的偏差超出招标文件规定的偏差范围或最高项数；</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（2）有串通投标、弄虚作假、行贿等违法行为。</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3.1.3 投标报价有算术错误及其他错误的，评标委员会按以下原则要求投标人对投标报价进</w:t>
      </w:r>
      <w:bookmarkStart w:id="326" w:name="_Toc300835013"/>
      <w:bookmarkStart w:id="327" w:name="_Toc247527628"/>
      <w:bookmarkStart w:id="328" w:name="_Toc361508651"/>
      <w:bookmarkStart w:id="329" w:name="_Toc2907"/>
      <w:bookmarkStart w:id="330" w:name="_Toc152042380"/>
      <w:bookmarkStart w:id="331" w:name="_Toc247514027"/>
      <w:bookmarkStart w:id="332" w:name="_Toc369531582"/>
      <w:bookmarkStart w:id="333" w:name="_Toc152045603"/>
      <w:bookmarkStart w:id="334" w:name="_Toc384308277"/>
      <w:bookmarkStart w:id="335" w:name="_Toc144974570"/>
      <w:bookmarkStart w:id="336" w:name="_Toc352691538"/>
      <w:r>
        <w:rPr>
          <w:rFonts w:ascii="Times New Roman" w:hAnsi="Times New Roman"/>
          <w:sz w:val="24"/>
          <w:highlight w:val="none"/>
        </w:rPr>
        <w:t>行修正，并要求投标人书面澄清确认。</w:t>
      </w:r>
      <w:bookmarkEnd w:id="326"/>
      <w:bookmarkEnd w:id="327"/>
      <w:bookmarkEnd w:id="328"/>
      <w:bookmarkEnd w:id="329"/>
      <w:bookmarkEnd w:id="330"/>
      <w:bookmarkEnd w:id="331"/>
      <w:bookmarkEnd w:id="332"/>
      <w:bookmarkEnd w:id="333"/>
      <w:bookmarkEnd w:id="334"/>
      <w:bookmarkEnd w:id="335"/>
      <w:bookmarkEnd w:id="336"/>
      <w:r>
        <w:rPr>
          <w:rFonts w:ascii="Times New Roman" w:hAnsi="Times New Roman"/>
          <w:sz w:val="24"/>
          <w:highlight w:val="none"/>
        </w:rPr>
        <w:t>投标人拒不澄清确认的，评标委员会应当否决其投标：</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（1）投标文件中的大写金额与小写金额不一致的，以大写金额为准；</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（2）总价金额与单价金额不一致的，以单价金额为准，但单价金额小数点有明显错误的除外</w:t>
      </w:r>
      <w:r>
        <w:rPr>
          <w:rFonts w:hint="eastAsia" w:ascii="Times New Roman" w:hAnsi="Times New Roman"/>
          <w:sz w:val="24"/>
          <w:highlight w:val="none"/>
        </w:rPr>
        <w:t>。</w:t>
      </w:r>
    </w:p>
    <w:p>
      <w:pPr>
        <w:spacing w:line="360" w:lineRule="auto"/>
        <w:ind w:firstLine="480" w:firstLineChars="200"/>
        <w:rPr>
          <w:highlight w:val="none"/>
        </w:rPr>
      </w:pPr>
      <w:r>
        <w:rPr>
          <w:rFonts w:hint="eastAsia" w:ascii="宋体" w:hAnsi="宋体" w:cs="宋体"/>
          <w:sz w:val="24"/>
          <w:szCs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pPr>
        <w:pStyle w:val="4"/>
        <w:ind w:firstLine="137"/>
        <w:rPr>
          <w:highlight w:val="none"/>
        </w:rPr>
      </w:pPr>
      <w:bookmarkStart w:id="337" w:name="_Toc515205262"/>
      <w:bookmarkStart w:id="338" w:name="_Toc529196589"/>
      <w:r>
        <w:rPr>
          <w:highlight w:val="none"/>
        </w:rPr>
        <w:t>3.2 详细评审</w:t>
      </w:r>
      <w:bookmarkEnd w:id="337"/>
      <w:bookmarkEnd w:id="338"/>
    </w:p>
    <w:p>
      <w:pPr>
        <w:spacing w:line="360" w:lineRule="auto"/>
        <w:ind w:firstLine="480" w:firstLineChars="200"/>
        <w:rPr>
          <w:rFonts w:ascii="Times New Roman" w:hAnsi="Times New Roman"/>
          <w:sz w:val="24"/>
          <w:highlight w:val="none"/>
        </w:rPr>
      </w:pPr>
      <w:r>
        <w:rPr>
          <w:rFonts w:ascii="Times New Roman" w:hAnsi="Times New Roman"/>
          <w:sz w:val="24"/>
          <w:highlight w:val="none"/>
        </w:rPr>
        <w:t>3.2.1 评标委员会按本章第2.2款规定的量化因素和分值进行打分，并计算出综合评估得分。</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（1）按本章第 2.2.4（1）目规定的评审因素和分值对资信业绩部分计算出得分 A；</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（2）按本章第 2.2.4（2）目规定的评审因素和分值对监理大纲部分计算出得分 B；</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（3）按本章第 2.2.4（3）目规定的评审因素和分值对投标报价计算出得分 C；</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（4）按本章第 2.2.4（4）目规定的评审因素和分值对其他部分计算出得分 D。</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3.2.2 评分分值计算保留小数点后两位，小数点后第三位“四舍五入”。</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3.2.3 投标人得分=A+B+C+D</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ind w:firstLine="137"/>
        <w:rPr>
          <w:highlight w:val="none"/>
        </w:rPr>
      </w:pPr>
      <w:bookmarkStart w:id="339" w:name="_Toc529196590"/>
      <w:bookmarkStart w:id="340" w:name="_Toc515205263"/>
      <w:r>
        <w:rPr>
          <w:highlight w:val="none"/>
        </w:rPr>
        <w:t>3.3 投标文件的澄清</w:t>
      </w:r>
      <w:bookmarkEnd w:id="339"/>
      <w:bookmarkEnd w:id="340"/>
    </w:p>
    <w:p>
      <w:pPr>
        <w:spacing w:line="360" w:lineRule="auto"/>
        <w:ind w:firstLine="480" w:firstLineChars="200"/>
        <w:rPr>
          <w:rFonts w:ascii="Times New Roman" w:hAnsi="Times New Roman"/>
          <w:sz w:val="24"/>
          <w:highlight w:val="none"/>
        </w:rPr>
      </w:pPr>
      <w:r>
        <w:rPr>
          <w:rFonts w:ascii="Times New Roman" w:hAnsi="Times New Roman"/>
          <w:sz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3.3.2 澄清、说明或补正不得超出投标文件的范围且不得改变投标文件的实质性内容，并构成投标文件的组成部分。</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3.3.3 评标委员会对投标人提交的澄清、说明或补正有疑问的，可以要求投标人进一步澄清、说明或补正，直至满足评标委员会的要求。</w:t>
      </w:r>
    </w:p>
    <w:p>
      <w:pPr>
        <w:pStyle w:val="4"/>
        <w:ind w:firstLine="137"/>
        <w:rPr>
          <w:highlight w:val="none"/>
        </w:rPr>
      </w:pPr>
      <w:bookmarkStart w:id="341" w:name="_Toc529196591"/>
      <w:bookmarkStart w:id="342" w:name="_Toc515205264"/>
      <w:r>
        <w:rPr>
          <w:highlight w:val="none"/>
        </w:rPr>
        <w:t>3.4 评标结果</w:t>
      </w:r>
      <w:bookmarkEnd w:id="341"/>
      <w:bookmarkEnd w:id="342"/>
    </w:p>
    <w:p>
      <w:pPr>
        <w:spacing w:line="360" w:lineRule="auto"/>
        <w:ind w:firstLine="480" w:firstLineChars="200"/>
        <w:rPr>
          <w:rFonts w:ascii="Times New Roman" w:hAnsi="Times New Roman"/>
          <w:b/>
          <w:sz w:val="24"/>
          <w:highlight w:val="none"/>
        </w:rPr>
      </w:pPr>
      <w:r>
        <w:rPr>
          <w:rFonts w:ascii="Times New Roman" w:hAnsi="Times New Roman"/>
          <w:sz w:val="24"/>
          <w:highlight w:val="none"/>
        </w:rPr>
        <w:t>3.</w:t>
      </w:r>
      <w:r>
        <w:rPr>
          <w:rFonts w:ascii="Times New Roman" w:hAnsi="Times New Roman" w:eastAsia="黑体"/>
          <w:sz w:val="24"/>
          <w:highlight w:val="none"/>
        </w:rPr>
        <w:t xml:space="preserve">4.1 </w:t>
      </w:r>
      <w:r>
        <w:rPr>
          <w:rFonts w:ascii="Times New Roman" w:hAnsi="Times New Roman"/>
          <w:sz w:val="24"/>
          <w:highlight w:val="none"/>
        </w:rPr>
        <w:t>除第二章“投标人须知”前附表授权直接确定中标人外，评标委员会按照得分由高到低的顺序推荐中标候选人，并标明排序。</w:t>
      </w:r>
    </w:p>
    <w:p>
      <w:pPr>
        <w:spacing w:line="360" w:lineRule="auto"/>
        <w:ind w:firstLine="482"/>
        <w:rPr>
          <w:rFonts w:ascii="Times New Roman" w:hAnsi="Times New Roman"/>
          <w:sz w:val="24"/>
          <w:highlight w:val="none"/>
        </w:rPr>
      </w:pPr>
      <w:r>
        <w:rPr>
          <w:rFonts w:ascii="Times New Roman" w:hAnsi="Times New Roman"/>
          <w:sz w:val="24"/>
          <w:highlight w:val="none"/>
        </w:rPr>
        <w:t>3.4.2 评标委员会完成评标后，应当向招标人提交书面评标报告和中标候选人名单。</w:t>
      </w:r>
    </w:p>
    <w:p>
      <w:pPr>
        <w:rPr>
          <w:rFonts w:ascii="Times New Roman" w:hAnsi="Times New Roman"/>
          <w:highlight w:val="none"/>
        </w:rPr>
      </w:pPr>
      <w:r>
        <w:rPr>
          <w:rFonts w:hint="eastAsia" w:ascii="Times New Roman" w:hAnsi="Times New Roman"/>
          <w:highlight w:val="none"/>
        </w:rPr>
        <w:br w:type="page"/>
      </w:r>
    </w:p>
    <w:p>
      <w:pPr>
        <w:rPr>
          <w:rFonts w:ascii="Times New Roman" w:hAnsi="Times New Roman"/>
          <w:highlight w:val="none"/>
        </w:rPr>
      </w:pPr>
    </w:p>
    <w:p>
      <w:pPr>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502" w:lineRule="exact"/>
        <w:jc w:val="center"/>
        <w:outlineLvl w:val="1"/>
        <w:rPr>
          <w:rFonts w:ascii="Times New Roman" w:hAnsi="Times New Roman"/>
          <w:b/>
          <w:sz w:val="44"/>
          <w:highlight w:val="none"/>
        </w:rPr>
      </w:pPr>
      <w:bookmarkStart w:id="343" w:name="_Toc530728908"/>
      <w:r>
        <w:rPr>
          <w:rFonts w:ascii="Times New Roman" w:hAnsi="Times New Roman"/>
          <w:b/>
          <w:sz w:val="44"/>
          <w:highlight w:val="none"/>
        </w:rPr>
        <w:t>第四章</w:t>
      </w:r>
      <w:r>
        <w:rPr>
          <w:rFonts w:hint="eastAsia" w:ascii="Times New Roman" w:hAnsi="Times New Roman"/>
          <w:b/>
          <w:sz w:val="44"/>
          <w:highlight w:val="none"/>
        </w:rPr>
        <w:t xml:space="preserve"> </w:t>
      </w:r>
      <w:r>
        <w:rPr>
          <w:rFonts w:ascii="Times New Roman" w:hAnsi="Times New Roman"/>
          <w:b/>
          <w:sz w:val="44"/>
          <w:highlight w:val="none"/>
        </w:rPr>
        <w:t>合同条款及格式</w:t>
      </w:r>
      <w:bookmarkEnd w:id="343"/>
    </w:p>
    <w:p>
      <w:pPr>
        <w:spacing w:line="324" w:lineRule="exact"/>
        <w:rPr>
          <w:rFonts w:ascii="Times New Roman" w:hAnsi="Times New Roman" w:eastAsia="Times New Roman"/>
          <w:highlight w:val="none"/>
        </w:rPr>
      </w:pPr>
    </w:p>
    <w:p>
      <w:pPr>
        <w:spacing w:before="120" w:after="120" w:line="360" w:lineRule="auto"/>
        <w:jc w:val="center"/>
        <w:rPr>
          <w:rFonts w:ascii="Times New Roman" w:hAnsi="Times New Roman"/>
          <w:highlight w:val="none"/>
        </w:rPr>
        <w:sectPr>
          <w:pgSz w:w="11907" w:h="16839"/>
          <w:pgMar w:top="1440" w:right="1440" w:bottom="1418" w:left="1440" w:header="993" w:footer="749" w:gutter="0"/>
          <w:cols w:space="720" w:num="1"/>
          <w:titlePg/>
          <w:docGrid w:linePitch="360" w:charSpace="0"/>
        </w:sectPr>
      </w:pPr>
      <w:r>
        <w:rPr>
          <w:rFonts w:hint="eastAsia" w:ascii="Times New Roman" w:hAnsi="Times New Roman"/>
          <w:b/>
          <w:bCs/>
          <w:sz w:val="32"/>
          <w:szCs w:val="32"/>
          <w:highlight w:val="none"/>
        </w:rPr>
        <w:t>（另册</w:t>
      </w:r>
      <w:r>
        <w:rPr>
          <w:rFonts w:ascii="Times New Roman" w:hAnsi="Times New Roman"/>
          <w:b/>
          <w:bCs/>
          <w:sz w:val="32"/>
          <w:szCs w:val="32"/>
          <w:highlight w:val="none"/>
        </w:rPr>
        <w:t>）</w:t>
      </w:r>
    </w:p>
    <w:p>
      <w:pPr>
        <w:numPr>
          <w:ilvl w:val="0"/>
          <w:numId w:val="1"/>
        </w:numPr>
        <w:spacing w:line="324" w:lineRule="auto"/>
        <w:jc w:val="center"/>
        <w:rPr>
          <w:rFonts w:ascii="Times New Roman" w:hAnsi="Times New Roman"/>
          <w:b/>
          <w:sz w:val="43"/>
          <w:highlight w:val="none"/>
        </w:rPr>
      </w:pPr>
      <w:bookmarkStart w:id="344" w:name="_Toc530728910"/>
      <w:r>
        <w:rPr>
          <w:rFonts w:ascii="Times New Roman" w:hAnsi="Times New Roman"/>
          <w:b/>
          <w:sz w:val="43"/>
          <w:highlight w:val="none"/>
        </w:rPr>
        <w:t>委托人要求</w:t>
      </w:r>
      <w:bookmarkEnd w:id="344"/>
      <w:bookmarkStart w:id="345" w:name="_Toc530728913"/>
    </w:p>
    <w:p>
      <w:pPr>
        <w:spacing w:line="324" w:lineRule="auto"/>
        <w:rPr>
          <w:rFonts w:ascii="宋体" w:cs="宋体"/>
          <w:b/>
          <w:bCs/>
          <w:sz w:val="24"/>
          <w:szCs w:val="24"/>
          <w:highlight w:val="none"/>
        </w:rPr>
      </w:pPr>
    </w:p>
    <w:p>
      <w:pPr>
        <w:spacing w:line="360" w:lineRule="auto"/>
        <w:rPr>
          <w:rFonts w:ascii="宋体" w:hAnsi="宋体" w:cs="宋体"/>
          <w:b/>
          <w:bCs/>
          <w:sz w:val="28"/>
          <w:szCs w:val="28"/>
          <w:highlight w:val="none"/>
        </w:rPr>
      </w:pPr>
      <w:r>
        <w:rPr>
          <w:rFonts w:hint="eastAsia" w:ascii="宋体" w:hAnsi="宋体" w:cs="宋体"/>
          <w:b/>
          <w:bCs/>
          <w:sz w:val="28"/>
          <w:szCs w:val="28"/>
          <w:highlight w:val="none"/>
        </w:rPr>
        <w:t>一、监理人员(含驻场)和试验检测仪器设备要求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理架构及人员的最低基本要求详见下表，要求监理单位根据本项目特点，结合本企业的实力和资源情况，派驻现场的人员必须专业对口，精干、充足。本项目的监理机构要求专业监理，分别负责房建工程、装修工程、给排水工程、外电工程、机电工程、暖通工程、市政工程、绿化工程等。</w:t>
      </w:r>
    </w:p>
    <w:p>
      <w:pPr>
        <w:topLinePunct/>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监理人员组成应满足或优于下表的最低基本要求。</w:t>
      </w:r>
    </w:p>
    <w:p>
      <w:pPr>
        <w:spacing w:line="360" w:lineRule="auto"/>
        <w:jc w:val="center"/>
        <w:rPr>
          <w:rFonts w:ascii="宋体" w:hAnsi="宋体" w:cs="宋体"/>
          <w:bCs/>
          <w:sz w:val="28"/>
          <w:szCs w:val="28"/>
          <w:highlight w:val="none"/>
        </w:rPr>
      </w:pPr>
      <w:r>
        <w:rPr>
          <w:rFonts w:hint="eastAsia" w:ascii="宋体" w:hAnsi="宋体" w:cs="宋体"/>
          <w:bCs/>
          <w:sz w:val="28"/>
          <w:szCs w:val="28"/>
          <w:highlight w:val="none"/>
        </w:rPr>
        <w:t>项目监理人员组成配备要求表</w:t>
      </w:r>
    </w:p>
    <w:tbl>
      <w:tblPr>
        <w:tblStyle w:val="39"/>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455"/>
        <w:gridCol w:w="67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kern w:val="44"/>
                <w:highlight w:val="none"/>
              </w:rPr>
            </w:pPr>
            <w:r>
              <w:rPr>
                <w:rFonts w:hint="eastAsia" w:cs="宋体"/>
                <w:bCs/>
                <w:kern w:val="44"/>
                <w:highlight w:val="none"/>
              </w:rPr>
              <w:t>类别</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kern w:val="44"/>
                <w:highlight w:val="none"/>
              </w:rPr>
            </w:pPr>
            <w:r>
              <w:rPr>
                <w:rFonts w:hint="eastAsia" w:cs="宋体"/>
                <w:bCs/>
                <w:kern w:val="44"/>
                <w:highlight w:val="none"/>
              </w:rPr>
              <w:t>人数</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kern w:val="44"/>
                <w:szCs w:val="21"/>
                <w:highlight w:val="none"/>
              </w:rPr>
            </w:pPr>
            <w:r>
              <w:rPr>
                <w:rFonts w:hint="eastAsia" w:ascii="宋体" w:hAnsi="宋体" w:cs="宋体"/>
                <w:bCs/>
                <w:snapToGrid w:val="0"/>
                <w:spacing w:val="4"/>
                <w:szCs w:val="21"/>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项目总监理工程师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highlight w:val="none"/>
              </w:rPr>
            </w:pPr>
            <w:r>
              <w:rPr>
                <w:rFonts w:hint="eastAsia" w:ascii="宋体" w:hAnsi="宋体" w:cs="宋体"/>
                <w:bCs/>
                <w:szCs w:val="21"/>
                <w:highlight w:val="none"/>
              </w:rPr>
              <w:t>与招标公告第3条的要求一致。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项目总监理工程师代表</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highlight w:val="none"/>
              </w:rPr>
            </w:pPr>
            <w:r>
              <w:rPr>
                <w:rFonts w:hint="eastAsia" w:ascii="宋体" w:hAnsi="宋体" w:cs="宋体"/>
                <w:bCs/>
                <w:szCs w:val="21"/>
                <w:highlight w:val="none"/>
              </w:rPr>
              <w:t>必须具有建设部2006年4月1日后颁发的中华人民共和国注册监理工程师注册执业证书，并具备本科或以上学历，注册证书专业为房屋建筑工程，注册执业单位为本公司。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0" w:type="dxa"/>
            <w:vMerge w:val="restart"/>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监理工程师</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房建监理工程师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highlight w:val="none"/>
              </w:rPr>
            </w:pPr>
            <w:r>
              <w:rPr>
                <w:rFonts w:hint="eastAsia" w:ascii="宋体" w:hAnsi="宋体" w:cs="宋体"/>
                <w:bCs/>
                <w:szCs w:val="21"/>
                <w:highlight w:val="none"/>
              </w:rPr>
              <w:t>具备工程师或以上职称，专业为土建相关专业。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380" w:type="dxa"/>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机电监理工程师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both"/>
              <w:rPr>
                <w:rFonts w:cs="宋体"/>
                <w:bCs/>
                <w:highlight w:val="none"/>
              </w:rPr>
            </w:pPr>
            <w:r>
              <w:rPr>
                <w:rFonts w:hint="eastAsia" w:cs="宋体"/>
                <w:bCs/>
                <w:highlight w:val="none"/>
              </w:rPr>
              <w:t>具备工程师或以上职称，专业为机电(电气或暖通或空调）专业。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380" w:type="dxa"/>
            <w:vMerge w:val="continue"/>
            <w:tcBorders>
              <w:left w:val="single" w:color="auto" w:sz="4" w:space="0"/>
              <w:right w:val="single" w:color="auto" w:sz="4" w:space="0"/>
            </w:tcBorders>
            <w:vAlign w:val="center"/>
          </w:tcPr>
          <w:p>
            <w:pPr>
              <w:spacing w:line="0" w:lineRule="atLeast"/>
              <w:jc w:val="center"/>
              <w:rPr>
                <w:rFonts w:ascii="宋体" w:hAnsi="宋体" w:cs="宋体"/>
                <w:bCs/>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造价工程师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highlight w:val="none"/>
              </w:rPr>
            </w:pPr>
            <w:r>
              <w:rPr>
                <w:rFonts w:hint="eastAsia" w:ascii="宋体" w:hAnsi="宋体" w:cs="宋体"/>
                <w:bCs/>
                <w:szCs w:val="21"/>
                <w:highlight w:val="none"/>
              </w:rPr>
              <w:t>具有注册造价工程师或注册一级造价工程师资格。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380" w:type="dxa"/>
            <w:vMerge w:val="continue"/>
            <w:tcBorders>
              <w:left w:val="single" w:color="auto" w:sz="4" w:space="0"/>
              <w:right w:val="single" w:color="auto" w:sz="4" w:space="0"/>
            </w:tcBorders>
            <w:vAlign w:val="center"/>
          </w:tcPr>
          <w:p>
            <w:pPr>
              <w:spacing w:line="0" w:lineRule="atLeast"/>
              <w:jc w:val="center"/>
              <w:rPr>
                <w:rFonts w:ascii="宋体" w:hAnsi="宋体" w:cs="宋体"/>
                <w:bCs/>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安全工程师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both"/>
              <w:rPr>
                <w:rFonts w:cs="宋体"/>
                <w:bCs/>
                <w:highlight w:val="none"/>
              </w:rPr>
            </w:pPr>
            <w:r>
              <w:rPr>
                <w:rFonts w:hint="eastAsia" w:cs="宋体"/>
                <w:bCs/>
                <w:highlight w:val="none"/>
              </w:rPr>
              <w:t>具有安全监理员培训证书（岗位证）或注册安全工程师证。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监理员</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highlight w:val="none"/>
              </w:rPr>
            </w:pPr>
            <w:r>
              <w:rPr>
                <w:rFonts w:hint="eastAsia" w:cs="宋体"/>
                <w:bCs/>
                <w:highlight w:val="none"/>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both"/>
              <w:rPr>
                <w:rFonts w:cs="宋体"/>
                <w:bCs/>
                <w:highlight w:val="none"/>
              </w:rPr>
            </w:pPr>
            <w:r>
              <w:rPr>
                <w:rFonts w:hint="eastAsia" w:cs="宋体"/>
                <w:bCs/>
                <w:highlight w:val="none"/>
              </w:rPr>
              <w:t>具备初级或以上职称，取得监理培训证或上岗证。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合计</w:t>
            </w:r>
          </w:p>
        </w:tc>
        <w:tc>
          <w:tcPr>
            <w:tcW w:w="676"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7</w:t>
            </w:r>
          </w:p>
        </w:tc>
        <w:tc>
          <w:tcPr>
            <w:tcW w:w="596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highlight w:val="none"/>
              </w:rPr>
            </w:pPr>
          </w:p>
        </w:tc>
      </w:tr>
    </w:tbl>
    <w:p>
      <w:pPr>
        <w:spacing w:line="0" w:lineRule="atLeast"/>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rPr>
        <w:fldChar w:fldCharType="begin"/>
      </w:r>
      <w:r>
        <w:rPr>
          <w:rFonts w:hint="eastAsia" w:ascii="宋体" w:hAnsi="宋体" w:cs="宋体"/>
          <w:szCs w:val="21"/>
          <w:highlight w:val="none"/>
        </w:rPr>
        <w:instrText xml:space="preserve"> = 1 \* GB3 \* MERGEFORMAT </w:instrText>
      </w:r>
      <w:r>
        <w:rPr>
          <w:rFonts w:hint="eastAsia" w:ascii="宋体" w:hAnsi="宋体" w:cs="宋体"/>
          <w:szCs w:val="21"/>
          <w:highlight w:val="none"/>
        </w:rPr>
        <w:fldChar w:fldCharType="separate"/>
      </w:r>
      <w:r>
        <w:rPr>
          <w:rFonts w:hint="eastAsia" w:ascii="宋体" w:hAnsi="宋体" w:cs="宋体"/>
          <w:szCs w:val="21"/>
          <w:highlight w:val="none"/>
        </w:rPr>
        <w:t>①</w:t>
      </w:r>
      <w:r>
        <w:rPr>
          <w:rFonts w:hint="eastAsia" w:ascii="宋体" w:hAnsi="宋体" w:cs="宋体"/>
          <w:szCs w:val="21"/>
          <w:highlight w:val="none"/>
        </w:rPr>
        <w:fldChar w:fldCharType="end"/>
      </w:r>
      <w:r>
        <w:rPr>
          <w:rFonts w:hint="eastAsia" w:ascii="宋体" w:hAnsi="宋体" w:cs="宋体"/>
          <w:szCs w:val="21"/>
          <w:highlight w:val="none"/>
        </w:rPr>
        <w:t>上述监理人员（除上述已要求现场驻场的监理人员）可根据工程进度及建设单位或建设管理单位的要求派驻现场，应满足施工时监理人员旁站监理的要求；提供人员毕业证书、</w:t>
      </w:r>
      <w:r>
        <w:rPr>
          <w:rFonts w:hint="eastAsia" w:ascii="宋体" w:hAnsi="宋体" w:cs="宋体"/>
          <w:bCs/>
          <w:szCs w:val="21"/>
          <w:highlight w:val="none"/>
        </w:rPr>
        <w:t>注册执业证书、职称证书、</w:t>
      </w:r>
      <w:r>
        <w:rPr>
          <w:rFonts w:hint="eastAsia" w:cs="宋体"/>
          <w:bCs/>
          <w:highlight w:val="none"/>
        </w:rPr>
        <w:t>培训证或上岗证。学历以</w:t>
      </w:r>
      <w:r>
        <w:rPr>
          <w:rFonts w:hint="eastAsia" w:ascii="宋体" w:hAnsi="宋体" w:cs="宋体"/>
          <w:szCs w:val="21"/>
          <w:highlight w:val="none"/>
        </w:rPr>
        <w:t>毕业证书为准，专业以其注册监理工程师注册执业证书或职称证上所列的相关专业为准。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 2 \* GB3 \* MERGEFORMAT </w:instrText>
      </w:r>
      <w:r>
        <w:rPr>
          <w:rFonts w:hint="eastAsia" w:ascii="宋体" w:hAnsi="宋体" w:cs="宋体"/>
          <w:szCs w:val="21"/>
          <w:highlight w:val="none"/>
        </w:rPr>
        <w:fldChar w:fldCharType="separate"/>
      </w:r>
      <w:r>
        <w:rPr>
          <w:rFonts w:hint="eastAsia" w:ascii="宋体" w:hAnsi="宋体" w:cs="宋体"/>
          <w:szCs w:val="21"/>
          <w:highlight w:val="none"/>
        </w:rPr>
        <w:t>②</w:t>
      </w:r>
      <w:r>
        <w:rPr>
          <w:rFonts w:hint="eastAsia" w:ascii="宋体" w:hAnsi="宋体" w:cs="宋体"/>
          <w:szCs w:val="21"/>
          <w:highlight w:val="none"/>
        </w:rPr>
        <w:fldChar w:fldCharType="end"/>
      </w:r>
      <w:r>
        <w:rPr>
          <w:rFonts w:hint="eastAsia" w:ascii="宋体" w:hAnsi="宋体" w:cs="宋体"/>
          <w:szCs w:val="21"/>
          <w:highlight w:val="none"/>
        </w:rPr>
        <w:t>需提供近1个月（2023年4月）投标人为上述监理人员购买的社会保险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pStyle w:val="38"/>
        <w:ind w:firstLineChars="200"/>
        <w:rPr>
          <w:rFonts w:ascii="宋体" w:hAnsi="宋体" w:cs="宋体"/>
          <w:kern w:val="2"/>
          <w:sz w:val="21"/>
          <w:szCs w:val="21"/>
          <w:highlight w:val="none"/>
        </w:rPr>
      </w:pPr>
      <w:r>
        <w:rPr>
          <w:rFonts w:hint="eastAsia" w:ascii="宋体" w:hAnsi="宋体" w:cs="宋体"/>
          <w:kern w:val="2"/>
          <w:sz w:val="21"/>
          <w:szCs w:val="21"/>
          <w:highlight w:val="none"/>
        </w:rPr>
        <w:fldChar w:fldCharType="begin"/>
      </w:r>
      <w:r>
        <w:rPr>
          <w:rFonts w:hint="eastAsia" w:ascii="宋体" w:hAnsi="宋体" w:cs="宋体"/>
          <w:kern w:val="2"/>
          <w:sz w:val="21"/>
          <w:szCs w:val="21"/>
          <w:highlight w:val="none"/>
        </w:rPr>
        <w:instrText xml:space="preserve"> = 3 \* GB3 \* MERGEFORMAT </w:instrText>
      </w:r>
      <w:r>
        <w:rPr>
          <w:rFonts w:hint="eastAsia" w:ascii="宋体" w:hAnsi="宋体" w:cs="宋体"/>
          <w:kern w:val="2"/>
          <w:sz w:val="21"/>
          <w:szCs w:val="21"/>
          <w:highlight w:val="none"/>
        </w:rPr>
        <w:fldChar w:fldCharType="separate"/>
      </w:r>
      <w:r>
        <w:rPr>
          <w:rFonts w:hint="eastAsia" w:ascii="宋体" w:hAnsi="宋体" w:cs="宋体"/>
          <w:kern w:val="2"/>
          <w:sz w:val="21"/>
          <w:szCs w:val="21"/>
          <w:highlight w:val="none"/>
        </w:rPr>
        <w:t>③</w:t>
      </w:r>
      <w:r>
        <w:rPr>
          <w:rFonts w:hint="eastAsia" w:ascii="宋体" w:hAnsi="宋体" w:cs="宋体"/>
          <w:kern w:val="2"/>
          <w:sz w:val="21"/>
          <w:szCs w:val="21"/>
          <w:highlight w:val="none"/>
        </w:rPr>
        <w:fldChar w:fldCharType="end"/>
      </w:r>
      <w:r>
        <w:rPr>
          <w:rFonts w:hint="eastAsia" w:ascii="宋体" w:hAnsi="宋体" w:cs="宋体"/>
          <w:kern w:val="2"/>
          <w:sz w:val="21"/>
          <w:szCs w:val="21"/>
          <w:highlight w:val="none"/>
        </w:rPr>
        <w:t>驻场人员需服从招标人安排，工作内容包括但不限于接收、整理资料，对接筹建办等相关部门。</w:t>
      </w:r>
    </w:p>
    <w:p>
      <w:pPr>
        <w:spacing w:line="360" w:lineRule="auto"/>
        <w:ind w:firstLine="420" w:firstLineChars="200"/>
        <w:rPr>
          <w:rFonts w:ascii="宋体" w:hAnsi="宋体" w:cs="宋体"/>
          <w:highlight w:val="none"/>
        </w:rPr>
      </w:pPr>
    </w:p>
    <w:p>
      <w:pPr>
        <w:spacing w:line="360" w:lineRule="auto"/>
        <w:rPr>
          <w:rFonts w:ascii="宋体" w:hAnsi="宋体" w:cs="宋体"/>
          <w:b/>
          <w:bCs/>
          <w:sz w:val="28"/>
          <w:szCs w:val="28"/>
          <w:highlight w:val="none"/>
        </w:rPr>
      </w:pPr>
      <w:r>
        <w:rPr>
          <w:rFonts w:hint="eastAsia" w:ascii="宋体" w:hAnsi="宋体" w:cs="宋体"/>
          <w:b/>
          <w:bCs/>
          <w:sz w:val="28"/>
          <w:szCs w:val="28"/>
          <w:highlight w:val="none"/>
        </w:rPr>
        <w:t>二、工期要求</w:t>
      </w:r>
    </w:p>
    <w:p>
      <w:pPr>
        <w:pStyle w:val="38"/>
        <w:ind w:firstLine="513" w:firstLineChars="214"/>
        <w:rPr>
          <w:rFonts w:ascii="宋体" w:hAnsi="宋体" w:cs="宋体"/>
          <w:b/>
          <w:bCs/>
          <w:sz w:val="28"/>
          <w:szCs w:val="28"/>
          <w:highlight w:val="none"/>
        </w:rPr>
      </w:pPr>
      <w:r>
        <w:rPr>
          <w:rFonts w:hint="eastAsia" w:ascii="宋体" w:hAnsi="宋体" w:cs="宋体"/>
          <w:sz w:val="24"/>
          <w:highlight w:val="none"/>
        </w:rPr>
        <w:t>预计开工日期：开工时间暂定（具体开工时间以甲方通知为准）；</w:t>
      </w:r>
    </w:p>
    <w:p>
      <w:pPr>
        <w:spacing w:line="360" w:lineRule="auto"/>
        <w:rPr>
          <w:rFonts w:ascii="宋体" w:hAnsi="宋体" w:cs="宋体"/>
          <w:b/>
          <w:bCs/>
          <w:sz w:val="28"/>
          <w:szCs w:val="28"/>
          <w:highlight w:val="none"/>
        </w:rPr>
      </w:pPr>
      <w:r>
        <w:rPr>
          <w:rFonts w:hint="eastAsia" w:ascii="宋体" w:hAnsi="宋体" w:cs="宋体"/>
          <w:b/>
          <w:bCs/>
          <w:sz w:val="28"/>
          <w:szCs w:val="28"/>
          <w:highlight w:val="none"/>
        </w:rPr>
        <w:t>三、质量目标</w:t>
      </w:r>
    </w:p>
    <w:p>
      <w:pPr>
        <w:spacing w:line="360" w:lineRule="auto"/>
        <w:ind w:firstLine="480" w:firstLineChars="200"/>
        <w:rPr>
          <w:rFonts w:ascii="宋体" w:hAnsi="宋体" w:cs="宋体"/>
          <w:highlight w:val="none"/>
        </w:rPr>
      </w:pPr>
      <w:r>
        <w:rPr>
          <w:rFonts w:hint="eastAsia" w:ascii="宋体" w:hAnsi="宋体" w:cs="宋体"/>
          <w:sz w:val="24"/>
          <w:szCs w:val="24"/>
          <w:highlight w:val="none"/>
        </w:rPr>
        <w:t>一次验收合格。</w:t>
      </w:r>
    </w:p>
    <w:p>
      <w:pPr>
        <w:spacing w:line="360" w:lineRule="auto"/>
        <w:rPr>
          <w:rFonts w:ascii="宋体" w:hAnsi="宋体" w:cs="宋体"/>
          <w:b/>
          <w:bCs/>
          <w:sz w:val="28"/>
          <w:szCs w:val="28"/>
          <w:highlight w:val="none"/>
        </w:rPr>
      </w:pPr>
      <w:r>
        <w:rPr>
          <w:rFonts w:hint="eastAsia" w:ascii="宋体" w:hAnsi="宋体" w:cs="宋体"/>
          <w:b/>
          <w:bCs/>
          <w:sz w:val="28"/>
          <w:szCs w:val="28"/>
          <w:highlight w:val="none"/>
        </w:rPr>
        <w:t>四、职业健康安全管理目标</w:t>
      </w:r>
    </w:p>
    <w:p>
      <w:pPr>
        <w:spacing w:line="360" w:lineRule="auto"/>
        <w:ind w:firstLine="480" w:firstLineChars="200"/>
        <w:rPr>
          <w:rFonts w:ascii="宋体" w:hAnsi="宋体" w:cs="宋体"/>
          <w:highlight w:val="none"/>
        </w:rPr>
      </w:pPr>
      <w:r>
        <w:rPr>
          <w:rFonts w:hint="eastAsia" w:ascii="宋体" w:hAnsi="宋体" w:cs="宋体"/>
          <w:sz w:val="24"/>
          <w:szCs w:val="24"/>
          <w:highlight w:val="none"/>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360" w:lineRule="auto"/>
        <w:rPr>
          <w:rFonts w:ascii="宋体" w:hAnsi="宋体" w:cs="宋体"/>
          <w:b/>
          <w:bCs/>
          <w:sz w:val="28"/>
          <w:szCs w:val="28"/>
          <w:highlight w:val="none"/>
        </w:rPr>
      </w:pPr>
      <w:r>
        <w:rPr>
          <w:rFonts w:hint="eastAsia" w:ascii="宋体" w:hAnsi="宋体" w:cs="宋体"/>
          <w:b/>
          <w:bCs/>
          <w:sz w:val="28"/>
          <w:szCs w:val="28"/>
          <w:highlight w:val="none"/>
        </w:rPr>
        <w:t>五、环境管理目标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严格执行《广州市建设工程现场文明施工管理办法》（穗建质〔2008〕937号）、《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 落实建设各方主体责任的暂行规定》（穗建规字〔2017〕21号）《广州市住房和城乡建设委员会关于印发建设工程扬尘防治“6个100%”管理标准细化措施的通知》（穗建质〔2018〕1394号）等委托人以及国家、省、市现行有关文明施工方面的文件。加强建筑工地文明施工管理，控制施工扬尘，推进生态文明建设。如上述标准有更新的，则以现行标准为准。</w:t>
      </w:r>
    </w:p>
    <w:p>
      <w:pPr>
        <w:spacing w:line="360" w:lineRule="auto"/>
        <w:rPr>
          <w:rFonts w:ascii="宋体" w:hAnsi="宋体" w:cs="宋体"/>
          <w:b/>
          <w:bCs/>
          <w:sz w:val="28"/>
          <w:szCs w:val="28"/>
          <w:highlight w:val="none"/>
        </w:rPr>
      </w:pPr>
      <w:bookmarkStart w:id="346" w:name="_Toc32412_WPSOffice_Level2"/>
      <w:bookmarkStart w:id="347" w:name="_Toc31510"/>
      <w:bookmarkStart w:id="348" w:name="_Toc5884"/>
      <w:bookmarkStart w:id="349" w:name="_Toc31879_WPSOffice_Level2"/>
      <w:bookmarkStart w:id="350" w:name="_Toc2359"/>
      <w:r>
        <w:rPr>
          <w:rFonts w:hint="eastAsia" w:ascii="宋体" w:hAnsi="宋体" w:cs="宋体"/>
          <w:b/>
          <w:bCs/>
          <w:sz w:val="28"/>
          <w:szCs w:val="28"/>
          <w:highlight w:val="none"/>
        </w:rPr>
        <w:t>六、委托人的其他要求</w:t>
      </w:r>
      <w:bookmarkEnd w:id="346"/>
      <w:bookmarkEnd w:id="347"/>
      <w:bookmarkEnd w:id="348"/>
      <w:bookmarkEnd w:id="349"/>
      <w:bookmarkEnd w:id="350"/>
    </w:p>
    <w:p>
      <w:pPr>
        <w:rPr>
          <w:rFonts w:ascii="宋体" w:hAnsi="宋体" w:cs="宋体"/>
          <w:sz w:val="24"/>
          <w:szCs w:val="24"/>
          <w:highlight w:val="none"/>
        </w:rPr>
      </w:pPr>
      <w:r>
        <w:rPr>
          <w:rFonts w:hint="eastAsia" w:ascii="宋体" w:hAnsi="宋体" w:cs="宋体"/>
          <w:sz w:val="24"/>
          <w:szCs w:val="24"/>
          <w:highlight w:val="none"/>
        </w:rPr>
        <w:t>委托人的其他要求：其他要求详见监理合同。</w:t>
      </w:r>
    </w:p>
    <w:bookmarkEnd w:id="345"/>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491" w:lineRule="exact"/>
        <w:jc w:val="center"/>
        <w:outlineLvl w:val="1"/>
        <w:rPr>
          <w:rFonts w:ascii="Times New Roman" w:hAnsi="Times New Roman"/>
          <w:b/>
          <w:sz w:val="43"/>
          <w:highlight w:val="none"/>
        </w:rPr>
      </w:pPr>
      <w:bookmarkStart w:id="351" w:name="_Toc530728914"/>
      <w:r>
        <w:rPr>
          <w:rFonts w:ascii="Times New Roman" w:hAnsi="Times New Roman"/>
          <w:b/>
          <w:sz w:val="43"/>
          <w:highlight w:val="none"/>
        </w:rPr>
        <w:t>第六章</w:t>
      </w:r>
      <w:r>
        <w:rPr>
          <w:rFonts w:hint="eastAsia" w:ascii="Times New Roman" w:hAnsi="Times New Roman"/>
          <w:b/>
          <w:sz w:val="43"/>
          <w:highlight w:val="none"/>
        </w:rPr>
        <w:t xml:space="preserve"> </w:t>
      </w:r>
      <w:r>
        <w:rPr>
          <w:rFonts w:ascii="Times New Roman" w:hAnsi="Times New Roman"/>
          <w:b/>
          <w:sz w:val="43"/>
          <w:highlight w:val="none"/>
        </w:rPr>
        <w:t>投标文件格式</w:t>
      </w:r>
      <w:bookmarkEnd w:id="351"/>
    </w:p>
    <w:p>
      <w:pPr>
        <w:spacing w:line="491" w:lineRule="exact"/>
        <w:jc w:val="center"/>
        <w:rPr>
          <w:rFonts w:ascii="Times New Roman" w:hAnsi="Times New Roman"/>
          <w:b/>
          <w:sz w:val="43"/>
          <w:highlight w:val="none"/>
        </w:rPr>
        <w:sectPr>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highlight w:val="none"/>
        </w:rPr>
      </w:pPr>
    </w:p>
    <w:p>
      <w:pPr>
        <w:spacing w:line="0" w:lineRule="atLeast"/>
        <w:jc w:val="center"/>
        <w:rPr>
          <w:rFonts w:ascii="Times New Roman" w:hAnsi="Times New Roman"/>
          <w:sz w:val="18"/>
          <w:highlight w:val="none"/>
        </w:rPr>
        <w:sectPr>
          <w:type w:val="continuous"/>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400" w:lineRule="exact"/>
        <w:rPr>
          <w:rFonts w:ascii="Times New Roman" w:hAnsi="Times New Roman"/>
          <w:highlight w:val="none"/>
        </w:rPr>
      </w:pPr>
    </w:p>
    <w:p>
      <w:pPr>
        <w:spacing w:line="400" w:lineRule="exact"/>
        <w:rPr>
          <w:rFonts w:ascii="Times New Roman" w:hAnsi="Times New Roman"/>
          <w:highlight w:val="none"/>
        </w:rPr>
      </w:pPr>
    </w:p>
    <w:p>
      <w:pPr>
        <w:spacing w:line="400" w:lineRule="exact"/>
        <w:rPr>
          <w:rFonts w:ascii="Times New Roman" w:hAnsi="Times New Roman"/>
          <w:highlight w:val="none"/>
        </w:rPr>
      </w:pPr>
    </w:p>
    <w:p>
      <w:pPr>
        <w:spacing w:line="320" w:lineRule="exact"/>
        <w:jc w:val="center"/>
        <w:rPr>
          <w:rFonts w:ascii="Times New Roman" w:hAnsi="Times New Roman" w:eastAsia="黑体"/>
          <w:sz w:val="28"/>
          <w:highlight w:val="none"/>
        </w:rPr>
      </w:pPr>
      <w:r>
        <w:rPr>
          <w:rFonts w:ascii="Times New Roman" w:hAnsi="Times New Roman" w:eastAsia="黑体"/>
          <w:sz w:val="28"/>
          <w:highlight w:val="none"/>
        </w:rPr>
        <w:t>（项目名称）</w:t>
      </w:r>
    </w:p>
    <w:p>
      <w:pPr>
        <w:spacing w:line="20" w:lineRule="exact"/>
        <w:rPr>
          <w:rFonts w:ascii="Times New Roman" w:hAnsi="Times New Roman" w:eastAsia="Times New Roman"/>
          <w:highlight w:val="none"/>
        </w:rPr>
      </w:pPr>
      <w:r>
        <w:rPr>
          <w:rFonts w:ascii="Times New Roman" w:hAnsi="Times New Roman"/>
          <w:highlight w:val="none"/>
        </w:rPr>
        <w:pict>
          <v:line id="_x0000_s1026" o:spid="_x0000_s1026" o:spt="20" style="position:absolute;left:0pt;margin-left:122.05pt;margin-top:0pt;height:0pt;width:163.7pt;z-index:-251657216;mso-width-relative:page;mso-height-relative:page;"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ZdYd9MA&#10;AAAFAQAADwAAAAAAAAABACAAAAAiAAAAZHJzL2Rvd25yZXYueG1sUEsBAhQAFAAAAAgAh07iQKqY&#10;8LjrAQAAugMAAA4AAAAAAAAAAQAgAAAAIgEAAGRycy9lMm9Eb2MueG1sUEsFBgAAAAAGAAYAWQEA&#10;AH8FAAAAAA==&#10;">
            <v:path arrowok="t"/>
            <v:fill focussize="0,0"/>
            <v:stroke weight="0.72pt"/>
            <v:imagedata o:title=""/>
            <o:lock v:ext="edit"/>
          </v:line>
        </w:pict>
      </w:r>
    </w:p>
    <w:p>
      <w:pPr>
        <w:spacing w:line="200" w:lineRule="exact"/>
        <w:rPr>
          <w:rFonts w:ascii="Times New Roman" w:hAnsi="Times New Roman" w:eastAsia="Times New Roman"/>
          <w:highlight w:val="none"/>
        </w:rPr>
      </w:pPr>
    </w:p>
    <w:p>
      <w:pPr>
        <w:spacing w:line="284" w:lineRule="exact"/>
        <w:rPr>
          <w:rFonts w:ascii="Times New Roman" w:hAnsi="Times New Roman" w:eastAsia="Times New Roman"/>
          <w:highlight w:val="none"/>
        </w:rPr>
      </w:pPr>
    </w:p>
    <w:p>
      <w:pPr>
        <w:spacing w:line="502" w:lineRule="exact"/>
        <w:jc w:val="center"/>
        <w:rPr>
          <w:rFonts w:ascii="Times New Roman" w:hAnsi="Times New Roman" w:eastAsia="黑体"/>
          <w:sz w:val="44"/>
          <w:highlight w:val="none"/>
        </w:rPr>
      </w:pPr>
    </w:p>
    <w:p>
      <w:pPr>
        <w:spacing w:line="502" w:lineRule="exact"/>
        <w:jc w:val="center"/>
        <w:rPr>
          <w:rFonts w:ascii="Times New Roman" w:hAnsi="Times New Roman" w:eastAsia="黑体"/>
          <w:sz w:val="44"/>
          <w:highlight w:val="none"/>
        </w:rPr>
      </w:pPr>
      <w:r>
        <w:rPr>
          <w:rFonts w:ascii="Times New Roman" w:hAnsi="Times New Roman" w:eastAsia="黑体"/>
          <w:sz w:val="44"/>
          <w:highlight w:val="none"/>
        </w:rPr>
        <w:t>投 标 文 件</w:t>
      </w: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200" w:lineRule="exact"/>
        <w:rPr>
          <w:rFonts w:ascii="Times New Roman" w:hAnsi="Times New Roman" w:eastAsia="Times New Roman"/>
          <w:highlight w:val="none"/>
        </w:rPr>
      </w:pPr>
    </w:p>
    <w:p>
      <w:pPr>
        <w:spacing w:line="308" w:lineRule="exact"/>
        <w:rPr>
          <w:rFonts w:ascii="Times New Roman" w:hAnsi="Times New Roman" w:eastAsia="Times New Roman"/>
          <w:highlight w:val="none"/>
        </w:rPr>
      </w:pPr>
    </w:p>
    <w:p>
      <w:pPr>
        <w:tabs>
          <w:tab w:val="left" w:pos="7200"/>
        </w:tabs>
        <w:spacing w:line="308" w:lineRule="exact"/>
        <w:ind w:left="1480"/>
        <w:rPr>
          <w:rFonts w:ascii="Times New Roman" w:hAnsi="Times New Roman" w:eastAsia="黑体"/>
          <w:sz w:val="27"/>
          <w:highlight w:val="none"/>
        </w:rPr>
      </w:pPr>
      <w:r>
        <w:rPr>
          <w:rFonts w:ascii="Times New Roman" w:hAnsi="Times New Roman" w:eastAsia="黑体"/>
          <w:sz w:val="27"/>
          <w:highlight w:val="none"/>
        </w:rPr>
        <w:t>投标人：</w:t>
      </w:r>
      <w:r>
        <w:rPr>
          <w:rFonts w:hint="eastAsia" w:ascii="Times New Roman" w:hAnsi="Times New Roman"/>
          <w:highlight w:val="none"/>
        </w:rPr>
        <w:t xml:space="preserve">                                </w:t>
      </w:r>
      <w:r>
        <w:rPr>
          <w:rFonts w:ascii="Times New Roman" w:hAnsi="Times New Roman" w:eastAsia="黑体"/>
          <w:sz w:val="27"/>
          <w:highlight w:val="none"/>
        </w:rPr>
        <w:t>（盖单位章）</w:t>
      </w:r>
    </w:p>
    <w:p>
      <w:pPr>
        <w:spacing w:line="20" w:lineRule="exact"/>
        <w:rPr>
          <w:rFonts w:ascii="Times New Roman" w:hAnsi="Times New Roman" w:eastAsia="Times New Roman"/>
          <w:highlight w:val="none"/>
        </w:rPr>
      </w:pPr>
      <w:r>
        <w:rPr>
          <w:rFonts w:ascii="Times New Roman" w:hAnsi="Times New Roman"/>
          <w:highlight w:val="none"/>
        </w:rPr>
        <w:pict>
          <v:line id="_x0000_s1031" o:spid="_x0000_s1031" o:spt="20" style="position:absolute;left:0pt;margin-left:130.2pt;margin-top:-0.45pt;height:0pt;width:230.9pt;z-index:-251656192;mso-width-relative:page;mso-height-relative:page;"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path arrowok="t"/>
            <v:fill focussize="0,0"/>
            <v:stroke weight="0.47992125984252pt"/>
            <v:imagedata o:title=""/>
            <o:lock v:ext="edit"/>
          </v:line>
        </w:pict>
      </w:r>
    </w:p>
    <w:p>
      <w:pPr>
        <w:spacing w:line="205" w:lineRule="exact"/>
        <w:rPr>
          <w:rFonts w:ascii="Times New Roman" w:hAnsi="Times New Roman" w:eastAsia="Times New Roman"/>
          <w:highlight w:val="none"/>
        </w:rPr>
      </w:pPr>
    </w:p>
    <w:p>
      <w:pPr>
        <w:tabs>
          <w:tab w:val="left" w:pos="5840"/>
        </w:tabs>
        <w:spacing w:line="320" w:lineRule="exact"/>
        <w:ind w:left="1480"/>
        <w:rPr>
          <w:rFonts w:ascii="Times New Roman" w:hAnsi="Times New Roman" w:eastAsia="黑体"/>
          <w:sz w:val="28"/>
          <w:highlight w:val="none"/>
        </w:rPr>
      </w:pPr>
      <w:r>
        <w:rPr>
          <w:rFonts w:ascii="Times New Roman" w:hAnsi="Times New Roman" w:eastAsia="黑体"/>
          <w:sz w:val="28"/>
          <w:highlight w:val="none"/>
        </w:rPr>
        <w:t>法定代表人或其被授权人：</w:t>
      </w:r>
      <w:r>
        <w:rPr>
          <w:rFonts w:ascii="Times New Roman" w:hAnsi="Times New Roman" w:eastAsia="Times New Roman"/>
          <w:highlight w:val="none"/>
        </w:rPr>
        <w:tab/>
      </w:r>
      <w:r>
        <w:rPr>
          <w:rFonts w:ascii="Times New Roman" w:hAnsi="Times New Roman" w:eastAsia="黑体"/>
          <w:sz w:val="28"/>
          <w:highlight w:val="none"/>
        </w:rPr>
        <w:t>（签字</w:t>
      </w:r>
      <w:r>
        <w:rPr>
          <w:rFonts w:hint="eastAsia" w:ascii="Times New Roman" w:hAnsi="Times New Roman" w:eastAsia="黑体"/>
          <w:sz w:val="28"/>
          <w:highlight w:val="none"/>
        </w:rPr>
        <w:t>或盖章</w:t>
      </w:r>
      <w:r>
        <w:rPr>
          <w:rFonts w:ascii="Times New Roman" w:hAnsi="Times New Roman" w:eastAsia="黑体"/>
          <w:sz w:val="28"/>
          <w:highlight w:val="none"/>
        </w:rPr>
        <w:t>）</w:t>
      </w:r>
    </w:p>
    <w:p>
      <w:pPr>
        <w:spacing w:line="20" w:lineRule="exact"/>
        <w:rPr>
          <w:rFonts w:ascii="Times New Roman" w:hAnsi="Times New Roman" w:eastAsia="Times New Roman"/>
          <w:highlight w:val="none"/>
        </w:rPr>
      </w:pPr>
      <w:r>
        <w:rPr>
          <w:rFonts w:ascii="Times New Roman" w:hAnsi="Times New Roman"/>
          <w:highlight w:val="none"/>
        </w:rPr>
        <w:pict>
          <v:line id="_x0000_s1030" o:spid="_x0000_s1030" o:spt="20" style="position:absolute;left:0pt;margin-left:256.1pt;margin-top:-0.45pt;height:0pt;width:36.75pt;z-index:-251655168;mso-width-relative:page;mso-height-relative:page;"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path arrowok="t"/>
            <v:fill focussize="0,0"/>
            <v:stroke weight="0.48pt"/>
            <v:imagedata o:title=""/>
            <o:lock v:ext="edit"/>
          </v:line>
        </w:pict>
      </w:r>
    </w:p>
    <w:p>
      <w:pPr>
        <w:spacing w:line="200" w:lineRule="exact"/>
        <w:rPr>
          <w:rFonts w:ascii="Times New Roman" w:hAnsi="Times New Roman" w:eastAsia="Times New Roman"/>
          <w:highlight w:val="none"/>
        </w:rPr>
      </w:pPr>
    </w:p>
    <w:p>
      <w:pPr>
        <w:spacing w:line="368" w:lineRule="exact"/>
        <w:rPr>
          <w:rFonts w:ascii="Times New Roman" w:hAnsi="Times New Roman" w:eastAsia="Times New Roman"/>
          <w:highlight w:val="none"/>
        </w:rPr>
      </w:pPr>
    </w:p>
    <w:p>
      <w:pPr>
        <w:tabs>
          <w:tab w:val="left" w:pos="4880"/>
          <w:tab w:val="left" w:pos="5900"/>
        </w:tabs>
        <w:spacing w:line="320" w:lineRule="exact"/>
        <w:ind w:left="3900"/>
        <w:rPr>
          <w:rFonts w:ascii="Times New Roman" w:hAnsi="Times New Roman" w:eastAsia="黑体"/>
          <w:sz w:val="28"/>
          <w:highlight w:val="none"/>
        </w:rPr>
      </w:pPr>
      <w:r>
        <w:rPr>
          <w:rFonts w:ascii="Times New Roman" w:hAnsi="Times New Roman" w:eastAsia="黑体"/>
          <w:sz w:val="28"/>
          <w:highlight w:val="none"/>
        </w:rPr>
        <w:t>年</w:t>
      </w:r>
      <w:r>
        <w:rPr>
          <w:rFonts w:ascii="Times New Roman" w:hAnsi="Times New Roman" w:eastAsia="Times New Roman"/>
          <w:highlight w:val="none"/>
        </w:rPr>
        <w:tab/>
      </w:r>
      <w:r>
        <w:rPr>
          <w:rFonts w:ascii="Times New Roman" w:hAnsi="Times New Roman" w:eastAsia="黑体"/>
          <w:sz w:val="28"/>
          <w:highlight w:val="none"/>
        </w:rPr>
        <w:t>月</w:t>
      </w:r>
      <w:r>
        <w:rPr>
          <w:rFonts w:ascii="Times New Roman" w:hAnsi="Times New Roman" w:eastAsia="Times New Roman"/>
          <w:highlight w:val="none"/>
        </w:rPr>
        <w:tab/>
      </w:r>
      <w:r>
        <w:rPr>
          <w:rFonts w:ascii="Times New Roman" w:hAnsi="Times New Roman" w:eastAsia="黑体"/>
          <w:sz w:val="28"/>
          <w:highlight w:val="none"/>
        </w:rPr>
        <w:t>日</w:t>
      </w:r>
    </w:p>
    <w:p>
      <w:pPr>
        <w:spacing w:line="20" w:lineRule="exact"/>
        <w:rPr>
          <w:rFonts w:ascii="Times New Roman" w:hAnsi="Times New Roman" w:eastAsia="Times New Roman"/>
          <w:highlight w:val="none"/>
        </w:rPr>
      </w:pPr>
      <w:r>
        <w:rPr>
          <w:rFonts w:ascii="Times New Roman" w:hAnsi="Times New Roman"/>
          <w:highlight w:val="none"/>
        </w:rPr>
        <w:pict>
          <v:line id="_x0000_s1029" o:spid="_x0000_s1029" o:spt="20" style="position:absolute;left:0pt;margin-left:157.85pt;margin-top:-0.45pt;height:0pt;width:36.7pt;z-index:-251654144;mso-width-relative:page;mso-height-relative:page;"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path arrowok="t"/>
            <v:fill focussize="0,0"/>
            <v:stroke weight="0.47992125984252pt"/>
            <v:imagedata o:title=""/>
            <o:lock v:ext="edit"/>
          </v:line>
        </w:pict>
      </w:r>
      <w:r>
        <w:rPr>
          <w:rFonts w:ascii="Times New Roman" w:hAnsi="Times New Roman"/>
          <w:highlight w:val="none"/>
        </w:rPr>
        <w:pict>
          <v:line id="_x0000_s1028" o:spid="_x0000_s1028" o:spt="20" style="position:absolute;left:0pt;margin-left:208.7pt;margin-top:-0.45pt;height:0pt;width:36.6pt;z-index:-251653120;mso-width-relative:page;mso-height-relative:page;"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path arrowok="t"/>
            <v:fill focussize="0,0"/>
            <v:stroke weight="0.47992125984252pt"/>
            <v:imagedata o:title=""/>
            <o:lock v:ext="edit"/>
          </v:line>
        </w:pict>
      </w:r>
      <w:r>
        <w:rPr>
          <w:rFonts w:ascii="Times New Roman" w:hAnsi="Times New Roman"/>
          <w:highlight w:val="none"/>
        </w:rPr>
        <w:pict>
          <v:line id="_x0000_s1027" o:spid="_x0000_s1027" o:spt="20" style="position:absolute;left:0pt;margin-left:259.45pt;margin-top:-0.45pt;height:0pt;width:36.65pt;z-index:-251652096;mso-width-relative:page;mso-height-relative:page;"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path arrowok="t"/>
            <v:fill focussize="0,0"/>
            <v:stroke weight="0.47992125984252pt"/>
            <v:imagedata o:title=""/>
            <o:lock v:ext="edit"/>
          </v:line>
        </w:pict>
      </w:r>
    </w:p>
    <w:p>
      <w:pPr>
        <w:spacing w:line="225" w:lineRule="exact"/>
        <w:rPr>
          <w:rFonts w:ascii="Times New Roman" w:hAnsi="Times New Roman" w:eastAsia="Times New Roman"/>
          <w:highlight w:val="none"/>
        </w:rPr>
      </w:pPr>
    </w:p>
    <w:p>
      <w:pPr>
        <w:spacing w:line="0" w:lineRule="atLeast"/>
        <w:jc w:val="center"/>
        <w:rPr>
          <w:rFonts w:ascii="Times New Roman" w:hAnsi="Times New Roman"/>
          <w:sz w:val="18"/>
          <w:highlight w:val="none"/>
        </w:rPr>
        <w:sectPr>
          <w:pgSz w:w="11907" w:h="16839"/>
          <w:pgMar w:top="1440" w:right="1440" w:bottom="1418" w:left="1440" w:header="0" w:footer="736" w:gutter="0"/>
          <w:cols w:space="720" w:num="1"/>
          <w:docGrid w:linePitch="360" w:charSpace="0"/>
        </w:sectPr>
      </w:pPr>
    </w:p>
    <w:p>
      <w:pPr>
        <w:spacing w:line="1" w:lineRule="exact"/>
        <w:rPr>
          <w:rFonts w:ascii="Times New Roman" w:hAnsi="Times New Roman" w:eastAsia="Times New Roman"/>
          <w:highlight w:val="none"/>
        </w:rPr>
      </w:pPr>
    </w:p>
    <w:p>
      <w:pPr>
        <w:spacing w:line="366" w:lineRule="exact"/>
        <w:jc w:val="center"/>
        <w:rPr>
          <w:rFonts w:ascii="Times New Roman" w:hAnsi="Times New Roman" w:eastAsia="黑体"/>
          <w:b/>
          <w:sz w:val="32"/>
          <w:highlight w:val="none"/>
        </w:rPr>
      </w:pPr>
      <w:r>
        <w:rPr>
          <w:rFonts w:ascii="Times New Roman" w:hAnsi="Times New Roman" w:eastAsia="黑体"/>
          <w:b/>
          <w:sz w:val="32"/>
          <w:highlight w:val="none"/>
        </w:rPr>
        <w:t>目录</w:t>
      </w:r>
    </w:p>
    <w:p>
      <w:pPr>
        <w:spacing w:line="360" w:lineRule="auto"/>
        <w:ind w:left="630" w:leftChars="300"/>
        <w:rPr>
          <w:rFonts w:ascii="Times New Roman" w:hAnsi="Times New Roman"/>
          <w:sz w:val="24"/>
          <w:highlight w:val="none"/>
        </w:rPr>
      </w:pPr>
      <w:bookmarkStart w:id="352" w:name="_Toc352691655"/>
      <w:bookmarkStart w:id="353" w:name="_Toc369531691"/>
      <w:bookmarkStart w:id="354" w:name="_Toc7039"/>
    </w:p>
    <w:p>
      <w:pPr>
        <w:spacing w:line="360" w:lineRule="auto"/>
        <w:ind w:firstLine="424" w:firstLineChars="177"/>
        <w:rPr>
          <w:rFonts w:ascii="Times New Roman" w:hAnsi="Times New Roman"/>
          <w:sz w:val="24"/>
          <w:highlight w:val="none"/>
        </w:rPr>
      </w:pPr>
      <w:r>
        <w:rPr>
          <w:rFonts w:ascii="Times New Roman" w:hAnsi="Times New Roman"/>
          <w:sz w:val="24"/>
          <w:highlight w:val="none"/>
        </w:rPr>
        <w:t>一、投标函及投标函附录</w:t>
      </w:r>
    </w:p>
    <w:p>
      <w:pPr>
        <w:spacing w:line="360" w:lineRule="auto"/>
        <w:ind w:firstLine="424" w:firstLineChars="177"/>
        <w:rPr>
          <w:rFonts w:ascii="Times New Roman" w:hAnsi="Times New Roman"/>
          <w:sz w:val="24"/>
          <w:highlight w:val="none"/>
        </w:rPr>
      </w:pPr>
      <w:r>
        <w:rPr>
          <w:rFonts w:ascii="Times New Roman" w:hAnsi="Times New Roman"/>
          <w:sz w:val="24"/>
          <w:highlight w:val="none"/>
        </w:rPr>
        <w:t>二、法定代表人身份证明</w:t>
      </w:r>
      <w:r>
        <w:rPr>
          <w:rFonts w:hint="eastAsia" w:ascii="Times New Roman" w:hAnsi="Times New Roman"/>
          <w:sz w:val="24"/>
          <w:highlight w:val="none"/>
        </w:rPr>
        <w:t>、授权委托书（如有）</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三</w:t>
      </w:r>
      <w:r>
        <w:rPr>
          <w:rFonts w:ascii="Times New Roman" w:hAnsi="Times New Roman"/>
          <w:sz w:val="24"/>
          <w:highlight w:val="none"/>
        </w:rPr>
        <w:t>、监理报酬清单</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四</w:t>
      </w:r>
      <w:r>
        <w:rPr>
          <w:rFonts w:ascii="Times New Roman" w:hAnsi="Times New Roman"/>
          <w:sz w:val="24"/>
          <w:highlight w:val="none"/>
        </w:rPr>
        <w:t>、</w:t>
      </w:r>
      <w:r>
        <w:rPr>
          <w:rFonts w:hint="eastAsia" w:ascii="Times New Roman" w:hAnsi="Times New Roman"/>
          <w:sz w:val="24"/>
          <w:highlight w:val="none"/>
        </w:rPr>
        <w:t>资格</w:t>
      </w:r>
      <w:r>
        <w:rPr>
          <w:rFonts w:ascii="Times New Roman" w:hAnsi="Times New Roman"/>
          <w:sz w:val="24"/>
          <w:highlight w:val="none"/>
        </w:rPr>
        <w:t>审查资料</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五</w:t>
      </w:r>
      <w:r>
        <w:rPr>
          <w:rFonts w:ascii="Times New Roman" w:hAnsi="Times New Roman"/>
          <w:sz w:val="24"/>
          <w:highlight w:val="none"/>
        </w:rPr>
        <w:t>、投标人声明</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六、</w:t>
      </w:r>
      <w:r>
        <w:rPr>
          <w:rFonts w:ascii="Times New Roman" w:hAnsi="Times New Roman"/>
          <w:sz w:val="24"/>
          <w:highlight w:val="none"/>
        </w:rPr>
        <w:t>监理大纲</w:t>
      </w:r>
    </w:p>
    <w:p>
      <w:pPr>
        <w:spacing w:line="360" w:lineRule="auto"/>
        <w:ind w:firstLine="424" w:firstLineChars="177"/>
        <w:rPr>
          <w:rFonts w:ascii="Times New Roman" w:hAnsi="Times New Roman"/>
          <w:sz w:val="24"/>
          <w:highlight w:val="none"/>
        </w:rPr>
      </w:pPr>
      <w:r>
        <w:rPr>
          <w:rFonts w:hint="eastAsia" w:ascii="Times New Roman" w:hAnsi="Times New Roman"/>
          <w:sz w:val="24"/>
          <w:highlight w:val="none"/>
        </w:rPr>
        <w:t>七</w:t>
      </w:r>
      <w:r>
        <w:rPr>
          <w:rFonts w:ascii="Times New Roman" w:hAnsi="Times New Roman"/>
          <w:sz w:val="24"/>
          <w:highlight w:val="none"/>
        </w:rPr>
        <w:t>、其他资料</w:t>
      </w:r>
      <w:r>
        <w:rPr>
          <w:rFonts w:hint="eastAsia" w:ascii="Times New Roman" w:hAnsi="Times New Roman"/>
          <w:sz w:val="24"/>
          <w:highlight w:val="none"/>
        </w:rPr>
        <w:t>（包括但不限制于以下内容）</w:t>
      </w:r>
    </w:p>
    <w:p>
      <w:pPr>
        <w:spacing w:line="360" w:lineRule="auto"/>
        <w:ind w:firstLine="664" w:firstLineChars="277"/>
        <w:rPr>
          <w:rFonts w:ascii="Times New Roman" w:hAnsi="Times New Roman"/>
          <w:sz w:val="24"/>
          <w:highlight w:val="none"/>
        </w:rPr>
      </w:pPr>
      <w:r>
        <w:rPr>
          <w:rFonts w:hint="eastAsia" w:ascii="Times New Roman" w:hAnsi="Times New Roman"/>
          <w:sz w:val="24"/>
          <w:highlight w:val="none"/>
        </w:rPr>
        <w:t>①监理项目管理团队人员信息表；</w:t>
      </w:r>
    </w:p>
    <w:p>
      <w:pPr>
        <w:spacing w:line="360" w:lineRule="auto"/>
        <w:ind w:firstLine="664" w:firstLineChars="277"/>
        <w:rPr>
          <w:rFonts w:ascii="Times New Roman" w:hAnsi="Times New Roman"/>
          <w:sz w:val="24"/>
          <w:highlight w:val="none"/>
        </w:rPr>
      </w:pPr>
      <w:r>
        <w:rPr>
          <w:rFonts w:hint="eastAsia" w:ascii="Times New Roman" w:hAnsi="Times New Roman"/>
          <w:sz w:val="24"/>
          <w:highlight w:val="none"/>
        </w:rPr>
        <w:t>②投标人认为需要提供的资料（如有）。</w:t>
      </w:r>
    </w:p>
    <w:p>
      <w:pPr>
        <w:spacing w:line="540" w:lineRule="exact"/>
        <w:rPr>
          <w:rFonts w:ascii="Times New Roman" w:hAnsi="Times New Roman"/>
          <w:sz w:val="20"/>
          <w:highlight w:val="none"/>
        </w:rPr>
      </w:pPr>
    </w:p>
    <w:p>
      <w:pPr>
        <w:spacing w:line="540" w:lineRule="exact"/>
        <w:rPr>
          <w:rFonts w:ascii="Times New Roman" w:hAnsi="Times New Roman"/>
          <w:sz w:val="20"/>
          <w:highlight w:val="none"/>
        </w:rPr>
      </w:pPr>
    </w:p>
    <w:p>
      <w:pPr>
        <w:widowControl/>
        <w:jc w:val="left"/>
        <w:rPr>
          <w:rFonts w:ascii="Times New Roman" w:hAnsi="Times New Roman"/>
          <w:sz w:val="20"/>
          <w:highlight w:val="none"/>
        </w:rPr>
      </w:pPr>
      <w:r>
        <w:rPr>
          <w:rFonts w:ascii="Times New Roman" w:hAnsi="Times New Roman"/>
          <w:sz w:val="20"/>
          <w:highlight w:val="none"/>
        </w:rPr>
        <w:br w:type="page"/>
      </w:r>
    </w:p>
    <w:bookmarkEnd w:id="352"/>
    <w:bookmarkEnd w:id="353"/>
    <w:bookmarkEnd w:id="354"/>
    <w:p>
      <w:pPr>
        <w:pStyle w:val="2"/>
        <w:spacing w:line="600" w:lineRule="auto"/>
        <w:rPr>
          <w:rFonts w:ascii="Times New Roman" w:hAnsi="Times New Roman"/>
          <w:color w:val="auto"/>
          <w:sz w:val="30"/>
          <w:szCs w:val="30"/>
          <w:highlight w:val="none"/>
        </w:rPr>
      </w:pPr>
      <w:bookmarkStart w:id="355" w:name="_Toc529196600"/>
      <w:bookmarkStart w:id="356" w:name="_Toc535938751"/>
      <w:bookmarkStart w:id="357" w:name="_Toc530470642"/>
      <w:r>
        <w:rPr>
          <w:rFonts w:ascii="Times New Roman" w:hAnsi="Times New Roman"/>
          <w:color w:val="auto"/>
          <w:sz w:val="30"/>
          <w:szCs w:val="30"/>
          <w:highlight w:val="none"/>
        </w:rPr>
        <w:t>一、投标</w:t>
      </w:r>
      <w:bookmarkStart w:id="358" w:name="_Toc352691656"/>
      <w:bookmarkStart w:id="359" w:name="_Toc369531692"/>
      <w:bookmarkStart w:id="360" w:name="_Toc6931"/>
      <w:r>
        <w:rPr>
          <w:rFonts w:ascii="Times New Roman" w:hAnsi="Times New Roman"/>
          <w:color w:val="auto"/>
          <w:sz w:val="30"/>
          <w:szCs w:val="30"/>
          <w:highlight w:val="none"/>
        </w:rPr>
        <w:t>函及投标函附录</w:t>
      </w:r>
      <w:bookmarkEnd w:id="355"/>
      <w:bookmarkEnd w:id="356"/>
      <w:bookmarkEnd w:id="357"/>
    </w:p>
    <w:bookmarkEnd w:id="358"/>
    <w:bookmarkEnd w:id="359"/>
    <w:bookmarkEnd w:id="360"/>
    <w:p>
      <w:pPr>
        <w:pStyle w:val="4"/>
        <w:spacing w:line="240" w:lineRule="auto"/>
        <w:rPr>
          <w:highlight w:val="none"/>
        </w:rPr>
      </w:pPr>
      <w:bookmarkStart w:id="361" w:name="_Toc482188651"/>
      <w:bookmarkStart w:id="362" w:name="_Toc535938752"/>
      <w:bookmarkStart w:id="363" w:name="_Toc385943065"/>
      <w:bookmarkStart w:id="364" w:name="_Toc370676426"/>
      <w:bookmarkStart w:id="365" w:name="_Toc391394111"/>
      <w:bookmarkStart w:id="366" w:name="_Toc529196601"/>
      <w:bookmarkStart w:id="367" w:name="_Toc359594235"/>
      <w:bookmarkStart w:id="368" w:name="_Toc530470643"/>
      <w:r>
        <w:rPr>
          <w:highlight w:val="none"/>
        </w:rPr>
        <w:t>（一）投标函</w:t>
      </w:r>
      <w:bookmarkEnd w:id="361"/>
      <w:bookmarkEnd w:id="362"/>
      <w:bookmarkEnd w:id="363"/>
      <w:bookmarkEnd w:id="364"/>
      <w:bookmarkEnd w:id="365"/>
      <w:bookmarkEnd w:id="366"/>
      <w:bookmarkEnd w:id="367"/>
      <w:bookmarkEnd w:id="368"/>
    </w:p>
    <w:p>
      <w:pPr>
        <w:spacing w:line="360" w:lineRule="auto"/>
        <w:rPr>
          <w:rFonts w:ascii="Times New Roman" w:hAnsi="Times New Roman"/>
          <w:sz w:val="24"/>
          <w:highlight w:val="none"/>
        </w:rPr>
      </w:pPr>
      <w:r>
        <w:rPr>
          <w:rFonts w:ascii="Times New Roman" w:hAnsi="Times New Roman"/>
          <w:sz w:val="24"/>
          <w:highlight w:val="none"/>
        </w:rPr>
        <w:t>（招标人名称）：</w:t>
      </w:r>
      <w:r>
        <w:rPr>
          <w:rFonts w:ascii="Times New Roman" w:hAnsi="Times New Roman"/>
          <w:sz w:val="24"/>
          <w:highlight w:val="none"/>
          <w:u w:val="single"/>
        </w:rPr>
        <w:t xml:space="preserve">                </w:t>
      </w:r>
    </w:p>
    <w:p>
      <w:pPr>
        <w:spacing w:line="360" w:lineRule="auto"/>
        <w:ind w:firstLine="405"/>
        <w:rPr>
          <w:rFonts w:ascii="Times New Roman" w:hAnsi="Times New Roman"/>
          <w:sz w:val="24"/>
          <w:highlight w:val="none"/>
        </w:rPr>
      </w:pPr>
      <w:r>
        <w:rPr>
          <w:rFonts w:ascii="Times New Roman" w:hAnsi="Times New Roman"/>
          <w:sz w:val="24"/>
          <w:highlight w:val="none"/>
        </w:rPr>
        <w:t>1．我方已仔细研究了</w:t>
      </w:r>
      <w:r>
        <w:rPr>
          <w:rFonts w:ascii="Times New Roman" w:hAnsi="Times New Roman"/>
          <w:sz w:val="24"/>
          <w:highlight w:val="none"/>
          <w:u w:val="single"/>
        </w:rPr>
        <w:t xml:space="preserve">                </w:t>
      </w:r>
      <w:r>
        <w:rPr>
          <w:rFonts w:ascii="Times New Roman" w:hAnsi="Times New Roman"/>
          <w:sz w:val="24"/>
          <w:highlight w:val="none"/>
        </w:rPr>
        <w:t>（项目名称）监理招标项目招标文件的全部内容，愿意以</w:t>
      </w:r>
      <w:r>
        <w:rPr>
          <w:rFonts w:hint="eastAsia" w:ascii="Times New Roman" w:hAnsi="Times New Roman"/>
          <w:sz w:val="24"/>
          <w:highlight w:val="none"/>
        </w:rPr>
        <w:t>投标函附录中的报价和监理服务期</w:t>
      </w:r>
      <w:r>
        <w:rPr>
          <w:rFonts w:ascii="Times New Roman" w:hAnsi="Times New Roman"/>
          <w:sz w:val="24"/>
          <w:highlight w:val="none"/>
        </w:rPr>
        <w:t>，按合同约定完成监理工作。</w:t>
      </w:r>
    </w:p>
    <w:p>
      <w:pPr>
        <w:spacing w:line="360" w:lineRule="auto"/>
        <w:ind w:firstLine="480" w:firstLineChars="200"/>
        <w:rPr>
          <w:rFonts w:ascii="Times New Roman" w:hAnsi="Times New Roman"/>
          <w:sz w:val="24"/>
          <w:highlight w:val="none"/>
        </w:rPr>
      </w:pPr>
      <w:bookmarkStart w:id="369" w:name="_Toc530470644"/>
      <w:r>
        <w:rPr>
          <w:rFonts w:ascii="Times New Roman" w:hAnsi="Times New Roman"/>
          <w:sz w:val="24"/>
          <w:highlight w:val="none"/>
        </w:rPr>
        <w:t>2. 我方的投标文件包括下列内容：</w:t>
      </w:r>
      <w:bookmarkEnd w:id="369"/>
    </w:p>
    <w:p>
      <w:pPr>
        <w:spacing w:line="360" w:lineRule="auto"/>
        <w:ind w:firstLine="405"/>
        <w:rPr>
          <w:rFonts w:ascii="Times New Roman" w:hAnsi="Times New Roman"/>
          <w:sz w:val="24"/>
          <w:highlight w:val="none"/>
        </w:rPr>
      </w:pPr>
      <w:r>
        <w:rPr>
          <w:rFonts w:ascii="Times New Roman" w:hAnsi="Times New Roman"/>
          <w:sz w:val="24"/>
          <w:highlight w:val="none"/>
        </w:rPr>
        <w:t>（1）投标函及投标函附录；</w:t>
      </w:r>
    </w:p>
    <w:p>
      <w:pPr>
        <w:spacing w:line="360" w:lineRule="auto"/>
        <w:ind w:firstLine="405"/>
        <w:rPr>
          <w:rFonts w:ascii="Times New Roman" w:hAnsi="Times New Roman"/>
          <w:sz w:val="24"/>
          <w:highlight w:val="none"/>
        </w:rPr>
      </w:pPr>
      <w:r>
        <w:rPr>
          <w:rFonts w:ascii="Times New Roman" w:hAnsi="Times New Roman"/>
          <w:sz w:val="24"/>
          <w:highlight w:val="none"/>
        </w:rPr>
        <w:t>（2）法定代表人身份证明</w:t>
      </w:r>
      <w:r>
        <w:rPr>
          <w:rFonts w:hint="eastAsia" w:ascii="Times New Roman" w:hAnsi="Times New Roman"/>
          <w:sz w:val="24"/>
          <w:highlight w:val="none"/>
        </w:rPr>
        <w:t>、</w:t>
      </w:r>
      <w:r>
        <w:rPr>
          <w:rFonts w:ascii="Times New Roman" w:hAnsi="Times New Roman"/>
          <w:sz w:val="24"/>
          <w:highlight w:val="none"/>
        </w:rPr>
        <w:t>授权委托书（如有）；</w:t>
      </w:r>
    </w:p>
    <w:p>
      <w:pPr>
        <w:spacing w:line="360" w:lineRule="auto"/>
        <w:ind w:firstLine="405"/>
        <w:rPr>
          <w:rFonts w:ascii="Times New Roman" w:hAnsi="Times New Roman"/>
          <w:sz w:val="24"/>
          <w:highlight w:val="none"/>
        </w:rPr>
      </w:pPr>
      <w:r>
        <w:rPr>
          <w:rFonts w:ascii="Times New Roman" w:hAnsi="Times New Roman"/>
          <w:sz w:val="24"/>
          <w:highlight w:val="none"/>
        </w:rPr>
        <w:t>（3）投标保证金（如有）；</w:t>
      </w:r>
    </w:p>
    <w:p>
      <w:pPr>
        <w:spacing w:line="360" w:lineRule="auto"/>
        <w:ind w:firstLine="405"/>
        <w:rPr>
          <w:rFonts w:ascii="Times New Roman" w:hAnsi="Times New Roman"/>
          <w:sz w:val="24"/>
          <w:highlight w:val="none"/>
        </w:rPr>
      </w:pPr>
      <w:r>
        <w:rPr>
          <w:rFonts w:ascii="Times New Roman" w:hAnsi="Times New Roman"/>
          <w:sz w:val="24"/>
          <w:highlight w:val="none"/>
        </w:rPr>
        <w:t xml:space="preserve">（4）监理报酬清单； </w:t>
      </w:r>
    </w:p>
    <w:p>
      <w:pPr>
        <w:spacing w:line="360" w:lineRule="auto"/>
        <w:ind w:firstLine="405"/>
        <w:rPr>
          <w:rFonts w:ascii="Times New Roman" w:hAnsi="Times New Roman"/>
          <w:sz w:val="24"/>
          <w:highlight w:val="none"/>
        </w:rPr>
      </w:pPr>
      <w:r>
        <w:rPr>
          <w:rFonts w:ascii="Times New Roman" w:hAnsi="Times New Roman"/>
          <w:sz w:val="24"/>
          <w:highlight w:val="none"/>
        </w:rPr>
        <w:t>（5）资格审查资料</w:t>
      </w:r>
    </w:p>
    <w:p>
      <w:pPr>
        <w:spacing w:line="360" w:lineRule="auto"/>
        <w:ind w:firstLine="405"/>
        <w:rPr>
          <w:rFonts w:ascii="Times New Roman" w:hAnsi="Times New Roman"/>
          <w:sz w:val="24"/>
          <w:highlight w:val="none"/>
        </w:rPr>
      </w:pPr>
      <w:r>
        <w:rPr>
          <w:rFonts w:ascii="Times New Roman" w:hAnsi="Times New Roman"/>
          <w:sz w:val="24"/>
          <w:highlight w:val="none"/>
        </w:rPr>
        <w:t>（6）监理大纲；</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（7）其他资料。</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投标文件的上述组成部分如存在内容不一致的，以投标函为准。</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3．我方承诺在招标文件规定的投标有效期</w:t>
      </w:r>
      <w:r>
        <w:rPr>
          <w:rFonts w:ascii="Times New Roman" w:hAnsi="Times New Roman"/>
          <w:sz w:val="24"/>
          <w:highlight w:val="none"/>
          <w:u w:val="single"/>
        </w:rPr>
        <w:t>90</w:t>
      </w:r>
      <w:r>
        <w:rPr>
          <w:rFonts w:ascii="Times New Roman" w:hAnsi="Times New Roman"/>
          <w:sz w:val="24"/>
          <w:highlight w:val="none"/>
        </w:rPr>
        <w:t>日历天内不撤销投标文件。</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4．如我方中标，我方承诺：</w:t>
      </w:r>
    </w:p>
    <w:p>
      <w:pPr>
        <w:spacing w:line="360" w:lineRule="auto"/>
        <w:ind w:left="960" w:leftChars="400" w:hanging="120" w:hangingChars="50"/>
        <w:rPr>
          <w:rFonts w:ascii="Times New Roman" w:hAnsi="Times New Roman"/>
          <w:sz w:val="24"/>
          <w:highlight w:val="none"/>
        </w:rPr>
      </w:pPr>
      <w:r>
        <w:rPr>
          <w:rFonts w:ascii="Times New Roman" w:hAnsi="Times New Roman"/>
          <w:sz w:val="24"/>
          <w:highlight w:val="none"/>
        </w:rPr>
        <w:t>（1）在收到中标通知书后，在中标通知书规定的期限内与你方签订合同；</w:t>
      </w:r>
    </w:p>
    <w:p>
      <w:pPr>
        <w:spacing w:line="360" w:lineRule="auto"/>
        <w:ind w:left="960" w:leftChars="400" w:hanging="120" w:hangingChars="50"/>
        <w:rPr>
          <w:rFonts w:ascii="Times New Roman" w:hAnsi="Times New Roman"/>
          <w:sz w:val="24"/>
          <w:highlight w:val="none"/>
        </w:rPr>
      </w:pPr>
      <w:r>
        <w:rPr>
          <w:rFonts w:ascii="Times New Roman" w:hAnsi="Times New Roman"/>
          <w:sz w:val="24"/>
          <w:highlight w:val="none"/>
        </w:rPr>
        <w:t>（2）在签订合同时不向你方提出附加条件；</w:t>
      </w:r>
    </w:p>
    <w:p>
      <w:pPr>
        <w:spacing w:line="360" w:lineRule="auto"/>
        <w:ind w:left="960" w:leftChars="400" w:hanging="120" w:hangingChars="50"/>
        <w:rPr>
          <w:rFonts w:ascii="Times New Roman" w:hAnsi="Times New Roman"/>
          <w:sz w:val="24"/>
          <w:highlight w:val="none"/>
        </w:rPr>
      </w:pPr>
      <w:bookmarkStart w:id="370" w:name="_Toc352691658"/>
      <w:bookmarkStart w:id="371" w:name="_Toc1187"/>
      <w:bookmarkStart w:id="372" w:name="_Toc369531694"/>
      <w:r>
        <w:rPr>
          <w:rFonts w:ascii="Times New Roman" w:hAnsi="Times New Roman"/>
          <w:sz w:val="24"/>
          <w:highlight w:val="none"/>
        </w:rPr>
        <w:t>（</w:t>
      </w:r>
      <w:r>
        <w:rPr>
          <w:rFonts w:hint="eastAsia" w:ascii="Times New Roman" w:hAnsi="Times New Roman"/>
          <w:sz w:val="24"/>
          <w:highlight w:val="none"/>
        </w:rPr>
        <w:t>3</w:t>
      </w:r>
      <w:r>
        <w:rPr>
          <w:rFonts w:ascii="Times New Roman" w:hAnsi="Times New Roman"/>
          <w:sz w:val="24"/>
          <w:highlight w:val="none"/>
        </w:rPr>
        <w:t>）在合</w:t>
      </w:r>
      <w:bookmarkEnd w:id="370"/>
      <w:bookmarkEnd w:id="371"/>
      <w:bookmarkEnd w:id="372"/>
      <w:r>
        <w:rPr>
          <w:rFonts w:ascii="Times New Roman" w:hAnsi="Times New Roman"/>
          <w:sz w:val="24"/>
          <w:highlight w:val="none"/>
        </w:rPr>
        <w:t>同约定的期限内完成合同规定的全部义务；</w:t>
      </w:r>
    </w:p>
    <w:p>
      <w:pPr>
        <w:spacing w:line="360" w:lineRule="auto"/>
        <w:ind w:firstLine="480" w:firstLineChars="200"/>
        <w:rPr>
          <w:rFonts w:ascii="Times New Roman" w:hAnsi="Times New Roman"/>
          <w:sz w:val="24"/>
          <w:highlight w:val="none"/>
        </w:rPr>
      </w:pPr>
      <w:r>
        <w:rPr>
          <w:rFonts w:ascii="Times New Roman" w:hAnsi="Times New Roman"/>
          <w:sz w:val="24"/>
          <w:highlight w:val="none"/>
        </w:rPr>
        <w:t>5．我方在此声明，所递交的投标文件及有关资料内容完整、真实和准确，且不存在第二章“投标人须知”第1.4.3项规定的任何一种情形。</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6. 如我方中标，我方承诺，满足“委托人要求”中的所有内容。</w:t>
      </w:r>
    </w:p>
    <w:p>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7</w:t>
      </w:r>
      <w:r>
        <w:rPr>
          <w:rFonts w:ascii="Times New Roman" w:hAnsi="Times New Roman"/>
          <w:sz w:val="24"/>
          <w:highlight w:val="none"/>
        </w:rPr>
        <w:t>．如我方中标，我方承诺：我司提交的所有投标资料真实可靠，并</w:t>
      </w:r>
      <w:r>
        <w:rPr>
          <w:rFonts w:hint="eastAsia" w:ascii="Times New Roman" w:hAnsi="Times New Roman"/>
          <w:sz w:val="24"/>
          <w:highlight w:val="none"/>
        </w:rPr>
        <w:t>在中标通知书发放之前，如招标人、建设行政管理部门、工程招标监督机构等提出复查投标资料原件的，我方在3个工作日之内提供。投标资料弄虚作假的，我方将承担与此有关的一切责任，包括但不限于取消投标资格或中标资格（如果已取得中标）、接受行政监督部门的行政处罚等。</w:t>
      </w:r>
    </w:p>
    <w:p>
      <w:pPr>
        <w:spacing w:line="360" w:lineRule="auto"/>
        <w:ind w:firstLine="2520" w:firstLineChars="1200"/>
        <w:rPr>
          <w:rFonts w:ascii="Times New Roman" w:hAnsi="Times New Roman"/>
          <w:szCs w:val="21"/>
          <w:highlight w:val="none"/>
        </w:rPr>
      </w:pPr>
      <w:bookmarkStart w:id="373" w:name="_Toc359594236"/>
      <w:bookmarkStart w:id="374" w:name="_Toc385943066"/>
      <w:bookmarkStart w:id="375" w:name="_Toc370676427"/>
      <w:bookmarkStart w:id="376" w:name="_Toc482188652"/>
      <w:bookmarkStart w:id="377" w:name="_Toc391394112"/>
      <w:bookmarkStart w:id="378" w:name="_Toc369531697"/>
      <w:bookmarkStart w:id="379" w:name="_Toc152045787"/>
      <w:bookmarkStart w:id="380" w:name="_Toc352691661"/>
      <w:bookmarkStart w:id="381" w:name="_Toc247527827"/>
      <w:bookmarkStart w:id="382" w:name="_Toc144974856"/>
      <w:bookmarkStart w:id="383" w:name="_Toc17960"/>
      <w:bookmarkStart w:id="384" w:name="_Toc300835209"/>
      <w:bookmarkStart w:id="385" w:name="_Toc152042576"/>
      <w:bookmarkStart w:id="386" w:name="_Toc247514246"/>
      <w:bookmarkStart w:id="387" w:name="_Toc384308375"/>
      <w:bookmarkStart w:id="388" w:name="_Toc361508752"/>
    </w:p>
    <w:p>
      <w:pPr>
        <w:spacing w:line="360" w:lineRule="auto"/>
        <w:ind w:firstLine="2520" w:firstLineChars="1200"/>
        <w:rPr>
          <w:rFonts w:ascii="Times New Roman" w:hAnsi="Times New Roman"/>
          <w:szCs w:val="21"/>
          <w:highlight w:val="none"/>
        </w:rPr>
      </w:pPr>
      <w:r>
        <w:rPr>
          <w:rFonts w:ascii="Times New Roman" w:hAnsi="Times New Roman"/>
          <w:szCs w:val="21"/>
          <w:highlight w:val="none"/>
        </w:rPr>
        <w:t>投 标 人：</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rPr>
        <w:t>（盖单位章）</w:t>
      </w:r>
    </w:p>
    <w:p>
      <w:pPr>
        <w:spacing w:line="360" w:lineRule="auto"/>
        <w:rPr>
          <w:rFonts w:ascii="Times New Roman" w:hAnsi="Times New Roman"/>
          <w:szCs w:val="21"/>
          <w:highlight w:val="none"/>
        </w:rPr>
      </w:pPr>
      <w:r>
        <w:rPr>
          <w:rFonts w:ascii="Times New Roman" w:hAnsi="Times New Roman"/>
          <w:szCs w:val="21"/>
          <w:highlight w:val="none"/>
        </w:rPr>
        <w:t xml:space="preserve">                </w:t>
      </w:r>
      <w:r>
        <w:rPr>
          <w:rFonts w:hint="eastAsia" w:ascii="Times New Roman" w:hAnsi="Times New Roman"/>
          <w:szCs w:val="21"/>
          <w:highlight w:val="none"/>
        </w:rPr>
        <w:t xml:space="preserve">        法定代表人</w:t>
      </w:r>
      <w:r>
        <w:rPr>
          <w:rFonts w:ascii="Times New Roman" w:hAnsi="Times New Roman"/>
          <w:szCs w:val="21"/>
          <w:highlight w:val="none"/>
        </w:rPr>
        <w:t>(</w:t>
      </w:r>
      <w:r>
        <w:rPr>
          <w:rFonts w:hint="eastAsia" w:ascii="Times New Roman" w:hAnsi="Times New Roman"/>
          <w:szCs w:val="21"/>
          <w:highlight w:val="none"/>
        </w:rPr>
        <w:t>或被授权人</w:t>
      </w:r>
      <w:r>
        <w:rPr>
          <w:rFonts w:ascii="Times New Roman" w:hAnsi="Times New Roman"/>
          <w:szCs w:val="21"/>
          <w:highlight w:val="none"/>
        </w:rPr>
        <w:t>)</w:t>
      </w:r>
      <w:r>
        <w:rPr>
          <w:rFonts w:hint="eastAsia" w:ascii="Times New Roman" w:hAnsi="Times New Roman"/>
          <w:szCs w:val="21"/>
          <w:highlight w:val="none"/>
        </w:rPr>
        <w:t>（签名或盖章）：</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u w:val="single"/>
        </w:rPr>
        <w:t xml:space="preserve">      </w:t>
      </w:r>
    </w:p>
    <w:p>
      <w:pPr>
        <w:spacing w:line="360" w:lineRule="auto"/>
        <w:ind w:firstLine="2520" w:firstLineChars="1200"/>
        <w:rPr>
          <w:rFonts w:ascii="Times New Roman" w:hAnsi="Times New Roman"/>
          <w:szCs w:val="21"/>
          <w:highlight w:val="none"/>
        </w:rPr>
      </w:pPr>
      <w:r>
        <w:rPr>
          <w:rFonts w:ascii="Times New Roman" w:hAnsi="Times New Roman"/>
          <w:szCs w:val="21"/>
          <w:highlight w:val="none"/>
        </w:rPr>
        <w:t>地    址：</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spacing w:line="360" w:lineRule="auto"/>
        <w:ind w:right="85"/>
        <w:rPr>
          <w:rFonts w:ascii="Times New Roman" w:hAnsi="Times New Roman"/>
          <w:szCs w:val="21"/>
          <w:highlight w:val="none"/>
        </w:rPr>
      </w:pPr>
      <w:r>
        <w:rPr>
          <w:rFonts w:hint="eastAsia" w:ascii="Times New Roman" w:hAnsi="Times New Roman"/>
          <w:szCs w:val="21"/>
          <w:highlight w:val="none"/>
        </w:rPr>
        <w:t xml:space="preserve">                        </w:t>
      </w:r>
      <w:r>
        <w:rPr>
          <w:rFonts w:ascii="Times New Roman" w:hAnsi="Times New Roman"/>
          <w:szCs w:val="21"/>
          <w:highlight w:val="none"/>
        </w:rPr>
        <w:t>网    址：</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u w:val="single"/>
        </w:rPr>
        <w:t xml:space="preserve">        </w:t>
      </w:r>
    </w:p>
    <w:p>
      <w:pPr>
        <w:spacing w:line="360" w:lineRule="auto"/>
        <w:ind w:firstLine="2520" w:firstLineChars="1200"/>
        <w:rPr>
          <w:rFonts w:ascii="Times New Roman" w:hAnsi="Times New Roman"/>
          <w:szCs w:val="21"/>
          <w:highlight w:val="none"/>
        </w:rPr>
      </w:pPr>
      <w:r>
        <w:rPr>
          <w:rFonts w:ascii="Times New Roman" w:hAnsi="Times New Roman"/>
          <w:szCs w:val="21"/>
          <w:highlight w:val="none"/>
        </w:rPr>
        <w:t>电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pPr>
        <w:spacing w:line="360" w:lineRule="auto"/>
        <w:ind w:firstLine="2520" w:firstLineChars="1200"/>
        <w:rPr>
          <w:rFonts w:ascii="Times New Roman" w:hAnsi="Times New Roman"/>
          <w:szCs w:val="21"/>
          <w:highlight w:val="none"/>
        </w:rPr>
      </w:pPr>
      <w:r>
        <w:rPr>
          <w:rFonts w:ascii="Times New Roman" w:hAnsi="Times New Roman"/>
          <w:szCs w:val="21"/>
          <w:highlight w:val="none"/>
        </w:rPr>
        <w:t>传    真：</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pPr>
        <w:spacing w:line="360" w:lineRule="auto"/>
        <w:ind w:firstLine="2520" w:firstLineChars="1200"/>
        <w:rPr>
          <w:rFonts w:ascii="Times New Roman" w:hAnsi="Times New Roman"/>
          <w:szCs w:val="21"/>
          <w:highlight w:val="none"/>
        </w:rPr>
      </w:pPr>
      <w:r>
        <w:rPr>
          <w:rFonts w:ascii="Times New Roman" w:hAnsi="Times New Roman"/>
          <w:szCs w:val="21"/>
          <w:highlight w:val="none"/>
        </w:rPr>
        <w:t>邮政编码：</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pPr>
        <w:spacing w:line="360" w:lineRule="auto"/>
        <w:ind w:firstLine="4725" w:firstLineChars="2250"/>
        <w:rPr>
          <w:rFonts w:ascii="Times New Roman" w:hAnsi="Times New Roman"/>
          <w:szCs w:val="21"/>
          <w:highlight w:val="none"/>
        </w:rPr>
      </w:pP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日</w:t>
      </w:r>
    </w:p>
    <w:p>
      <w:pPr>
        <w:spacing w:line="360" w:lineRule="auto"/>
        <w:ind w:firstLine="4725" w:firstLineChars="2250"/>
        <w:rPr>
          <w:rFonts w:ascii="Times New Roman" w:hAnsi="Times New Roman"/>
          <w:szCs w:val="21"/>
          <w:highlight w:val="none"/>
        </w:rPr>
      </w:pPr>
      <w:r>
        <w:rPr>
          <w:rFonts w:ascii="Times New Roman" w:hAnsi="Times New Roman"/>
          <w:szCs w:val="21"/>
          <w:highlight w:val="none"/>
        </w:rPr>
        <w:br w:type="page"/>
      </w:r>
    </w:p>
    <w:p>
      <w:pPr>
        <w:pStyle w:val="4"/>
        <w:spacing w:line="480" w:lineRule="auto"/>
        <w:rPr>
          <w:highlight w:val="none"/>
        </w:rPr>
      </w:pPr>
      <w:bookmarkStart w:id="389" w:name="_Toc529196602"/>
      <w:bookmarkStart w:id="390" w:name="_Toc535938753"/>
      <w:bookmarkStart w:id="391" w:name="_Toc530470645"/>
      <w:r>
        <w:rPr>
          <w:highlight w:val="none"/>
        </w:rPr>
        <w:t>（二）投标函附录</w:t>
      </w:r>
      <w:bookmarkEnd w:id="373"/>
      <w:bookmarkEnd w:id="374"/>
      <w:bookmarkEnd w:id="375"/>
      <w:bookmarkEnd w:id="376"/>
      <w:bookmarkEnd w:id="377"/>
      <w:bookmarkEnd w:id="389"/>
      <w:bookmarkEnd w:id="390"/>
      <w:bookmarkEnd w:id="391"/>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980"/>
        <w:gridCol w:w="1875"/>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snapToGrid w:val="0"/>
              <w:ind w:right="-70"/>
              <w:jc w:val="center"/>
              <w:rPr>
                <w:sz w:val="24"/>
                <w:szCs w:val="24"/>
                <w:highlight w:val="none"/>
              </w:rPr>
            </w:pPr>
            <w:r>
              <w:rPr>
                <w:rFonts w:hint="eastAsia" w:cs="宋体"/>
                <w:sz w:val="24"/>
                <w:szCs w:val="24"/>
                <w:highlight w:val="none"/>
              </w:rPr>
              <w:t>投标人名称</w:t>
            </w:r>
          </w:p>
          <w:p>
            <w:pPr>
              <w:snapToGrid w:val="0"/>
              <w:ind w:right="-70"/>
              <w:jc w:val="center"/>
              <w:rPr>
                <w:sz w:val="24"/>
                <w:szCs w:val="24"/>
                <w:highlight w:val="none"/>
              </w:rPr>
            </w:pPr>
            <w:r>
              <w:rPr>
                <w:rFonts w:hint="eastAsia" w:cs="宋体"/>
                <w:sz w:val="24"/>
                <w:szCs w:val="24"/>
                <w:highlight w:val="none"/>
              </w:rPr>
              <w:t>（盖章）</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rPr>
            </w:pPr>
            <w:r>
              <w:rPr>
                <w:rFonts w:hint="eastAsia" w:cs="宋体"/>
                <w:sz w:val="24"/>
                <w:szCs w:val="24"/>
                <w:highlight w:val="none"/>
              </w:rPr>
              <w:t>资质等级</w:t>
            </w:r>
          </w:p>
          <w:p>
            <w:pPr>
              <w:snapToGrid w:val="0"/>
              <w:jc w:val="center"/>
              <w:rPr>
                <w:sz w:val="24"/>
                <w:szCs w:val="24"/>
                <w:highlight w:val="none"/>
              </w:rPr>
            </w:pPr>
            <w:r>
              <w:rPr>
                <w:rFonts w:hint="eastAsia" w:cs="宋体"/>
                <w:sz w:val="24"/>
                <w:szCs w:val="24"/>
                <w:highlight w:val="none"/>
              </w:rPr>
              <w:t>及证书号</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2826" w:type="dxa"/>
            <w:tcBorders>
              <w:top w:val="single" w:color="auto" w:sz="4" w:space="0"/>
              <w:left w:val="single" w:color="auto" w:sz="4" w:space="0"/>
              <w:right w:val="single" w:color="auto" w:sz="4" w:space="0"/>
            </w:tcBorders>
            <w:vAlign w:val="center"/>
          </w:tcPr>
          <w:p>
            <w:pPr>
              <w:snapToGrid w:val="0"/>
              <w:ind w:right="-70"/>
              <w:jc w:val="center"/>
              <w:rPr>
                <w:sz w:val="24"/>
                <w:szCs w:val="24"/>
                <w:highlight w:val="none"/>
              </w:rPr>
            </w:pPr>
            <w:r>
              <w:rPr>
                <w:rFonts w:hint="eastAsia"/>
                <w:highlight w:val="none"/>
              </w:rPr>
              <w:t>投标报价监理费率</w:t>
            </w:r>
          </w:p>
        </w:tc>
        <w:tc>
          <w:tcPr>
            <w:tcW w:w="1980" w:type="dxa"/>
            <w:tcBorders>
              <w:top w:val="single" w:color="auto" w:sz="4" w:space="0"/>
              <w:left w:val="single" w:color="auto" w:sz="4" w:space="0"/>
              <w:right w:val="single" w:color="auto" w:sz="4" w:space="0"/>
            </w:tcBorders>
            <w:vAlign w:val="center"/>
          </w:tcPr>
          <w:p>
            <w:pPr>
              <w:snapToGrid w:val="0"/>
              <w:ind w:right="50"/>
              <w:jc w:val="center"/>
              <w:rPr>
                <w:sz w:val="24"/>
                <w:szCs w:val="24"/>
                <w:highlight w:val="none"/>
              </w:rPr>
            </w:pPr>
            <w:r>
              <w:rPr>
                <w:rFonts w:hint="eastAsia"/>
                <w:sz w:val="24"/>
                <w:szCs w:val="24"/>
                <w:highlight w:val="none"/>
                <w:u w:val="single"/>
              </w:rPr>
              <w:t xml:space="preserve">      </w:t>
            </w:r>
            <w:r>
              <w:rPr>
                <w:rFonts w:hint="eastAsia"/>
                <w:sz w:val="24"/>
                <w:szCs w:val="24"/>
                <w:highlight w:val="none"/>
              </w:rPr>
              <w:t>%</w:t>
            </w:r>
          </w:p>
        </w:tc>
        <w:tc>
          <w:tcPr>
            <w:tcW w:w="1875" w:type="dxa"/>
            <w:tcBorders>
              <w:top w:val="single" w:color="auto" w:sz="4" w:space="0"/>
              <w:left w:val="single" w:color="auto" w:sz="4" w:space="0"/>
              <w:right w:val="single" w:color="auto" w:sz="4" w:space="0"/>
            </w:tcBorders>
            <w:vAlign w:val="center"/>
          </w:tcPr>
          <w:p>
            <w:pPr>
              <w:snapToGrid w:val="0"/>
              <w:jc w:val="center"/>
              <w:rPr>
                <w:sz w:val="24"/>
                <w:szCs w:val="24"/>
                <w:highlight w:val="none"/>
              </w:rPr>
            </w:pPr>
            <w:r>
              <w:rPr>
                <w:rFonts w:hint="eastAsia" w:cs="宋体"/>
                <w:sz w:val="24"/>
                <w:szCs w:val="24"/>
                <w:highlight w:val="none"/>
              </w:rPr>
              <w:t>投标总报价</w:t>
            </w:r>
          </w:p>
          <w:p>
            <w:pPr>
              <w:snapToGrid w:val="0"/>
              <w:jc w:val="center"/>
              <w:rPr>
                <w:sz w:val="24"/>
                <w:szCs w:val="24"/>
                <w:highlight w:val="none"/>
              </w:rPr>
            </w:pPr>
            <w:r>
              <w:rPr>
                <w:rFonts w:hint="eastAsia" w:cs="宋体"/>
                <w:sz w:val="24"/>
                <w:szCs w:val="24"/>
                <w:highlight w:val="none"/>
              </w:rPr>
              <w:t>（元）</w:t>
            </w:r>
          </w:p>
        </w:tc>
        <w:tc>
          <w:tcPr>
            <w:tcW w:w="3049" w:type="dxa"/>
            <w:tcBorders>
              <w:top w:val="single" w:color="auto" w:sz="4" w:space="0"/>
              <w:left w:val="single" w:color="auto" w:sz="4" w:space="0"/>
              <w:right w:val="single" w:color="auto" w:sz="4" w:space="0"/>
            </w:tcBorders>
            <w:vAlign w:val="center"/>
          </w:tcPr>
          <w:p>
            <w:pPr>
              <w:rPr>
                <w:rFonts w:ascii="宋体" w:hAnsi="宋体" w:cs="宋体"/>
                <w:sz w:val="24"/>
                <w:highlight w:val="none"/>
              </w:rPr>
            </w:pPr>
            <w:r>
              <w:rPr>
                <w:rFonts w:hint="eastAsia" w:ascii="宋体" w:hAnsi="宋体" w:cs="宋体"/>
                <w:sz w:val="24"/>
                <w:highlight w:val="none"/>
              </w:rPr>
              <w:t>小写：</w:t>
            </w:r>
            <w:r>
              <w:rPr>
                <w:rFonts w:hint="eastAsia"/>
                <w:highlight w:val="none"/>
                <w:u w:val="single"/>
              </w:rPr>
              <w:t xml:space="preserve">         </w:t>
            </w:r>
          </w:p>
          <w:p>
            <w:pPr>
              <w:snapToGrid w:val="0"/>
              <w:ind w:right="482"/>
              <w:rPr>
                <w:rFonts w:ascii="宋体" w:hAnsi="宋体" w:cs="宋体"/>
                <w:kern w:val="0"/>
                <w:sz w:val="24"/>
                <w:szCs w:val="24"/>
                <w:highlight w:val="none"/>
              </w:rPr>
            </w:pPr>
          </w:p>
          <w:p>
            <w:pPr>
              <w:snapToGrid w:val="0"/>
              <w:ind w:right="482"/>
              <w:rPr>
                <w:rFonts w:ascii="宋体" w:hAnsi="宋体" w:cs="宋体"/>
                <w:sz w:val="24"/>
                <w:highlight w:val="none"/>
              </w:rPr>
            </w:pPr>
            <w:r>
              <w:rPr>
                <w:rFonts w:hint="eastAsia" w:ascii="宋体" w:hAnsi="宋体" w:cs="宋体"/>
                <w:sz w:val="24"/>
                <w:highlight w:val="none"/>
              </w:rPr>
              <w:t>大写：</w:t>
            </w:r>
            <w:r>
              <w:rPr>
                <w:rFonts w:hint="eastAsia"/>
                <w:highlight w:val="none"/>
                <w:u w:val="single"/>
              </w:rPr>
              <w:t xml:space="preserve">         </w:t>
            </w:r>
          </w:p>
          <w:p>
            <w:pPr>
              <w:pStyle w:val="12"/>
              <w:ind w:firstLine="0"/>
              <w:rPr>
                <w:highlight w:val="none"/>
              </w:rPr>
            </w:pPr>
          </w:p>
          <w:p>
            <w:pPr>
              <w:pStyle w:val="12"/>
              <w:ind w:firstLine="0"/>
              <w:rPr>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826"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rPr>
            </w:pPr>
            <w:r>
              <w:rPr>
                <w:rFonts w:hint="eastAsia" w:cs="宋体"/>
                <w:sz w:val="24"/>
                <w:szCs w:val="24"/>
                <w:highlight w:val="none"/>
              </w:rPr>
              <w:t>合同价款确定方式</w:t>
            </w:r>
          </w:p>
        </w:tc>
        <w:tc>
          <w:tcPr>
            <w:tcW w:w="1980"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u w:val="single"/>
              </w:rPr>
            </w:pPr>
            <w:r>
              <w:rPr>
                <w:rFonts w:hint="eastAsia" w:cs="宋体"/>
                <w:sz w:val="24"/>
                <w:szCs w:val="24"/>
                <w:highlight w:val="none"/>
                <w:u w:val="single"/>
              </w:rPr>
              <w:t>按招标文件要求</w:t>
            </w:r>
          </w:p>
        </w:tc>
        <w:tc>
          <w:tcPr>
            <w:tcW w:w="1875"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rPr>
            </w:pPr>
            <w:r>
              <w:rPr>
                <w:rFonts w:hint="eastAsia" w:cs="宋体"/>
                <w:sz w:val="24"/>
                <w:szCs w:val="24"/>
                <w:highlight w:val="none"/>
              </w:rPr>
              <w:t>监理服务期限</w:t>
            </w:r>
          </w:p>
        </w:tc>
        <w:tc>
          <w:tcPr>
            <w:tcW w:w="3049" w:type="dxa"/>
            <w:tcBorders>
              <w:top w:val="single" w:color="auto" w:sz="4" w:space="0"/>
              <w:left w:val="single" w:color="auto" w:sz="4" w:space="0"/>
              <w:right w:val="single" w:color="auto" w:sz="4" w:space="0"/>
            </w:tcBorders>
            <w:vAlign w:val="center"/>
          </w:tcPr>
          <w:p>
            <w:pPr>
              <w:snapToGrid w:val="0"/>
              <w:jc w:val="center"/>
              <w:rPr>
                <w:rFonts w:cs="宋体"/>
                <w:sz w:val="24"/>
                <w:szCs w:val="24"/>
                <w:highlight w:val="none"/>
                <w:u w:val="single"/>
              </w:rPr>
            </w:pPr>
            <w:r>
              <w:rPr>
                <w:rFonts w:hint="eastAsia" w:cs="宋体"/>
                <w:sz w:val="24"/>
                <w:szCs w:val="24"/>
                <w:highlight w:val="none"/>
                <w:u w:val="singl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snapToGrid w:val="0"/>
              <w:ind w:right="-70"/>
              <w:jc w:val="center"/>
              <w:rPr>
                <w:sz w:val="24"/>
                <w:szCs w:val="24"/>
                <w:highlight w:val="none"/>
              </w:rPr>
            </w:pPr>
            <w:r>
              <w:rPr>
                <w:rFonts w:hint="eastAsia" w:cs="宋体"/>
                <w:sz w:val="24"/>
                <w:szCs w:val="24"/>
                <w:highlight w:val="none"/>
              </w:rPr>
              <w:t>监理服务期</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u w:val="single"/>
              </w:rPr>
            </w:pPr>
            <w:r>
              <w:rPr>
                <w:rFonts w:hint="eastAsia" w:cs="宋体"/>
                <w:sz w:val="24"/>
                <w:szCs w:val="24"/>
                <w:highlight w:val="none"/>
                <w:u w:val="single"/>
              </w:rPr>
              <w:t>按招标文件要求</w:t>
            </w:r>
          </w:p>
        </w:tc>
        <w:tc>
          <w:tcPr>
            <w:tcW w:w="18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rPr>
            </w:pPr>
            <w:r>
              <w:rPr>
                <w:rFonts w:hint="eastAsia" w:cs="宋体"/>
                <w:sz w:val="24"/>
                <w:szCs w:val="24"/>
                <w:highlight w:val="none"/>
              </w:rPr>
              <w:t>监理质量目标</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highlight w:val="none"/>
                <w:u w:val="single"/>
              </w:rPr>
            </w:pPr>
            <w:r>
              <w:rPr>
                <w:rFonts w:hint="eastAsia" w:cs="宋体"/>
                <w:sz w:val="24"/>
                <w:szCs w:val="24"/>
                <w:highlight w:val="none"/>
                <w:u w:val="singl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tabs>
                <w:tab w:val="left" w:pos="1500"/>
              </w:tabs>
              <w:snapToGrid w:val="0"/>
              <w:ind w:right="-70"/>
              <w:jc w:val="center"/>
              <w:rPr>
                <w:sz w:val="24"/>
                <w:szCs w:val="24"/>
                <w:highlight w:val="none"/>
              </w:rPr>
            </w:pPr>
            <w:r>
              <w:rPr>
                <w:rFonts w:hint="eastAsia" w:cs="宋体"/>
                <w:sz w:val="24"/>
                <w:szCs w:val="24"/>
                <w:highlight w:val="none"/>
              </w:rPr>
              <w:t>驻场监理机构人数（人）</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pPr>
              <w:tabs>
                <w:tab w:val="left" w:pos="1428"/>
              </w:tabs>
              <w:snapToGrid w:val="0"/>
              <w:jc w:val="center"/>
              <w:rPr>
                <w:sz w:val="24"/>
                <w:szCs w:val="24"/>
                <w:highlight w:val="none"/>
              </w:rPr>
            </w:pPr>
            <w:r>
              <w:rPr>
                <w:rFonts w:hint="eastAsia" w:cs="宋体"/>
                <w:sz w:val="24"/>
                <w:szCs w:val="24"/>
                <w:highlight w:val="none"/>
              </w:rPr>
              <w:t>拟投入本项目的监理工程师</w:t>
            </w:r>
          </w:p>
          <w:p>
            <w:pPr>
              <w:tabs>
                <w:tab w:val="left" w:pos="1428"/>
              </w:tabs>
              <w:snapToGrid w:val="0"/>
              <w:jc w:val="center"/>
              <w:rPr>
                <w:sz w:val="24"/>
                <w:szCs w:val="24"/>
                <w:highlight w:val="none"/>
              </w:rPr>
            </w:pPr>
            <w:r>
              <w:rPr>
                <w:rFonts w:hint="eastAsia" w:cs="宋体"/>
                <w:sz w:val="24"/>
                <w:szCs w:val="24"/>
                <w:highlight w:val="none"/>
              </w:rPr>
              <w:t>人数（人）</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ind w:right="482"/>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vMerge w:val="restart"/>
            <w:tcBorders>
              <w:top w:val="single" w:color="auto" w:sz="4" w:space="0"/>
              <w:left w:val="single" w:color="auto" w:sz="4" w:space="0"/>
              <w:bottom w:val="single" w:color="auto" w:sz="4" w:space="0"/>
              <w:right w:val="single" w:color="auto" w:sz="4" w:space="0"/>
            </w:tcBorders>
            <w:vAlign w:val="center"/>
          </w:tcPr>
          <w:p>
            <w:pPr>
              <w:snapToGrid w:val="0"/>
              <w:ind w:right="-70"/>
              <w:jc w:val="center"/>
              <w:rPr>
                <w:sz w:val="24"/>
                <w:szCs w:val="24"/>
                <w:highlight w:val="none"/>
              </w:rPr>
            </w:pPr>
            <w:r>
              <w:rPr>
                <w:rFonts w:hint="eastAsia" w:cs="宋体"/>
                <w:sz w:val="24"/>
                <w:szCs w:val="24"/>
                <w:highlight w:val="none"/>
              </w:rPr>
              <w:t>拟委派的项目总监理</w:t>
            </w:r>
          </w:p>
          <w:p>
            <w:pPr>
              <w:snapToGrid w:val="0"/>
              <w:ind w:right="-70"/>
              <w:jc w:val="center"/>
              <w:rPr>
                <w:sz w:val="24"/>
                <w:szCs w:val="24"/>
                <w:highlight w:val="none"/>
              </w:rPr>
            </w:pPr>
            <w:r>
              <w:rPr>
                <w:rFonts w:hint="eastAsia" w:cs="宋体"/>
                <w:sz w:val="24"/>
                <w:szCs w:val="24"/>
                <w:highlight w:val="none"/>
              </w:rPr>
              <w:t>工程师</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sz w:val="24"/>
                <w:szCs w:val="24"/>
                <w:highlight w:val="none"/>
              </w:rPr>
            </w:pPr>
            <w:r>
              <w:rPr>
                <w:rFonts w:hint="eastAsia" w:cs="宋体"/>
                <w:sz w:val="24"/>
                <w:szCs w:val="24"/>
                <w:highlight w:val="none"/>
              </w:rPr>
              <w:t>姓</w:t>
            </w:r>
            <w:r>
              <w:rPr>
                <w:sz w:val="24"/>
                <w:szCs w:val="24"/>
                <w:highlight w:val="none"/>
              </w:rPr>
              <w:t xml:space="preserve">  </w:t>
            </w:r>
            <w:r>
              <w:rPr>
                <w:rFonts w:hint="eastAsia" w:cs="宋体"/>
                <w:sz w:val="24"/>
                <w:szCs w:val="24"/>
                <w:highlight w:val="none"/>
              </w:rPr>
              <w:t>名</w:t>
            </w:r>
          </w:p>
        </w:tc>
        <w:tc>
          <w:tcPr>
            <w:tcW w:w="4924"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sz w:val="24"/>
                <w:szCs w:val="24"/>
                <w:highlight w:val="none"/>
              </w:rPr>
            </w:pPr>
            <w:r>
              <w:rPr>
                <w:rFonts w:hint="eastAsia" w:cs="宋体"/>
                <w:sz w:val="24"/>
                <w:szCs w:val="24"/>
                <w:highlight w:val="none"/>
              </w:rPr>
              <w:t>技术职称</w:t>
            </w:r>
          </w:p>
        </w:tc>
        <w:tc>
          <w:tcPr>
            <w:tcW w:w="4924"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26"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ind w:right="4"/>
              <w:jc w:val="center"/>
              <w:rPr>
                <w:sz w:val="24"/>
                <w:szCs w:val="24"/>
                <w:highlight w:val="none"/>
              </w:rPr>
            </w:pPr>
            <w:r>
              <w:rPr>
                <w:rFonts w:hint="eastAsia" w:cs="宋体"/>
                <w:sz w:val="24"/>
                <w:szCs w:val="24"/>
                <w:highlight w:val="none"/>
              </w:rPr>
              <w:t>注册证号</w:t>
            </w:r>
          </w:p>
        </w:tc>
        <w:tc>
          <w:tcPr>
            <w:tcW w:w="4924" w:type="dxa"/>
            <w:gridSpan w:val="2"/>
            <w:tcBorders>
              <w:top w:val="single" w:color="auto" w:sz="4" w:space="0"/>
              <w:left w:val="single" w:color="auto" w:sz="4" w:space="0"/>
              <w:bottom w:val="single" w:color="auto" w:sz="4" w:space="0"/>
              <w:right w:val="single" w:color="auto" w:sz="4" w:space="0"/>
            </w:tcBorders>
            <w:vAlign w:val="center"/>
          </w:tcPr>
          <w:p>
            <w:pPr>
              <w:snapToGrid w:val="0"/>
              <w:ind w:right="482"/>
              <w:jc w:val="center"/>
              <w:rPr>
                <w:sz w:val="24"/>
                <w:szCs w:val="24"/>
                <w:highlight w:val="none"/>
              </w:rPr>
            </w:pPr>
          </w:p>
        </w:tc>
      </w:tr>
    </w:tbl>
    <w:p>
      <w:pPr>
        <w:spacing w:line="360" w:lineRule="exact"/>
        <w:rPr>
          <w:highlight w:val="none"/>
        </w:rPr>
      </w:pPr>
      <w:r>
        <w:rPr>
          <w:rFonts w:hint="eastAsia"/>
          <w:highlight w:val="none"/>
        </w:rPr>
        <w:t>注：投标报价监理费率=（监理总报价/暂定工程费）×100%(保留两位小数，第三位四舍五入)。</w:t>
      </w:r>
    </w:p>
    <w:p>
      <w:pPr>
        <w:spacing w:line="440" w:lineRule="exact"/>
        <w:ind w:firstLine="480" w:firstLineChars="200"/>
        <w:jc w:val="left"/>
        <w:rPr>
          <w:rFonts w:ascii="宋体" w:hAnsi="宋体"/>
          <w:sz w:val="24"/>
          <w:highlight w:val="none"/>
        </w:rPr>
      </w:pPr>
    </w:p>
    <w:p>
      <w:pPr>
        <w:spacing w:line="360" w:lineRule="auto"/>
        <w:ind w:firstLine="2880" w:firstLineChars="1200"/>
        <w:jc w:val="left"/>
        <w:rPr>
          <w:rFonts w:ascii="Times New Roman" w:hAnsi="Times New Roman"/>
          <w:sz w:val="24"/>
          <w:highlight w:val="none"/>
        </w:rPr>
      </w:pPr>
      <w:r>
        <w:rPr>
          <w:rFonts w:hint="eastAsia" w:ascii="Times New Roman" w:hAnsi="Times New Roman"/>
          <w:sz w:val="24"/>
          <w:highlight w:val="none"/>
        </w:rPr>
        <w:t xml:space="preserve">   </w:t>
      </w:r>
      <w:r>
        <w:rPr>
          <w:rFonts w:ascii="Times New Roman" w:hAnsi="Times New Roman"/>
          <w:sz w:val="24"/>
          <w:highlight w:val="none"/>
        </w:rPr>
        <w:t>投标人：</w:t>
      </w:r>
      <w:r>
        <w:rPr>
          <w:rFonts w:ascii="Times New Roman" w:hAnsi="Times New Roman"/>
          <w:sz w:val="24"/>
          <w:highlight w:val="none"/>
          <w:u w:val="single"/>
        </w:rPr>
        <w:tab/>
      </w:r>
      <w:r>
        <w:rPr>
          <w:rFonts w:hint="eastAsia" w:ascii="Times New Roman" w:hAnsi="Times New Roman"/>
          <w:sz w:val="24"/>
          <w:highlight w:val="none"/>
          <w:u w:val="single"/>
        </w:rPr>
        <w:t xml:space="preserve">                        </w:t>
      </w:r>
      <w:r>
        <w:rPr>
          <w:rFonts w:ascii="Times New Roman" w:hAnsi="Times New Roman"/>
          <w:sz w:val="24"/>
          <w:highlight w:val="none"/>
        </w:rPr>
        <w:t>（盖单位章）</w:t>
      </w:r>
    </w:p>
    <w:p>
      <w:pPr>
        <w:spacing w:line="360" w:lineRule="auto"/>
        <w:ind w:firstLine="3120" w:firstLineChars="1300"/>
        <w:jc w:val="left"/>
        <w:rPr>
          <w:rFonts w:ascii="Times New Roman" w:hAnsi="Times New Roman"/>
          <w:sz w:val="24"/>
          <w:highlight w:val="none"/>
        </w:rPr>
      </w:pPr>
      <w:r>
        <w:rPr>
          <w:rFonts w:hint="eastAsia" w:ascii="Times New Roman" w:hAnsi="Times New Roman"/>
          <w:sz w:val="24"/>
          <w:highlight w:val="none"/>
        </w:rPr>
        <w:t xml:space="preserve"> </w:t>
      </w:r>
      <w:r>
        <w:rPr>
          <w:rFonts w:ascii="Times New Roman" w:hAnsi="Times New Roman"/>
          <w:sz w:val="24"/>
          <w:highlight w:val="none"/>
        </w:rPr>
        <w:t>法定代表人或其委托代理人：</w:t>
      </w:r>
      <w:r>
        <w:rPr>
          <w:rFonts w:hint="eastAsia" w:ascii="Times New Roman" w:hAnsi="Times New Roman"/>
          <w:sz w:val="24"/>
          <w:highlight w:val="none"/>
          <w:u w:val="single"/>
        </w:rPr>
        <w:t xml:space="preserve">           </w:t>
      </w:r>
      <w:r>
        <w:rPr>
          <w:rFonts w:ascii="Times New Roman" w:hAnsi="Times New Roman"/>
          <w:sz w:val="24"/>
          <w:highlight w:val="none"/>
        </w:rPr>
        <w:t>（签字</w:t>
      </w:r>
      <w:r>
        <w:rPr>
          <w:rFonts w:hint="eastAsia" w:ascii="Times New Roman" w:hAnsi="Times New Roman"/>
          <w:sz w:val="24"/>
          <w:highlight w:val="none"/>
        </w:rPr>
        <w:t>或盖章</w:t>
      </w:r>
      <w:r>
        <w:rPr>
          <w:rFonts w:ascii="Times New Roman" w:hAnsi="Times New Roman"/>
          <w:sz w:val="24"/>
          <w:highlight w:val="none"/>
        </w:rPr>
        <w:t>）</w:t>
      </w:r>
    </w:p>
    <w:p>
      <w:pPr>
        <w:wordWrap w:val="0"/>
        <w:spacing w:line="360" w:lineRule="auto"/>
        <w:ind w:firstLine="5400" w:firstLineChars="2250"/>
        <w:jc w:val="right"/>
        <w:rPr>
          <w:rFonts w:ascii="Times New Roman" w:hAnsi="Times New Roman"/>
          <w:sz w:val="24"/>
          <w:highlight w:val="none"/>
        </w:rPr>
      </w:pPr>
      <w:r>
        <w:rPr>
          <w:rFonts w:ascii="Times New Roman" w:hAnsi="Times New Roman"/>
          <w:sz w:val="24"/>
          <w:highlight w:val="none"/>
        </w:rPr>
        <w:t xml:space="preserve">   年</w:t>
      </w:r>
      <w:r>
        <w:rPr>
          <w:rFonts w:hint="eastAsia" w:ascii="Times New Roman" w:hAnsi="Times New Roman"/>
          <w:sz w:val="24"/>
          <w:highlight w:val="none"/>
        </w:rPr>
        <w:t xml:space="preserve">    </w:t>
      </w:r>
      <w:r>
        <w:rPr>
          <w:rFonts w:ascii="Times New Roman" w:hAnsi="Times New Roman"/>
          <w:sz w:val="24"/>
          <w:highlight w:val="none"/>
        </w:rPr>
        <w:t>月</w:t>
      </w:r>
      <w:r>
        <w:rPr>
          <w:rFonts w:hint="eastAsia" w:ascii="Times New Roman" w:hAnsi="Times New Roman"/>
          <w:sz w:val="24"/>
          <w:highlight w:val="none"/>
        </w:rPr>
        <w:t xml:space="preserve">    </w:t>
      </w:r>
      <w:r>
        <w:rPr>
          <w:rFonts w:ascii="Times New Roman" w:hAnsi="Times New Roman"/>
          <w:sz w:val="24"/>
          <w:highlight w:val="none"/>
        </w:rPr>
        <w:t>日</w:t>
      </w:r>
    </w:p>
    <w:p>
      <w:pPr>
        <w:pStyle w:val="2"/>
        <w:spacing w:line="600" w:lineRule="auto"/>
        <w:rPr>
          <w:rFonts w:ascii="Times New Roman" w:hAnsi="Times New Roman"/>
          <w:color w:val="auto"/>
          <w:sz w:val="30"/>
          <w:szCs w:val="30"/>
          <w:highlight w:val="none"/>
        </w:rPr>
      </w:pPr>
      <w:bookmarkStart w:id="392" w:name="_Toc529196603"/>
      <w:bookmarkStart w:id="393" w:name="_Toc530470646"/>
      <w:r>
        <w:rPr>
          <w:rFonts w:ascii="Times New Roman" w:hAnsi="Times New Roman"/>
          <w:color w:val="auto"/>
          <w:highlight w:val="none"/>
        </w:rPr>
        <w:br w:type="page"/>
      </w:r>
      <w:bookmarkStart w:id="394" w:name="_Toc535938754"/>
      <w:r>
        <w:rPr>
          <w:rFonts w:ascii="Times New Roman" w:hAnsi="Times New Roman"/>
          <w:color w:val="auto"/>
          <w:sz w:val="30"/>
          <w:szCs w:val="30"/>
          <w:highlight w:val="none"/>
        </w:rPr>
        <w:t>二</w:t>
      </w:r>
      <w:bookmarkEnd w:id="378"/>
      <w:bookmarkEnd w:id="379"/>
      <w:bookmarkEnd w:id="380"/>
      <w:bookmarkEnd w:id="381"/>
      <w:bookmarkEnd w:id="382"/>
      <w:bookmarkEnd w:id="383"/>
      <w:bookmarkEnd w:id="384"/>
      <w:bookmarkEnd w:id="385"/>
      <w:bookmarkEnd w:id="386"/>
      <w:bookmarkEnd w:id="387"/>
      <w:bookmarkEnd w:id="388"/>
      <w:r>
        <w:rPr>
          <w:rFonts w:ascii="Times New Roman" w:hAnsi="Times New Roman"/>
          <w:color w:val="auto"/>
          <w:sz w:val="30"/>
          <w:szCs w:val="30"/>
          <w:highlight w:val="none"/>
        </w:rPr>
        <w:t>、法定代表人身份证明</w:t>
      </w:r>
      <w:r>
        <w:rPr>
          <w:rFonts w:hint="eastAsia" w:ascii="Times New Roman" w:hAnsi="Times New Roman"/>
          <w:color w:val="auto"/>
          <w:sz w:val="30"/>
          <w:szCs w:val="30"/>
          <w:highlight w:val="none"/>
        </w:rPr>
        <w:t>、授权委托书（如有）（格式可自定）</w:t>
      </w:r>
      <w:bookmarkEnd w:id="392"/>
      <w:bookmarkEnd w:id="393"/>
      <w:bookmarkEnd w:id="394"/>
    </w:p>
    <w:p>
      <w:pPr>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rPr>
        <w:t>法定代表人身份证明</w:t>
      </w:r>
    </w:p>
    <w:p>
      <w:pPr>
        <w:spacing w:line="440" w:lineRule="exact"/>
        <w:rPr>
          <w:rFonts w:ascii="Times New Roman" w:hAnsi="Times New Roman"/>
          <w:sz w:val="24"/>
          <w:highlight w:val="none"/>
        </w:rPr>
      </w:pPr>
      <w:r>
        <w:rPr>
          <w:rFonts w:ascii="Times New Roman" w:hAnsi="Times New Roman"/>
          <w:sz w:val="24"/>
          <w:highlight w:val="none"/>
        </w:rPr>
        <w:t>投标人名称：</w:t>
      </w:r>
      <w:r>
        <w:rPr>
          <w:rFonts w:ascii="Times New Roman" w:hAnsi="Times New Roman"/>
          <w:sz w:val="24"/>
          <w:highlight w:val="none"/>
          <w:u w:val="single"/>
        </w:rPr>
        <w:t xml:space="preserve">                        </w:t>
      </w:r>
    </w:p>
    <w:p>
      <w:pPr>
        <w:spacing w:line="440" w:lineRule="exact"/>
        <w:rPr>
          <w:rFonts w:ascii="Times New Roman" w:hAnsi="Times New Roman"/>
          <w:sz w:val="24"/>
          <w:highlight w:val="none"/>
        </w:rPr>
      </w:pPr>
      <w:r>
        <w:rPr>
          <w:rFonts w:ascii="Times New Roman" w:hAnsi="Times New Roman"/>
          <w:sz w:val="24"/>
          <w:highlight w:val="none"/>
        </w:rPr>
        <w:t>姓名：</w:t>
      </w:r>
      <w:r>
        <w:rPr>
          <w:rFonts w:ascii="Times New Roman" w:hAnsi="Times New Roman"/>
          <w:sz w:val="24"/>
          <w:highlight w:val="none"/>
          <w:u w:val="single"/>
        </w:rPr>
        <w:t xml:space="preserve">                </w:t>
      </w:r>
      <w:r>
        <w:rPr>
          <w:rFonts w:ascii="Times New Roman" w:hAnsi="Times New Roman"/>
          <w:sz w:val="24"/>
          <w:highlight w:val="none"/>
        </w:rPr>
        <w:t>性别：</w:t>
      </w:r>
      <w:bookmarkStart w:id="395" w:name="_Toc352691662"/>
      <w:bookmarkStart w:id="396" w:name="_Toc369531698"/>
      <w:bookmarkStart w:id="397" w:name="_Toc27897"/>
      <w:r>
        <w:rPr>
          <w:rFonts w:ascii="Times New Roman" w:hAnsi="Times New Roman"/>
          <w:sz w:val="24"/>
          <w:highlight w:val="none"/>
          <w:u w:val="single"/>
        </w:rPr>
        <w:t xml:space="preserve">        </w:t>
      </w:r>
      <w:r>
        <w:rPr>
          <w:rFonts w:ascii="Times New Roman" w:hAnsi="Times New Roman"/>
          <w:sz w:val="24"/>
          <w:highlight w:val="none"/>
        </w:rPr>
        <w:t>年</w:t>
      </w:r>
      <w:bookmarkEnd w:id="395"/>
      <w:bookmarkEnd w:id="396"/>
      <w:bookmarkEnd w:id="397"/>
      <w:r>
        <w:rPr>
          <w:rFonts w:ascii="Times New Roman" w:hAnsi="Times New Roman"/>
          <w:sz w:val="24"/>
          <w:highlight w:val="none"/>
        </w:rPr>
        <w:t>龄</w:t>
      </w:r>
      <w:bookmarkStart w:id="398" w:name="_Toc152042578"/>
      <w:bookmarkStart w:id="399" w:name="_Toc152045789"/>
      <w:bookmarkStart w:id="400" w:name="_Toc247514248"/>
      <w:bookmarkStart w:id="401" w:name="_Toc15573"/>
      <w:bookmarkStart w:id="402" w:name="_Toc384308377"/>
      <w:bookmarkStart w:id="403" w:name="_Toc369531699"/>
      <w:bookmarkStart w:id="404" w:name="_Toc300835211"/>
      <w:bookmarkStart w:id="405" w:name="_Toc352691663"/>
      <w:bookmarkStart w:id="406" w:name="_Toc361508754"/>
      <w:bookmarkStart w:id="407" w:name="_Toc247527829"/>
      <w:bookmarkStart w:id="408" w:name="_Toc144974858"/>
      <w:r>
        <w:rPr>
          <w:rFonts w:ascii="Times New Roman" w:hAnsi="Times New Roman"/>
          <w:sz w:val="24"/>
          <w:highlight w:val="none"/>
        </w:rPr>
        <w:t>：</w:t>
      </w:r>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sz w:val="24"/>
          <w:highlight w:val="none"/>
          <w:u w:val="single"/>
        </w:rPr>
        <w:t xml:space="preserve">        </w:t>
      </w:r>
      <w:r>
        <w:rPr>
          <w:rFonts w:ascii="Times New Roman" w:hAnsi="Times New Roman"/>
          <w:sz w:val="24"/>
          <w:highlight w:val="none"/>
        </w:rPr>
        <w:t>职务：</w:t>
      </w:r>
      <w:r>
        <w:rPr>
          <w:rFonts w:ascii="Times New Roman" w:hAnsi="Times New Roman"/>
          <w:sz w:val="24"/>
          <w:highlight w:val="none"/>
          <w:u w:val="single"/>
        </w:rPr>
        <w:t xml:space="preserve">        </w:t>
      </w:r>
    </w:p>
    <w:p>
      <w:pPr>
        <w:spacing w:line="440" w:lineRule="exact"/>
        <w:rPr>
          <w:rFonts w:ascii="Times New Roman" w:hAnsi="Times New Roman"/>
          <w:sz w:val="24"/>
          <w:highlight w:val="none"/>
        </w:rPr>
      </w:pPr>
      <w:r>
        <w:rPr>
          <w:rFonts w:ascii="Times New Roman" w:hAnsi="Times New Roman"/>
          <w:sz w:val="24"/>
          <w:highlight w:val="none"/>
        </w:rPr>
        <w:t>系</w:t>
      </w:r>
      <w:r>
        <w:rPr>
          <w:rFonts w:ascii="Times New Roman" w:hAnsi="Times New Roman"/>
          <w:sz w:val="24"/>
          <w:highlight w:val="none"/>
          <w:u w:val="single"/>
        </w:rPr>
        <w:t xml:space="preserve">                        </w:t>
      </w:r>
      <w:r>
        <w:rPr>
          <w:rFonts w:ascii="Times New Roman" w:hAnsi="Times New Roman"/>
          <w:sz w:val="24"/>
          <w:highlight w:val="none"/>
        </w:rPr>
        <w:t>（投标人名称）的法定代表人。</w:t>
      </w:r>
    </w:p>
    <w:p>
      <w:pPr>
        <w:spacing w:line="440" w:lineRule="exact"/>
        <w:ind w:firstLine="480" w:firstLineChars="200"/>
        <w:rPr>
          <w:rFonts w:ascii="Times New Roman" w:hAnsi="Times New Roman"/>
          <w:sz w:val="24"/>
          <w:highlight w:val="none"/>
        </w:rPr>
      </w:pPr>
      <w:r>
        <w:rPr>
          <w:rFonts w:ascii="Times New Roman" w:hAnsi="Times New Roman"/>
          <w:sz w:val="24"/>
          <w:highlight w:val="none"/>
        </w:rPr>
        <w:t>特此证明。</w:t>
      </w:r>
    </w:p>
    <w:p>
      <w:pPr>
        <w:spacing w:line="440" w:lineRule="exact"/>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附：法定代表人身份证</w:t>
      </w:r>
      <w:r>
        <w:rPr>
          <w:rFonts w:hint="eastAsia" w:ascii="Times New Roman" w:hAnsi="Times New Roman"/>
          <w:sz w:val="24"/>
          <w:highlight w:val="none"/>
        </w:rPr>
        <w:t>扫描件</w:t>
      </w:r>
      <w:r>
        <w:rPr>
          <w:rFonts w:ascii="Times New Roman" w:hAnsi="Times New Roman"/>
          <w:sz w:val="24"/>
          <w:highlight w:val="none"/>
        </w:rPr>
        <w:t>。</w:t>
      </w:r>
    </w:p>
    <w:p>
      <w:pPr>
        <w:spacing w:line="440" w:lineRule="exact"/>
        <w:ind w:firstLine="480" w:firstLineChars="200"/>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注：本身份证明需由投标人加盖单位公章。</w:t>
      </w:r>
    </w:p>
    <w:p>
      <w:pPr>
        <w:spacing w:line="440" w:lineRule="exact"/>
        <w:rPr>
          <w:rFonts w:ascii="Times New Roman" w:hAnsi="Times New Roman"/>
          <w:sz w:val="24"/>
          <w:highlight w:val="none"/>
        </w:rPr>
      </w:pPr>
    </w:p>
    <w:p>
      <w:pPr>
        <w:spacing w:line="440" w:lineRule="exact"/>
        <w:rPr>
          <w:rFonts w:ascii="Times New Roman" w:hAnsi="Times New Roman"/>
          <w:sz w:val="24"/>
          <w:highlight w:val="none"/>
        </w:rPr>
      </w:pPr>
    </w:p>
    <w:p>
      <w:pPr>
        <w:spacing w:line="440" w:lineRule="exact"/>
        <w:jc w:val="center"/>
        <w:rPr>
          <w:rFonts w:ascii="Times New Roman" w:hAnsi="Times New Roman"/>
          <w:sz w:val="24"/>
          <w:highlight w:val="none"/>
        </w:rPr>
      </w:pPr>
      <w:r>
        <w:rPr>
          <w:rFonts w:ascii="Times New Roman" w:hAnsi="Times New Roman"/>
          <w:sz w:val="24"/>
          <w:highlight w:val="none"/>
        </w:rPr>
        <w:t xml:space="preserve">                              投标人：</w:t>
      </w:r>
      <w:r>
        <w:rPr>
          <w:rFonts w:ascii="Times New Roman" w:hAnsi="Times New Roman"/>
          <w:sz w:val="24"/>
          <w:highlight w:val="none"/>
          <w:u w:val="single"/>
        </w:rPr>
        <w:t xml:space="preserve">          </w:t>
      </w:r>
      <w:r>
        <w:rPr>
          <w:rFonts w:ascii="Times New Roman" w:hAnsi="Times New Roman"/>
          <w:sz w:val="24"/>
          <w:highlight w:val="none"/>
          <w:u w:val="single"/>
        </w:rPr>
        <w:tab/>
      </w:r>
      <w:r>
        <w:rPr>
          <w:rFonts w:ascii="Times New Roman" w:hAnsi="Times New Roman"/>
          <w:sz w:val="24"/>
          <w:highlight w:val="none"/>
        </w:rPr>
        <w:t>（</w:t>
      </w:r>
      <w:r>
        <w:rPr>
          <w:rFonts w:hint="eastAsia" w:ascii="Times New Roman" w:hAnsi="Times New Roman"/>
          <w:sz w:val="24"/>
          <w:highlight w:val="none"/>
        </w:rPr>
        <w:t>盖</w:t>
      </w:r>
      <w:r>
        <w:rPr>
          <w:rFonts w:ascii="Times New Roman" w:hAnsi="Times New Roman"/>
          <w:sz w:val="24"/>
          <w:highlight w:val="none"/>
        </w:rPr>
        <w:t>单位</w:t>
      </w:r>
      <w:r>
        <w:rPr>
          <w:rFonts w:hint="eastAsia" w:ascii="Times New Roman" w:hAnsi="Times New Roman"/>
          <w:sz w:val="24"/>
          <w:highlight w:val="none"/>
        </w:rPr>
        <w:t>章</w:t>
      </w:r>
      <w:r>
        <w:rPr>
          <w:rFonts w:ascii="Times New Roman" w:hAnsi="Times New Roman"/>
          <w:sz w:val="24"/>
          <w:highlight w:val="none"/>
        </w:rPr>
        <w:t>）</w:t>
      </w:r>
    </w:p>
    <w:p>
      <w:pPr>
        <w:spacing w:line="440" w:lineRule="exact"/>
        <w:rPr>
          <w:rFonts w:ascii="Times New Roman" w:hAnsi="Times New Roman"/>
          <w:sz w:val="24"/>
          <w:highlight w:val="none"/>
        </w:rPr>
      </w:pPr>
    </w:p>
    <w:p>
      <w:pPr>
        <w:spacing w:line="440" w:lineRule="exact"/>
        <w:ind w:firstLine="5280" w:firstLineChars="2200"/>
        <w:rPr>
          <w:rFonts w:ascii="Times New Roman" w:hAnsi="Times New Roman"/>
          <w:sz w:val="24"/>
          <w:highlight w:val="none"/>
        </w:rPr>
      </w:pPr>
      <w:r>
        <w:rPr>
          <w:rFonts w:ascii="Times New Roman" w:hAnsi="Times New Roman"/>
          <w:sz w:val="24"/>
          <w:highlight w:val="none"/>
          <w:u w:val="single"/>
        </w:rPr>
        <w:t xml:space="preserve">      </w:t>
      </w:r>
      <w:r>
        <w:rPr>
          <w:rFonts w:ascii="Times New Roman" w:hAnsi="Times New Roman"/>
          <w:sz w:val="24"/>
          <w:highlight w:val="none"/>
        </w:rPr>
        <w:t>年</w:t>
      </w:r>
      <w:r>
        <w:rPr>
          <w:rFonts w:ascii="Times New Roman" w:hAnsi="Times New Roman"/>
          <w:sz w:val="24"/>
          <w:highlight w:val="none"/>
          <w:u w:val="single"/>
        </w:rPr>
        <w:t xml:space="preserve">      </w:t>
      </w:r>
      <w:r>
        <w:rPr>
          <w:rFonts w:ascii="Times New Roman" w:hAnsi="Times New Roman"/>
          <w:sz w:val="24"/>
          <w:highlight w:val="none"/>
        </w:rPr>
        <w:t>月</w:t>
      </w:r>
      <w:r>
        <w:rPr>
          <w:rFonts w:ascii="Times New Roman" w:hAnsi="Times New Roman"/>
          <w:sz w:val="24"/>
          <w:highlight w:val="none"/>
          <w:u w:val="single"/>
        </w:rPr>
        <w:t xml:space="preserve">      </w:t>
      </w:r>
      <w:r>
        <w:rPr>
          <w:rFonts w:ascii="Times New Roman" w:hAnsi="Times New Roman"/>
          <w:sz w:val="24"/>
          <w:highlight w:val="none"/>
        </w:rPr>
        <w:t>日</w:t>
      </w:r>
    </w:p>
    <w:p>
      <w:pPr>
        <w:spacing w:line="440" w:lineRule="exact"/>
        <w:rPr>
          <w:rFonts w:ascii="Times New Roman" w:hAnsi="Times New Roman"/>
          <w:sz w:val="24"/>
          <w:highlight w:val="none"/>
        </w:rPr>
      </w:pPr>
    </w:p>
    <w:p>
      <w:pPr>
        <w:spacing w:line="360" w:lineRule="auto"/>
        <w:jc w:val="center"/>
        <w:rPr>
          <w:rFonts w:ascii="Times New Roman" w:hAnsi="Times New Roman"/>
          <w:b/>
          <w:sz w:val="28"/>
          <w:szCs w:val="28"/>
          <w:highlight w:val="none"/>
        </w:rPr>
      </w:pPr>
      <w:bookmarkStart w:id="409" w:name="_Toc529196604"/>
      <w:bookmarkStart w:id="410" w:name="_Toc530470647"/>
      <w:r>
        <w:rPr>
          <w:rFonts w:ascii="Times New Roman" w:hAnsi="Times New Roman"/>
          <w:b/>
          <w:bCs/>
          <w:sz w:val="20"/>
          <w:highlight w:val="none"/>
        </w:rPr>
        <w:br w:type="page"/>
      </w:r>
      <w:bookmarkStart w:id="411" w:name="_Toc535938755"/>
      <w:r>
        <w:rPr>
          <w:rFonts w:ascii="Times New Roman" w:hAnsi="Times New Roman"/>
          <w:sz w:val="28"/>
          <w:szCs w:val="28"/>
          <w:highlight w:val="none"/>
        </w:rPr>
        <w:t xml:space="preserve"> </w:t>
      </w:r>
      <w:bookmarkEnd w:id="409"/>
      <w:bookmarkEnd w:id="410"/>
      <w:bookmarkEnd w:id="411"/>
      <w:r>
        <w:rPr>
          <w:rFonts w:hint="eastAsia" w:ascii="Times New Roman" w:hAnsi="Times New Roman"/>
          <w:b/>
          <w:sz w:val="28"/>
          <w:szCs w:val="28"/>
          <w:highlight w:val="none"/>
        </w:rPr>
        <w:t>授权委托书</w:t>
      </w:r>
    </w:p>
    <w:p>
      <w:pPr>
        <w:topLinePunct/>
        <w:spacing w:line="440" w:lineRule="exact"/>
        <w:ind w:firstLine="480" w:firstLineChars="200"/>
        <w:rPr>
          <w:rFonts w:ascii="Times New Roman" w:hAnsi="Times New Roman"/>
          <w:sz w:val="24"/>
          <w:highlight w:val="none"/>
        </w:rPr>
      </w:pPr>
      <w:r>
        <w:rPr>
          <w:rFonts w:ascii="Times New Roman" w:hAnsi="Times New Roman"/>
          <w:sz w:val="24"/>
          <w:highlight w:val="none"/>
        </w:rPr>
        <w:t>本人</w:t>
      </w:r>
      <w:r>
        <w:rPr>
          <w:rFonts w:ascii="Times New Roman" w:hAnsi="Times New Roman"/>
          <w:sz w:val="24"/>
          <w:highlight w:val="none"/>
          <w:u w:val="single"/>
        </w:rPr>
        <w:t xml:space="preserve">              </w:t>
      </w:r>
      <w:r>
        <w:rPr>
          <w:rFonts w:ascii="Times New Roman" w:hAnsi="Times New Roman"/>
          <w:sz w:val="24"/>
          <w:highlight w:val="none"/>
        </w:rPr>
        <w:t>（姓名）系</w:t>
      </w:r>
      <w:r>
        <w:rPr>
          <w:rFonts w:ascii="Times New Roman" w:hAnsi="Times New Roman"/>
          <w:sz w:val="24"/>
          <w:highlight w:val="none"/>
          <w:u w:val="single"/>
        </w:rPr>
        <w:t xml:space="preserve">                    </w:t>
      </w:r>
      <w:r>
        <w:rPr>
          <w:rFonts w:ascii="Times New Roman" w:hAnsi="Times New Roman"/>
          <w:sz w:val="24"/>
          <w:highlight w:val="none"/>
        </w:rPr>
        <w:t>（投标人名称）的法定代表人，现委托</w:t>
      </w:r>
      <w:r>
        <w:rPr>
          <w:rFonts w:ascii="Times New Roman" w:hAnsi="Times New Roman"/>
          <w:sz w:val="24"/>
          <w:highlight w:val="none"/>
          <w:u w:val="single"/>
        </w:rPr>
        <w:t xml:space="preserve">            </w:t>
      </w:r>
      <w:r>
        <w:rPr>
          <w:rFonts w:ascii="Times New Roman" w:hAnsi="Times New Roman"/>
          <w:sz w:val="24"/>
          <w:highlight w:val="none"/>
        </w:rPr>
        <w:t>（姓名）为我方代理人。代理人根据授权，以我方名义签署、澄清确认、递交、撤回、修改</w:t>
      </w:r>
      <w:r>
        <w:rPr>
          <w:rFonts w:hint="eastAsia" w:ascii="Times New Roman" w:hAnsi="Times New Roman"/>
          <w:sz w:val="24"/>
          <w:highlight w:val="none"/>
          <w:u w:val="single"/>
        </w:rPr>
        <w:t xml:space="preserve">                 </w:t>
      </w:r>
      <w:r>
        <w:rPr>
          <w:rFonts w:ascii="Times New Roman" w:hAnsi="Times New Roman"/>
          <w:sz w:val="24"/>
          <w:highlight w:val="none"/>
        </w:rPr>
        <w:t>招标项目投标文件、签订合同和处理有关事宜，其法律后果由我方承担。</w:t>
      </w:r>
    </w:p>
    <w:p>
      <w:pPr>
        <w:spacing w:line="440" w:lineRule="exact"/>
        <w:ind w:firstLine="480" w:firstLineChars="200"/>
        <w:rPr>
          <w:rFonts w:ascii="Times New Roman" w:hAnsi="Times New Roman"/>
          <w:sz w:val="24"/>
          <w:highlight w:val="none"/>
        </w:rPr>
      </w:pPr>
      <w:r>
        <w:rPr>
          <w:rFonts w:ascii="Times New Roman" w:hAnsi="Times New Roman"/>
          <w:sz w:val="24"/>
          <w:highlight w:val="none"/>
        </w:rPr>
        <w:t>委托期限：</w:t>
      </w:r>
      <w:r>
        <w:rPr>
          <w:rFonts w:ascii="Times New Roman" w:hAnsi="Times New Roman"/>
          <w:sz w:val="24"/>
          <w:highlight w:val="none"/>
          <w:u w:val="single"/>
        </w:rPr>
        <w:t xml:space="preserve">                       </w:t>
      </w:r>
      <w:r>
        <w:rPr>
          <w:rFonts w:ascii="Times New Roman" w:hAnsi="Times New Roman"/>
          <w:sz w:val="24"/>
          <w:highlight w:val="none"/>
        </w:rPr>
        <w:t>。</w:t>
      </w:r>
    </w:p>
    <w:p>
      <w:pPr>
        <w:spacing w:line="440" w:lineRule="exact"/>
        <w:ind w:firstLine="480" w:firstLineChars="200"/>
        <w:rPr>
          <w:rFonts w:ascii="Times New Roman" w:hAnsi="Times New Roman"/>
          <w:sz w:val="24"/>
          <w:highlight w:val="none"/>
        </w:rPr>
      </w:pPr>
      <w:r>
        <w:rPr>
          <w:rFonts w:ascii="Times New Roman" w:hAnsi="Times New Roman"/>
          <w:sz w:val="24"/>
          <w:highlight w:val="none"/>
        </w:rPr>
        <w:t>代理人无转委托权。</w:t>
      </w:r>
    </w:p>
    <w:p>
      <w:pPr>
        <w:spacing w:line="440" w:lineRule="exact"/>
        <w:ind w:firstLine="480" w:firstLineChars="200"/>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附：法定代表人身份证</w:t>
      </w:r>
      <w:r>
        <w:rPr>
          <w:rFonts w:hint="eastAsia" w:ascii="Times New Roman" w:hAnsi="Times New Roman"/>
          <w:sz w:val="24"/>
          <w:highlight w:val="none"/>
        </w:rPr>
        <w:t>扫描件</w:t>
      </w:r>
      <w:r>
        <w:rPr>
          <w:rFonts w:ascii="Times New Roman" w:hAnsi="Times New Roman"/>
          <w:sz w:val="24"/>
          <w:highlight w:val="none"/>
        </w:rPr>
        <w:t>及委托代理人身份证</w:t>
      </w:r>
      <w:r>
        <w:rPr>
          <w:rFonts w:hint="eastAsia" w:ascii="Times New Roman" w:hAnsi="Times New Roman"/>
          <w:sz w:val="24"/>
          <w:highlight w:val="none"/>
        </w:rPr>
        <w:t>扫描件</w:t>
      </w:r>
    </w:p>
    <w:p>
      <w:pPr>
        <w:spacing w:line="440" w:lineRule="exact"/>
        <w:rPr>
          <w:rFonts w:ascii="Times New Roman" w:hAnsi="Times New Roman"/>
          <w:sz w:val="24"/>
          <w:highlight w:val="none"/>
        </w:rPr>
      </w:pPr>
    </w:p>
    <w:p>
      <w:pPr>
        <w:spacing w:line="440" w:lineRule="exact"/>
        <w:rPr>
          <w:rFonts w:ascii="Times New Roman" w:hAnsi="Times New Roman"/>
          <w:sz w:val="24"/>
          <w:highlight w:val="none"/>
        </w:rPr>
      </w:pPr>
      <w:r>
        <w:rPr>
          <w:rFonts w:ascii="Times New Roman" w:hAnsi="Times New Roman"/>
          <w:sz w:val="24"/>
          <w:highlight w:val="none"/>
        </w:rPr>
        <w:t>注：本授权委托书需由投标人加盖单位公章并由其法定代表人和委托代理人签字。</w:t>
      </w:r>
    </w:p>
    <w:p>
      <w:pPr>
        <w:spacing w:line="440" w:lineRule="exact"/>
        <w:rPr>
          <w:rFonts w:ascii="Times New Roman" w:hAnsi="Times New Roman"/>
          <w:sz w:val="24"/>
          <w:highlight w:val="none"/>
        </w:rPr>
      </w:pPr>
    </w:p>
    <w:p>
      <w:pPr>
        <w:spacing w:line="440" w:lineRule="exact"/>
        <w:ind w:firstLine="3076" w:firstLineChars="1282"/>
        <w:rPr>
          <w:rFonts w:ascii="Times New Roman" w:hAnsi="Times New Roman"/>
          <w:sz w:val="24"/>
          <w:highlight w:val="none"/>
        </w:rPr>
      </w:pPr>
      <w:r>
        <w:rPr>
          <w:rFonts w:ascii="Times New Roman" w:hAnsi="Times New Roman"/>
          <w:sz w:val="24"/>
          <w:highlight w:val="none"/>
        </w:rPr>
        <w:t>投  标  人：</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r>
        <w:rPr>
          <w:rFonts w:ascii="Times New Roman" w:hAnsi="Times New Roman"/>
          <w:sz w:val="24"/>
          <w:highlight w:val="none"/>
        </w:rPr>
        <w:t>（</w:t>
      </w:r>
      <w:r>
        <w:rPr>
          <w:rFonts w:hint="eastAsia" w:ascii="Times New Roman" w:hAnsi="Times New Roman"/>
          <w:sz w:val="24"/>
          <w:highlight w:val="none"/>
        </w:rPr>
        <w:t>盖</w:t>
      </w:r>
      <w:r>
        <w:rPr>
          <w:rFonts w:ascii="Times New Roman" w:hAnsi="Times New Roman"/>
          <w:sz w:val="24"/>
          <w:highlight w:val="none"/>
        </w:rPr>
        <w:t>单位</w:t>
      </w:r>
      <w:r>
        <w:rPr>
          <w:rFonts w:hint="eastAsia" w:ascii="Times New Roman" w:hAnsi="Times New Roman"/>
          <w:sz w:val="24"/>
          <w:highlight w:val="none"/>
        </w:rPr>
        <w:t>章</w:t>
      </w:r>
      <w:r>
        <w:rPr>
          <w:rFonts w:ascii="Times New Roman" w:hAnsi="Times New Roman"/>
          <w:sz w:val="24"/>
          <w:highlight w:val="none"/>
        </w:rPr>
        <w:t>）</w:t>
      </w:r>
    </w:p>
    <w:p>
      <w:pPr>
        <w:spacing w:line="440" w:lineRule="exact"/>
        <w:ind w:firstLine="3076" w:firstLineChars="1282"/>
        <w:rPr>
          <w:rFonts w:ascii="Times New Roman" w:hAnsi="Times New Roman"/>
          <w:sz w:val="24"/>
          <w:highlight w:val="none"/>
        </w:rPr>
      </w:pPr>
    </w:p>
    <w:p>
      <w:pPr>
        <w:spacing w:line="440" w:lineRule="exact"/>
        <w:ind w:firstLine="3074" w:firstLineChars="1281"/>
        <w:rPr>
          <w:rFonts w:ascii="Times New Roman" w:hAnsi="Times New Roman"/>
          <w:sz w:val="24"/>
          <w:highlight w:val="none"/>
        </w:rPr>
      </w:pPr>
      <w:r>
        <w:rPr>
          <w:rFonts w:ascii="Times New Roman" w:hAnsi="Times New Roman"/>
          <w:sz w:val="24"/>
          <w:highlight w:val="none"/>
        </w:rPr>
        <w:t>法定代表人：</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r>
        <w:rPr>
          <w:rFonts w:hint="eastAsia" w:ascii="宋体" w:hAnsi="宋体" w:cs="宋体"/>
          <w:sz w:val="24"/>
          <w:szCs w:val="24"/>
          <w:highlight w:val="none"/>
        </w:rPr>
        <w:t>（签字或盖章）</w:t>
      </w:r>
    </w:p>
    <w:p>
      <w:pPr>
        <w:spacing w:line="440" w:lineRule="exact"/>
        <w:ind w:firstLine="3076" w:firstLineChars="1282"/>
        <w:rPr>
          <w:rFonts w:ascii="Times New Roman" w:hAnsi="Times New Roman"/>
          <w:sz w:val="24"/>
          <w:highlight w:val="none"/>
        </w:rPr>
      </w:pPr>
    </w:p>
    <w:p>
      <w:pPr>
        <w:spacing w:line="440" w:lineRule="exact"/>
        <w:ind w:firstLine="3076" w:firstLineChars="1282"/>
        <w:rPr>
          <w:rFonts w:ascii="Times New Roman" w:hAnsi="Times New Roman"/>
          <w:sz w:val="24"/>
          <w:highlight w:val="none"/>
        </w:rPr>
      </w:pPr>
      <w:r>
        <w:rPr>
          <w:rFonts w:ascii="Times New Roman" w:hAnsi="Times New Roman"/>
          <w:sz w:val="24"/>
          <w:highlight w:val="none"/>
        </w:rPr>
        <w:t>身份证号码：</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p>
    <w:p>
      <w:pPr>
        <w:spacing w:line="440" w:lineRule="exact"/>
        <w:ind w:firstLine="3076" w:firstLineChars="1282"/>
        <w:rPr>
          <w:rFonts w:ascii="Times New Roman" w:hAnsi="Times New Roman"/>
          <w:sz w:val="24"/>
          <w:highlight w:val="none"/>
        </w:rPr>
      </w:pPr>
    </w:p>
    <w:p>
      <w:pPr>
        <w:spacing w:line="440" w:lineRule="exact"/>
        <w:ind w:firstLine="3076" w:firstLineChars="1282"/>
        <w:rPr>
          <w:rFonts w:ascii="Times New Roman" w:hAnsi="Times New Roman"/>
          <w:sz w:val="24"/>
          <w:highlight w:val="none"/>
        </w:rPr>
      </w:pPr>
      <w:r>
        <w:rPr>
          <w:rFonts w:ascii="Times New Roman" w:hAnsi="Times New Roman"/>
          <w:sz w:val="24"/>
          <w:highlight w:val="none"/>
        </w:rPr>
        <w:t>委托代理人：</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hint="eastAsia" w:ascii="宋体" w:hAnsi="宋体" w:cs="宋体"/>
          <w:sz w:val="24"/>
          <w:szCs w:val="24"/>
          <w:highlight w:val="none"/>
        </w:rPr>
        <w:t>（签字或盖章）</w:t>
      </w:r>
    </w:p>
    <w:p>
      <w:pPr>
        <w:spacing w:line="440" w:lineRule="exact"/>
        <w:ind w:firstLine="3076" w:firstLineChars="1282"/>
        <w:rPr>
          <w:rFonts w:ascii="Times New Roman" w:hAnsi="Times New Roman"/>
          <w:sz w:val="24"/>
          <w:highlight w:val="none"/>
        </w:rPr>
      </w:pPr>
    </w:p>
    <w:p>
      <w:pPr>
        <w:spacing w:line="440" w:lineRule="exact"/>
        <w:ind w:firstLine="3076" w:firstLineChars="1282"/>
        <w:rPr>
          <w:rFonts w:ascii="Times New Roman" w:hAnsi="Times New Roman"/>
          <w:highlight w:val="none"/>
        </w:rPr>
      </w:pPr>
      <w:r>
        <w:rPr>
          <w:rFonts w:ascii="Times New Roman" w:hAnsi="Times New Roman"/>
          <w:sz w:val="24"/>
          <w:highlight w:val="none"/>
        </w:rPr>
        <w:t>身份证号码：</w:t>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ab/>
      </w:r>
      <w:r>
        <w:rPr>
          <w:rFonts w:ascii="Times New Roman" w:hAnsi="Times New Roman"/>
          <w:sz w:val="24"/>
          <w:highlight w:val="none"/>
          <w:u w:val="single"/>
        </w:rPr>
        <w:t xml:space="preserve">                           </w:t>
      </w:r>
      <w:r>
        <w:rPr>
          <w:rFonts w:ascii="Times New Roman" w:hAnsi="Times New Roman"/>
          <w:sz w:val="24"/>
          <w:highlight w:val="none"/>
          <w:u w:val="single"/>
        </w:rPr>
        <w:tab/>
      </w:r>
    </w:p>
    <w:p>
      <w:pPr>
        <w:spacing w:line="440" w:lineRule="exact"/>
        <w:ind w:firstLine="2692" w:firstLineChars="1282"/>
        <w:rPr>
          <w:rFonts w:ascii="Times New Roman" w:hAnsi="Times New Roman"/>
          <w:highlight w:val="none"/>
        </w:rPr>
      </w:pPr>
    </w:p>
    <w:p>
      <w:pPr>
        <w:spacing w:line="440" w:lineRule="exact"/>
        <w:ind w:firstLine="4057" w:firstLineChars="1932"/>
        <w:jc w:val="right"/>
        <w:rPr>
          <w:rFonts w:ascii="Times New Roman" w:hAnsi="Times New Roman"/>
          <w:highlight w:val="none"/>
        </w:rPr>
      </w:pP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pPr>
        <w:spacing w:line="440" w:lineRule="exact"/>
        <w:ind w:firstLine="4057" w:firstLineChars="1932"/>
        <w:jc w:val="right"/>
        <w:rPr>
          <w:rFonts w:ascii="Times New Roman" w:hAnsi="Times New Roman"/>
          <w:highlight w:val="none"/>
        </w:rPr>
      </w:pPr>
    </w:p>
    <w:p>
      <w:pPr>
        <w:spacing w:line="440" w:lineRule="exact"/>
        <w:ind w:firstLine="4057" w:firstLineChars="1932"/>
        <w:jc w:val="right"/>
        <w:rPr>
          <w:rFonts w:ascii="Times New Roman" w:hAnsi="Times New Roman"/>
          <w:highlight w:val="none"/>
        </w:rPr>
        <w:sectPr>
          <w:footerReference r:id="rId9" w:type="default"/>
          <w:pgSz w:w="12240" w:h="15840"/>
          <w:pgMar w:top="1440" w:right="1425" w:bottom="1440" w:left="1800" w:header="720" w:footer="720" w:gutter="0"/>
          <w:cols w:space="720" w:num="1"/>
          <w:docGrid w:linePitch="285" w:charSpace="0"/>
        </w:sectPr>
      </w:pPr>
      <w:r>
        <w:rPr>
          <w:rFonts w:ascii="Times New Roman" w:hAnsi="Times New Roman"/>
          <w:highlight w:val="none"/>
        </w:rPr>
        <w:br w:type="page"/>
      </w:r>
    </w:p>
    <w:p>
      <w:pPr>
        <w:pStyle w:val="2"/>
        <w:spacing w:line="600" w:lineRule="auto"/>
        <w:jc w:val="center"/>
        <w:rPr>
          <w:rFonts w:ascii="Times New Roman" w:hAnsi="Times New Roman"/>
          <w:color w:val="auto"/>
          <w:sz w:val="30"/>
          <w:szCs w:val="30"/>
          <w:highlight w:val="none"/>
        </w:rPr>
      </w:pPr>
      <w:bookmarkStart w:id="412" w:name="_Toc535938757"/>
      <w:bookmarkStart w:id="413" w:name="_Toc530470649"/>
      <w:bookmarkStart w:id="414" w:name="_Toc529196606"/>
      <w:r>
        <w:rPr>
          <w:rFonts w:hint="eastAsia" w:ascii="Times New Roman" w:hAnsi="Times New Roman"/>
          <w:color w:val="auto"/>
          <w:sz w:val="30"/>
          <w:szCs w:val="30"/>
          <w:highlight w:val="none"/>
        </w:rPr>
        <w:t>三</w:t>
      </w:r>
      <w:r>
        <w:rPr>
          <w:rFonts w:ascii="Times New Roman" w:hAnsi="Times New Roman"/>
          <w:color w:val="auto"/>
          <w:sz w:val="30"/>
          <w:szCs w:val="30"/>
          <w:highlight w:val="none"/>
        </w:rPr>
        <w:t>、监理报酬清单</w:t>
      </w:r>
      <w:bookmarkEnd w:id="412"/>
      <w:bookmarkEnd w:id="413"/>
      <w:bookmarkEnd w:id="414"/>
    </w:p>
    <w:p>
      <w:pPr>
        <w:spacing w:line="440" w:lineRule="exact"/>
        <w:ind w:firstLine="480" w:firstLineChars="200"/>
        <w:jc w:val="right"/>
        <w:rPr>
          <w:rFonts w:ascii="宋体" w:hAnsi="宋体" w:cs="宋体"/>
          <w:sz w:val="24"/>
          <w:szCs w:val="24"/>
          <w:highlight w:val="none"/>
        </w:rPr>
      </w:pPr>
      <w:bookmarkStart w:id="415" w:name="_Toc529196608"/>
      <w:bookmarkStart w:id="416" w:name="_Toc525827486"/>
      <w:bookmarkStart w:id="417" w:name="_Toc525828220"/>
      <w:bookmarkStart w:id="418" w:name="_Toc530470650"/>
      <w:bookmarkStart w:id="419" w:name="_Toc361508760"/>
      <w:r>
        <w:rPr>
          <w:rFonts w:hint="eastAsia" w:ascii="宋体" w:hAnsi="宋体" w:cs="宋体"/>
          <w:sz w:val="24"/>
          <w:szCs w:val="24"/>
          <w:highlight w:val="none"/>
        </w:rPr>
        <w:t>单位：人民币元</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序号</w:t>
            </w:r>
          </w:p>
        </w:tc>
        <w:tc>
          <w:tcPr>
            <w:tcW w:w="2410"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监理报酬分项名称</w:t>
            </w:r>
          </w:p>
        </w:tc>
        <w:tc>
          <w:tcPr>
            <w:tcW w:w="2268"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计算依据、过程和公式</w:t>
            </w:r>
          </w:p>
        </w:tc>
        <w:tc>
          <w:tcPr>
            <w:tcW w:w="1322"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金额（元）</w:t>
            </w:r>
          </w:p>
        </w:tc>
        <w:tc>
          <w:tcPr>
            <w:tcW w:w="2232" w:type="dxa"/>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10" w:type="dxa"/>
            <w:noWrap/>
            <w:vAlign w:val="center"/>
          </w:tcPr>
          <w:p>
            <w:pPr>
              <w:spacing w:line="360" w:lineRule="auto"/>
              <w:jc w:val="center"/>
              <w:rPr>
                <w:rFonts w:ascii="宋体" w:hAnsi="宋体" w:cs="宋体"/>
                <w:sz w:val="24"/>
                <w:szCs w:val="24"/>
                <w:highlight w:val="none"/>
              </w:rPr>
            </w:pP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w:t>
            </w:r>
          </w:p>
        </w:tc>
        <w:tc>
          <w:tcPr>
            <w:tcW w:w="2410" w:type="dxa"/>
            <w:noWrap/>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w:t>
            </w:r>
          </w:p>
        </w:tc>
        <w:tc>
          <w:tcPr>
            <w:tcW w:w="2268" w:type="dxa"/>
            <w:noWrap/>
            <w:vAlign w:val="center"/>
          </w:tcPr>
          <w:p>
            <w:pPr>
              <w:spacing w:line="360" w:lineRule="auto"/>
              <w:jc w:val="center"/>
              <w:rPr>
                <w:rFonts w:ascii="宋体" w:hAnsi="宋体" w:cs="宋体"/>
                <w:sz w:val="24"/>
                <w:szCs w:val="24"/>
                <w:highlight w:val="none"/>
              </w:rPr>
            </w:pP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kern w:val="0"/>
                <w:sz w:val="24"/>
                <w:szCs w:val="24"/>
                <w:highlight w:val="none"/>
              </w:rPr>
            </w:pPr>
            <w:r>
              <w:rPr>
                <w:rFonts w:hint="eastAsia" w:ascii="宋体" w:hAnsi="宋体" w:cs="宋体"/>
                <w:b/>
                <w:kern w:val="0"/>
                <w:sz w:val="24"/>
                <w:szCs w:val="24"/>
                <w:highlight w:val="none"/>
              </w:rPr>
              <w:t>合计报价</w:t>
            </w:r>
          </w:p>
        </w:tc>
        <w:tc>
          <w:tcPr>
            <w:tcW w:w="1322" w:type="dxa"/>
            <w:noWrap/>
            <w:vAlign w:val="center"/>
          </w:tcPr>
          <w:p>
            <w:pPr>
              <w:spacing w:line="360" w:lineRule="auto"/>
              <w:jc w:val="center"/>
              <w:rPr>
                <w:rFonts w:ascii="宋体" w:hAnsi="宋体" w:cs="宋体"/>
                <w:sz w:val="24"/>
                <w:szCs w:val="24"/>
                <w:highlight w:val="none"/>
              </w:rPr>
            </w:pPr>
          </w:p>
        </w:tc>
        <w:tc>
          <w:tcPr>
            <w:tcW w:w="2232" w:type="dxa"/>
            <w:noWrap/>
            <w:vAlign w:val="center"/>
          </w:tcPr>
          <w:p>
            <w:pPr>
              <w:spacing w:line="360" w:lineRule="auto"/>
              <w:jc w:val="center"/>
              <w:rPr>
                <w:rFonts w:ascii="宋体" w:hAnsi="宋体" w:cs="宋体"/>
                <w:sz w:val="24"/>
                <w:szCs w:val="24"/>
                <w:highlight w:val="none"/>
              </w:rPr>
            </w:pPr>
          </w:p>
        </w:tc>
      </w:tr>
    </w:tbl>
    <w:p>
      <w:pPr>
        <w:spacing w:line="400" w:lineRule="exact"/>
        <w:rPr>
          <w:rFonts w:ascii="宋体" w:hAnsi="宋体" w:cs="宋体"/>
          <w:sz w:val="24"/>
          <w:szCs w:val="24"/>
          <w:highlight w:val="none"/>
        </w:rPr>
      </w:pPr>
    </w:p>
    <w:p>
      <w:pPr>
        <w:pStyle w:val="127"/>
        <w:ind w:firstLine="496"/>
        <w:rPr>
          <w:rFonts w:ascii="Times New Roman" w:hAnsi="Times New Roman"/>
          <w:highlight w:val="none"/>
        </w:rPr>
      </w:pPr>
      <w:r>
        <w:rPr>
          <w:rFonts w:hint="eastAsia" w:ascii="宋体" w:hAnsi="宋体" w:cs="宋体"/>
          <w:snapToGrid w:val="0"/>
          <w:highlight w:val="none"/>
        </w:rPr>
        <w:t>注：监理报酬报价总金额不能超过最高限价</w:t>
      </w:r>
    </w:p>
    <w:p>
      <w:pPr>
        <w:pStyle w:val="127"/>
        <w:ind w:firstLine="496"/>
        <w:rPr>
          <w:rFonts w:ascii="Times New Roman" w:hAnsi="Times New Roman"/>
          <w:highlight w:val="none"/>
        </w:rPr>
      </w:pPr>
    </w:p>
    <w:p>
      <w:pPr>
        <w:pStyle w:val="127"/>
        <w:ind w:firstLine="496"/>
        <w:rPr>
          <w:rFonts w:ascii="Times New Roman" w:hAnsi="Times New Roman"/>
          <w:highlight w:val="none"/>
          <w:u w:val="single"/>
        </w:rPr>
      </w:pPr>
      <w:r>
        <w:rPr>
          <w:rFonts w:hint="eastAsia" w:ascii="Times New Roman" w:hAnsi="Times New Roman"/>
          <w:highlight w:val="none"/>
        </w:rPr>
        <w:t>投 标 人：(盖公章)</w:t>
      </w:r>
      <w:r>
        <w:rPr>
          <w:rFonts w:hint="eastAsia" w:ascii="Times New Roman" w:hAnsi="Times New Roman"/>
          <w:highlight w:val="none"/>
          <w:u w:val="single"/>
        </w:rPr>
        <w:t xml:space="preserve">                                   </w:t>
      </w:r>
    </w:p>
    <w:p>
      <w:pPr>
        <w:pStyle w:val="127"/>
        <w:ind w:firstLine="552"/>
        <w:rPr>
          <w:rFonts w:ascii="Times New Roman" w:hAnsi="Times New Roman"/>
          <w:highlight w:val="none"/>
        </w:rPr>
      </w:pPr>
      <w:r>
        <w:rPr>
          <w:rFonts w:hint="eastAsia" w:ascii="Times New Roman" w:hAnsi="Times New Roman"/>
          <w:spacing w:val="18"/>
          <w:highlight w:val="none"/>
        </w:rPr>
        <w:t>法定代表人</w:t>
      </w:r>
      <w:r>
        <w:rPr>
          <w:rFonts w:ascii="Times New Roman" w:hAnsi="Times New Roman"/>
          <w:spacing w:val="18"/>
          <w:highlight w:val="none"/>
        </w:rPr>
        <w:t>(</w:t>
      </w:r>
      <w:r>
        <w:rPr>
          <w:rFonts w:hint="eastAsia" w:ascii="Times New Roman" w:hAnsi="Times New Roman"/>
          <w:spacing w:val="18"/>
          <w:highlight w:val="none"/>
        </w:rPr>
        <w:t>或被授权人</w:t>
      </w:r>
      <w:r>
        <w:rPr>
          <w:rFonts w:ascii="Times New Roman" w:hAnsi="Times New Roman"/>
          <w:spacing w:val="18"/>
          <w:highlight w:val="none"/>
        </w:rPr>
        <w:t>)</w:t>
      </w:r>
      <w:r>
        <w:rPr>
          <w:rFonts w:hint="eastAsia" w:ascii="Times New Roman" w:hAnsi="Times New Roman"/>
          <w:spacing w:val="18"/>
          <w:highlight w:val="none"/>
        </w:rPr>
        <w:t>（签名或盖章）：</w:t>
      </w:r>
      <w:r>
        <w:rPr>
          <w:rFonts w:hint="eastAsia" w:ascii="Times New Roman" w:hAnsi="Times New Roman"/>
          <w:highlight w:val="none"/>
          <w:u w:val="single"/>
        </w:rPr>
        <w:t xml:space="preserve">               </w:t>
      </w:r>
    </w:p>
    <w:p>
      <w:pPr>
        <w:pStyle w:val="127"/>
        <w:ind w:firstLine="496"/>
        <w:rPr>
          <w:rFonts w:ascii="Times New Roman" w:hAnsi="Times New Roman"/>
          <w:highlight w:val="none"/>
        </w:rPr>
      </w:pPr>
      <w:r>
        <w:rPr>
          <w:rFonts w:hint="eastAsia" w:ascii="Times New Roman" w:hAnsi="Times New Roman"/>
          <w:highlight w:val="none"/>
        </w:rPr>
        <w:t>日    期：</w:t>
      </w:r>
      <w:r>
        <w:rPr>
          <w:rFonts w:hint="eastAsia" w:ascii="Times New Roman" w:hAnsi="Times New Roman"/>
          <w:highlight w:val="none"/>
          <w:u w:val="single"/>
        </w:rPr>
        <w:t xml:space="preserve">        </w:t>
      </w:r>
      <w:r>
        <w:rPr>
          <w:rFonts w:hint="eastAsia" w:ascii="Times New Roman" w:hAnsi="Times New Roman"/>
          <w:highlight w:val="none"/>
        </w:rPr>
        <w:t>年</w:t>
      </w:r>
      <w:r>
        <w:rPr>
          <w:rFonts w:hint="eastAsia" w:ascii="Times New Roman" w:hAnsi="Times New Roman"/>
          <w:highlight w:val="none"/>
          <w:u w:val="single"/>
        </w:rPr>
        <w:t xml:space="preserve">   </w:t>
      </w:r>
      <w:r>
        <w:rPr>
          <w:rFonts w:hint="eastAsia" w:ascii="Times New Roman" w:hAnsi="Times New Roman"/>
          <w:highlight w:val="none"/>
        </w:rPr>
        <w:t>月</w:t>
      </w:r>
      <w:r>
        <w:rPr>
          <w:rFonts w:hint="eastAsia" w:ascii="Times New Roman" w:hAnsi="Times New Roman"/>
          <w:highlight w:val="none"/>
          <w:u w:val="single"/>
        </w:rPr>
        <w:t xml:space="preserve">    </w:t>
      </w:r>
      <w:r>
        <w:rPr>
          <w:rFonts w:hint="eastAsia" w:ascii="Times New Roman" w:hAnsi="Times New Roman"/>
          <w:highlight w:val="none"/>
        </w:rPr>
        <w:t>日</w:t>
      </w:r>
    </w:p>
    <w:p>
      <w:pPr>
        <w:pStyle w:val="127"/>
        <w:ind w:firstLine="496"/>
        <w:rPr>
          <w:rFonts w:ascii="Times New Roman" w:hAnsi="Times New Roman"/>
          <w:highlight w:val="none"/>
          <w:u w:val="single"/>
        </w:rPr>
      </w:pPr>
      <w:r>
        <w:rPr>
          <w:rFonts w:hint="eastAsia" w:ascii="Times New Roman" w:hAnsi="Times New Roman"/>
          <w:highlight w:val="none"/>
        </w:rPr>
        <w:t>电    话：</w:t>
      </w:r>
      <w:r>
        <w:rPr>
          <w:rFonts w:hint="eastAsia" w:ascii="Times New Roman" w:hAnsi="Times New Roman"/>
          <w:highlight w:val="none"/>
          <w:u w:val="single"/>
        </w:rPr>
        <w:t xml:space="preserve">                     </w:t>
      </w:r>
    </w:p>
    <w:p>
      <w:pPr>
        <w:pStyle w:val="127"/>
        <w:ind w:firstLine="496"/>
        <w:rPr>
          <w:rFonts w:ascii="Times New Roman" w:hAnsi="Times New Roman"/>
          <w:highlight w:val="none"/>
        </w:rPr>
      </w:pPr>
      <w:r>
        <w:rPr>
          <w:rFonts w:hint="eastAsia" w:ascii="Times New Roman" w:hAnsi="Times New Roman"/>
          <w:highlight w:val="none"/>
        </w:rPr>
        <w:t>传    真：</w:t>
      </w:r>
    </w:p>
    <w:p>
      <w:pPr>
        <w:spacing w:line="360" w:lineRule="auto"/>
        <w:jc w:val="center"/>
        <w:rPr>
          <w:rFonts w:ascii="Times New Roman" w:hAnsi="Times New Roman"/>
          <w:b/>
          <w:sz w:val="28"/>
          <w:szCs w:val="28"/>
          <w:highlight w:val="none"/>
        </w:rPr>
      </w:pPr>
      <w:r>
        <w:rPr>
          <w:rFonts w:ascii="Times New Roman" w:hAnsi="Times New Roman"/>
          <w:b/>
          <w:sz w:val="32"/>
          <w:szCs w:val="32"/>
          <w:highlight w:val="none"/>
        </w:rPr>
        <w:br w:type="page"/>
      </w:r>
    </w:p>
    <w:bookmarkEnd w:id="415"/>
    <w:bookmarkEnd w:id="416"/>
    <w:bookmarkEnd w:id="417"/>
    <w:bookmarkEnd w:id="418"/>
    <w:p>
      <w:pPr>
        <w:spacing w:line="360" w:lineRule="auto"/>
        <w:jc w:val="center"/>
        <w:rPr>
          <w:rFonts w:ascii="Times New Roman" w:hAnsi="Times New Roman"/>
          <w:b/>
          <w:bCs/>
          <w:sz w:val="30"/>
          <w:szCs w:val="30"/>
          <w:highlight w:val="none"/>
        </w:rPr>
      </w:pPr>
      <w:r>
        <w:rPr>
          <w:rFonts w:hint="eastAsia" w:ascii="Times New Roman" w:hAnsi="Times New Roman"/>
          <w:b/>
          <w:bCs/>
          <w:sz w:val="30"/>
          <w:szCs w:val="30"/>
          <w:highlight w:val="none"/>
        </w:rPr>
        <w:t>四</w:t>
      </w:r>
      <w:r>
        <w:rPr>
          <w:rFonts w:ascii="Times New Roman" w:hAnsi="Times New Roman"/>
          <w:b/>
          <w:bCs/>
          <w:sz w:val="30"/>
          <w:szCs w:val="30"/>
          <w:highlight w:val="none"/>
        </w:rPr>
        <w:t>、</w:t>
      </w:r>
      <w:r>
        <w:rPr>
          <w:rFonts w:hint="eastAsia" w:ascii="Times New Roman" w:hAnsi="Times New Roman"/>
          <w:b/>
          <w:bCs/>
          <w:sz w:val="30"/>
          <w:szCs w:val="30"/>
          <w:highlight w:val="none"/>
        </w:rPr>
        <w:t>资格审查资料</w:t>
      </w: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28"/>
          <w:szCs w:val="28"/>
          <w:highlight w:val="none"/>
        </w:rPr>
        <w:t>（一）基本情况表（格式可自定）</w:t>
      </w:r>
    </w:p>
    <w:tbl>
      <w:tblPr>
        <w:tblStyle w:val="3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投标人名称</w:t>
            </w:r>
          </w:p>
        </w:tc>
        <w:tc>
          <w:tcPr>
            <w:tcW w:w="6994" w:type="dxa"/>
            <w:gridSpan w:val="8"/>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注册地址</w:t>
            </w:r>
          </w:p>
        </w:tc>
        <w:tc>
          <w:tcPr>
            <w:tcW w:w="3208" w:type="dxa"/>
            <w:gridSpan w:val="3"/>
            <w:vAlign w:val="center"/>
          </w:tcPr>
          <w:p>
            <w:pPr>
              <w:topLinePunct/>
              <w:spacing w:line="440" w:lineRule="exact"/>
              <w:jc w:val="center"/>
              <w:rPr>
                <w:rFonts w:ascii="Times New Roman" w:hAnsi="Times New Roman"/>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邮政编码</w:t>
            </w:r>
          </w:p>
        </w:tc>
        <w:tc>
          <w:tcPr>
            <w:tcW w:w="2418" w:type="dxa"/>
            <w:gridSpan w:val="3"/>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联系方式</w:t>
            </w: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联系人</w:t>
            </w:r>
          </w:p>
        </w:tc>
        <w:tc>
          <w:tcPr>
            <w:tcW w:w="2217" w:type="dxa"/>
            <w:gridSpan w:val="2"/>
            <w:vAlign w:val="center"/>
          </w:tcPr>
          <w:p>
            <w:pPr>
              <w:topLinePunct/>
              <w:spacing w:line="440" w:lineRule="exact"/>
              <w:jc w:val="center"/>
              <w:rPr>
                <w:rFonts w:ascii="Times New Roman" w:hAnsi="Times New Roman"/>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电 话</w:t>
            </w:r>
          </w:p>
        </w:tc>
        <w:tc>
          <w:tcPr>
            <w:tcW w:w="2418" w:type="dxa"/>
            <w:gridSpan w:val="3"/>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sz w:val="24"/>
                <w:highlight w:val="none"/>
              </w:rPr>
            </w:pP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传  真</w:t>
            </w:r>
          </w:p>
        </w:tc>
        <w:tc>
          <w:tcPr>
            <w:tcW w:w="2217" w:type="dxa"/>
            <w:gridSpan w:val="2"/>
            <w:vAlign w:val="center"/>
          </w:tcPr>
          <w:p>
            <w:pPr>
              <w:topLinePunct/>
              <w:spacing w:line="440" w:lineRule="exact"/>
              <w:jc w:val="center"/>
              <w:rPr>
                <w:rFonts w:ascii="Times New Roman" w:hAnsi="Times New Roman"/>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网 址</w:t>
            </w:r>
          </w:p>
        </w:tc>
        <w:tc>
          <w:tcPr>
            <w:tcW w:w="2418" w:type="dxa"/>
            <w:gridSpan w:val="3"/>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法定代表人</w:t>
            </w: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姓名</w:t>
            </w:r>
          </w:p>
        </w:tc>
        <w:tc>
          <w:tcPr>
            <w:tcW w:w="991" w:type="dxa"/>
            <w:vAlign w:val="center"/>
          </w:tcPr>
          <w:p>
            <w:pPr>
              <w:topLinePunct/>
              <w:spacing w:line="440" w:lineRule="exact"/>
              <w:jc w:val="center"/>
              <w:rPr>
                <w:rFonts w:ascii="Times New Roman" w:hAnsi="Times New Roman"/>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技术职称</w:t>
            </w:r>
          </w:p>
        </w:tc>
        <w:tc>
          <w:tcPr>
            <w:tcW w:w="1368" w:type="dxa"/>
            <w:gridSpan w:val="2"/>
            <w:vAlign w:val="center"/>
          </w:tcPr>
          <w:p>
            <w:pPr>
              <w:topLinePunct/>
              <w:spacing w:line="440" w:lineRule="exact"/>
              <w:jc w:val="center"/>
              <w:rPr>
                <w:rFonts w:ascii="Times New Roman" w:hAnsi="Times New Roman"/>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电话</w:t>
            </w:r>
          </w:p>
        </w:tc>
        <w:tc>
          <w:tcPr>
            <w:tcW w:w="1270" w:type="dxa"/>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技术负责人</w:t>
            </w:r>
          </w:p>
        </w:tc>
        <w:tc>
          <w:tcPr>
            <w:tcW w:w="991"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姓名</w:t>
            </w:r>
          </w:p>
        </w:tc>
        <w:tc>
          <w:tcPr>
            <w:tcW w:w="991" w:type="dxa"/>
            <w:vAlign w:val="center"/>
          </w:tcPr>
          <w:p>
            <w:pPr>
              <w:topLinePunct/>
              <w:spacing w:line="440" w:lineRule="exact"/>
              <w:jc w:val="center"/>
              <w:rPr>
                <w:rFonts w:ascii="Times New Roman" w:hAnsi="Times New Roman"/>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技术职称</w:t>
            </w:r>
          </w:p>
        </w:tc>
        <w:tc>
          <w:tcPr>
            <w:tcW w:w="1368" w:type="dxa"/>
            <w:gridSpan w:val="2"/>
            <w:vAlign w:val="center"/>
          </w:tcPr>
          <w:p>
            <w:pPr>
              <w:topLinePunct/>
              <w:spacing w:line="440" w:lineRule="exact"/>
              <w:jc w:val="center"/>
              <w:rPr>
                <w:rFonts w:ascii="Times New Roman" w:hAnsi="Times New Roman"/>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电话</w:t>
            </w:r>
          </w:p>
        </w:tc>
        <w:tc>
          <w:tcPr>
            <w:tcW w:w="1270" w:type="dxa"/>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highlight w:val="none"/>
              </w:rPr>
            </w:pPr>
            <w:r>
              <w:rPr>
                <w:rFonts w:ascii="Times New Roman" w:hAnsi="Times New Roman"/>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highlight w:val="none"/>
              </w:rPr>
            </w:pPr>
            <w:r>
              <w:rPr>
                <w:rFonts w:ascii="Times New Roman" w:hAnsi="Times New Roman"/>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营业执照号</w:t>
            </w:r>
          </w:p>
        </w:tc>
        <w:tc>
          <w:tcPr>
            <w:tcW w:w="3208" w:type="dxa"/>
            <w:gridSpan w:val="3"/>
            <w:vAlign w:val="center"/>
          </w:tcPr>
          <w:p>
            <w:pPr>
              <w:topLinePunct/>
              <w:spacing w:line="440" w:lineRule="exact"/>
              <w:jc w:val="center"/>
              <w:rPr>
                <w:rFonts w:ascii="Times New Roman" w:hAnsi="Times New Roman"/>
                <w:sz w:val="24"/>
                <w:highlight w:val="none"/>
              </w:rPr>
            </w:pPr>
          </w:p>
        </w:tc>
        <w:tc>
          <w:tcPr>
            <w:tcW w:w="3786" w:type="dxa"/>
            <w:gridSpan w:val="5"/>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注册资本</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高级职称人员</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成立日期</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continue"/>
            <w:vAlign w:val="center"/>
          </w:tcPr>
          <w:p>
            <w:pPr>
              <w:widowControl/>
              <w:jc w:val="left"/>
              <w:rPr>
                <w:rFonts w:ascii="Times New Roman" w:hAnsi="Times New Roman"/>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中级职称人员</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基本账户开户银行</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continue"/>
            <w:vAlign w:val="center"/>
          </w:tcPr>
          <w:p>
            <w:pPr>
              <w:widowControl/>
              <w:jc w:val="left"/>
              <w:rPr>
                <w:rFonts w:ascii="Times New Roman" w:hAnsi="Times New Roman"/>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技术人员数量</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基本账户银行账号</w:t>
            </w:r>
          </w:p>
        </w:tc>
        <w:tc>
          <w:tcPr>
            <w:tcW w:w="3208" w:type="dxa"/>
            <w:gridSpan w:val="3"/>
            <w:vAlign w:val="center"/>
          </w:tcPr>
          <w:p>
            <w:pPr>
              <w:topLinePunct/>
              <w:spacing w:line="440" w:lineRule="exact"/>
              <w:jc w:val="center"/>
              <w:rPr>
                <w:rFonts w:ascii="Times New Roman" w:hAnsi="Times New Roman"/>
                <w:sz w:val="24"/>
                <w:highlight w:val="none"/>
              </w:rPr>
            </w:pPr>
          </w:p>
        </w:tc>
        <w:tc>
          <w:tcPr>
            <w:tcW w:w="456" w:type="dxa"/>
            <w:vMerge w:val="continue"/>
            <w:vAlign w:val="center"/>
          </w:tcPr>
          <w:p>
            <w:pPr>
              <w:widowControl/>
              <w:jc w:val="left"/>
              <w:rPr>
                <w:rFonts w:ascii="Times New Roman" w:hAnsi="Times New Roman"/>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各类注册人员</w:t>
            </w:r>
          </w:p>
        </w:tc>
        <w:tc>
          <w:tcPr>
            <w:tcW w:w="1571" w:type="dxa"/>
            <w:gridSpan w:val="2"/>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sz w:val="24"/>
                <w:highlight w:val="none"/>
              </w:rPr>
            </w:pPr>
            <w:r>
              <w:rPr>
                <w:rFonts w:ascii="Times New Roman" w:hAnsi="Times New Roman"/>
                <w:sz w:val="24"/>
                <w:highlight w:val="none"/>
              </w:rPr>
              <w:t>经营范围</w:t>
            </w:r>
          </w:p>
        </w:tc>
        <w:tc>
          <w:tcPr>
            <w:tcW w:w="6994" w:type="dxa"/>
            <w:gridSpan w:val="8"/>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备注</w:t>
            </w:r>
          </w:p>
        </w:tc>
        <w:tc>
          <w:tcPr>
            <w:tcW w:w="6994" w:type="dxa"/>
            <w:gridSpan w:val="8"/>
            <w:vAlign w:val="center"/>
          </w:tcPr>
          <w:p>
            <w:pPr>
              <w:topLinePunct/>
              <w:spacing w:line="440" w:lineRule="exact"/>
              <w:jc w:val="center"/>
              <w:rPr>
                <w:rFonts w:ascii="Times New Roman" w:hAnsi="Times New Roman"/>
                <w:sz w:val="24"/>
                <w:highlight w:val="none"/>
              </w:rPr>
            </w:pPr>
          </w:p>
        </w:tc>
      </w:tr>
    </w:tbl>
    <w:p>
      <w:pPr>
        <w:spacing w:line="400" w:lineRule="exact"/>
        <w:rPr>
          <w:rFonts w:ascii="Times New Roman" w:hAnsi="Times New Roman"/>
          <w:sz w:val="24"/>
          <w:highlight w:val="none"/>
        </w:rPr>
      </w:pPr>
      <w:r>
        <w:rPr>
          <w:rFonts w:ascii="Times New Roman" w:hAnsi="Times New Roman"/>
          <w:sz w:val="24"/>
          <w:highlight w:val="none"/>
        </w:rPr>
        <w:t>注：投标人应</w:t>
      </w:r>
      <w:bookmarkStart w:id="420" w:name="_Toc520184751"/>
      <w:r>
        <w:rPr>
          <w:rFonts w:ascii="Times New Roman" w:hAnsi="Times New Roman"/>
          <w:sz w:val="24"/>
          <w:highlight w:val="none"/>
        </w:rPr>
        <w:t>根据投标人须知第3.5</w:t>
      </w:r>
      <w:bookmarkEnd w:id="420"/>
      <w:r>
        <w:rPr>
          <w:rFonts w:ascii="Times New Roman" w:hAnsi="Times New Roman"/>
          <w:sz w:val="24"/>
          <w:highlight w:val="none"/>
        </w:rPr>
        <w:t>.1项的要求在本表后附相关证</w:t>
      </w:r>
      <w:bookmarkStart w:id="421" w:name="_Toc520184752"/>
      <w:r>
        <w:rPr>
          <w:rFonts w:ascii="Times New Roman" w:hAnsi="Times New Roman"/>
          <w:sz w:val="24"/>
          <w:highlight w:val="none"/>
        </w:rPr>
        <w:t>明材料。</w:t>
      </w:r>
      <w:bookmarkEnd w:id="421"/>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32"/>
          <w:szCs w:val="32"/>
          <w:highlight w:val="none"/>
        </w:rPr>
        <w:br w:type="page"/>
      </w:r>
      <w:r>
        <w:rPr>
          <w:rFonts w:ascii="Times New Roman" w:hAnsi="Times New Roman"/>
          <w:b/>
          <w:bCs/>
          <w:sz w:val="28"/>
          <w:szCs w:val="28"/>
          <w:highlight w:val="none"/>
        </w:rPr>
        <w:t>（</w:t>
      </w:r>
      <w:r>
        <w:rPr>
          <w:rFonts w:hint="eastAsia" w:ascii="Times New Roman" w:hAnsi="Times New Roman"/>
          <w:b/>
          <w:bCs/>
          <w:sz w:val="28"/>
          <w:szCs w:val="28"/>
          <w:highlight w:val="none"/>
        </w:rPr>
        <w:t>二</w:t>
      </w:r>
      <w:r>
        <w:rPr>
          <w:rFonts w:ascii="Times New Roman" w:hAnsi="Times New Roman"/>
          <w:b/>
          <w:bCs/>
          <w:sz w:val="28"/>
          <w:szCs w:val="28"/>
          <w:highlight w:val="none"/>
        </w:rPr>
        <w:t>）近年完成的类似项目情况表（格式可自定）</w:t>
      </w:r>
    </w:p>
    <w:tbl>
      <w:tblPr>
        <w:tblStyle w:val="39"/>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p>
            <w:pPr>
              <w:topLinePunct/>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highlight w:val="none"/>
              </w:rPr>
            </w:pPr>
            <w:r>
              <w:rPr>
                <w:rFonts w:ascii="Times New Roman" w:hAnsi="Times New Roman"/>
                <w:sz w:val="24"/>
                <w:highlight w:val="none"/>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highlight w:val="none"/>
              </w:rPr>
            </w:pPr>
          </w:p>
        </w:tc>
      </w:tr>
    </w:tbl>
    <w:p>
      <w:pPr>
        <w:spacing w:line="440" w:lineRule="exact"/>
        <w:rPr>
          <w:rFonts w:ascii="Times New Roman" w:hAnsi="Times New Roman"/>
          <w:sz w:val="24"/>
          <w:highlight w:val="none"/>
        </w:rPr>
      </w:pPr>
      <w:r>
        <w:rPr>
          <w:rFonts w:ascii="Times New Roman" w:hAnsi="Times New Roman"/>
          <w:sz w:val="24"/>
          <w:highlight w:val="none"/>
        </w:rPr>
        <w:t>注：</w:t>
      </w:r>
      <w:r>
        <w:rPr>
          <w:rFonts w:hint="eastAsia" w:ascii="Times New Roman" w:hAnsi="Times New Roman"/>
          <w:sz w:val="24"/>
          <w:highlight w:val="none"/>
        </w:rPr>
        <w:t>投标人应根据第三章评标办法前附表评分标准及说明的要求在本表后附相关证明材料。</w:t>
      </w:r>
    </w:p>
    <w:p>
      <w:pPr>
        <w:spacing w:line="440" w:lineRule="exact"/>
        <w:rPr>
          <w:rFonts w:ascii="Times New Roman" w:hAnsi="Times New Roman"/>
          <w:sz w:val="24"/>
          <w:highlight w:val="none"/>
        </w:rPr>
      </w:pP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p>
    <w:p>
      <w:pPr>
        <w:spacing w:line="440" w:lineRule="exact"/>
        <w:rPr>
          <w:rFonts w:ascii="Times New Roman" w:hAnsi="Times New Roman"/>
          <w:sz w:val="24"/>
          <w:highlight w:val="none"/>
        </w:rPr>
      </w:pPr>
      <w:r>
        <w:rPr>
          <w:rFonts w:ascii="Times New Roman" w:hAnsi="Times New Roman"/>
          <w:b/>
          <w:bCs/>
          <w:sz w:val="32"/>
          <w:szCs w:val="32"/>
          <w:highlight w:val="none"/>
        </w:rPr>
        <w:br w:type="page"/>
      </w: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28"/>
          <w:szCs w:val="28"/>
          <w:highlight w:val="none"/>
        </w:rPr>
        <w:t>（</w:t>
      </w:r>
      <w:r>
        <w:rPr>
          <w:rFonts w:hint="eastAsia" w:ascii="Times New Roman" w:hAnsi="Times New Roman"/>
          <w:b/>
          <w:bCs/>
          <w:sz w:val="28"/>
          <w:szCs w:val="28"/>
          <w:highlight w:val="none"/>
        </w:rPr>
        <w:t>三</w:t>
      </w:r>
      <w:r>
        <w:rPr>
          <w:rFonts w:ascii="Times New Roman" w:hAnsi="Times New Roman"/>
          <w:b/>
          <w:bCs/>
          <w:sz w:val="28"/>
          <w:szCs w:val="28"/>
          <w:highlight w:val="none"/>
        </w:rPr>
        <w:t>）拟委任的主要人员汇总表（格式可自定）</w:t>
      </w:r>
    </w:p>
    <w:tbl>
      <w:tblPr>
        <w:tblStyle w:val="39"/>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highlight w:val="none"/>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highlight w:val="none"/>
              </w:rPr>
            </w:pPr>
          </w:p>
        </w:tc>
      </w:tr>
    </w:tbl>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highlight w:val="none"/>
        </w:rPr>
      </w:pPr>
      <w:r>
        <w:rPr>
          <w:rFonts w:ascii="Times New Roman" w:hAnsi="Times New Roman"/>
          <w:highlight w:val="none"/>
        </w:rPr>
        <w:t xml:space="preserve"> </w:t>
      </w:r>
    </w:p>
    <w:p>
      <w:pPr>
        <w:pStyle w:val="31"/>
        <w:ind w:left="420"/>
        <w:rPr>
          <w:highlight w:val="none"/>
        </w:rPr>
      </w:pPr>
    </w:p>
    <w:p>
      <w:pPr>
        <w:rPr>
          <w:rFonts w:ascii="Times New Roman" w:hAnsi="Times New Roman"/>
          <w:highlight w:val="none"/>
        </w:rPr>
      </w:pPr>
    </w:p>
    <w:p>
      <w:pPr>
        <w:pStyle w:val="31"/>
        <w:ind w:left="420"/>
        <w:rPr>
          <w:highlight w:val="none"/>
        </w:rPr>
      </w:pPr>
    </w:p>
    <w:p>
      <w:pPr>
        <w:spacing w:before="20" w:line="415" w:lineRule="auto"/>
        <w:ind w:firstLine="137"/>
        <w:outlineLvl w:val="2"/>
        <w:rPr>
          <w:rFonts w:ascii="Times New Roman" w:hAnsi="Times New Roman"/>
          <w:b/>
          <w:bCs/>
          <w:sz w:val="28"/>
          <w:szCs w:val="28"/>
          <w:highlight w:val="none"/>
        </w:rPr>
      </w:pPr>
      <w:r>
        <w:rPr>
          <w:rFonts w:ascii="Times New Roman" w:hAnsi="Times New Roman"/>
          <w:b/>
          <w:bCs/>
          <w:sz w:val="28"/>
          <w:szCs w:val="28"/>
          <w:highlight w:val="none"/>
        </w:rPr>
        <w:t>（</w:t>
      </w:r>
      <w:r>
        <w:rPr>
          <w:rFonts w:hint="eastAsia" w:ascii="Times New Roman" w:hAnsi="Times New Roman"/>
          <w:b/>
          <w:bCs/>
          <w:sz w:val="28"/>
          <w:szCs w:val="28"/>
          <w:highlight w:val="none"/>
        </w:rPr>
        <w:t>四</w:t>
      </w:r>
      <w:r>
        <w:rPr>
          <w:rFonts w:ascii="Times New Roman" w:hAnsi="Times New Roman"/>
          <w:b/>
          <w:bCs/>
          <w:sz w:val="28"/>
          <w:szCs w:val="28"/>
          <w:highlight w:val="none"/>
        </w:rPr>
        <w:t>）主要人员简历表（格式可自定）</w:t>
      </w:r>
    </w:p>
    <w:p>
      <w:pPr>
        <w:topLinePunct/>
        <w:spacing w:line="440" w:lineRule="exact"/>
        <w:jc w:val="center"/>
        <w:rPr>
          <w:rFonts w:ascii="Times New Roman" w:hAnsi="Times New Roman"/>
          <w:sz w:val="23"/>
          <w:szCs w:val="23"/>
          <w:highlight w:val="none"/>
        </w:rPr>
      </w:pPr>
      <w:r>
        <w:rPr>
          <w:rFonts w:ascii="Times New Roman" w:hAnsi="Times New Roman"/>
          <w:sz w:val="23"/>
          <w:szCs w:val="23"/>
          <w:highlight w:val="none"/>
        </w:rPr>
        <w:t xml:space="preserve"> </w:t>
      </w:r>
    </w:p>
    <w:tbl>
      <w:tblPr>
        <w:tblStyle w:val="39"/>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highlight w:val="none"/>
              </w:rPr>
            </w:pPr>
            <w:r>
              <w:rPr>
                <w:rFonts w:ascii="Times New Roman" w:hAnsi="Times New Roman"/>
                <w:sz w:val="24"/>
                <w:highlight w:val="none"/>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highlight w:val="none"/>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sz w:val="24"/>
                <w:highlight w:val="none"/>
              </w:rPr>
            </w:pPr>
            <w:r>
              <w:rPr>
                <w:rFonts w:ascii="Times New Roman" w:hAnsi="Times New Roman"/>
                <w:sz w:val="24"/>
                <w:highlight w:val="none"/>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sz w:val="24"/>
                <w:highlight w:val="none"/>
              </w:rPr>
            </w:pPr>
            <w:r>
              <w:rPr>
                <w:rFonts w:ascii="Times New Roman" w:hAnsi="Times New Roman"/>
                <w:sz w:val="24"/>
                <w:highlight w:val="none"/>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highlight w:val="none"/>
              </w:rPr>
            </w:pPr>
            <w:r>
              <w:rPr>
                <w:rFonts w:ascii="Times New Roman" w:hAnsi="Times New Roman"/>
                <w:sz w:val="24"/>
                <w:highlight w:val="none"/>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highlight w:val="none"/>
              </w:rPr>
            </w:pPr>
          </w:p>
        </w:tc>
      </w:tr>
    </w:tbl>
    <w:p>
      <w:pPr>
        <w:spacing w:line="440" w:lineRule="exact"/>
        <w:rPr>
          <w:rFonts w:ascii="宋体" w:hAnsi="宋体" w:cs="宋体"/>
          <w:sz w:val="24"/>
          <w:szCs w:val="24"/>
          <w:highlight w:val="none"/>
        </w:rPr>
      </w:pPr>
      <w:r>
        <w:rPr>
          <w:rFonts w:hint="eastAsia" w:ascii="宋体" w:hAnsi="宋体" w:cs="宋体"/>
          <w:sz w:val="24"/>
          <w:szCs w:val="24"/>
          <w:highlight w:val="none"/>
        </w:rPr>
        <w:t>注：投标人应根据</w:t>
      </w:r>
      <w:r>
        <w:rPr>
          <w:rFonts w:hint="eastAsia"/>
          <w:sz w:val="24"/>
          <w:szCs w:val="24"/>
          <w:highlight w:val="none"/>
        </w:rPr>
        <w:t>第三章评标办法前附表评分标准及说明</w:t>
      </w:r>
      <w:r>
        <w:rPr>
          <w:rFonts w:hint="eastAsia" w:ascii="宋体" w:hAnsi="宋体" w:cs="宋体"/>
          <w:sz w:val="24"/>
          <w:szCs w:val="24"/>
          <w:highlight w:val="none"/>
        </w:rPr>
        <w:t>的要求在本表后附相关证明材料。</w:t>
      </w:r>
    </w:p>
    <w:p>
      <w:pPr>
        <w:spacing w:line="440" w:lineRule="exact"/>
        <w:rPr>
          <w:rFonts w:ascii="Times New Roman" w:hAnsi="Times New Roman"/>
          <w:highlight w:val="none"/>
        </w:rPr>
      </w:pPr>
      <w:r>
        <w:rPr>
          <w:rFonts w:ascii="Times New Roman" w:hAnsi="Times New Roman"/>
          <w:highlight w:val="none"/>
        </w:rPr>
        <w:t xml:space="preserve"> </w:t>
      </w:r>
    </w:p>
    <w:p>
      <w:pPr>
        <w:spacing w:line="440" w:lineRule="exact"/>
        <w:rPr>
          <w:rFonts w:ascii="Times New Roman" w:hAnsi="Times New Roman"/>
          <w:b/>
          <w:bCs/>
          <w:highlight w:val="none"/>
        </w:rPr>
      </w:pPr>
      <w:r>
        <w:rPr>
          <w:rFonts w:ascii="Times New Roman" w:hAnsi="Times New Roman"/>
          <w:b/>
          <w:bCs/>
          <w:highlight w:val="none"/>
        </w:rPr>
        <w:t xml:space="preserve">  </w:t>
      </w:r>
    </w:p>
    <w:p>
      <w:pPr>
        <w:spacing w:line="440" w:lineRule="exact"/>
        <w:rPr>
          <w:rFonts w:ascii="Times New Roman" w:hAnsi="Times New Roman"/>
          <w:b/>
          <w:bCs/>
          <w:highlight w:val="none"/>
        </w:rPr>
      </w:pPr>
      <w:r>
        <w:rPr>
          <w:rFonts w:ascii="Times New Roman" w:hAnsi="Times New Roman"/>
          <w:b/>
          <w:bCs/>
          <w:highlight w:val="none"/>
        </w:rPr>
        <w:t xml:space="preserve"> </w:t>
      </w:r>
    </w:p>
    <w:p>
      <w:pPr>
        <w:spacing w:line="440" w:lineRule="exact"/>
        <w:rPr>
          <w:rFonts w:ascii="Times New Roman" w:hAnsi="Times New Roman"/>
          <w:b/>
          <w:bCs/>
          <w:highlight w:val="none"/>
        </w:rPr>
      </w:pPr>
      <w:r>
        <w:rPr>
          <w:rFonts w:ascii="Times New Roman" w:hAnsi="Times New Roman"/>
          <w:b/>
          <w:bCs/>
          <w:highlight w:val="none"/>
        </w:rPr>
        <w:t xml:space="preserve"> </w:t>
      </w:r>
    </w:p>
    <w:p>
      <w:pPr>
        <w:pStyle w:val="31"/>
        <w:ind w:left="420"/>
        <w:rPr>
          <w:b/>
          <w:bCs/>
          <w:highlight w:val="none"/>
        </w:rPr>
      </w:pPr>
    </w:p>
    <w:p>
      <w:pPr>
        <w:rPr>
          <w:rFonts w:ascii="Times New Roman" w:hAnsi="Times New Roman"/>
          <w:b/>
          <w:bCs/>
          <w:highlight w:val="none"/>
        </w:rPr>
      </w:pPr>
    </w:p>
    <w:p>
      <w:pPr>
        <w:pStyle w:val="31"/>
        <w:ind w:left="420"/>
        <w:rPr>
          <w:highlight w:val="none"/>
        </w:rPr>
      </w:pPr>
    </w:p>
    <w:p>
      <w:pPr>
        <w:spacing w:before="20" w:line="415" w:lineRule="auto"/>
        <w:outlineLvl w:val="2"/>
        <w:rPr>
          <w:rFonts w:ascii="Times New Roman" w:hAnsi="Times New Roman"/>
          <w:b/>
          <w:bCs/>
          <w:sz w:val="28"/>
          <w:szCs w:val="28"/>
          <w:highlight w:val="none"/>
        </w:rPr>
      </w:pPr>
      <w:r>
        <w:rPr>
          <w:rFonts w:ascii="Times New Roman" w:hAnsi="Times New Roman"/>
          <w:b/>
          <w:bCs/>
          <w:sz w:val="28"/>
          <w:szCs w:val="28"/>
          <w:highlight w:val="none"/>
        </w:rPr>
        <w:t>（</w:t>
      </w:r>
      <w:r>
        <w:rPr>
          <w:rFonts w:hint="eastAsia" w:ascii="Times New Roman" w:hAnsi="Times New Roman"/>
          <w:b/>
          <w:bCs/>
          <w:sz w:val="28"/>
          <w:szCs w:val="28"/>
          <w:highlight w:val="none"/>
        </w:rPr>
        <w:t>五</w:t>
      </w:r>
      <w:r>
        <w:rPr>
          <w:rFonts w:ascii="Times New Roman" w:hAnsi="Times New Roman"/>
          <w:b/>
          <w:bCs/>
          <w:sz w:val="28"/>
          <w:szCs w:val="28"/>
          <w:highlight w:val="none"/>
        </w:rPr>
        <w:t>）拟投入本项目的主要试验检测仪器设备表（格式可自定）</w:t>
      </w:r>
    </w:p>
    <w:p>
      <w:pPr>
        <w:ind w:firstLine="482" w:firstLineChars="200"/>
        <w:jc w:val="center"/>
        <w:rPr>
          <w:rFonts w:ascii="宋体" w:hAnsi="宋体" w:cs="楷体"/>
          <w:b/>
          <w:kern w:val="0"/>
          <w:sz w:val="24"/>
          <w:highlight w:val="none"/>
        </w:rPr>
      </w:pPr>
      <w:r>
        <w:rPr>
          <w:rFonts w:ascii="宋体" w:hAnsi="宋体" w:cs="楷体"/>
          <w:b/>
          <w:kern w:val="0"/>
          <w:sz w:val="24"/>
          <w:highlight w:val="none"/>
        </w:rPr>
        <w:t>工程项目监理</w:t>
      </w:r>
      <w:r>
        <w:rPr>
          <w:rFonts w:hint="eastAsia" w:ascii="宋体" w:hAnsi="宋体" w:cs="楷体"/>
          <w:b/>
          <w:kern w:val="0"/>
          <w:sz w:val="24"/>
          <w:highlight w:val="none"/>
        </w:rPr>
        <w:t>试验检测仪器设备</w:t>
      </w:r>
      <w:r>
        <w:rPr>
          <w:rFonts w:ascii="宋体" w:hAnsi="宋体" w:cs="楷体"/>
          <w:b/>
          <w:kern w:val="0"/>
          <w:sz w:val="24"/>
          <w:highlight w:val="none"/>
        </w:rPr>
        <w:t>配置表</w:t>
      </w:r>
    </w:p>
    <w:tbl>
      <w:tblPr>
        <w:tblStyle w:val="3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r>
              <w:rPr>
                <w:rFonts w:hint="eastAsia" w:ascii="宋体" w:hAnsi="宋体" w:cs="MingLiU"/>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highlight w:val="none"/>
              </w:rPr>
            </w:pPr>
          </w:p>
        </w:tc>
      </w:tr>
    </w:tbl>
    <w:p>
      <w:pPr>
        <w:spacing w:line="360" w:lineRule="auto"/>
        <w:ind w:firstLine="420" w:firstLineChars="200"/>
        <w:rPr>
          <w:rFonts w:ascii="宋体" w:hAnsi="宋体"/>
          <w:highlight w:val="none"/>
          <w:lang w:bidi="mn-Mong-CN"/>
        </w:rPr>
      </w:pPr>
      <w:r>
        <w:rPr>
          <w:rFonts w:hint="eastAsia" w:ascii="宋体" w:hAnsi="宋体"/>
          <w:highlight w:val="none"/>
          <w:lang w:bidi="mn-Mong-CN"/>
        </w:rPr>
        <w:t>注：如中标单位投标阶段配备未完全满足要求的，不作为无效标，但须在中标后签合同前按上表要求配备齐全。</w:t>
      </w:r>
    </w:p>
    <w:p>
      <w:pPr>
        <w:topLinePunct/>
        <w:spacing w:line="360" w:lineRule="auto"/>
        <w:ind w:firstLine="496" w:firstLineChars="200"/>
        <w:rPr>
          <w:rFonts w:ascii="Times New Roman" w:hAnsi="Times New Roman"/>
          <w:spacing w:val="4"/>
          <w:sz w:val="24"/>
          <w:highlight w:val="none"/>
        </w:rPr>
      </w:pPr>
    </w:p>
    <w:p>
      <w:pPr>
        <w:topLinePunct/>
        <w:spacing w:line="360" w:lineRule="auto"/>
        <w:rPr>
          <w:rFonts w:ascii="Times New Roman" w:hAnsi="Times New Roman"/>
          <w:spacing w:val="4"/>
          <w:sz w:val="24"/>
          <w:highlight w:val="none"/>
        </w:rPr>
      </w:pPr>
      <w:r>
        <w:rPr>
          <w:rFonts w:ascii="Times New Roman" w:hAnsi="Times New Roman"/>
          <w:spacing w:val="4"/>
          <w:sz w:val="24"/>
          <w:highlight w:val="none"/>
        </w:rPr>
        <w:t>投  标  单  位（盖章）：</w:t>
      </w:r>
    </w:p>
    <w:p>
      <w:pPr>
        <w:topLinePunct/>
        <w:spacing w:line="360" w:lineRule="auto"/>
        <w:rPr>
          <w:rFonts w:ascii="Times New Roman" w:hAnsi="Times New Roman"/>
          <w:spacing w:val="18"/>
          <w:sz w:val="24"/>
          <w:highlight w:val="none"/>
        </w:rPr>
      </w:pPr>
      <w:r>
        <w:rPr>
          <w:rFonts w:ascii="Times New Roman" w:hAnsi="Times New Roman"/>
          <w:spacing w:val="4"/>
          <w:sz w:val="24"/>
          <w:highlight w:val="none"/>
        </w:rPr>
        <w:t>法定代表人或授权委托人（签名或盖章）</w:t>
      </w:r>
      <w:r>
        <w:rPr>
          <w:rFonts w:ascii="Times New Roman" w:hAnsi="Times New Roman"/>
          <w:spacing w:val="18"/>
          <w:sz w:val="24"/>
          <w:highlight w:val="none"/>
        </w:rPr>
        <w:t xml:space="preserve">：            </w:t>
      </w:r>
    </w:p>
    <w:p>
      <w:pPr>
        <w:topLinePunct/>
        <w:spacing w:line="360" w:lineRule="auto"/>
        <w:rPr>
          <w:rFonts w:ascii="Times New Roman" w:hAnsi="Times New Roman"/>
          <w:spacing w:val="18"/>
          <w:sz w:val="24"/>
          <w:highlight w:val="none"/>
        </w:rPr>
      </w:pPr>
      <w:r>
        <w:rPr>
          <w:rFonts w:ascii="Times New Roman" w:hAnsi="Times New Roman"/>
          <w:spacing w:val="18"/>
          <w:sz w:val="24"/>
          <w:highlight w:val="none"/>
        </w:rPr>
        <w:t xml:space="preserve">日期：   年  月  日 </w:t>
      </w:r>
    </w:p>
    <w:p>
      <w:pPr>
        <w:topLinePunct/>
        <w:spacing w:line="360" w:lineRule="auto"/>
        <w:rPr>
          <w:rFonts w:ascii="Times New Roman" w:hAnsi="Times New Roman"/>
          <w:b/>
          <w:bCs/>
          <w:sz w:val="28"/>
          <w:szCs w:val="28"/>
          <w:highlight w:val="none"/>
        </w:rPr>
      </w:pPr>
      <w:r>
        <w:rPr>
          <w:rFonts w:ascii="Times New Roman" w:hAnsi="Times New Roman"/>
          <w:spacing w:val="18"/>
          <w:sz w:val="36"/>
          <w:szCs w:val="36"/>
          <w:highlight w:val="none"/>
        </w:rPr>
        <w:t xml:space="preserve"> </w:t>
      </w:r>
      <w:r>
        <w:rPr>
          <w:rFonts w:hint="eastAsia" w:ascii="Times New Roman" w:hAnsi="Times New Roman"/>
          <w:b/>
          <w:bCs/>
          <w:sz w:val="28"/>
          <w:szCs w:val="28"/>
          <w:highlight w:val="none"/>
        </w:rPr>
        <w:t>五、</w:t>
      </w:r>
      <w:r>
        <w:rPr>
          <w:rFonts w:ascii="Times New Roman" w:hAnsi="Times New Roman"/>
          <w:b/>
          <w:bCs/>
          <w:sz w:val="28"/>
          <w:szCs w:val="28"/>
          <w:highlight w:val="none"/>
        </w:rPr>
        <w:t>投标人声明格式</w:t>
      </w:r>
    </w:p>
    <w:p>
      <w:pPr>
        <w:topLinePunct/>
        <w:spacing w:line="360" w:lineRule="auto"/>
        <w:rPr>
          <w:rFonts w:ascii="Times New Roman" w:hAnsi="Times New Roman"/>
          <w:spacing w:val="18"/>
          <w:sz w:val="24"/>
          <w:highlight w:val="none"/>
        </w:rPr>
      </w:pPr>
      <w:r>
        <w:rPr>
          <w:rFonts w:ascii="Times New Roman" w:hAnsi="Times New Roman"/>
          <w:spacing w:val="18"/>
          <w:sz w:val="24"/>
          <w:highlight w:val="none"/>
        </w:rPr>
        <w:t xml:space="preserve"> </w:t>
      </w:r>
      <w:r>
        <w:rPr>
          <w:rFonts w:hint="eastAsia" w:ascii="Times New Roman" w:hAnsi="Times New Roman"/>
          <w:snapToGrid w:val="0"/>
          <w:spacing w:val="4"/>
          <w:kern w:val="0"/>
          <w:sz w:val="24"/>
          <w:highlight w:val="none"/>
        </w:rPr>
        <w:t>（格式详见招标公告附件一）</w:t>
      </w:r>
    </w:p>
    <w:p>
      <w:pPr>
        <w:pStyle w:val="2"/>
        <w:spacing w:line="600" w:lineRule="auto"/>
        <w:jc w:val="center"/>
        <w:rPr>
          <w:rFonts w:ascii="Times New Roman" w:hAnsi="Times New Roman"/>
          <w:color w:val="auto"/>
          <w:sz w:val="30"/>
          <w:szCs w:val="30"/>
          <w:highlight w:val="none"/>
        </w:rPr>
      </w:pPr>
      <w:r>
        <w:rPr>
          <w:rFonts w:ascii="Times New Roman" w:hAnsi="Times New Roman"/>
          <w:b w:val="0"/>
          <w:bCs w:val="0"/>
          <w:color w:val="auto"/>
          <w:sz w:val="24"/>
          <w:szCs w:val="24"/>
          <w:highlight w:val="none"/>
        </w:rPr>
        <w:br w:type="page"/>
      </w:r>
      <w:bookmarkEnd w:id="419"/>
      <w:bookmarkStart w:id="422" w:name="_Toc530470651"/>
      <w:bookmarkStart w:id="423" w:name="_Toc529196610"/>
      <w:bookmarkStart w:id="424" w:name="_Toc535938758"/>
      <w:r>
        <w:rPr>
          <w:rFonts w:hint="eastAsia" w:ascii="Times New Roman" w:hAnsi="Times New Roman"/>
          <w:color w:val="auto"/>
          <w:sz w:val="30"/>
          <w:szCs w:val="30"/>
          <w:highlight w:val="none"/>
        </w:rPr>
        <w:t>六</w:t>
      </w:r>
      <w:r>
        <w:rPr>
          <w:rFonts w:ascii="Times New Roman" w:hAnsi="Times New Roman"/>
          <w:color w:val="auto"/>
          <w:sz w:val="30"/>
          <w:szCs w:val="30"/>
          <w:highlight w:val="none"/>
        </w:rPr>
        <w:t>、</w:t>
      </w:r>
      <w:r>
        <w:rPr>
          <w:rFonts w:hint="eastAsia" w:ascii="Times New Roman" w:hAnsi="Times New Roman"/>
          <w:color w:val="auto"/>
          <w:sz w:val="30"/>
          <w:szCs w:val="30"/>
          <w:highlight w:val="none"/>
        </w:rPr>
        <w:t>监理服务</w:t>
      </w:r>
      <w:r>
        <w:rPr>
          <w:rFonts w:ascii="Times New Roman" w:hAnsi="Times New Roman"/>
          <w:color w:val="auto"/>
          <w:sz w:val="30"/>
          <w:szCs w:val="30"/>
          <w:highlight w:val="none"/>
        </w:rPr>
        <w:t>大纲</w:t>
      </w:r>
      <w:bookmarkEnd w:id="422"/>
      <w:bookmarkEnd w:id="423"/>
      <w:bookmarkEnd w:id="424"/>
    </w:p>
    <w:p>
      <w:pPr>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rPr>
        <w:t>监理服务大纲</w:t>
      </w:r>
    </w:p>
    <w:p>
      <w:pPr>
        <w:spacing w:line="360" w:lineRule="auto"/>
        <w:ind w:firstLine="542" w:firstLineChars="226"/>
        <w:rPr>
          <w:rFonts w:ascii="Times New Roman" w:hAnsi="Times New Roman"/>
          <w:sz w:val="24"/>
          <w:highlight w:val="none"/>
        </w:rPr>
      </w:pPr>
      <w:r>
        <w:rPr>
          <w:rFonts w:hint="eastAsia" w:ascii="Times New Roman" w:hAnsi="Times New Roman"/>
          <w:sz w:val="24"/>
          <w:highlight w:val="none"/>
        </w:rPr>
        <w:t>监理服务</w:t>
      </w:r>
      <w:r>
        <w:rPr>
          <w:rFonts w:ascii="Times New Roman" w:hAnsi="Times New Roman"/>
          <w:sz w:val="24"/>
          <w:highlight w:val="none"/>
        </w:rPr>
        <w:t>大纲应包括（但不限于）下列内容：</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一、监理工程概况；</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二、</w:t>
      </w:r>
      <w:r>
        <w:rPr>
          <w:rFonts w:hint="eastAsia" w:ascii="Times New Roman" w:hAnsi="Times New Roman"/>
          <w:sz w:val="24"/>
          <w:highlight w:val="none"/>
        </w:rPr>
        <w:t>服务</w:t>
      </w:r>
      <w:r>
        <w:rPr>
          <w:rFonts w:ascii="Times New Roman" w:hAnsi="Times New Roman"/>
          <w:sz w:val="24"/>
          <w:highlight w:val="none"/>
        </w:rPr>
        <w:t>范围、</w:t>
      </w:r>
      <w:r>
        <w:rPr>
          <w:rFonts w:hint="eastAsia" w:ascii="Times New Roman" w:hAnsi="Times New Roman"/>
          <w:sz w:val="24"/>
          <w:highlight w:val="none"/>
        </w:rPr>
        <w:t>服务</w:t>
      </w:r>
      <w:r>
        <w:rPr>
          <w:rFonts w:ascii="Times New Roman" w:hAnsi="Times New Roman"/>
          <w:sz w:val="24"/>
          <w:highlight w:val="none"/>
        </w:rPr>
        <w:t>内容；</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三、监理依据、监理工作目标；</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四、监理机构设置（</w:t>
      </w:r>
      <w:r>
        <w:rPr>
          <w:rFonts w:hint="eastAsia" w:ascii="Times New Roman" w:hAnsi="Times New Roman"/>
          <w:sz w:val="24"/>
          <w:highlight w:val="none"/>
        </w:rPr>
        <w:t>监理组织架构框图</w:t>
      </w:r>
      <w:r>
        <w:rPr>
          <w:rFonts w:ascii="Times New Roman" w:hAnsi="Times New Roman"/>
          <w:sz w:val="24"/>
          <w:highlight w:val="none"/>
        </w:rPr>
        <w:t>）、岗位职责；</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五、监理工作程序、方法和制度；</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六、拟投入的监理人员、试验检测仪器设备；</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七、质量、进度、造价、安全、环保监理措施；</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八、合同、信息管理方案；</w:t>
      </w:r>
    </w:p>
    <w:p>
      <w:pPr>
        <w:spacing w:line="360" w:lineRule="auto"/>
        <w:ind w:firstLine="542" w:firstLineChars="226"/>
        <w:rPr>
          <w:rFonts w:ascii="Times New Roman" w:hAnsi="Times New Roman"/>
          <w:sz w:val="24"/>
          <w:highlight w:val="none"/>
        </w:rPr>
      </w:pPr>
      <w:r>
        <w:rPr>
          <w:rFonts w:hint="eastAsia" w:ascii="Times New Roman" w:hAnsi="Times New Roman"/>
          <w:sz w:val="24"/>
          <w:highlight w:val="none"/>
        </w:rPr>
        <w:t>九</w:t>
      </w:r>
      <w:r>
        <w:rPr>
          <w:rFonts w:ascii="Times New Roman" w:hAnsi="Times New Roman"/>
          <w:sz w:val="24"/>
          <w:highlight w:val="none"/>
        </w:rPr>
        <w:t>、组织协调内容及措施；</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十、监理工作重点、难点分析；</w:t>
      </w:r>
    </w:p>
    <w:p>
      <w:pPr>
        <w:spacing w:line="360" w:lineRule="auto"/>
        <w:ind w:firstLine="542" w:firstLineChars="226"/>
        <w:rPr>
          <w:rFonts w:ascii="Times New Roman" w:hAnsi="Times New Roman"/>
          <w:sz w:val="24"/>
          <w:highlight w:val="none"/>
        </w:rPr>
      </w:pPr>
      <w:r>
        <w:rPr>
          <w:rFonts w:ascii="Times New Roman" w:hAnsi="Times New Roman"/>
          <w:sz w:val="24"/>
          <w:highlight w:val="none"/>
        </w:rPr>
        <w:t>十</w:t>
      </w:r>
      <w:r>
        <w:rPr>
          <w:rFonts w:hint="eastAsia" w:ascii="Times New Roman" w:hAnsi="Times New Roman"/>
          <w:sz w:val="24"/>
          <w:highlight w:val="none"/>
        </w:rPr>
        <w:t>一</w:t>
      </w:r>
      <w:r>
        <w:rPr>
          <w:rFonts w:ascii="Times New Roman" w:hAnsi="Times New Roman"/>
          <w:sz w:val="24"/>
          <w:highlight w:val="none"/>
        </w:rPr>
        <w:t>、对本工程监理的合理化建议。</w:t>
      </w: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pStyle w:val="2"/>
        <w:spacing w:line="480" w:lineRule="auto"/>
        <w:rPr>
          <w:rFonts w:ascii="Times New Roman" w:hAnsi="Times New Roman"/>
          <w:color w:val="auto"/>
          <w:sz w:val="30"/>
          <w:szCs w:val="30"/>
          <w:highlight w:val="none"/>
        </w:rPr>
      </w:pPr>
      <w:bookmarkStart w:id="425" w:name="_Toc530470652"/>
      <w:bookmarkStart w:id="426" w:name="_Toc529196611"/>
      <w:r>
        <w:rPr>
          <w:rFonts w:ascii="Times New Roman" w:hAnsi="Times New Roman"/>
          <w:color w:val="auto"/>
          <w:highlight w:val="none"/>
        </w:rPr>
        <w:br w:type="page"/>
      </w:r>
      <w:bookmarkStart w:id="427" w:name="_Toc535938759"/>
      <w:r>
        <w:rPr>
          <w:rFonts w:hint="eastAsia" w:ascii="Times New Roman" w:hAnsi="Times New Roman"/>
          <w:color w:val="auto"/>
          <w:sz w:val="30"/>
          <w:szCs w:val="30"/>
          <w:highlight w:val="none"/>
        </w:rPr>
        <w:t>七、其他资料</w:t>
      </w:r>
      <w:bookmarkEnd w:id="425"/>
      <w:bookmarkEnd w:id="426"/>
      <w:bookmarkEnd w:id="427"/>
    </w:p>
    <w:p>
      <w:pPr>
        <w:topLinePunct/>
        <w:spacing w:line="360" w:lineRule="auto"/>
        <w:rPr>
          <w:rFonts w:ascii="Times New Roman" w:hAnsi="Times New Roman"/>
          <w:snapToGrid w:val="0"/>
          <w:spacing w:val="18"/>
          <w:sz w:val="28"/>
          <w:szCs w:val="28"/>
          <w:highlight w:val="none"/>
        </w:rPr>
      </w:pPr>
      <w:r>
        <w:rPr>
          <w:rFonts w:hint="eastAsia" w:ascii="Times New Roman" w:hAnsi="Times New Roman"/>
          <w:b/>
          <w:bCs/>
          <w:sz w:val="28"/>
          <w:szCs w:val="28"/>
          <w:highlight w:val="none"/>
        </w:rPr>
        <w:t>其他资料应包括（但不限制于）以下内容：</w:t>
      </w:r>
    </w:p>
    <w:p>
      <w:pPr>
        <w:spacing w:line="360" w:lineRule="auto"/>
        <w:jc w:val="left"/>
        <w:rPr>
          <w:rFonts w:ascii="Times New Roman" w:hAnsi="Times New Roman"/>
          <w:b/>
          <w:szCs w:val="21"/>
          <w:highlight w:val="none"/>
        </w:rPr>
      </w:pPr>
      <w:bookmarkStart w:id="428" w:name="_Toc530470659"/>
      <w:bookmarkStart w:id="429" w:name="_Toc535938766"/>
      <w:r>
        <w:rPr>
          <w:rFonts w:cs="Calibri"/>
          <w:b/>
          <w:sz w:val="28"/>
          <w:szCs w:val="28"/>
          <w:highlight w:val="none"/>
        </w:rPr>
        <w:t>①</w:t>
      </w:r>
      <w:r>
        <w:rPr>
          <w:rFonts w:hint="eastAsia" w:ascii="Times New Roman" w:hAnsi="Times New Roman"/>
          <w:b/>
          <w:sz w:val="28"/>
          <w:szCs w:val="28"/>
          <w:highlight w:val="none"/>
        </w:rPr>
        <w:t>监理项目管理团队人员信息表</w:t>
      </w:r>
      <w:bookmarkEnd w:id="428"/>
      <w:bookmarkEnd w:id="429"/>
    </w:p>
    <w:p>
      <w:pPr>
        <w:spacing w:line="360" w:lineRule="auto"/>
        <w:rPr>
          <w:rFonts w:ascii="Times New Roman" w:hAnsi="Times New Roman"/>
          <w:highlight w:val="none"/>
        </w:rPr>
      </w:pPr>
      <w:bookmarkStart w:id="430" w:name="_Toc530470660"/>
      <w:bookmarkStart w:id="431" w:name="_Toc535938767"/>
      <w:r>
        <w:rPr>
          <w:rFonts w:cs="Calibri"/>
          <w:b/>
          <w:sz w:val="28"/>
          <w:szCs w:val="28"/>
          <w:highlight w:val="none"/>
        </w:rPr>
        <w:t>②</w:t>
      </w:r>
      <w:r>
        <w:rPr>
          <w:rFonts w:hint="eastAsia" w:ascii="Times New Roman" w:hAnsi="Times New Roman"/>
          <w:b/>
          <w:sz w:val="28"/>
          <w:szCs w:val="28"/>
          <w:highlight w:val="none"/>
        </w:rPr>
        <w:t>投标人认为需要提供的资料（如有）。</w:t>
      </w:r>
      <w:bookmarkEnd w:id="430"/>
      <w:bookmarkEnd w:id="431"/>
    </w:p>
    <w:sectPr>
      <w:headerReference r:id="rId10" w:type="first"/>
      <w:footerReference r:id="rId13" w:type="first"/>
      <w:footerReference r:id="rId11" w:type="default"/>
      <w:footerReference r:id="rId12" w:type="even"/>
      <w:pgSz w:w="11906" w:h="16838"/>
      <w:pgMar w:top="1134" w:right="1274" w:bottom="1440" w:left="1797" w:header="709" w:footer="709" w:gutter="0"/>
      <w:cols w:space="720" w:num="1"/>
      <w:titlePg/>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sto MT">
    <w:altName w:val="Segoe Print"/>
    <w:panose1 w:val="020406030505050303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w:t>
    </w:r>
    <w:r>
      <w:rPr>
        <w:lang w:val="zh-CN"/>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30</w:t>
    </w:r>
    <w:r>
      <w:rPr>
        <w:lang w:val="zh-CN"/>
      </w:rPr>
      <w:fldChar w:fldCharType="end"/>
    </w:r>
  </w:p>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w:t>
    </w:r>
    <w:r>
      <w:rPr>
        <w:lang w:val="zh-CN"/>
      </w:rPr>
      <w:fldChar w:fldCharType="end"/>
    </w:r>
  </w:p>
  <w:p>
    <w:pPr>
      <w:pStyle w:val="2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pict>
        <v:shape id="文本框 4"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path/>
          <v:fill on="f" focussize="0,0"/>
          <v:stroke on="f" joinstyle="miter"/>
          <v:imagedata o:title=""/>
          <o:lock v:ext="edit"/>
          <v:textbox inset="0mm,0mm,0mm,0mm" style="mso-fit-shape-to-text:t;">
            <w:txbxContent>
              <w:p>
                <w:pPr>
                  <w:pStyle w:val="25"/>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jc w:val="center"/>
    </w:pPr>
    <w:r>
      <w:fldChar w:fldCharType="begin"/>
    </w:r>
    <w:r>
      <w:instrText xml:space="preserve">PAGE   \* MERGEFORMAT</w:instrText>
    </w:r>
    <w:r>
      <w:fldChar w:fldCharType="separate"/>
    </w:r>
    <w:r>
      <w:rPr>
        <w:lang w:val="zh-CN"/>
      </w:rPr>
      <w:t>54</w:t>
    </w:r>
    <w:r>
      <w:rPr>
        <w:lang w:val="zh-CN"/>
      </w:rPr>
      <w:fldChar w:fldCharType="end"/>
    </w:r>
  </w:p>
  <w:p>
    <w:pPr>
      <w:pStyle w:val="25"/>
      <w:framePr w:wrap="around" w:vAnchor="text" w:hAnchor="margin" w:xAlign="right" w:y="1"/>
      <w:rPr>
        <w:rStyle w:val="4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t xml:space="preserve"> 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2"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46</w:t>
                </w:r>
                <w: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420"/>
      <w:jc w:val="right"/>
      <w:rPr>
        <w:b/>
        <w:bCs/>
        <w:sz w:val="24"/>
        <w:szCs w:val="24"/>
      </w:rPr>
    </w:pPr>
  </w:p>
  <w:p>
    <w:pPr>
      <w:pStyle w:val="3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BA18"/>
    <w:multiLevelType w:val="singleLevel"/>
    <w:tmpl w:val="BBA0BA18"/>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2MzQ5YTBiZGY2NDQxNDY2OGQ3ZDgxZGM2NjU4ZDUifQ=="/>
  </w:docVars>
  <w:rsids>
    <w:rsidRoot w:val="001500C3"/>
    <w:rsid w:val="000135E2"/>
    <w:rsid w:val="00027028"/>
    <w:rsid w:val="00033207"/>
    <w:rsid w:val="00054E92"/>
    <w:rsid w:val="00060FDE"/>
    <w:rsid w:val="00071E84"/>
    <w:rsid w:val="00077176"/>
    <w:rsid w:val="000837D3"/>
    <w:rsid w:val="000C2657"/>
    <w:rsid w:val="00101863"/>
    <w:rsid w:val="00103F7B"/>
    <w:rsid w:val="001500C3"/>
    <w:rsid w:val="0015361B"/>
    <w:rsid w:val="001705F3"/>
    <w:rsid w:val="0017440A"/>
    <w:rsid w:val="001820A9"/>
    <w:rsid w:val="00183D7F"/>
    <w:rsid w:val="001861A3"/>
    <w:rsid w:val="001B236B"/>
    <w:rsid w:val="001F3EF8"/>
    <w:rsid w:val="00204A58"/>
    <w:rsid w:val="00205A8D"/>
    <w:rsid w:val="00224955"/>
    <w:rsid w:val="00226915"/>
    <w:rsid w:val="00256620"/>
    <w:rsid w:val="00260CFE"/>
    <w:rsid w:val="00286F91"/>
    <w:rsid w:val="00293FB1"/>
    <w:rsid w:val="002A6FF5"/>
    <w:rsid w:val="002F0004"/>
    <w:rsid w:val="0033393D"/>
    <w:rsid w:val="003876FE"/>
    <w:rsid w:val="003903F7"/>
    <w:rsid w:val="003C0F3C"/>
    <w:rsid w:val="003D50AA"/>
    <w:rsid w:val="003E26C9"/>
    <w:rsid w:val="00420393"/>
    <w:rsid w:val="00484084"/>
    <w:rsid w:val="00492970"/>
    <w:rsid w:val="004A2792"/>
    <w:rsid w:val="004D068A"/>
    <w:rsid w:val="004D5405"/>
    <w:rsid w:val="004D766E"/>
    <w:rsid w:val="004F3979"/>
    <w:rsid w:val="0050439D"/>
    <w:rsid w:val="00505F11"/>
    <w:rsid w:val="005069FA"/>
    <w:rsid w:val="00542909"/>
    <w:rsid w:val="00543DBF"/>
    <w:rsid w:val="005679C5"/>
    <w:rsid w:val="005970AC"/>
    <w:rsid w:val="005A29ED"/>
    <w:rsid w:val="005B3430"/>
    <w:rsid w:val="005C05CD"/>
    <w:rsid w:val="005E0CD3"/>
    <w:rsid w:val="005E5F40"/>
    <w:rsid w:val="005F59AF"/>
    <w:rsid w:val="00632888"/>
    <w:rsid w:val="0064538A"/>
    <w:rsid w:val="0067563A"/>
    <w:rsid w:val="006C2CAF"/>
    <w:rsid w:val="006C5DE0"/>
    <w:rsid w:val="006D01BE"/>
    <w:rsid w:val="007035AE"/>
    <w:rsid w:val="00717AC4"/>
    <w:rsid w:val="00734EB8"/>
    <w:rsid w:val="00772397"/>
    <w:rsid w:val="00783C02"/>
    <w:rsid w:val="007923B4"/>
    <w:rsid w:val="00794686"/>
    <w:rsid w:val="007B51F6"/>
    <w:rsid w:val="00812076"/>
    <w:rsid w:val="008317B9"/>
    <w:rsid w:val="008513E8"/>
    <w:rsid w:val="008C1916"/>
    <w:rsid w:val="008F252B"/>
    <w:rsid w:val="00907053"/>
    <w:rsid w:val="00917EA7"/>
    <w:rsid w:val="009A0695"/>
    <w:rsid w:val="009A60DB"/>
    <w:rsid w:val="009F50F4"/>
    <w:rsid w:val="00A042E4"/>
    <w:rsid w:val="00A2371D"/>
    <w:rsid w:val="00A34D5E"/>
    <w:rsid w:val="00A37248"/>
    <w:rsid w:val="00A5210A"/>
    <w:rsid w:val="00A60195"/>
    <w:rsid w:val="00A67CD8"/>
    <w:rsid w:val="00A7202A"/>
    <w:rsid w:val="00AA6F88"/>
    <w:rsid w:val="00AB5C5A"/>
    <w:rsid w:val="00AD6629"/>
    <w:rsid w:val="00AF430A"/>
    <w:rsid w:val="00B06A53"/>
    <w:rsid w:val="00B4306B"/>
    <w:rsid w:val="00B541C7"/>
    <w:rsid w:val="00B55BFC"/>
    <w:rsid w:val="00B57CFE"/>
    <w:rsid w:val="00B62775"/>
    <w:rsid w:val="00B636A7"/>
    <w:rsid w:val="00B95A4E"/>
    <w:rsid w:val="00BA4592"/>
    <w:rsid w:val="00BA4C6A"/>
    <w:rsid w:val="00BA6C8F"/>
    <w:rsid w:val="00BD4D18"/>
    <w:rsid w:val="00C05261"/>
    <w:rsid w:val="00C302E3"/>
    <w:rsid w:val="00C320CD"/>
    <w:rsid w:val="00C437EC"/>
    <w:rsid w:val="00C4585C"/>
    <w:rsid w:val="00CC2334"/>
    <w:rsid w:val="00CE173B"/>
    <w:rsid w:val="00D22B20"/>
    <w:rsid w:val="00D2335F"/>
    <w:rsid w:val="00D257D2"/>
    <w:rsid w:val="00D277BB"/>
    <w:rsid w:val="00D34D8C"/>
    <w:rsid w:val="00D35950"/>
    <w:rsid w:val="00D459B8"/>
    <w:rsid w:val="00D51A11"/>
    <w:rsid w:val="00D60E23"/>
    <w:rsid w:val="00D913E3"/>
    <w:rsid w:val="00DC713C"/>
    <w:rsid w:val="00DC7F85"/>
    <w:rsid w:val="00DF1B61"/>
    <w:rsid w:val="00DF470A"/>
    <w:rsid w:val="00E125F9"/>
    <w:rsid w:val="00E419AD"/>
    <w:rsid w:val="00E47A6A"/>
    <w:rsid w:val="00E52480"/>
    <w:rsid w:val="00E75B7B"/>
    <w:rsid w:val="00EA0D2C"/>
    <w:rsid w:val="00EB75ED"/>
    <w:rsid w:val="00EE2A54"/>
    <w:rsid w:val="00F02641"/>
    <w:rsid w:val="00F30D94"/>
    <w:rsid w:val="00F47865"/>
    <w:rsid w:val="00F5197A"/>
    <w:rsid w:val="00F95A1E"/>
    <w:rsid w:val="00FC7E85"/>
    <w:rsid w:val="00FD2DC9"/>
    <w:rsid w:val="00FF4DA0"/>
    <w:rsid w:val="092B346A"/>
    <w:rsid w:val="113157AE"/>
    <w:rsid w:val="125F5CE1"/>
    <w:rsid w:val="13174AE5"/>
    <w:rsid w:val="148B12E6"/>
    <w:rsid w:val="14F931EA"/>
    <w:rsid w:val="1EFB5E80"/>
    <w:rsid w:val="21856DFF"/>
    <w:rsid w:val="22184E02"/>
    <w:rsid w:val="224743AB"/>
    <w:rsid w:val="23227620"/>
    <w:rsid w:val="253C7CB4"/>
    <w:rsid w:val="26566266"/>
    <w:rsid w:val="28545EC4"/>
    <w:rsid w:val="285D35A8"/>
    <w:rsid w:val="286134B4"/>
    <w:rsid w:val="2B2059C6"/>
    <w:rsid w:val="336A36BB"/>
    <w:rsid w:val="35512913"/>
    <w:rsid w:val="370074BA"/>
    <w:rsid w:val="373553B6"/>
    <w:rsid w:val="3FC62809"/>
    <w:rsid w:val="46D63D94"/>
    <w:rsid w:val="4B533C05"/>
    <w:rsid w:val="4CBB7CB4"/>
    <w:rsid w:val="4DF23BA9"/>
    <w:rsid w:val="4F931B3D"/>
    <w:rsid w:val="4F997969"/>
    <w:rsid w:val="51054215"/>
    <w:rsid w:val="513C3B0D"/>
    <w:rsid w:val="517D764D"/>
    <w:rsid w:val="54B347FF"/>
    <w:rsid w:val="57084683"/>
    <w:rsid w:val="64E0186E"/>
    <w:rsid w:val="655D3985"/>
    <w:rsid w:val="65D46BBB"/>
    <w:rsid w:val="66047881"/>
    <w:rsid w:val="6B3A1FC1"/>
    <w:rsid w:val="77572009"/>
    <w:rsid w:val="776E144F"/>
    <w:rsid w:val="7AB9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7"/>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link w:val="85"/>
    <w:qFormat/>
    <w:uiPriority w:val="0"/>
    <w:pPr>
      <w:jc w:val="left"/>
      <w:textAlignment w:val="center"/>
      <w:outlineLvl w:val="1"/>
    </w:pPr>
    <w:rPr>
      <w:rFonts w:ascii="Arial" w:hAnsi="Arial" w:eastAsia="黑体"/>
      <w:b/>
      <w:bCs/>
      <w:color w:val="000000"/>
      <w:kern w:val="0"/>
      <w:sz w:val="36"/>
      <w:szCs w:val="32"/>
    </w:rPr>
  </w:style>
  <w:style w:type="paragraph" w:styleId="4">
    <w:name w:val="heading 3"/>
    <w:basedOn w:val="1"/>
    <w:next w:val="1"/>
    <w:link w:val="66"/>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62"/>
    <w:qFormat/>
    <w:uiPriority w:val="0"/>
    <w:pPr>
      <w:outlineLvl w:val="3"/>
    </w:pPr>
    <w:rPr>
      <w:rFonts w:ascii="Arial" w:hAnsi="Arial" w:eastAsia="黑体"/>
      <w:b/>
      <w:bCs/>
      <w:color w:val="0000FF"/>
      <w:kern w:val="0"/>
      <w:sz w:val="24"/>
      <w:szCs w:val="24"/>
    </w:rPr>
  </w:style>
  <w:style w:type="paragraph" w:styleId="6">
    <w:name w:val="heading 5"/>
    <w:basedOn w:val="1"/>
    <w:next w:val="1"/>
    <w:link w:val="114"/>
    <w:qFormat/>
    <w:uiPriority w:val="0"/>
    <w:pPr>
      <w:outlineLvl w:val="4"/>
    </w:pPr>
    <w:rPr>
      <w:rFonts w:ascii="Times New Roman" w:hAnsi="Times New Roman" w:eastAsia="华文中宋"/>
      <w:b/>
      <w:bCs/>
      <w:color w:val="800000"/>
      <w:kern w:val="0"/>
      <w:sz w:val="24"/>
      <w:szCs w:val="24"/>
    </w:rPr>
  </w:style>
  <w:style w:type="paragraph" w:styleId="7">
    <w:name w:val="heading 6"/>
    <w:basedOn w:val="1"/>
    <w:next w:val="1"/>
    <w:link w:val="116"/>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9"/>
    <w:link w:val="118"/>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9">
    <w:name w:val="heading 8"/>
    <w:basedOn w:val="1"/>
    <w:next w:val="1"/>
    <w:link w:val="88"/>
    <w:qFormat/>
    <w:uiPriority w:val="0"/>
    <w:pPr>
      <w:ind w:left="369" w:hanging="369"/>
      <w:outlineLvl w:val="7"/>
    </w:pPr>
    <w:rPr>
      <w:rFonts w:ascii="Times New Roman" w:hAnsi="Times New Roman" w:eastAsia="华文中宋"/>
      <w:kern w:val="0"/>
      <w:sz w:val="24"/>
      <w:szCs w:val="24"/>
    </w:rPr>
  </w:style>
  <w:style w:type="paragraph" w:styleId="10">
    <w:name w:val="heading 9"/>
    <w:basedOn w:val="1"/>
    <w:next w:val="1"/>
    <w:link w:val="12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rPr>
      <w:rFonts w:ascii="Times New Roman" w:hAnsi="Times New Roman"/>
    </w:rPr>
  </w:style>
  <w:style w:type="paragraph" w:styleId="12">
    <w:name w:val="Normal Indent"/>
    <w:basedOn w:val="1"/>
    <w:qFormat/>
    <w:uiPriority w:val="0"/>
    <w:pPr>
      <w:ind w:firstLine="420"/>
    </w:pPr>
    <w:rPr>
      <w:rFonts w:ascii="Times New Roman" w:hAnsi="Times New Roman"/>
    </w:rPr>
  </w:style>
  <w:style w:type="paragraph" w:styleId="13">
    <w:name w:val="Document Map"/>
    <w:basedOn w:val="1"/>
    <w:link w:val="121"/>
    <w:unhideWhenUsed/>
    <w:qFormat/>
    <w:uiPriority w:val="0"/>
    <w:pPr>
      <w:widowControl/>
      <w:jc w:val="left"/>
    </w:pPr>
    <w:rPr>
      <w:rFonts w:ascii="宋体"/>
      <w:kern w:val="0"/>
      <w:sz w:val="18"/>
      <w:szCs w:val="18"/>
    </w:rPr>
  </w:style>
  <w:style w:type="paragraph" w:styleId="14">
    <w:name w:val="annotation text"/>
    <w:basedOn w:val="1"/>
    <w:link w:val="69"/>
    <w:unhideWhenUsed/>
    <w:qFormat/>
    <w:uiPriority w:val="99"/>
    <w:pPr>
      <w:jc w:val="left"/>
    </w:pPr>
  </w:style>
  <w:style w:type="paragraph" w:styleId="15">
    <w:name w:val="Body Text 3"/>
    <w:basedOn w:val="1"/>
    <w:link w:val="55"/>
    <w:qFormat/>
    <w:uiPriority w:val="0"/>
    <w:pPr>
      <w:spacing w:after="120"/>
    </w:pPr>
    <w:rPr>
      <w:rFonts w:eastAsia="楷体_GB2312"/>
      <w:kern w:val="0"/>
      <w:sz w:val="16"/>
      <w:szCs w:val="16"/>
    </w:rPr>
  </w:style>
  <w:style w:type="paragraph" w:styleId="16">
    <w:name w:val="Body Text"/>
    <w:basedOn w:val="1"/>
    <w:next w:val="1"/>
    <w:link w:val="123"/>
    <w:unhideWhenUsed/>
    <w:qFormat/>
    <w:uiPriority w:val="0"/>
    <w:pPr>
      <w:spacing w:after="120"/>
    </w:pPr>
    <w:rPr>
      <w:rFonts w:ascii="Times New Roman" w:hAnsi="Times New Roman"/>
    </w:rPr>
  </w:style>
  <w:style w:type="paragraph" w:styleId="17">
    <w:name w:val="Body Text Indent"/>
    <w:basedOn w:val="1"/>
    <w:next w:val="18"/>
    <w:link w:val="61"/>
    <w:qFormat/>
    <w:uiPriority w:val="0"/>
    <w:pPr>
      <w:spacing w:after="120"/>
      <w:ind w:left="420" w:leftChars="200"/>
    </w:pPr>
    <w:rPr>
      <w:kern w:val="0"/>
      <w:sz w:val="20"/>
      <w:szCs w:val="20"/>
    </w:rPr>
  </w:style>
  <w:style w:type="paragraph" w:styleId="18">
    <w:name w:val="envelope return"/>
    <w:basedOn w:val="1"/>
    <w:qFormat/>
    <w:uiPriority w:val="99"/>
    <w:pPr>
      <w:snapToGrid w:val="0"/>
    </w:pPr>
    <w:rPr>
      <w:rFonts w:ascii="Arial" w:hAnsi="Arial" w:cs="Arial"/>
    </w:rPr>
  </w:style>
  <w:style w:type="paragraph" w:styleId="19">
    <w:name w:val="toc 5"/>
    <w:basedOn w:val="1"/>
    <w:next w:val="1"/>
    <w:qFormat/>
    <w:uiPriority w:val="39"/>
    <w:pPr>
      <w:ind w:left="800" w:leftChars="800"/>
    </w:pPr>
    <w:rPr>
      <w:rFonts w:ascii="Times New Roman" w:hAnsi="Times New Roman"/>
    </w:rPr>
  </w:style>
  <w:style w:type="paragraph" w:styleId="20">
    <w:name w:val="toc 3"/>
    <w:basedOn w:val="1"/>
    <w:next w:val="1"/>
    <w:qFormat/>
    <w:uiPriority w:val="39"/>
    <w:pPr>
      <w:ind w:left="400" w:leftChars="400"/>
    </w:pPr>
    <w:rPr>
      <w:rFonts w:ascii="Times New Roman" w:hAnsi="Times New Roman"/>
    </w:rPr>
  </w:style>
  <w:style w:type="paragraph" w:styleId="21">
    <w:name w:val="Plain Text"/>
    <w:basedOn w:val="1"/>
    <w:next w:val="1"/>
    <w:link w:val="67"/>
    <w:qFormat/>
    <w:uiPriority w:val="0"/>
    <w:rPr>
      <w:rFonts w:ascii="宋体"/>
      <w:kern w:val="0"/>
      <w:sz w:val="20"/>
      <w:szCs w:val="20"/>
    </w:rPr>
  </w:style>
  <w:style w:type="paragraph" w:styleId="22">
    <w:name w:val="toc 8"/>
    <w:basedOn w:val="1"/>
    <w:next w:val="1"/>
    <w:qFormat/>
    <w:uiPriority w:val="39"/>
    <w:pPr>
      <w:ind w:left="1400" w:leftChars="1400"/>
    </w:pPr>
    <w:rPr>
      <w:rFonts w:ascii="Times New Roman" w:hAnsi="Times New Roman"/>
    </w:rPr>
  </w:style>
  <w:style w:type="paragraph" w:styleId="23">
    <w:name w:val="Date"/>
    <w:basedOn w:val="1"/>
    <w:next w:val="1"/>
    <w:link w:val="54"/>
    <w:qFormat/>
    <w:uiPriority w:val="0"/>
    <w:pPr>
      <w:ind w:left="2500" w:leftChars="2500"/>
    </w:pPr>
    <w:rPr>
      <w:kern w:val="0"/>
      <w:sz w:val="20"/>
      <w:szCs w:val="20"/>
    </w:rPr>
  </w:style>
  <w:style w:type="paragraph" w:styleId="24">
    <w:name w:val="Balloon Text"/>
    <w:basedOn w:val="1"/>
    <w:link w:val="78"/>
    <w:unhideWhenUsed/>
    <w:qFormat/>
    <w:uiPriority w:val="0"/>
    <w:rPr>
      <w:rFonts w:ascii="Times New Roman" w:hAnsi="Times New Roman"/>
      <w:sz w:val="18"/>
      <w:szCs w:val="18"/>
    </w:rPr>
  </w:style>
  <w:style w:type="paragraph" w:styleId="25">
    <w:name w:val="footer"/>
    <w:basedOn w:val="1"/>
    <w:link w:val="125"/>
    <w:unhideWhenUsed/>
    <w:qFormat/>
    <w:uiPriority w:val="99"/>
    <w:pPr>
      <w:tabs>
        <w:tab w:val="center" w:pos="4153"/>
        <w:tab w:val="right" w:pos="8306"/>
      </w:tabs>
      <w:snapToGrid w:val="0"/>
      <w:jc w:val="left"/>
    </w:pPr>
    <w:rPr>
      <w:kern w:val="0"/>
      <w:sz w:val="18"/>
      <w:szCs w:val="18"/>
    </w:rPr>
  </w:style>
  <w:style w:type="paragraph" w:styleId="26">
    <w:name w:val="header"/>
    <w:basedOn w:val="1"/>
    <w:link w:val="12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rPr>
      <w:rFonts w:ascii="Times New Roman" w:hAnsi="Times New Roman"/>
    </w:rPr>
  </w:style>
  <w:style w:type="paragraph" w:styleId="28">
    <w:name w:val="toc 4"/>
    <w:basedOn w:val="1"/>
    <w:next w:val="1"/>
    <w:qFormat/>
    <w:uiPriority w:val="39"/>
    <w:pPr>
      <w:ind w:left="600" w:leftChars="600"/>
    </w:pPr>
    <w:rPr>
      <w:rFonts w:ascii="Times New Roman" w:hAnsi="Times New Roman"/>
    </w:rPr>
  </w:style>
  <w:style w:type="paragraph" w:styleId="29">
    <w:name w:val="toc 6"/>
    <w:basedOn w:val="1"/>
    <w:next w:val="1"/>
    <w:qFormat/>
    <w:uiPriority w:val="39"/>
    <w:pPr>
      <w:ind w:left="1000" w:leftChars="1000"/>
    </w:pPr>
    <w:rPr>
      <w:rFonts w:ascii="Times New Roman" w:hAnsi="Times New Roman"/>
    </w:rPr>
  </w:style>
  <w:style w:type="paragraph" w:styleId="30">
    <w:name w:val="Body Text Indent 3"/>
    <w:basedOn w:val="1"/>
    <w:link w:val="90"/>
    <w:qFormat/>
    <w:uiPriority w:val="0"/>
    <w:pPr>
      <w:spacing w:after="120"/>
      <w:ind w:left="200" w:leftChars="200"/>
    </w:pPr>
    <w:rPr>
      <w:kern w:val="0"/>
      <w:sz w:val="16"/>
      <w:szCs w:val="16"/>
    </w:rPr>
  </w:style>
  <w:style w:type="paragraph" w:styleId="31">
    <w:name w:val="toc 2"/>
    <w:basedOn w:val="1"/>
    <w:next w:val="1"/>
    <w:qFormat/>
    <w:uiPriority w:val="39"/>
    <w:pPr>
      <w:ind w:left="200" w:leftChars="200"/>
    </w:pPr>
    <w:rPr>
      <w:rFonts w:ascii="Times New Roman" w:hAnsi="Times New Roman"/>
    </w:rPr>
  </w:style>
  <w:style w:type="paragraph" w:styleId="32">
    <w:name w:val="toc 9"/>
    <w:basedOn w:val="1"/>
    <w:next w:val="1"/>
    <w:qFormat/>
    <w:uiPriority w:val="39"/>
    <w:pPr>
      <w:ind w:left="1600" w:leftChars="1600"/>
    </w:pPr>
    <w:rPr>
      <w:rFonts w:ascii="Times New Roman" w:hAnsi="Times New Roman"/>
    </w:rPr>
  </w:style>
  <w:style w:type="paragraph" w:styleId="33">
    <w:name w:val="Body Text 2"/>
    <w:basedOn w:val="1"/>
    <w:link w:val="130"/>
    <w:qFormat/>
    <w:uiPriority w:val="0"/>
    <w:rPr>
      <w:rFonts w:ascii="宋体" w:hAnsi="宋体"/>
      <w:kern w:val="0"/>
      <w:sz w:val="20"/>
      <w:szCs w:val="24"/>
      <w:u w:val="single"/>
    </w:rPr>
  </w:style>
  <w:style w:type="paragraph" w:styleId="34">
    <w:name w:val="Normal (Web)"/>
    <w:basedOn w:val="1"/>
    <w:qFormat/>
    <w:uiPriority w:val="99"/>
    <w:pPr>
      <w:widowControl/>
      <w:spacing w:before="100" w:beforeAutospacing="1" w:after="100" w:afterAutospacing="1"/>
      <w:jc w:val="left"/>
    </w:pPr>
    <w:rPr>
      <w:rFonts w:ascii="宋体" w:hAnsi="宋体" w:cs="Calibri"/>
      <w:kern w:val="0"/>
      <w:sz w:val="24"/>
      <w:szCs w:val="24"/>
    </w:rPr>
  </w:style>
  <w:style w:type="paragraph" w:styleId="35">
    <w:name w:val="index 1"/>
    <w:basedOn w:val="1"/>
    <w:next w:val="1"/>
    <w:qFormat/>
    <w:uiPriority w:val="0"/>
    <w:pPr>
      <w:spacing w:line="220" w:lineRule="exact"/>
      <w:jc w:val="center"/>
    </w:pPr>
    <w:rPr>
      <w:rFonts w:ascii="仿宋_GB2312" w:hAnsi="Times New Roman" w:eastAsia="仿宋_GB2312"/>
      <w:szCs w:val="21"/>
    </w:rPr>
  </w:style>
  <w:style w:type="paragraph" w:styleId="36">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132"/>
    <w:unhideWhenUsed/>
    <w:qFormat/>
    <w:uiPriority w:val="0"/>
    <w:pPr>
      <w:widowControl/>
    </w:pPr>
    <w:rPr>
      <w:b/>
      <w:bCs/>
      <w:kern w:val="0"/>
      <w:sz w:val="20"/>
      <w:szCs w:val="20"/>
    </w:rPr>
  </w:style>
  <w:style w:type="paragraph" w:styleId="38">
    <w:name w:val="Body Text First Indent"/>
    <w:basedOn w:val="16"/>
    <w:link w:val="57"/>
    <w:qFormat/>
    <w:uiPriority w:val="0"/>
    <w:pPr>
      <w:spacing w:line="312" w:lineRule="auto"/>
      <w:ind w:firstLine="420"/>
    </w:pPr>
    <w:rPr>
      <w:rFonts w:ascii="Calibri" w:hAnsi="Calibri"/>
      <w:kern w:val="0"/>
      <w:sz w:val="20"/>
      <w:szCs w:val="24"/>
    </w:r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character" w:styleId="45">
    <w:name w:val="footnote reference"/>
    <w:qFormat/>
    <w:uiPriority w:val="0"/>
    <w:rPr>
      <w:vertAlign w:val="superscript"/>
    </w:rPr>
  </w:style>
  <w:style w:type="paragraph" w:customStyle="1" w:styleId="46">
    <w:name w:val="样式1"/>
    <w:basedOn w:val="1"/>
    <w:next w:val="5"/>
    <w:qFormat/>
    <w:uiPriority w:val="0"/>
    <w:pPr>
      <w:spacing w:line="360" w:lineRule="auto"/>
      <w:ind w:firstLine="420" w:firstLineChars="200"/>
    </w:pPr>
    <w:rPr>
      <w:rFonts w:ascii="宋体" w:hAnsi="宋体"/>
      <w:szCs w:val="21"/>
    </w:rPr>
  </w:style>
  <w:style w:type="character" w:customStyle="1" w:styleId="47">
    <w:name w:val="标题 1 Char"/>
    <w:link w:val="3"/>
    <w:qFormat/>
    <w:uiPriority w:val="0"/>
    <w:rPr>
      <w:rFonts w:ascii="Times New Roman" w:hAnsi="Times New Roman"/>
      <w:b/>
      <w:bCs/>
      <w:kern w:val="44"/>
      <w:sz w:val="44"/>
      <w:szCs w:val="44"/>
    </w:rPr>
  </w:style>
  <w:style w:type="paragraph" w:customStyle="1" w:styleId="48">
    <w:name w:val="正文首行缩进 21"/>
    <w:basedOn w:val="17"/>
    <w:qFormat/>
    <w:uiPriority w:val="99"/>
    <w:pPr>
      <w:ind w:firstLine="420" w:firstLineChars="200"/>
    </w:pPr>
    <w:rPr>
      <w:szCs w:val="24"/>
    </w:rPr>
  </w:style>
  <w:style w:type="character" w:customStyle="1" w:styleId="49">
    <w:name w:val="Char Char4"/>
    <w:qFormat/>
    <w:uiPriority w:val="0"/>
    <w:rPr>
      <w:rFonts w:ascii="Times New Roman" w:hAnsi="Times New Roman" w:eastAsia="楷体_GB2312" w:cs="Times New Roman"/>
      <w:sz w:val="18"/>
      <w:szCs w:val="18"/>
    </w:rPr>
  </w:style>
  <w:style w:type="character" w:customStyle="1" w:styleId="50">
    <w:name w:val="正文文本 3 Char3"/>
    <w:semiHidden/>
    <w:qFormat/>
    <w:uiPriority w:val="99"/>
    <w:rPr>
      <w:kern w:val="2"/>
      <w:sz w:val="16"/>
      <w:szCs w:val="16"/>
    </w:rPr>
  </w:style>
  <w:style w:type="character" w:customStyle="1" w:styleId="51">
    <w:name w:val="文档结构图 Char1"/>
    <w:semiHidden/>
    <w:qFormat/>
    <w:uiPriority w:val="99"/>
    <w:rPr>
      <w:rFonts w:ascii="宋体" w:hAnsi="Calibri"/>
      <w:sz w:val="18"/>
      <w:szCs w:val="18"/>
    </w:rPr>
  </w:style>
  <w:style w:type="character" w:customStyle="1" w:styleId="52">
    <w:name w:val="样式73 Char"/>
    <w:link w:val="53"/>
    <w:qFormat/>
    <w:uiPriority w:val="0"/>
    <w:rPr>
      <w:rFonts w:ascii="华文中宋" w:hAnsi="华文中宋" w:eastAsia="华文中宋"/>
      <w:sz w:val="28"/>
      <w:szCs w:val="28"/>
    </w:rPr>
  </w:style>
  <w:style w:type="paragraph" w:customStyle="1" w:styleId="53">
    <w:name w:val="样式73"/>
    <w:basedOn w:val="1"/>
    <w:link w:val="52"/>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54">
    <w:name w:val="日期 Char"/>
    <w:link w:val="23"/>
    <w:qFormat/>
    <w:uiPriority w:val="0"/>
  </w:style>
  <w:style w:type="character" w:customStyle="1" w:styleId="55">
    <w:name w:val="正文文本 3 Char"/>
    <w:link w:val="15"/>
    <w:qFormat/>
    <w:uiPriority w:val="0"/>
    <w:rPr>
      <w:rFonts w:eastAsia="楷体_GB2312"/>
      <w:sz w:val="16"/>
      <w:szCs w:val="16"/>
    </w:rPr>
  </w:style>
  <w:style w:type="character" w:customStyle="1" w:styleId="56">
    <w:name w:val="章节二 Char"/>
    <w:qFormat/>
    <w:uiPriority w:val="0"/>
    <w:rPr>
      <w:rFonts w:ascii="Times New Roman" w:hAnsi="Times New Roman" w:eastAsia="黑体" w:cs="Times New Roman"/>
      <w:b/>
      <w:spacing w:val="4"/>
      <w:sz w:val="30"/>
      <w:szCs w:val="30"/>
      <w:lang w:val="en-US" w:eastAsia="zh-CN" w:bidi="ar-SA"/>
    </w:rPr>
  </w:style>
  <w:style w:type="character" w:customStyle="1" w:styleId="57">
    <w:name w:val="正文首行缩进 Char"/>
    <w:link w:val="38"/>
    <w:qFormat/>
    <w:uiPriority w:val="0"/>
    <w:rPr>
      <w:szCs w:val="24"/>
    </w:rPr>
  </w:style>
  <w:style w:type="character" w:customStyle="1" w:styleId="58">
    <w:name w:val="页脚 字符"/>
    <w:qFormat/>
    <w:uiPriority w:val="0"/>
    <w:rPr>
      <w:rFonts w:ascii="Times New Roman" w:hAnsi="Times New Roman" w:eastAsia="楷体_GB2312" w:cs="Times New Roman"/>
      <w:kern w:val="2"/>
      <w:sz w:val="18"/>
      <w:szCs w:val="18"/>
    </w:rPr>
  </w:style>
  <w:style w:type="character" w:customStyle="1" w:styleId="59">
    <w:name w:val="Char Char51"/>
    <w:qFormat/>
    <w:uiPriority w:val="0"/>
    <w:rPr>
      <w:rFonts w:ascii="Times New Roman" w:hAnsi="Times New Roman" w:eastAsia="长城仿宋" w:cs="Times New Roman"/>
      <w:sz w:val="18"/>
      <w:lang w:val="en-US" w:eastAsia="zh-CN" w:bidi="ar-SA"/>
    </w:rPr>
  </w:style>
  <w:style w:type="character" w:customStyle="1" w:styleId="60">
    <w:name w:val="标题 Char5"/>
    <w:qFormat/>
    <w:uiPriority w:val="10"/>
    <w:rPr>
      <w:rFonts w:ascii="Cambria" w:hAnsi="Cambria" w:cs="Times New Roman"/>
      <w:b/>
      <w:bCs/>
      <w:kern w:val="2"/>
      <w:sz w:val="32"/>
      <w:szCs w:val="32"/>
    </w:rPr>
  </w:style>
  <w:style w:type="character" w:customStyle="1" w:styleId="61">
    <w:name w:val="正文文本缩进 Char"/>
    <w:link w:val="17"/>
    <w:qFormat/>
    <w:uiPriority w:val="0"/>
  </w:style>
  <w:style w:type="character" w:customStyle="1" w:styleId="62">
    <w:name w:val="标题 4 Char"/>
    <w:link w:val="5"/>
    <w:qFormat/>
    <w:uiPriority w:val="0"/>
    <w:rPr>
      <w:rFonts w:ascii="Arial" w:hAnsi="Arial" w:eastAsia="黑体"/>
      <w:b/>
      <w:bCs/>
      <w:color w:val="0000FF"/>
      <w:sz w:val="24"/>
      <w:szCs w:val="24"/>
    </w:rPr>
  </w:style>
  <w:style w:type="character" w:customStyle="1" w:styleId="63">
    <w:name w:val="标题 Char2"/>
    <w:qFormat/>
    <w:uiPriority w:val="10"/>
    <w:rPr>
      <w:rFonts w:ascii="Cambria" w:hAnsi="Cambria" w:eastAsia="宋体" w:cs="Times New Roman"/>
      <w:b/>
      <w:bCs/>
      <w:kern w:val="2"/>
      <w:sz w:val="32"/>
      <w:szCs w:val="32"/>
    </w:rPr>
  </w:style>
  <w:style w:type="character" w:customStyle="1" w:styleId="64">
    <w:name w:val="纯文本 Char1"/>
    <w:qFormat/>
    <w:uiPriority w:val="0"/>
    <w:rPr>
      <w:rFonts w:ascii="宋体" w:hAnsi="Courier New" w:cs="Courier New"/>
      <w:sz w:val="21"/>
      <w:szCs w:val="21"/>
    </w:rPr>
  </w:style>
  <w:style w:type="character" w:customStyle="1" w:styleId="65">
    <w:name w:val="批注框文本 Char2"/>
    <w:semiHidden/>
    <w:qFormat/>
    <w:uiPriority w:val="99"/>
    <w:rPr>
      <w:kern w:val="2"/>
      <w:sz w:val="18"/>
      <w:szCs w:val="18"/>
    </w:rPr>
  </w:style>
  <w:style w:type="character" w:customStyle="1" w:styleId="66">
    <w:name w:val="标题 3 Char"/>
    <w:link w:val="4"/>
    <w:qFormat/>
    <w:uiPriority w:val="0"/>
    <w:rPr>
      <w:rFonts w:ascii="Times New Roman" w:hAnsi="Times New Roman"/>
      <w:b/>
      <w:bCs/>
      <w:kern w:val="2"/>
      <w:sz w:val="32"/>
      <w:szCs w:val="32"/>
    </w:rPr>
  </w:style>
  <w:style w:type="character" w:customStyle="1" w:styleId="67">
    <w:name w:val="纯文本 Char"/>
    <w:link w:val="21"/>
    <w:qFormat/>
    <w:uiPriority w:val="0"/>
    <w:rPr>
      <w:rFonts w:ascii="宋体"/>
    </w:rPr>
  </w:style>
  <w:style w:type="character" w:customStyle="1" w:styleId="68">
    <w:name w:val="Char Char52"/>
    <w:qFormat/>
    <w:uiPriority w:val="0"/>
    <w:rPr>
      <w:rFonts w:ascii="Times New Roman" w:hAnsi="Times New Roman" w:eastAsia="长城仿宋" w:cs="Times New Roman"/>
      <w:sz w:val="18"/>
      <w:lang w:val="en-US" w:eastAsia="zh-CN" w:bidi="ar-SA"/>
    </w:rPr>
  </w:style>
  <w:style w:type="character" w:customStyle="1" w:styleId="69">
    <w:name w:val="批注文字 Char6"/>
    <w:link w:val="14"/>
    <w:semiHidden/>
    <w:qFormat/>
    <w:uiPriority w:val="99"/>
    <w:rPr>
      <w:kern w:val="2"/>
      <w:sz w:val="21"/>
      <w:szCs w:val="22"/>
    </w:rPr>
  </w:style>
  <w:style w:type="character" w:customStyle="1" w:styleId="70">
    <w:name w:val="正文文本 Char3"/>
    <w:semiHidden/>
    <w:qFormat/>
    <w:uiPriority w:val="99"/>
    <w:rPr>
      <w:rFonts w:ascii="Calibri" w:hAnsi="Calibri"/>
      <w:kern w:val="2"/>
      <w:sz w:val="21"/>
      <w:szCs w:val="22"/>
    </w:rPr>
  </w:style>
  <w:style w:type="character" w:customStyle="1" w:styleId="71">
    <w:name w:val="fontstyle01"/>
    <w:qFormat/>
    <w:uiPriority w:val="0"/>
    <w:rPr>
      <w:rFonts w:hint="eastAsia" w:ascii="宋体" w:hAnsi="宋体" w:eastAsia="宋体"/>
      <w:color w:val="000000"/>
      <w:sz w:val="22"/>
      <w:szCs w:val="22"/>
    </w:rPr>
  </w:style>
  <w:style w:type="character" w:customStyle="1" w:styleId="72">
    <w:name w:val="纯文本 Char3"/>
    <w:semiHidden/>
    <w:qFormat/>
    <w:uiPriority w:val="99"/>
    <w:rPr>
      <w:rFonts w:ascii="宋体" w:hAnsi="Courier New" w:cs="Courier New"/>
      <w:kern w:val="2"/>
      <w:sz w:val="21"/>
      <w:szCs w:val="21"/>
    </w:rPr>
  </w:style>
  <w:style w:type="character" w:customStyle="1" w:styleId="73">
    <w:name w:val="Comment Text Char"/>
    <w:qFormat/>
    <w:uiPriority w:val="0"/>
  </w:style>
  <w:style w:type="character" w:customStyle="1" w:styleId="74">
    <w:name w:val="日期 Char4"/>
    <w:semiHidden/>
    <w:qFormat/>
    <w:uiPriority w:val="99"/>
    <w:rPr>
      <w:kern w:val="2"/>
      <w:sz w:val="21"/>
      <w:szCs w:val="22"/>
    </w:rPr>
  </w:style>
  <w:style w:type="character" w:customStyle="1" w:styleId="75">
    <w:name w:val="文档结构图 Char3"/>
    <w:semiHidden/>
    <w:qFormat/>
    <w:uiPriority w:val="99"/>
    <w:rPr>
      <w:rFonts w:ascii="宋体"/>
      <w:kern w:val="2"/>
      <w:sz w:val="18"/>
      <w:szCs w:val="18"/>
    </w:rPr>
  </w:style>
  <w:style w:type="character" w:customStyle="1" w:styleId="76">
    <w:name w:val="批注主题 Char1"/>
    <w:semiHidden/>
    <w:qFormat/>
    <w:uiPriority w:val="99"/>
    <w:rPr>
      <w:rFonts w:ascii="Calibri" w:hAnsi="Calibri"/>
      <w:b/>
      <w:bCs/>
      <w:sz w:val="21"/>
      <w:szCs w:val="22"/>
    </w:rPr>
  </w:style>
  <w:style w:type="character" w:customStyle="1" w:styleId="77">
    <w:name w:val="正文文本缩进 Char4"/>
    <w:semiHidden/>
    <w:qFormat/>
    <w:uiPriority w:val="99"/>
    <w:rPr>
      <w:kern w:val="2"/>
      <w:sz w:val="21"/>
      <w:szCs w:val="22"/>
    </w:rPr>
  </w:style>
  <w:style w:type="character" w:customStyle="1" w:styleId="78">
    <w:name w:val="批注框文本 Char"/>
    <w:link w:val="24"/>
    <w:qFormat/>
    <w:uiPriority w:val="0"/>
    <w:rPr>
      <w:rFonts w:ascii="Times New Roman" w:hAnsi="Times New Roman"/>
      <w:kern w:val="2"/>
      <w:sz w:val="18"/>
      <w:szCs w:val="18"/>
    </w:rPr>
  </w:style>
  <w:style w:type="character" w:customStyle="1" w:styleId="79">
    <w:name w:val="正文文本 Char2"/>
    <w:semiHidden/>
    <w:qFormat/>
    <w:uiPriority w:val="99"/>
    <w:rPr>
      <w:rFonts w:ascii="Calibri" w:hAnsi="Calibri"/>
      <w:sz w:val="21"/>
      <w:szCs w:val="22"/>
    </w:rPr>
  </w:style>
  <w:style w:type="character" w:customStyle="1" w:styleId="80">
    <w:name w:val="正文文本缩进 3 Char1"/>
    <w:semiHidden/>
    <w:qFormat/>
    <w:uiPriority w:val="99"/>
    <w:rPr>
      <w:rFonts w:ascii="Calibri" w:hAnsi="Calibri"/>
      <w:sz w:val="16"/>
      <w:szCs w:val="16"/>
    </w:rPr>
  </w:style>
  <w:style w:type="character" w:customStyle="1" w:styleId="81">
    <w:name w:val="标题 Char"/>
    <w:link w:val="36"/>
    <w:qFormat/>
    <w:uiPriority w:val="0"/>
    <w:rPr>
      <w:rFonts w:ascii="Arial" w:hAnsi="Arial"/>
      <w:b/>
      <w:sz w:val="32"/>
    </w:rPr>
  </w:style>
  <w:style w:type="character" w:customStyle="1" w:styleId="82">
    <w:name w:val="16"/>
    <w:qFormat/>
    <w:uiPriority w:val="0"/>
    <w:rPr>
      <w:rFonts w:hint="default" w:ascii="Times New Roman" w:hAnsi="Times New Roman" w:eastAsia="楷体_GB2312" w:cs="Times New Roman"/>
      <w:color w:val="0000FF"/>
      <w:u w:val="single"/>
    </w:rPr>
  </w:style>
  <w:style w:type="character" w:customStyle="1" w:styleId="83">
    <w:name w:val="正文首行缩进 Char1"/>
    <w:qFormat/>
    <w:uiPriority w:val="99"/>
    <w:rPr>
      <w:rFonts w:eastAsia="宋体"/>
      <w:kern w:val="2"/>
      <w:sz w:val="21"/>
    </w:rPr>
  </w:style>
  <w:style w:type="character" w:customStyle="1" w:styleId="84">
    <w:name w:val="页眉 Char1"/>
    <w:semiHidden/>
    <w:qFormat/>
    <w:uiPriority w:val="99"/>
    <w:rPr>
      <w:rFonts w:ascii="Calibri" w:hAnsi="Calibri"/>
      <w:sz w:val="18"/>
      <w:szCs w:val="18"/>
    </w:rPr>
  </w:style>
  <w:style w:type="character" w:customStyle="1" w:styleId="85">
    <w:name w:val="标题 2 Char"/>
    <w:link w:val="2"/>
    <w:qFormat/>
    <w:uiPriority w:val="0"/>
    <w:rPr>
      <w:rFonts w:ascii="Arial" w:hAnsi="Arial" w:eastAsia="黑体"/>
      <w:b/>
      <w:bCs/>
      <w:color w:val="000000"/>
      <w:sz w:val="36"/>
      <w:szCs w:val="32"/>
    </w:rPr>
  </w:style>
  <w:style w:type="character" w:customStyle="1" w:styleId="86">
    <w:name w:val="title1"/>
    <w:qFormat/>
    <w:uiPriority w:val="0"/>
    <w:rPr>
      <w:rFonts w:ascii="Times New Roman" w:hAnsi="Times New Roman" w:eastAsia="楷体_GB2312" w:cs="Times New Roman"/>
      <w:sz w:val="24"/>
      <w:szCs w:val="24"/>
    </w:rPr>
  </w:style>
  <w:style w:type="character" w:customStyle="1" w:styleId="87">
    <w:name w:val="正文文本 2 Char4"/>
    <w:semiHidden/>
    <w:qFormat/>
    <w:uiPriority w:val="99"/>
    <w:rPr>
      <w:kern w:val="2"/>
      <w:sz w:val="21"/>
      <w:szCs w:val="22"/>
    </w:rPr>
  </w:style>
  <w:style w:type="character" w:customStyle="1" w:styleId="88">
    <w:name w:val="标题 8 Char"/>
    <w:link w:val="9"/>
    <w:qFormat/>
    <w:uiPriority w:val="0"/>
    <w:rPr>
      <w:rFonts w:ascii="Times New Roman" w:hAnsi="Times New Roman" w:eastAsia="华文中宋"/>
      <w:sz w:val="24"/>
      <w:szCs w:val="24"/>
    </w:rPr>
  </w:style>
  <w:style w:type="character" w:customStyle="1" w:styleId="89">
    <w:name w:val="纯文本 Char5"/>
    <w:semiHidden/>
    <w:qFormat/>
    <w:uiPriority w:val="99"/>
    <w:rPr>
      <w:rFonts w:ascii="宋体" w:hAnsi="Courier New" w:cs="Courier New"/>
      <w:kern w:val="2"/>
      <w:sz w:val="21"/>
      <w:szCs w:val="21"/>
    </w:rPr>
  </w:style>
  <w:style w:type="character" w:customStyle="1" w:styleId="90">
    <w:name w:val="正文文本缩进 3 Char"/>
    <w:link w:val="30"/>
    <w:qFormat/>
    <w:uiPriority w:val="0"/>
    <w:rPr>
      <w:sz w:val="16"/>
      <w:szCs w:val="16"/>
    </w:rPr>
  </w:style>
  <w:style w:type="character" w:customStyle="1" w:styleId="91">
    <w:name w:val="标题 Char3"/>
    <w:qFormat/>
    <w:uiPriority w:val="10"/>
    <w:rPr>
      <w:rFonts w:ascii="Cambria" w:hAnsi="Cambria" w:cs="Times New Roman"/>
      <w:b/>
      <w:bCs/>
      <w:kern w:val="2"/>
      <w:sz w:val="32"/>
      <w:szCs w:val="32"/>
    </w:rPr>
  </w:style>
  <w:style w:type="character" w:customStyle="1" w:styleId="92">
    <w:name w:val="font161"/>
    <w:qFormat/>
    <w:uiPriority w:val="0"/>
    <w:rPr>
      <w:b/>
      <w:bCs/>
      <w:sz w:val="32"/>
      <w:szCs w:val="32"/>
    </w:rPr>
  </w:style>
  <w:style w:type="character" w:customStyle="1" w:styleId="93">
    <w:name w:val="Char Char5"/>
    <w:qFormat/>
    <w:uiPriority w:val="0"/>
    <w:rPr>
      <w:rFonts w:ascii="Times New Roman" w:hAnsi="Times New Roman" w:eastAsia="长城仿宋" w:cs="Times New Roman"/>
      <w:sz w:val="18"/>
      <w:lang w:val="en-US" w:eastAsia="zh-CN" w:bidi="ar-SA"/>
    </w:rPr>
  </w:style>
  <w:style w:type="character" w:customStyle="1" w:styleId="94">
    <w:name w:val="正文首行缩进 Char2"/>
    <w:semiHidden/>
    <w:qFormat/>
    <w:uiPriority w:val="99"/>
    <w:rPr>
      <w:rFonts w:ascii="Calibri" w:hAnsi="Calibri"/>
      <w:sz w:val="21"/>
      <w:szCs w:val="22"/>
    </w:rPr>
  </w:style>
  <w:style w:type="character" w:customStyle="1" w:styleId="95">
    <w:name w:val="批注主题 Char4"/>
    <w:semiHidden/>
    <w:qFormat/>
    <w:uiPriority w:val="99"/>
    <w:rPr>
      <w:b/>
      <w:bCs/>
      <w:kern w:val="2"/>
      <w:sz w:val="21"/>
      <w:szCs w:val="22"/>
    </w:rPr>
  </w:style>
  <w:style w:type="character" w:customStyle="1" w:styleId="96">
    <w:name w:val="页眉 字符"/>
    <w:qFormat/>
    <w:uiPriority w:val="0"/>
    <w:rPr>
      <w:rFonts w:ascii="Times New Roman" w:hAnsi="Times New Roman" w:eastAsia="楷体_GB2312" w:cs="Times New Roman"/>
      <w:kern w:val="2"/>
      <w:sz w:val="18"/>
      <w:szCs w:val="18"/>
    </w:rPr>
  </w:style>
  <w:style w:type="character" w:customStyle="1" w:styleId="97">
    <w:name w:val="批注框文本 Char1"/>
    <w:semiHidden/>
    <w:qFormat/>
    <w:uiPriority w:val="99"/>
    <w:rPr>
      <w:rFonts w:ascii="Calibri" w:hAnsi="Calibri"/>
      <w:sz w:val="18"/>
      <w:szCs w:val="18"/>
    </w:rPr>
  </w:style>
  <w:style w:type="character" w:customStyle="1" w:styleId="98">
    <w:name w:val="文档结构图 Char2"/>
    <w:semiHidden/>
    <w:qFormat/>
    <w:uiPriority w:val="99"/>
    <w:rPr>
      <w:rFonts w:ascii="宋体"/>
      <w:kern w:val="2"/>
      <w:sz w:val="18"/>
      <w:szCs w:val="18"/>
    </w:rPr>
  </w:style>
  <w:style w:type="character" w:customStyle="1" w:styleId="99">
    <w:name w:val="正文文本 Char1"/>
    <w:qFormat/>
    <w:uiPriority w:val="99"/>
    <w:rPr>
      <w:sz w:val="21"/>
    </w:rPr>
  </w:style>
  <w:style w:type="character" w:customStyle="1" w:styleId="100">
    <w:name w:val="正文文本 3 Char4"/>
    <w:semiHidden/>
    <w:qFormat/>
    <w:uiPriority w:val="99"/>
    <w:rPr>
      <w:kern w:val="2"/>
      <w:sz w:val="16"/>
      <w:szCs w:val="16"/>
    </w:rPr>
  </w:style>
  <w:style w:type="character" w:customStyle="1" w:styleId="101">
    <w:name w:val="纯文本 Char4"/>
    <w:semiHidden/>
    <w:qFormat/>
    <w:uiPriority w:val="99"/>
    <w:rPr>
      <w:rFonts w:ascii="宋体" w:hAnsi="Courier New" w:cs="Courier New"/>
      <w:kern w:val="2"/>
      <w:sz w:val="21"/>
      <w:szCs w:val="21"/>
    </w:rPr>
  </w:style>
  <w:style w:type="character" w:customStyle="1" w:styleId="102">
    <w:name w:val="章节一 Char"/>
    <w:qFormat/>
    <w:uiPriority w:val="0"/>
    <w:rPr>
      <w:rFonts w:ascii="Times New Roman" w:hAnsi="Times New Roman" w:eastAsia="黑体" w:cs="Times New Roman"/>
      <w:b/>
      <w:spacing w:val="4"/>
      <w:sz w:val="36"/>
      <w:szCs w:val="36"/>
      <w:lang w:val="en-US" w:eastAsia="zh-CN" w:bidi="ar-SA"/>
    </w:rPr>
  </w:style>
  <w:style w:type="character" w:customStyle="1" w:styleId="103">
    <w:name w:val="标题 Char4"/>
    <w:qFormat/>
    <w:uiPriority w:val="10"/>
    <w:rPr>
      <w:rFonts w:ascii="Cambria" w:hAnsi="Cambria" w:cs="Times New Roman"/>
      <w:b/>
      <w:bCs/>
      <w:kern w:val="2"/>
      <w:sz w:val="32"/>
      <w:szCs w:val="32"/>
    </w:rPr>
  </w:style>
  <w:style w:type="character" w:customStyle="1" w:styleId="104">
    <w:name w:val="正文文本 3 Char1"/>
    <w:semiHidden/>
    <w:qFormat/>
    <w:uiPriority w:val="99"/>
    <w:rPr>
      <w:rFonts w:ascii="Calibri" w:hAnsi="Calibri"/>
      <w:sz w:val="16"/>
      <w:szCs w:val="16"/>
    </w:rPr>
  </w:style>
  <w:style w:type="character" w:customStyle="1" w:styleId="105">
    <w:name w:val="文一 Char Char"/>
    <w:qFormat/>
    <w:uiPriority w:val="0"/>
    <w:rPr>
      <w:rFonts w:ascii="Times New Roman" w:hAnsi="Times New Roman" w:eastAsia="宋体" w:cs="Times New Roman"/>
      <w:spacing w:val="4"/>
      <w:sz w:val="24"/>
      <w:szCs w:val="24"/>
      <w:lang w:val="en-US" w:eastAsia="zh-CN" w:bidi="ar-SA"/>
    </w:rPr>
  </w:style>
  <w:style w:type="character" w:customStyle="1" w:styleId="106">
    <w:name w:val="正文首行缩进 Char5"/>
    <w:semiHidden/>
    <w:qFormat/>
    <w:uiPriority w:val="99"/>
  </w:style>
  <w:style w:type="character" w:customStyle="1" w:styleId="107">
    <w:name w:val="页脚 Char1"/>
    <w:semiHidden/>
    <w:qFormat/>
    <w:uiPriority w:val="99"/>
    <w:rPr>
      <w:rFonts w:ascii="Calibri" w:hAnsi="Calibri"/>
      <w:sz w:val="18"/>
      <w:szCs w:val="18"/>
    </w:rPr>
  </w:style>
  <w:style w:type="character" w:customStyle="1" w:styleId="108">
    <w:name w:val="批注主题 Char2"/>
    <w:semiHidden/>
    <w:qFormat/>
    <w:uiPriority w:val="99"/>
    <w:rPr>
      <w:b/>
      <w:bCs/>
      <w:kern w:val="2"/>
      <w:sz w:val="21"/>
      <w:szCs w:val="22"/>
    </w:rPr>
  </w:style>
  <w:style w:type="character" w:customStyle="1" w:styleId="109">
    <w:name w:val="正文文本缩进 Char1"/>
    <w:semiHidden/>
    <w:qFormat/>
    <w:uiPriority w:val="99"/>
    <w:rPr>
      <w:rFonts w:ascii="Calibri" w:hAnsi="Calibri"/>
      <w:sz w:val="21"/>
      <w:szCs w:val="22"/>
    </w:rPr>
  </w:style>
  <w:style w:type="character" w:customStyle="1" w:styleId="110">
    <w:name w:val="批注文字 Char3"/>
    <w:qFormat/>
    <w:uiPriority w:val="99"/>
    <w:rPr>
      <w:rFonts w:ascii="Calibri" w:hAnsi="Calibri"/>
      <w:sz w:val="21"/>
      <w:szCs w:val="22"/>
    </w:rPr>
  </w:style>
  <w:style w:type="character" w:customStyle="1" w:styleId="111">
    <w:name w:val="批注文字 Char2"/>
    <w:semiHidden/>
    <w:qFormat/>
    <w:locked/>
    <w:uiPriority w:val="99"/>
    <w:rPr>
      <w:rFonts w:ascii="Times New Roman" w:hAnsi="Times New Roman"/>
      <w:kern w:val="2"/>
      <w:sz w:val="21"/>
      <w:szCs w:val="24"/>
    </w:rPr>
  </w:style>
  <w:style w:type="character" w:customStyle="1" w:styleId="112">
    <w:name w:val="正文文本缩进 3 Char2"/>
    <w:semiHidden/>
    <w:qFormat/>
    <w:uiPriority w:val="99"/>
    <w:rPr>
      <w:kern w:val="2"/>
      <w:sz w:val="16"/>
      <w:szCs w:val="16"/>
    </w:rPr>
  </w:style>
  <w:style w:type="character" w:customStyle="1" w:styleId="113">
    <w:name w:val="文档结构图 Char4"/>
    <w:semiHidden/>
    <w:qFormat/>
    <w:uiPriority w:val="99"/>
    <w:rPr>
      <w:rFonts w:ascii="宋体"/>
      <w:kern w:val="2"/>
      <w:sz w:val="18"/>
      <w:szCs w:val="18"/>
    </w:rPr>
  </w:style>
  <w:style w:type="character" w:customStyle="1" w:styleId="114">
    <w:name w:val="标题 5 Char"/>
    <w:link w:val="6"/>
    <w:qFormat/>
    <w:uiPriority w:val="0"/>
    <w:rPr>
      <w:rFonts w:ascii="Times New Roman" w:hAnsi="Times New Roman" w:eastAsia="华文中宋"/>
      <w:b/>
      <w:bCs/>
      <w:color w:val="800000"/>
      <w:sz w:val="24"/>
      <w:szCs w:val="24"/>
    </w:rPr>
  </w:style>
  <w:style w:type="character" w:customStyle="1" w:styleId="115">
    <w:name w:val="Char Char3"/>
    <w:qFormat/>
    <w:uiPriority w:val="0"/>
    <w:rPr>
      <w:rFonts w:ascii="Times New Roman" w:hAnsi="Times New Roman" w:eastAsia="宋体" w:cs="Times New Roman"/>
      <w:kern w:val="2"/>
      <w:sz w:val="18"/>
      <w:lang w:val="en-US" w:eastAsia="zh-CN" w:bidi="ar-SA"/>
    </w:rPr>
  </w:style>
  <w:style w:type="character" w:customStyle="1" w:styleId="116">
    <w:name w:val="标题 6 Char"/>
    <w:link w:val="7"/>
    <w:qFormat/>
    <w:uiPriority w:val="9"/>
    <w:rPr>
      <w:rFonts w:ascii="Arial" w:hAnsi="Arial" w:eastAsia="黑体"/>
      <w:b/>
      <w:bCs/>
      <w:sz w:val="24"/>
    </w:rPr>
  </w:style>
  <w:style w:type="character" w:customStyle="1" w:styleId="117">
    <w:name w:val="日期 Char2"/>
    <w:semiHidden/>
    <w:qFormat/>
    <w:uiPriority w:val="99"/>
    <w:rPr>
      <w:kern w:val="2"/>
      <w:sz w:val="21"/>
      <w:szCs w:val="22"/>
    </w:rPr>
  </w:style>
  <w:style w:type="character" w:customStyle="1" w:styleId="118">
    <w:name w:val="标题 7 Char"/>
    <w:link w:val="8"/>
    <w:qFormat/>
    <w:uiPriority w:val="0"/>
    <w:rPr>
      <w:rFonts w:ascii="Times New Roman" w:hAnsi="Times New Roman" w:eastAsia="华文中宋"/>
      <w:bCs/>
      <w:sz w:val="24"/>
      <w:szCs w:val="24"/>
    </w:rPr>
  </w:style>
  <w:style w:type="character" w:customStyle="1" w:styleId="119">
    <w:name w:val="正文文本 Char"/>
    <w:qFormat/>
    <w:uiPriority w:val="0"/>
    <w:rPr>
      <w:rFonts w:ascii="Calibri" w:hAnsi="Calibri" w:eastAsia="宋体"/>
      <w:lang w:bidi="ar-SA"/>
    </w:rPr>
  </w:style>
  <w:style w:type="character" w:customStyle="1" w:styleId="120">
    <w:name w:val="标题 9 Char"/>
    <w:link w:val="10"/>
    <w:qFormat/>
    <w:uiPriority w:val="0"/>
    <w:rPr>
      <w:rFonts w:ascii="Arial" w:hAnsi="Arial" w:eastAsia="黑体"/>
      <w:sz w:val="21"/>
      <w:szCs w:val="21"/>
    </w:rPr>
  </w:style>
  <w:style w:type="character" w:customStyle="1" w:styleId="121">
    <w:name w:val="文档结构图 Char"/>
    <w:link w:val="13"/>
    <w:qFormat/>
    <w:uiPriority w:val="0"/>
    <w:rPr>
      <w:rFonts w:ascii="宋体"/>
      <w:sz w:val="18"/>
      <w:szCs w:val="18"/>
    </w:rPr>
  </w:style>
  <w:style w:type="character" w:customStyle="1" w:styleId="122">
    <w:name w:val="纯文本 Char2"/>
    <w:semiHidden/>
    <w:qFormat/>
    <w:uiPriority w:val="99"/>
    <w:rPr>
      <w:rFonts w:ascii="宋体" w:hAnsi="Courier New" w:eastAsia="宋体" w:cs="Courier New"/>
      <w:kern w:val="2"/>
      <w:sz w:val="21"/>
      <w:szCs w:val="21"/>
    </w:rPr>
  </w:style>
  <w:style w:type="character" w:customStyle="1" w:styleId="123">
    <w:name w:val="正文文本 Char5"/>
    <w:link w:val="16"/>
    <w:qFormat/>
    <w:uiPriority w:val="99"/>
    <w:rPr>
      <w:rFonts w:ascii="Times New Roman" w:hAnsi="Times New Roman"/>
      <w:kern w:val="2"/>
      <w:sz w:val="21"/>
      <w:szCs w:val="22"/>
    </w:rPr>
  </w:style>
  <w:style w:type="character" w:customStyle="1" w:styleId="124">
    <w:name w:val="正文文本缩进 3 Char3"/>
    <w:semiHidden/>
    <w:qFormat/>
    <w:uiPriority w:val="99"/>
    <w:rPr>
      <w:kern w:val="2"/>
      <w:sz w:val="16"/>
      <w:szCs w:val="16"/>
    </w:rPr>
  </w:style>
  <w:style w:type="character" w:customStyle="1" w:styleId="125">
    <w:name w:val="页脚 Char"/>
    <w:link w:val="25"/>
    <w:qFormat/>
    <w:uiPriority w:val="99"/>
    <w:rPr>
      <w:sz w:val="18"/>
      <w:szCs w:val="18"/>
    </w:rPr>
  </w:style>
  <w:style w:type="character" w:customStyle="1" w:styleId="126">
    <w:name w:val="文一 Char"/>
    <w:link w:val="127"/>
    <w:qFormat/>
    <w:uiPriority w:val="0"/>
    <w:rPr>
      <w:spacing w:val="4"/>
      <w:sz w:val="24"/>
      <w:szCs w:val="24"/>
    </w:rPr>
  </w:style>
  <w:style w:type="paragraph" w:customStyle="1" w:styleId="127">
    <w:name w:val="文一"/>
    <w:basedOn w:val="1"/>
    <w:link w:val="126"/>
    <w:qFormat/>
    <w:uiPriority w:val="0"/>
    <w:pPr>
      <w:topLinePunct/>
      <w:adjustRightInd w:val="0"/>
      <w:snapToGrid w:val="0"/>
      <w:spacing w:line="360" w:lineRule="auto"/>
      <w:ind w:firstLine="200" w:firstLineChars="200"/>
    </w:pPr>
    <w:rPr>
      <w:spacing w:val="4"/>
      <w:kern w:val="0"/>
      <w:sz w:val="24"/>
      <w:szCs w:val="24"/>
    </w:rPr>
  </w:style>
  <w:style w:type="character" w:customStyle="1" w:styleId="128">
    <w:name w:val="页眉 Char"/>
    <w:link w:val="26"/>
    <w:qFormat/>
    <w:uiPriority w:val="0"/>
    <w:rPr>
      <w:sz w:val="18"/>
      <w:szCs w:val="18"/>
    </w:rPr>
  </w:style>
  <w:style w:type="character" w:customStyle="1" w:styleId="129">
    <w:name w:val="正文首行缩进 Char4"/>
    <w:semiHidden/>
    <w:qFormat/>
    <w:uiPriority w:val="99"/>
  </w:style>
  <w:style w:type="character" w:customStyle="1" w:styleId="130">
    <w:name w:val="正文文本 2 Char"/>
    <w:link w:val="33"/>
    <w:qFormat/>
    <w:uiPriority w:val="0"/>
    <w:rPr>
      <w:rFonts w:ascii="宋体" w:hAnsi="宋体"/>
      <w:szCs w:val="24"/>
      <w:u w:val="single"/>
    </w:rPr>
  </w:style>
  <w:style w:type="character" w:customStyle="1" w:styleId="131">
    <w:name w:val="批注主题 字符"/>
    <w:qFormat/>
    <w:uiPriority w:val="0"/>
    <w:rPr>
      <w:rFonts w:ascii="Times New Roman" w:hAnsi="Times New Roman" w:eastAsia="楷体_GB2312" w:cs="Times New Roman"/>
      <w:b/>
      <w:bCs/>
      <w:kern w:val="2"/>
      <w:sz w:val="21"/>
      <w:szCs w:val="24"/>
    </w:rPr>
  </w:style>
  <w:style w:type="character" w:customStyle="1" w:styleId="132">
    <w:name w:val="批注主题 Char"/>
    <w:link w:val="37"/>
    <w:qFormat/>
    <w:uiPriority w:val="0"/>
    <w:rPr>
      <w:b/>
      <w:bCs/>
    </w:rPr>
  </w:style>
  <w:style w:type="character" w:customStyle="1" w:styleId="133">
    <w:name w:val="批注文字 Char5"/>
    <w:semiHidden/>
    <w:qFormat/>
    <w:uiPriority w:val="99"/>
    <w:rPr>
      <w:kern w:val="2"/>
      <w:sz w:val="21"/>
      <w:szCs w:val="22"/>
    </w:rPr>
  </w:style>
  <w:style w:type="character" w:customStyle="1" w:styleId="134">
    <w:name w:val="style_kwd"/>
    <w:qFormat/>
    <w:uiPriority w:val="0"/>
  </w:style>
  <w:style w:type="character" w:customStyle="1" w:styleId="135">
    <w:name w:val="批注文字 Char"/>
    <w:qFormat/>
    <w:uiPriority w:val="99"/>
  </w:style>
  <w:style w:type="character" w:customStyle="1" w:styleId="136">
    <w:name w:val="批注文字 Char4"/>
    <w:semiHidden/>
    <w:qFormat/>
    <w:uiPriority w:val="99"/>
    <w:rPr>
      <w:rFonts w:ascii="Calibri" w:hAnsi="Calibri"/>
      <w:kern w:val="2"/>
      <w:sz w:val="21"/>
      <w:szCs w:val="22"/>
    </w:rPr>
  </w:style>
  <w:style w:type="character" w:customStyle="1" w:styleId="137">
    <w:name w:val="Char Char31"/>
    <w:qFormat/>
    <w:uiPriority w:val="0"/>
    <w:rPr>
      <w:rFonts w:ascii="Times New Roman" w:hAnsi="Times New Roman" w:eastAsia="宋体" w:cs="Times New Roman"/>
      <w:kern w:val="2"/>
      <w:sz w:val="18"/>
      <w:lang w:val="en-US" w:eastAsia="zh-CN" w:bidi="ar-SA"/>
    </w:rPr>
  </w:style>
  <w:style w:type="character" w:customStyle="1" w:styleId="138">
    <w:name w:val="正文文本 2 Char2"/>
    <w:semiHidden/>
    <w:qFormat/>
    <w:uiPriority w:val="99"/>
    <w:rPr>
      <w:kern w:val="2"/>
      <w:sz w:val="21"/>
      <w:szCs w:val="22"/>
    </w:rPr>
  </w:style>
  <w:style w:type="character" w:customStyle="1" w:styleId="139">
    <w:name w:val="正文文本 Char6"/>
    <w:semiHidden/>
    <w:qFormat/>
    <w:uiPriority w:val="99"/>
    <w:rPr>
      <w:kern w:val="2"/>
      <w:sz w:val="21"/>
      <w:szCs w:val="22"/>
    </w:rPr>
  </w:style>
  <w:style w:type="character" w:customStyle="1" w:styleId="140">
    <w:name w:val="批注文字 字符"/>
    <w:qFormat/>
    <w:uiPriority w:val="0"/>
    <w:rPr>
      <w:rFonts w:ascii="Times New Roman" w:hAnsi="Times New Roman" w:eastAsia="楷体_GB2312" w:cs="Times New Roman"/>
      <w:kern w:val="2"/>
      <w:sz w:val="21"/>
      <w:szCs w:val="24"/>
    </w:rPr>
  </w:style>
  <w:style w:type="character" w:customStyle="1" w:styleId="141">
    <w:name w:val="批注框文本 Char3"/>
    <w:semiHidden/>
    <w:qFormat/>
    <w:uiPriority w:val="99"/>
    <w:rPr>
      <w:kern w:val="2"/>
      <w:sz w:val="18"/>
      <w:szCs w:val="18"/>
    </w:rPr>
  </w:style>
  <w:style w:type="character" w:customStyle="1" w:styleId="142">
    <w:name w:val="Char Char6"/>
    <w:qFormat/>
    <w:uiPriority w:val="0"/>
    <w:rPr>
      <w:rFonts w:ascii="Times New Roman" w:hAnsi="Times New Roman" w:eastAsia="楷体_GB2312" w:cs="Times New Roman"/>
      <w:b/>
      <w:bCs/>
      <w:kern w:val="2"/>
      <w:sz w:val="24"/>
      <w:szCs w:val="24"/>
    </w:rPr>
  </w:style>
  <w:style w:type="character" w:customStyle="1" w:styleId="143">
    <w:name w:val="日期 Char1"/>
    <w:semiHidden/>
    <w:qFormat/>
    <w:uiPriority w:val="99"/>
    <w:rPr>
      <w:rFonts w:ascii="Calibri" w:hAnsi="Calibri"/>
      <w:sz w:val="21"/>
      <w:szCs w:val="22"/>
    </w:rPr>
  </w:style>
  <w:style w:type="character" w:customStyle="1" w:styleId="144">
    <w:name w:val="标题 Char1"/>
    <w:qFormat/>
    <w:uiPriority w:val="10"/>
    <w:rPr>
      <w:rFonts w:ascii="Cambria" w:hAnsi="Cambria" w:cs="Times New Roman"/>
      <w:b/>
      <w:bCs/>
      <w:sz w:val="32"/>
      <w:szCs w:val="32"/>
    </w:rPr>
  </w:style>
  <w:style w:type="character" w:customStyle="1" w:styleId="145">
    <w:name w:val="正文文本缩进 3 Char4"/>
    <w:semiHidden/>
    <w:qFormat/>
    <w:uiPriority w:val="99"/>
    <w:rPr>
      <w:kern w:val="2"/>
      <w:sz w:val="16"/>
      <w:szCs w:val="16"/>
    </w:rPr>
  </w:style>
  <w:style w:type="character" w:customStyle="1" w:styleId="146">
    <w:name w:val="Char Char61"/>
    <w:qFormat/>
    <w:uiPriority w:val="0"/>
    <w:rPr>
      <w:rFonts w:ascii="Times New Roman" w:hAnsi="Times New Roman" w:eastAsia="楷体_GB2312" w:cs="Times New Roman"/>
      <w:b/>
      <w:bCs/>
      <w:kern w:val="2"/>
      <w:sz w:val="24"/>
      <w:szCs w:val="24"/>
    </w:rPr>
  </w:style>
  <w:style w:type="character" w:customStyle="1" w:styleId="147">
    <w:name w:val="正文文本缩进 Char3"/>
    <w:semiHidden/>
    <w:qFormat/>
    <w:uiPriority w:val="99"/>
    <w:rPr>
      <w:kern w:val="2"/>
      <w:sz w:val="21"/>
      <w:szCs w:val="22"/>
    </w:rPr>
  </w:style>
  <w:style w:type="character" w:customStyle="1" w:styleId="148">
    <w:name w:val="正文文本 2 Char1"/>
    <w:semiHidden/>
    <w:qFormat/>
    <w:uiPriority w:val="99"/>
    <w:rPr>
      <w:rFonts w:ascii="Times New Roman" w:hAnsi="Times New Roman" w:eastAsia="宋体" w:cs="Calibri"/>
      <w:kern w:val="2"/>
      <w:sz w:val="21"/>
      <w:szCs w:val="24"/>
    </w:rPr>
  </w:style>
  <w:style w:type="character" w:customStyle="1" w:styleId="149">
    <w:name w:val="正文首行缩进 Char3"/>
    <w:semiHidden/>
    <w:qFormat/>
    <w:uiPriority w:val="99"/>
  </w:style>
  <w:style w:type="character" w:customStyle="1" w:styleId="150">
    <w:name w:val="批注主题 Char3"/>
    <w:semiHidden/>
    <w:qFormat/>
    <w:uiPriority w:val="99"/>
    <w:rPr>
      <w:b/>
      <w:bCs/>
      <w:kern w:val="2"/>
      <w:sz w:val="21"/>
      <w:szCs w:val="22"/>
    </w:rPr>
  </w:style>
  <w:style w:type="character" w:customStyle="1" w:styleId="151">
    <w:name w:val="批注文字 Char1"/>
    <w:qFormat/>
    <w:uiPriority w:val="0"/>
    <w:rPr>
      <w:kern w:val="2"/>
      <w:sz w:val="21"/>
      <w:szCs w:val="22"/>
    </w:rPr>
  </w:style>
  <w:style w:type="character" w:customStyle="1" w:styleId="152">
    <w:name w:val="Char Char7"/>
    <w:qFormat/>
    <w:uiPriority w:val="0"/>
    <w:rPr>
      <w:rFonts w:ascii="Times New Roman" w:hAnsi="Times New Roman" w:eastAsia="宋体" w:cs="Times New Roman"/>
      <w:kern w:val="2"/>
      <w:sz w:val="21"/>
      <w:lang w:val="en-US" w:eastAsia="zh-CN" w:bidi="ar-SA"/>
    </w:rPr>
  </w:style>
  <w:style w:type="character" w:customStyle="1" w:styleId="153">
    <w:name w:val="正文文本 2 Char3"/>
    <w:semiHidden/>
    <w:qFormat/>
    <w:uiPriority w:val="99"/>
    <w:rPr>
      <w:kern w:val="2"/>
      <w:sz w:val="21"/>
      <w:szCs w:val="22"/>
    </w:rPr>
  </w:style>
  <w:style w:type="character" w:customStyle="1" w:styleId="154">
    <w:name w:val="正文文本缩进 Char2"/>
    <w:semiHidden/>
    <w:qFormat/>
    <w:uiPriority w:val="99"/>
    <w:rPr>
      <w:kern w:val="2"/>
      <w:sz w:val="21"/>
      <w:szCs w:val="22"/>
    </w:rPr>
  </w:style>
  <w:style w:type="character" w:customStyle="1" w:styleId="155">
    <w:name w:val="Char Char62"/>
    <w:qFormat/>
    <w:uiPriority w:val="0"/>
    <w:rPr>
      <w:rFonts w:ascii="Times New Roman" w:hAnsi="Times New Roman" w:eastAsia="楷体_GB2312" w:cs="Times New Roman"/>
      <w:b/>
      <w:bCs/>
      <w:kern w:val="2"/>
      <w:sz w:val="24"/>
      <w:szCs w:val="24"/>
    </w:rPr>
  </w:style>
  <w:style w:type="character" w:customStyle="1" w:styleId="156">
    <w:name w:val="正文文本 Char4"/>
    <w:semiHidden/>
    <w:qFormat/>
    <w:uiPriority w:val="99"/>
    <w:rPr>
      <w:kern w:val="2"/>
      <w:sz w:val="21"/>
      <w:szCs w:val="22"/>
    </w:rPr>
  </w:style>
  <w:style w:type="character" w:customStyle="1" w:styleId="157">
    <w:name w:val="正文文本 3 Char2"/>
    <w:semiHidden/>
    <w:qFormat/>
    <w:uiPriority w:val="99"/>
    <w:rPr>
      <w:kern w:val="2"/>
      <w:sz w:val="16"/>
      <w:szCs w:val="16"/>
    </w:rPr>
  </w:style>
  <w:style w:type="character" w:customStyle="1" w:styleId="158">
    <w:name w:val="Char Char71"/>
    <w:qFormat/>
    <w:uiPriority w:val="0"/>
    <w:rPr>
      <w:rFonts w:ascii="Times New Roman" w:hAnsi="Times New Roman" w:eastAsia="宋体" w:cs="Times New Roman"/>
      <w:kern w:val="2"/>
      <w:sz w:val="21"/>
      <w:lang w:val="en-US" w:eastAsia="zh-CN" w:bidi="ar-SA"/>
    </w:rPr>
  </w:style>
  <w:style w:type="character" w:customStyle="1" w:styleId="159">
    <w:name w:val="日期 Char3"/>
    <w:semiHidden/>
    <w:qFormat/>
    <w:uiPriority w:val="99"/>
    <w:rPr>
      <w:kern w:val="2"/>
      <w:sz w:val="21"/>
      <w:szCs w:val="22"/>
    </w:rPr>
  </w:style>
  <w:style w:type="paragraph" w:customStyle="1" w:styleId="1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1">
    <w:name w:val="章节三"/>
    <w:basedOn w:val="127"/>
    <w:next w:val="127"/>
    <w:qFormat/>
    <w:uiPriority w:val="0"/>
    <w:pPr>
      <w:spacing w:beforeLines="50" w:afterLines="50" w:line="240" w:lineRule="auto"/>
      <w:ind w:firstLine="0" w:firstLineChars="0"/>
      <w:jc w:val="left"/>
      <w:outlineLvl w:val="2"/>
    </w:pPr>
    <w:rPr>
      <w:rFonts w:ascii="黑体" w:hAnsi="宋体" w:eastAsia="黑体"/>
      <w:b/>
    </w:rPr>
  </w:style>
  <w:style w:type="paragraph" w:customStyle="1" w:styleId="162">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163">
    <w:name w:val="样式 标题 2 + Times New Roman 四号 非加粗 段前: 5 磅 段后: 0 磅 行距: 固定值 20..."/>
    <w:basedOn w:val="2"/>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6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5">
    <w:name w:val="_Style 47"/>
    <w:semiHidden/>
    <w:qFormat/>
    <w:uiPriority w:val="0"/>
    <w:rPr>
      <w:rFonts w:ascii="Times New Roman" w:hAnsi="Times New Roman" w:eastAsia="宋体" w:cs="Calibri"/>
      <w:kern w:val="2"/>
      <w:sz w:val="21"/>
      <w:szCs w:val="24"/>
      <w:lang w:val="en-US" w:eastAsia="zh-CN" w:bidi="ar-SA"/>
    </w:rPr>
  </w:style>
  <w:style w:type="paragraph" w:customStyle="1" w:styleId="16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7">
    <w:name w:val="表格"/>
    <w:basedOn w:val="1"/>
    <w:qFormat/>
    <w:uiPriority w:val="0"/>
    <w:pPr>
      <w:jc w:val="center"/>
      <w:textAlignment w:val="center"/>
    </w:pPr>
    <w:rPr>
      <w:rFonts w:ascii="华文细黑" w:hAnsi="华文细黑"/>
      <w:kern w:val="0"/>
      <w:szCs w:val="20"/>
    </w:rPr>
  </w:style>
  <w:style w:type="paragraph" w:customStyle="1" w:styleId="168">
    <w:name w:val="修订2"/>
    <w:qFormat/>
    <w:uiPriority w:val="0"/>
    <w:rPr>
      <w:rFonts w:ascii="Times New Roman" w:hAnsi="Times New Roman" w:eastAsia="宋体" w:cs="Times New Roman"/>
      <w:kern w:val="2"/>
      <w:sz w:val="21"/>
      <w:szCs w:val="24"/>
      <w:lang w:val="en-US" w:eastAsia="zh-CN" w:bidi="ar-SA"/>
    </w:rPr>
  </w:style>
  <w:style w:type="paragraph" w:customStyle="1" w:styleId="169">
    <w:name w:val="我的正文"/>
    <w:basedOn w:val="1"/>
    <w:qFormat/>
    <w:uiPriority w:val="0"/>
    <w:rPr>
      <w:rFonts w:ascii="宋体" w:hAnsi="宋体"/>
      <w:sz w:val="24"/>
      <w:szCs w:val="24"/>
    </w:rPr>
  </w:style>
  <w:style w:type="paragraph" w:customStyle="1" w:styleId="17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71">
    <w:name w:val="WPSOffice手动目录 1"/>
    <w:qFormat/>
    <w:uiPriority w:val="0"/>
    <w:rPr>
      <w:rFonts w:ascii="Calibri" w:hAnsi="Calibri" w:eastAsia="宋体" w:cs="Times New Roman"/>
      <w:lang w:val="en-US" w:eastAsia="zh-CN" w:bidi="ar-SA"/>
    </w:rPr>
  </w:style>
  <w:style w:type="paragraph" w:customStyle="1" w:styleId="172">
    <w:name w:val="样式2"/>
    <w:basedOn w:val="4"/>
    <w:qFormat/>
    <w:uiPriority w:val="0"/>
    <w:pPr>
      <w:spacing w:line="415" w:lineRule="auto"/>
      <w:ind w:firstLine="137" w:firstLineChars="49"/>
    </w:pPr>
    <w:rPr>
      <w:rFonts w:ascii="黑体" w:hAnsi="Calibri" w:eastAsia="黑体"/>
      <w:b w:val="0"/>
      <w:i/>
      <w:kern w:val="0"/>
      <w:sz w:val="28"/>
      <w:szCs w:val="28"/>
    </w:rPr>
  </w:style>
  <w:style w:type="paragraph" w:customStyle="1" w:styleId="173">
    <w:name w:val="默认段落字体 Para Char"/>
    <w:basedOn w:val="1"/>
    <w:qFormat/>
    <w:uiPriority w:val="0"/>
    <w:rPr>
      <w:rFonts w:ascii="Times New Roman" w:hAnsi="Times New Roman"/>
      <w:sz w:val="30"/>
      <w:szCs w:val="24"/>
    </w:rPr>
  </w:style>
  <w:style w:type="paragraph" w:customStyle="1" w:styleId="174">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75">
    <w:name w:val="文二"/>
    <w:basedOn w:val="1"/>
    <w:qFormat/>
    <w:uiPriority w:val="0"/>
    <w:pPr>
      <w:jc w:val="left"/>
    </w:pPr>
    <w:rPr>
      <w:rFonts w:ascii="宋体" w:hAnsi="宋体" w:cs="Calibri"/>
      <w:szCs w:val="21"/>
    </w:rPr>
  </w:style>
  <w:style w:type="paragraph" w:customStyle="1" w:styleId="176">
    <w:name w:val="1"/>
    <w:basedOn w:val="1"/>
    <w:qFormat/>
    <w:uiPriority w:val="0"/>
    <w:rPr>
      <w:rFonts w:ascii="Times New Roman" w:hAnsi="Times New Roman"/>
      <w:szCs w:val="20"/>
    </w:rPr>
  </w:style>
  <w:style w:type="paragraph" w:customStyle="1" w:styleId="177">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78">
    <w:name w:val="Char1"/>
    <w:basedOn w:val="1"/>
    <w:qFormat/>
    <w:uiPriority w:val="0"/>
    <w:pPr>
      <w:tabs>
        <w:tab w:val="left" w:pos="360"/>
      </w:tabs>
    </w:pPr>
    <w:rPr>
      <w:rFonts w:ascii="Times New Roman" w:hAnsi="Times New Roman"/>
      <w:sz w:val="24"/>
      <w:szCs w:val="20"/>
    </w:rPr>
  </w:style>
  <w:style w:type="paragraph" w:customStyle="1" w:styleId="179">
    <w:name w:val="_Style 23"/>
    <w:basedOn w:val="1"/>
    <w:qFormat/>
    <w:uiPriority w:val="0"/>
    <w:pPr>
      <w:widowControl/>
      <w:spacing w:after="160" w:line="240" w:lineRule="exact"/>
      <w:jc w:val="left"/>
    </w:pPr>
    <w:rPr>
      <w:rFonts w:ascii="Times New Roman" w:hAnsi="Times New Roman"/>
    </w:rPr>
  </w:style>
  <w:style w:type="paragraph" w:customStyle="1" w:styleId="18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_Style 178"/>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2">
    <w:name w:val="_Style 179"/>
    <w:qFormat/>
    <w:uiPriority w:val="99"/>
    <w:rPr>
      <w:rFonts w:ascii="Times New Roman" w:hAnsi="Times New Roman" w:eastAsia="宋体" w:cs="Arial"/>
      <w:lang w:val="en-US" w:eastAsia="zh-CN" w:bidi="ar-SA"/>
    </w:rPr>
  </w:style>
  <w:style w:type="paragraph" w:customStyle="1" w:styleId="183">
    <w:name w:val="列出段落1"/>
    <w:basedOn w:val="1"/>
    <w:qFormat/>
    <w:uiPriority w:val="0"/>
    <w:pPr>
      <w:ind w:firstLine="420" w:firstLineChars="200"/>
    </w:pPr>
    <w:rPr>
      <w:rFonts w:ascii="Times New Roman" w:hAnsi="Times New Roman"/>
    </w:rPr>
  </w:style>
  <w:style w:type="paragraph" w:customStyle="1" w:styleId="184">
    <w:name w:val="修订1"/>
    <w:qFormat/>
    <w:uiPriority w:val="0"/>
    <w:rPr>
      <w:rFonts w:ascii="Times New Roman" w:hAnsi="Times New Roman" w:eastAsia="宋体" w:cs="Times New Roman"/>
      <w:kern w:val="2"/>
      <w:sz w:val="21"/>
      <w:lang w:val="en-US" w:eastAsia="zh-CN" w:bidi="ar-SA"/>
    </w:rPr>
  </w:style>
  <w:style w:type="paragraph" w:customStyle="1" w:styleId="185">
    <w:name w:val="发文落款"/>
    <w:basedOn w:val="160"/>
    <w:qFormat/>
    <w:uiPriority w:val="0"/>
    <w:pPr>
      <w:ind w:left="4094" w:right="607" w:firstLine="0"/>
      <w:jc w:val="center"/>
    </w:pPr>
  </w:style>
  <w:style w:type="paragraph" w:customStyle="1" w:styleId="186">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87">
    <w:name w:val="正题"/>
    <w:basedOn w:val="127"/>
    <w:next w:val="127"/>
    <w:qFormat/>
    <w:uiPriority w:val="0"/>
    <w:pPr>
      <w:ind w:firstLine="0" w:firstLineChars="0"/>
      <w:jc w:val="center"/>
    </w:pPr>
    <w:rPr>
      <w:rFonts w:eastAsia="黑体"/>
      <w:b/>
      <w:sz w:val="36"/>
      <w:szCs w:val="36"/>
    </w:rPr>
  </w:style>
  <w:style w:type="paragraph" w:customStyle="1" w:styleId="1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89">
    <w:name w:val="TOC 标题1"/>
    <w:basedOn w:val="3"/>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190">
    <w:name w:val="修订11"/>
    <w:qFormat/>
    <w:uiPriority w:val="0"/>
    <w:rPr>
      <w:rFonts w:ascii="Times New Roman" w:hAnsi="Times New Roman" w:eastAsia="宋体" w:cs="Times New Roman"/>
      <w:kern w:val="2"/>
      <w:sz w:val="21"/>
      <w:szCs w:val="24"/>
      <w:lang w:val="en-US" w:eastAsia="zh-CN" w:bidi="ar-SA"/>
    </w:rPr>
  </w:style>
  <w:style w:type="paragraph" w:customStyle="1" w:styleId="191">
    <w:name w:val="_Style 71"/>
    <w:unhideWhenUsed/>
    <w:qFormat/>
    <w:uiPriority w:val="99"/>
    <w:rPr>
      <w:rFonts w:ascii="Times New Roman" w:hAnsi="Times New Roman" w:eastAsia="宋体" w:cs="Calibri"/>
      <w:kern w:val="2"/>
      <w:sz w:val="21"/>
      <w:szCs w:val="24"/>
      <w:lang w:val="en-US" w:eastAsia="zh-CN" w:bidi="ar-SA"/>
    </w:rPr>
  </w:style>
  <w:style w:type="paragraph" w:customStyle="1" w:styleId="192">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character" w:customStyle="1" w:styleId="19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FF55D-8551-473E-90E0-305A4115445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55</Pages>
  <Words>22366</Words>
  <Characters>23710</Characters>
  <Lines>193</Lines>
  <Paragraphs>54</Paragraphs>
  <TotalTime>94</TotalTime>
  <ScaleCrop>false</ScaleCrop>
  <LinksUpToDate>false</LinksUpToDate>
  <CharactersWithSpaces>25111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2023-03-29T10:18:00Z</dcterms:created>
  <dc:creator>Administrator</dc:creator>
  <cp:lastModifiedBy>.Y</cp:lastModifiedBy>
  <cp:lastPrinted>2022-01-05T16:31:00Z</cp:lastPrinted>
  <dcterms:modified xsi:type="dcterms:W3CDTF">2023-05-19T03:55:45Z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0824E0A6DDC34118BDAD09D8CB81FA54</vt:lpwstr>
  </property>
</Properties>
</file>