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480" w:lineRule="auto"/>
        <w:jc w:val="center"/>
        <w:rPr>
          <w:b/>
          <w:kern w:val="2"/>
          <w:sz w:val="32"/>
          <w:u w:val="none"/>
          <w:lang w:val="en-US"/>
        </w:rPr>
      </w:pPr>
      <w:r>
        <w:rPr>
          <w:rFonts w:hint="eastAsia"/>
          <w:b/>
          <w:kern w:val="2"/>
          <w:sz w:val="32"/>
          <w:u w:val="none"/>
          <w:lang w:val="en-US"/>
        </w:rPr>
        <w:t>中山大学附属第一医院数据中心及配套建设工程施工专业承包</w:t>
      </w:r>
    </w:p>
    <w:p>
      <w:pPr>
        <w:pStyle w:val="10"/>
        <w:spacing w:line="480" w:lineRule="auto"/>
        <w:jc w:val="center"/>
        <w:rPr>
          <w:b/>
          <w:kern w:val="2"/>
          <w:sz w:val="32"/>
          <w:u w:val="none"/>
          <w:lang w:val="en-US"/>
        </w:rPr>
      </w:pPr>
      <w:r>
        <w:rPr>
          <w:rFonts w:hint="eastAsia"/>
          <w:b/>
          <w:kern w:val="2"/>
          <w:sz w:val="32"/>
          <w:u w:val="none"/>
          <w:lang w:val="en-US"/>
        </w:rPr>
        <w:t>招标公告</w:t>
      </w:r>
    </w:p>
    <w:p>
      <w:pPr>
        <w:spacing w:line="480" w:lineRule="auto"/>
        <w:ind w:firstLine="480" w:firstLineChars="200"/>
        <w:rPr>
          <w:rFonts w:ascii="宋体" w:hAnsi="宋体"/>
          <w:sz w:val="24"/>
        </w:rPr>
      </w:pPr>
      <w:r>
        <w:rPr>
          <w:rFonts w:hint="eastAsia" w:ascii="宋体" w:hAnsi="宋体"/>
          <w:sz w:val="24"/>
        </w:rPr>
        <w:t>根据</w:t>
      </w:r>
      <w:r>
        <w:rPr>
          <w:rFonts w:hint="eastAsia" w:ascii="宋体" w:hAnsi="宋体"/>
          <w:sz w:val="24"/>
          <w:u w:val="single"/>
        </w:rPr>
        <w:t>立项说明</w:t>
      </w:r>
      <w:r>
        <w:rPr>
          <w:rFonts w:hint="eastAsia" w:ascii="宋体" w:hAnsi="宋体"/>
          <w:sz w:val="24"/>
        </w:rPr>
        <w:t>批准，并且图纸和技术资料满足施工需要，</w:t>
      </w:r>
      <w:r>
        <w:rPr>
          <w:rFonts w:hint="eastAsia" w:ascii="宋体" w:hAnsi="宋体"/>
          <w:sz w:val="24"/>
          <w:u w:val="single"/>
        </w:rPr>
        <w:t>中山大学附属第一医院</w:t>
      </w:r>
      <w:r>
        <w:rPr>
          <w:rFonts w:hint="eastAsia" w:ascii="宋体" w:hAnsi="宋体"/>
          <w:sz w:val="24"/>
        </w:rPr>
        <w:t>现对</w:t>
      </w:r>
      <w:r>
        <w:rPr>
          <w:rFonts w:hint="eastAsia"/>
          <w:sz w:val="24"/>
          <w:u w:val="single"/>
        </w:rPr>
        <w:t>中山大学附属第一医院数据中心及配套建设工程施工专业承包</w:t>
      </w:r>
      <w:r>
        <w:rPr>
          <w:rFonts w:hint="eastAsia" w:ascii="宋体" w:hAnsi="宋体"/>
          <w:sz w:val="24"/>
        </w:rPr>
        <w:t>进行公开招标，选定承包人。</w:t>
      </w:r>
    </w:p>
    <w:p>
      <w:pPr>
        <w:tabs>
          <w:tab w:val="center" w:pos="4415"/>
        </w:tabs>
        <w:spacing w:line="480" w:lineRule="auto"/>
        <w:ind w:firstLine="537" w:firstLineChars="224"/>
        <w:rPr>
          <w:rFonts w:ascii="宋体" w:hAnsi="宋体"/>
          <w:sz w:val="24"/>
          <w:u w:val="single"/>
        </w:rPr>
      </w:pPr>
      <w:r>
        <w:rPr>
          <w:rFonts w:hint="eastAsia" w:ascii="宋体" w:hAnsi="宋体"/>
          <w:sz w:val="24"/>
        </w:rPr>
        <w:t>一、工程名称：</w:t>
      </w:r>
      <w:r>
        <w:rPr>
          <w:rFonts w:hint="eastAsia" w:ascii="宋体" w:hAnsi="宋体"/>
          <w:sz w:val="24"/>
          <w:u w:val="single"/>
        </w:rPr>
        <w:t>中山大学附属第一医院数据中心及配套建设工程施工专业承包</w:t>
      </w:r>
    </w:p>
    <w:p>
      <w:pPr>
        <w:tabs>
          <w:tab w:val="center" w:pos="4415"/>
        </w:tabs>
        <w:spacing w:line="480" w:lineRule="auto"/>
        <w:ind w:firstLine="1017" w:firstLineChars="424"/>
        <w:rPr>
          <w:rFonts w:ascii="宋体" w:hAnsi="宋体"/>
          <w:sz w:val="24"/>
          <w:u w:val="single"/>
        </w:rPr>
      </w:pPr>
      <w:r>
        <w:rPr>
          <w:rFonts w:hint="eastAsia" w:ascii="宋体"/>
          <w:sz w:val="24"/>
        </w:rPr>
        <w:t>项目代码：</w:t>
      </w:r>
      <w:r>
        <w:rPr>
          <w:rFonts w:ascii="宋体"/>
          <w:sz w:val="24"/>
          <w:u w:val="single"/>
        </w:rPr>
        <w:t>2016-000033-83-01-00</w:t>
      </w:r>
      <w:r>
        <w:rPr>
          <w:rFonts w:hint="eastAsia" w:ascii="宋体"/>
          <w:sz w:val="24"/>
          <w:u w:val="single"/>
          <w:lang w:val="en-US" w:eastAsia="zh-CN"/>
        </w:rPr>
        <w:t>0</w:t>
      </w:r>
      <w:bookmarkStart w:id="0" w:name="_GoBack"/>
      <w:bookmarkEnd w:id="0"/>
      <w:r>
        <w:rPr>
          <w:rFonts w:ascii="宋体"/>
          <w:sz w:val="24"/>
          <w:u w:val="single"/>
        </w:rPr>
        <w:t>858</w:t>
      </w:r>
    </w:p>
    <w:p>
      <w:pPr>
        <w:spacing w:line="480" w:lineRule="auto"/>
        <w:ind w:firstLine="537" w:firstLineChars="224"/>
        <w:rPr>
          <w:rFonts w:ascii="宋体" w:hAnsi="宋体"/>
          <w:sz w:val="24"/>
          <w:u w:val="single"/>
        </w:rPr>
      </w:pPr>
      <w:r>
        <w:rPr>
          <w:rFonts w:hint="eastAsia" w:ascii="宋体" w:hAnsi="宋体"/>
          <w:sz w:val="24"/>
        </w:rPr>
        <w:t>二、招标单位：</w:t>
      </w:r>
      <w:r>
        <w:rPr>
          <w:rFonts w:hint="eastAsia" w:ascii="宋体" w:hAnsi="宋体"/>
          <w:sz w:val="24"/>
          <w:u w:val="single"/>
        </w:rPr>
        <w:t>中山大学附属第一医院</w:t>
      </w:r>
    </w:p>
    <w:p>
      <w:pPr>
        <w:spacing w:line="480" w:lineRule="auto"/>
        <w:ind w:firstLine="1015" w:firstLineChars="423"/>
        <w:rPr>
          <w:rFonts w:ascii="宋体" w:hAnsi="宋体"/>
          <w:sz w:val="24"/>
          <w:u w:val="single"/>
        </w:rPr>
      </w:pPr>
      <w:r>
        <w:rPr>
          <w:rFonts w:hint="eastAsia" w:ascii="宋体" w:hAnsi="宋体"/>
          <w:sz w:val="24"/>
        </w:rPr>
        <w:t>联系人：</w:t>
      </w:r>
      <w:r>
        <w:rPr>
          <w:rFonts w:hint="eastAsia" w:ascii="宋体" w:hAnsi="宋体"/>
          <w:sz w:val="24"/>
          <w:u w:val="single"/>
        </w:rPr>
        <w:t>苏工</w:t>
      </w:r>
      <w:r>
        <w:rPr>
          <w:rFonts w:hint="eastAsia" w:ascii="宋体" w:hAnsi="宋体"/>
          <w:sz w:val="24"/>
        </w:rPr>
        <w:t xml:space="preserve">        联系电话：</w:t>
      </w:r>
      <w:r>
        <w:rPr>
          <w:rFonts w:hint="eastAsia" w:ascii="宋体" w:hAnsi="宋体"/>
          <w:sz w:val="24"/>
          <w:u w:val="single"/>
        </w:rPr>
        <w:t>020-87608341</w:t>
      </w:r>
    </w:p>
    <w:p>
      <w:pPr>
        <w:spacing w:line="480" w:lineRule="auto"/>
        <w:ind w:left="420" w:leftChars="200" w:firstLine="537" w:firstLineChars="224"/>
        <w:jc w:val="left"/>
        <w:rPr>
          <w:rFonts w:ascii="宋体" w:hAnsi="宋体"/>
          <w:sz w:val="24"/>
          <w:u w:val="single"/>
        </w:rPr>
      </w:pPr>
      <w:r>
        <w:rPr>
          <w:rFonts w:hint="eastAsia" w:ascii="宋体" w:hAnsi="宋体"/>
          <w:sz w:val="24"/>
        </w:rPr>
        <w:t>联系地址：</w:t>
      </w:r>
      <w:r>
        <w:rPr>
          <w:rFonts w:hint="eastAsia" w:ascii="宋体" w:hAnsi="宋体"/>
          <w:sz w:val="24"/>
          <w:u w:val="single"/>
        </w:rPr>
        <w:t>广州市越秀区中山二路58号</w:t>
      </w:r>
    </w:p>
    <w:p>
      <w:pPr>
        <w:spacing w:line="480" w:lineRule="auto"/>
        <w:ind w:left="420" w:leftChars="200" w:firstLine="537" w:firstLineChars="224"/>
        <w:jc w:val="left"/>
        <w:rPr>
          <w:rFonts w:ascii="宋体"/>
          <w:sz w:val="24"/>
          <w:u w:val="single"/>
        </w:rPr>
      </w:pPr>
      <w:r>
        <w:rPr>
          <w:rFonts w:hint="eastAsia" w:ascii="宋体" w:hAnsi="宋体"/>
          <w:sz w:val="24"/>
        </w:rPr>
        <w:t>招标代理机构：</w:t>
      </w:r>
      <w:r>
        <w:rPr>
          <w:rFonts w:hint="eastAsia" w:ascii="宋体" w:hAnsi="宋体"/>
          <w:sz w:val="24"/>
          <w:u w:val="single"/>
        </w:rPr>
        <w:t>国义招标股份有限公司</w:t>
      </w:r>
    </w:p>
    <w:p>
      <w:pPr>
        <w:spacing w:line="480" w:lineRule="auto"/>
        <w:ind w:firstLine="1015" w:firstLineChars="423"/>
        <w:rPr>
          <w:rFonts w:ascii="宋体"/>
          <w:sz w:val="24"/>
          <w:u w:val="single"/>
        </w:rPr>
      </w:pPr>
      <w:r>
        <w:rPr>
          <w:rFonts w:hint="eastAsia" w:ascii="宋体" w:hAnsi="宋体"/>
          <w:sz w:val="24"/>
        </w:rPr>
        <w:t>联系人：</w:t>
      </w:r>
      <w:r>
        <w:rPr>
          <w:rFonts w:hint="eastAsia" w:ascii="宋体" w:hAnsi="宋体"/>
          <w:sz w:val="24"/>
          <w:szCs w:val="24"/>
          <w:u w:val="single"/>
        </w:rPr>
        <w:t>林工、何工</w:t>
      </w:r>
      <w:r>
        <w:rPr>
          <w:rFonts w:hint="eastAsia" w:ascii="宋体" w:hAnsi="宋体"/>
          <w:sz w:val="24"/>
          <w:szCs w:val="24"/>
        </w:rPr>
        <w:t xml:space="preserve">   </w:t>
      </w:r>
      <w:r>
        <w:rPr>
          <w:rFonts w:hint="eastAsia" w:ascii="宋体" w:hAnsi="宋体"/>
          <w:sz w:val="24"/>
        </w:rPr>
        <w:t>联系电话：</w:t>
      </w:r>
      <w:r>
        <w:rPr>
          <w:rFonts w:hint="eastAsia" w:ascii="宋体" w:hAnsi="宋体"/>
          <w:sz w:val="24"/>
          <w:u w:val="single"/>
        </w:rPr>
        <w:t>020-37861059、37860558</w:t>
      </w:r>
    </w:p>
    <w:p>
      <w:pPr>
        <w:spacing w:line="480" w:lineRule="auto"/>
        <w:ind w:firstLine="1015" w:firstLineChars="423"/>
        <w:jc w:val="left"/>
        <w:rPr>
          <w:rFonts w:ascii="宋体" w:hAnsi="宋体"/>
          <w:sz w:val="24"/>
        </w:rPr>
      </w:pPr>
      <w:r>
        <w:rPr>
          <w:rFonts w:hint="eastAsia" w:ascii="宋体" w:hAnsi="宋体"/>
          <w:sz w:val="24"/>
        </w:rPr>
        <w:t>联系地址：</w:t>
      </w:r>
      <w:r>
        <w:rPr>
          <w:rFonts w:hint="eastAsia" w:ascii="宋体" w:hAnsi="宋体"/>
          <w:sz w:val="24"/>
          <w:u w:val="single"/>
        </w:rPr>
        <w:t>广州市越秀区东风东路726号19楼</w:t>
      </w:r>
    </w:p>
    <w:p>
      <w:pPr>
        <w:spacing w:line="480" w:lineRule="auto"/>
        <w:ind w:firstLine="1015" w:firstLineChars="423"/>
        <w:jc w:val="left"/>
        <w:rPr>
          <w:rFonts w:ascii="宋体"/>
          <w:sz w:val="24"/>
        </w:rPr>
      </w:pPr>
      <w:r>
        <w:rPr>
          <w:rFonts w:hint="eastAsia" w:ascii="宋体" w:hAnsi="宋体"/>
          <w:sz w:val="24"/>
        </w:rPr>
        <w:t>招标监督机构：</w:t>
      </w:r>
      <w:r>
        <w:rPr>
          <w:rFonts w:hint="eastAsia" w:ascii="宋体" w:hAnsi="宋体"/>
          <w:sz w:val="24"/>
          <w:u w:val="single"/>
        </w:rPr>
        <w:t>广州市建设工程招标管理办公室</w:t>
      </w:r>
    </w:p>
    <w:p>
      <w:pPr>
        <w:spacing w:line="480" w:lineRule="auto"/>
        <w:ind w:firstLine="1015" w:firstLineChars="423"/>
        <w:rPr>
          <w:rFonts w:ascii="宋体" w:hAnsi="宋体"/>
          <w:sz w:val="24"/>
          <w:u w:val="single"/>
        </w:rPr>
      </w:pPr>
      <w:r>
        <w:rPr>
          <w:rFonts w:hint="eastAsia" w:ascii="宋体" w:hAnsi="宋体"/>
          <w:sz w:val="24"/>
        </w:rPr>
        <w:t>监督电话：</w:t>
      </w:r>
      <w:r>
        <w:rPr>
          <w:rFonts w:hint="eastAsia" w:ascii="宋体" w:hAnsi="宋体"/>
          <w:sz w:val="24"/>
          <w:u w:val="single"/>
        </w:rPr>
        <w:t>020-28866213</w:t>
      </w:r>
    </w:p>
    <w:p>
      <w:pPr>
        <w:spacing w:line="480" w:lineRule="auto"/>
        <w:ind w:firstLine="1015" w:firstLineChars="423"/>
        <w:jc w:val="left"/>
      </w:pPr>
      <w:r>
        <w:rPr>
          <w:rFonts w:hint="eastAsia" w:ascii="宋体" w:hAnsi="宋体"/>
          <w:sz w:val="24"/>
        </w:rPr>
        <w:t>联系地址：</w:t>
      </w:r>
      <w:r>
        <w:rPr>
          <w:rFonts w:hint="eastAsia" w:ascii="宋体" w:hAnsi="宋体"/>
          <w:sz w:val="24"/>
          <w:u w:val="single"/>
        </w:rPr>
        <w:t>广州市天河区天润路333号3楼</w:t>
      </w:r>
    </w:p>
    <w:p>
      <w:pPr>
        <w:spacing w:line="480" w:lineRule="auto"/>
        <w:ind w:firstLine="537" w:firstLineChars="224"/>
        <w:rPr>
          <w:rFonts w:ascii="宋体"/>
          <w:sz w:val="24"/>
          <w:u w:val="single"/>
        </w:rPr>
      </w:pPr>
      <w:r>
        <w:rPr>
          <w:rFonts w:hint="eastAsia" w:ascii="宋体" w:hAnsi="宋体"/>
          <w:sz w:val="24"/>
        </w:rPr>
        <w:t>三、建设地点：</w:t>
      </w:r>
      <w:r>
        <w:rPr>
          <w:rFonts w:hint="eastAsia" w:ascii="宋体" w:hAnsi="宋体"/>
          <w:sz w:val="24"/>
          <w:u w:val="single"/>
        </w:rPr>
        <w:t>广州市越秀区中山二路58号</w:t>
      </w:r>
    </w:p>
    <w:p>
      <w:pPr>
        <w:spacing w:line="480" w:lineRule="auto"/>
        <w:ind w:firstLine="537" w:firstLineChars="224"/>
        <w:rPr>
          <w:rFonts w:ascii="宋体" w:hAnsi="宋体"/>
          <w:sz w:val="24"/>
          <w:u w:val="single"/>
          <w:lang w:val="de-DE"/>
        </w:rPr>
      </w:pPr>
      <w:r>
        <w:rPr>
          <w:rFonts w:hint="eastAsia" w:ascii="宋体" w:hAnsi="宋体"/>
          <w:sz w:val="24"/>
        </w:rPr>
        <w:t>四、项目概况：</w:t>
      </w:r>
      <w:r>
        <w:rPr>
          <w:rFonts w:hint="eastAsia" w:ascii="宋体" w:hAnsi="宋体"/>
          <w:sz w:val="24"/>
          <w:u w:val="single"/>
        </w:rPr>
        <w:t>中山大学附属第一医院医学综合楼项目位于广州市越秀区中山二路58号。总建筑面积75768.6㎡(含地下车库)，拟建地上24层，地下4层，高度99.8米，框架剪力墙结构。本次招标为中山大学附属第一医院数据中心及配套建设工程施工专业承包。以上内容仅为概括性描述，具体内容以本项目招标图纸、工程量清单及用户需求书等有关资料为准。</w:t>
      </w:r>
    </w:p>
    <w:p>
      <w:pPr>
        <w:spacing w:line="480" w:lineRule="auto"/>
        <w:ind w:firstLine="537" w:firstLineChars="224"/>
        <w:rPr>
          <w:rFonts w:ascii="宋体" w:hAnsi="宋体"/>
          <w:sz w:val="24"/>
          <w:u w:val="single"/>
        </w:rPr>
      </w:pPr>
      <w:r>
        <w:rPr>
          <w:rFonts w:hint="eastAsia" w:ascii="宋体" w:hAnsi="宋体"/>
          <w:sz w:val="24"/>
        </w:rPr>
        <w:t>五、标段划分及各标段招标内容、规模和最高投标限价：</w:t>
      </w:r>
    </w:p>
    <w:p>
      <w:pPr>
        <w:spacing w:line="360" w:lineRule="auto"/>
        <w:ind w:firstLine="537" w:firstLineChars="224"/>
        <w:rPr>
          <w:rFonts w:ascii="宋体" w:hAnsi="宋体"/>
          <w:sz w:val="24"/>
          <w:szCs w:val="24"/>
        </w:rPr>
      </w:pPr>
      <w:r>
        <w:rPr>
          <w:rFonts w:hint="eastAsia" w:ascii="宋体" w:hAnsi="宋体"/>
          <w:sz w:val="24"/>
          <w:szCs w:val="24"/>
        </w:rPr>
        <w:t>1、本工程划分为1个标段。</w:t>
      </w:r>
    </w:p>
    <w:p>
      <w:pPr>
        <w:spacing w:line="480" w:lineRule="auto"/>
        <w:ind w:firstLine="480" w:firstLineChars="200"/>
        <w:rPr>
          <w:rFonts w:ascii="宋体" w:hAnsi="宋体"/>
          <w:sz w:val="24"/>
        </w:rPr>
      </w:pPr>
      <w:r>
        <w:rPr>
          <w:rFonts w:hint="eastAsia" w:ascii="宋体" w:hAnsi="宋体"/>
          <w:sz w:val="24"/>
          <w:szCs w:val="24"/>
        </w:rPr>
        <w:t>2、招标内容、规模：</w:t>
      </w:r>
      <w:r>
        <w:rPr>
          <w:rFonts w:hint="eastAsia" w:ascii="宋体" w:hAnsi="宋体"/>
          <w:sz w:val="24"/>
          <w:szCs w:val="24"/>
          <w:u w:val="single"/>
        </w:rPr>
        <w:t>本次招标为中山大学附属第一医院数据中心及配套建设工程施工专业承包，主要招标内容包括但不限于：</w:t>
      </w:r>
      <w:r>
        <w:rPr>
          <w:rFonts w:hint="eastAsia" w:ascii="宋体" w:hAnsi="宋体"/>
          <w:sz w:val="24"/>
          <w:u w:val="single"/>
        </w:rPr>
        <w:t>综合布线系统、数字视频监控系统、出入口控制系统、有线入侵报警系统、公共广播系统、建筑设备控制系统、建筑能耗系统、护理呼叫信号系统、风机盘管联网节能系统、信息引导及发布系统（管线）、候诊呼叫信号系统（管线及部分设备）、院区标准化时钟系统（管线），电梯五方对讲系统（管线）、室外工程（管线）等安装工作</w:t>
      </w:r>
      <w:r>
        <w:rPr>
          <w:rFonts w:hint="eastAsia" w:ascii="宋体" w:hAnsi="宋体"/>
          <w:sz w:val="24"/>
          <w:szCs w:val="24"/>
          <w:u w:val="single"/>
        </w:rPr>
        <w:t>，</w:t>
      </w:r>
      <w:r>
        <w:rPr>
          <w:rFonts w:hint="eastAsia" w:ascii="宋体" w:hAnsi="宋体"/>
          <w:sz w:val="24"/>
          <w:u w:val="single"/>
        </w:rPr>
        <w:t>具体以图纸、有关技术资料以及工程量清单等为准。</w:t>
      </w:r>
    </w:p>
    <w:p>
      <w:pPr>
        <w:spacing w:line="480" w:lineRule="auto"/>
        <w:ind w:firstLine="537" w:firstLineChars="224"/>
        <w:rPr>
          <w:rFonts w:ascii="宋体" w:hAnsi="宋体"/>
          <w:sz w:val="24"/>
          <w:szCs w:val="24"/>
          <w:u w:val="single"/>
        </w:rPr>
      </w:pPr>
      <w:r>
        <w:rPr>
          <w:rFonts w:hint="eastAsia" w:ascii="宋体" w:hAnsi="宋体"/>
          <w:sz w:val="24"/>
          <w:szCs w:val="24"/>
        </w:rPr>
        <w:t>3、最高投标限价：￥35,957,296.51元。</w:t>
      </w:r>
    </w:p>
    <w:p>
      <w:pPr>
        <w:spacing w:line="480" w:lineRule="auto"/>
        <w:ind w:firstLine="537" w:firstLineChars="224"/>
        <w:rPr>
          <w:rFonts w:ascii="宋体" w:hAnsi="宋体"/>
          <w:sz w:val="24"/>
          <w:u w:val="single"/>
        </w:rPr>
      </w:pPr>
      <w:r>
        <w:rPr>
          <w:rFonts w:hint="eastAsia" w:ascii="宋体" w:hAnsi="宋体"/>
          <w:sz w:val="24"/>
        </w:rPr>
        <w:t>六、</w:t>
      </w:r>
      <w:r>
        <w:rPr>
          <w:rFonts w:hint="eastAsia" w:ascii="宋体" w:hAnsi="宋体"/>
          <w:sz w:val="24"/>
          <w:szCs w:val="24"/>
        </w:rPr>
        <w:t>资金来源：</w:t>
      </w:r>
      <w:r>
        <w:rPr>
          <w:rFonts w:hint="eastAsia"/>
          <w:sz w:val="24"/>
          <w:szCs w:val="24"/>
        </w:rPr>
        <w:t>财政性资金</w:t>
      </w:r>
    </w:p>
    <w:p>
      <w:pPr>
        <w:spacing w:line="480" w:lineRule="auto"/>
        <w:ind w:left="120" w:leftChars="57" w:firstLine="417" w:firstLineChars="174"/>
        <w:rPr>
          <w:rFonts w:ascii="宋体"/>
          <w:sz w:val="24"/>
        </w:rPr>
      </w:pPr>
      <w:r>
        <w:rPr>
          <w:rFonts w:hint="eastAsia" w:ascii="宋体" w:hAnsi="宋体"/>
          <w:sz w:val="24"/>
        </w:rPr>
        <w:t>注：政府投资项目一律不得以建筑业企业带资承包的方式进行建设。</w:t>
      </w:r>
    </w:p>
    <w:p>
      <w:pPr>
        <w:snapToGrid w:val="0"/>
        <w:spacing w:line="480" w:lineRule="auto"/>
        <w:ind w:left="435"/>
        <w:rPr>
          <w:rFonts w:ascii="宋体" w:hAnsi="宋体" w:cs="宋体"/>
          <w:sz w:val="24"/>
          <w:szCs w:val="24"/>
        </w:rPr>
      </w:pPr>
      <w:r>
        <w:rPr>
          <w:rFonts w:hint="eastAsia" w:ascii="宋体" w:hAnsi="宋体" w:cs="宋体"/>
          <w:kern w:val="0"/>
          <w:sz w:val="24"/>
          <w:szCs w:val="24"/>
        </w:rPr>
        <w:t>七、</w:t>
      </w:r>
      <w:r>
        <w:rPr>
          <w:rFonts w:hint="eastAsia" w:ascii="宋体" w:hAnsi="宋体"/>
          <w:sz w:val="24"/>
        </w:rPr>
        <w:t>公告发布日期、</w:t>
      </w:r>
      <w:r>
        <w:rPr>
          <w:rFonts w:hint="eastAsia" w:ascii="宋体" w:hAnsi="宋体" w:cs="宋体"/>
          <w:sz w:val="24"/>
          <w:szCs w:val="24"/>
        </w:rPr>
        <w:t>递交投标文件时间与开标时间：</w:t>
      </w:r>
    </w:p>
    <w:p>
      <w:pPr>
        <w:snapToGrid w:val="0"/>
        <w:spacing w:line="480" w:lineRule="auto"/>
        <w:ind w:left="435"/>
        <w:rPr>
          <w:rFonts w:ascii="宋体" w:hAnsi="宋体"/>
          <w:sz w:val="24"/>
        </w:rPr>
      </w:pPr>
      <w:r>
        <w:rPr>
          <w:rFonts w:hint="eastAsia" w:ascii="宋体" w:hAnsi="宋体" w:cs="宋体"/>
          <w:sz w:val="24"/>
          <w:szCs w:val="24"/>
        </w:rPr>
        <w:t>1、</w:t>
      </w:r>
      <w:r>
        <w:rPr>
          <w:rFonts w:hint="eastAsia" w:ascii="宋体" w:hAnsi="宋体"/>
          <w:sz w:val="24"/>
        </w:rPr>
        <w:t>公告发布日期（含本日）：</w:t>
      </w:r>
      <w:r>
        <w:rPr>
          <w:rFonts w:hint="eastAsia" w:ascii="宋体" w:hAnsi="宋体"/>
          <w:sz w:val="24"/>
          <w:u w:val="single"/>
        </w:rPr>
        <w:t>2023</w:t>
      </w:r>
      <w:r>
        <w:rPr>
          <w:rFonts w:hint="eastAsia" w:ascii="宋体" w:hAnsi="宋体"/>
          <w:sz w:val="24"/>
        </w:rPr>
        <w:t>年  月  日至</w:t>
      </w:r>
      <w:r>
        <w:rPr>
          <w:rFonts w:hint="eastAsia" w:ascii="宋体" w:hAnsi="宋体"/>
          <w:sz w:val="24"/>
          <w:u w:val="single"/>
        </w:rPr>
        <w:t>2023</w:t>
      </w:r>
      <w:r>
        <w:rPr>
          <w:rFonts w:hint="eastAsia" w:ascii="宋体" w:hAnsi="宋体"/>
          <w:sz w:val="24"/>
        </w:rPr>
        <w:t>年  月  日</w:t>
      </w:r>
    </w:p>
    <w:p>
      <w:pPr>
        <w:snapToGrid w:val="0"/>
        <w:spacing w:line="480" w:lineRule="auto"/>
        <w:ind w:left="435"/>
        <w:rPr>
          <w:rFonts w:ascii="宋体" w:cs="宋体"/>
          <w:kern w:val="0"/>
          <w:sz w:val="24"/>
          <w:szCs w:val="24"/>
        </w:rPr>
      </w:pPr>
      <w:r>
        <w:rPr>
          <w:rFonts w:hint="eastAsia" w:ascii="宋体" w:hAnsi="宋体"/>
          <w:sz w:val="24"/>
        </w:rPr>
        <w:t>凡有意参加投标者，请登录</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网站下载电子招标文件。</w:t>
      </w:r>
    </w:p>
    <w:p>
      <w:pPr>
        <w:widowControl/>
        <w:shd w:val="clear" w:color="auto" w:fill="FFFFFF"/>
        <w:snapToGrid w:val="0"/>
        <w:spacing w:line="480" w:lineRule="auto"/>
        <w:jc w:val="left"/>
        <w:rPr>
          <w:rFonts w:ascii="宋体" w:hAnsi="宋体" w:cs="宋体"/>
          <w:kern w:val="0"/>
          <w:sz w:val="24"/>
          <w:szCs w:val="24"/>
        </w:rPr>
      </w:pPr>
      <w:r>
        <w:rPr>
          <w:rFonts w:hint="eastAsia" w:ascii="宋体" w:hAnsi="宋体" w:cs="宋体"/>
          <w:kern w:val="0"/>
          <w:sz w:val="24"/>
          <w:szCs w:val="24"/>
        </w:rPr>
        <w:t>注：发布招标公告的时间为招标公告发出之日起至投标截止时间止。</w:t>
      </w:r>
    </w:p>
    <w:p>
      <w:pPr>
        <w:widowControl/>
        <w:shd w:val="clear" w:color="auto" w:fill="FFFFFF"/>
        <w:snapToGrid w:val="0"/>
        <w:spacing w:line="480" w:lineRule="auto"/>
        <w:ind w:left="809" w:leftChars="214" w:hanging="360" w:hangingChars="150"/>
        <w:jc w:val="left"/>
        <w:rPr>
          <w:rFonts w:ascii="宋体" w:hAnsi="宋体" w:cs="宋体"/>
          <w:sz w:val="24"/>
          <w:szCs w:val="24"/>
        </w:rPr>
      </w:pPr>
      <w:r>
        <w:rPr>
          <w:rFonts w:hint="eastAsia" w:ascii="宋体" w:hAnsi="宋体" w:cs="宋体"/>
          <w:sz w:val="24"/>
          <w:szCs w:val="24"/>
        </w:rPr>
        <w:t>2、递交投标文件起始时间：</w:t>
      </w:r>
      <w:r>
        <w:rPr>
          <w:rFonts w:hint="eastAsia" w:ascii="宋体" w:hAnsi="宋体"/>
          <w:sz w:val="24"/>
          <w:szCs w:val="24"/>
          <w:u w:val="single"/>
        </w:rPr>
        <w:t>2023</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ind w:left="764" w:leftChars="364" w:firstLine="1440" w:firstLineChars="600"/>
        <w:jc w:val="left"/>
        <w:rPr>
          <w:rFonts w:ascii="宋体" w:hAnsi="宋体" w:cs="宋体"/>
          <w:sz w:val="24"/>
          <w:szCs w:val="24"/>
        </w:rPr>
      </w:pPr>
      <w:r>
        <w:rPr>
          <w:rFonts w:hint="eastAsia" w:ascii="宋体" w:hAnsi="宋体" w:cs="宋体"/>
          <w:sz w:val="24"/>
          <w:szCs w:val="24"/>
        </w:rPr>
        <w:t>截止时间：</w:t>
      </w:r>
      <w:r>
        <w:rPr>
          <w:rFonts w:hint="eastAsia" w:ascii="宋体" w:hAnsi="宋体"/>
          <w:sz w:val="24"/>
          <w:u w:val="single"/>
        </w:rPr>
        <w:t>2023</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ind w:firstLine="480"/>
        <w:jc w:val="left"/>
        <w:rPr>
          <w:rFonts w:ascii="宋体" w:hAnsi="宋体" w:cs="宋体"/>
          <w:sz w:val="24"/>
          <w:szCs w:val="24"/>
          <w:u w:val="single"/>
        </w:rPr>
      </w:pPr>
      <w:r>
        <w:rPr>
          <w:rFonts w:hint="eastAsia" w:ascii="宋体" w:hAnsi="宋体" w:cs="宋体"/>
          <w:sz w:val="24"/>
          <w:szCs w:val="24"/>
        </w:rPr>
        <w:t>3、开标开始时间：</w:t>
      </w:r>
      <w:r>
        <w:rPr>
          <w:rFonts w:hint="eastAsia" w:ascii="宋体" w:hAnsi="宋体"/>
          <w:sz w:val="24"/>
          <w:u w:val="single"/>
        </w:rPr>
        <w:t>2023</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jc w:val="left"/>
        <w:rPr>
          <w:rFonts w:ascii="宋体" w:hAnsi="宋体" w:cs="宋体"/>
          <w:sz w:val="24"/>
          <w:szCs w:val="24"/>
        </w:rPr>
      </w:pP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80" w:lineRule="auto"/>
        <w:ind w:firstLine="480" w:firstLineChars="200"/>
        <w:rPr>
          <w:rFonts w:ascii="宋体" w:hAnsi="宋体" w:cs="仿宋_GB2312"/>
          <w:sz w:val="24"/>
          <w:szCs w:val="24"/>
        </w:rPr>
      </w:pPr>
      <w:r>
        <w:rPr>
          <w:rFonts w:hint="eastAsia" w:ascii="宋体" w:hAnsi="宋体" w:cs="宋体"/>
          <w:sz w:val="24"/>
          <w:szCs w:val="24"/>
        </w:rPr>
        <w:t>5、</w:t>
      </w:r>
      <w:r>
        <w:rPr>
          <w:rFonts w:hint="eastAsia" w:ascii="宋体" w:hAnsi="宋体"/>
          <w:bCs/>
          <w:sz w:val="24"/>
        </w:rPr>
        <w:t>投标人通过</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递交电子投标文件。</w:t>
      </w:r>
      <w:r>
        <w:rPr>
          <w:rFonts w:hint="eastAsia" w:ascii="宋体" w:hAnsi="宋体" w:cs="仿宋_GB2312"/>
          <w:sz w:val="24"/>
          <w:szCs w:val="24"/>
        </w:rPr>
        <w:t>投标人应在递交投标文件截止时间前，登录</w:t>
      </w:r>
      <w:r>
        <w:rPr>
          <w:rFonts w:hint="eastAsia"/>
          <w:sz w:val="24"/>
          <w:szCs w:val="24"/>
          <w:u w:val="single"/>
        </w:rPr>
        <w:t>广州公共资源交易中心</w:t>
      </w:r>
      <w:r>
        <w:rPr>
          <w:rFonts w:hint="eastAsia" w:ascii="宋体" w:hAnsi="宋体"/>
          <w:sz w:val="24"/>
          <w:szCs w:val="24"/>
        </w:rPr>
        <w:t>交易平台</w:t>
      </w:r>
      <w:r>
        <w:rPr>
          <w:rFonts w:hint="eastAsia" w:ascii="宋体" w:hAnsi="宋体" w:cs="仿宋_GB2312"/>
          <w:sz w:val="24"/>
          <w:szCs w:val="24"/>
        </w:rPr>
        <w:t xml:space="preserve">网站办理网上投标登记手续。按照交易平台关于全流程电子化项目的相关指南进行操作。详见：广州公共资源交易中心网站http:// www.gzggzy.cn）《房屋建筑和市政基础设施工程全流程电子化项目专章》。 </w:t>
      </w:r>
    </w:p>
    <w:p>
      <w:pPr>
        <w:snapToGrid w:val="0"/>
        <w:spacing w:line="480" w:lineRule="auto"/>
        <w:ind w:firstLine="480" w:firstLineChars="200"/>
        <w:rPr>
          <w:rFonts w:ascii="宋体" w:hAnsi="宋体"/>
          <w:sz w:val="24"/>
          <w:szCs w:val="24"/>
          <w:u w:val="single"/>
        </w:rPr>
      </w:pPr>
      <w:r>
        <w:rPr>
          <w:rFonts w:hint="eastAsia" w:ascii="宋体" w:hAnsi="宋体" w:cs="仿宋_GB2312"/>
          <w:sz w:val="24"/>
          <w:szCs w:val="24"/>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widowControl/>
        <w:shd w:val="clear" w:color="auto" w:fill="FFFFFF"/>
        <w:snapToGrid w:val="0"/>
        <w:spacing w:line="480" w:lineRule="auto"/>
        <w:jc w:val="left"/>
        <w:rPr>
          <w:rFonts w:ascii="宋体" w:cs="宋体"/>
          <w:kern w:val="0"/>
          <w:sz w:val="24"/>
          <w:szCs w:val="24"/>
        </w:rPr>
      </w:pPr>
      <w:r>
        <w:rPr>
          <w:rFonts w:hint="eastAsia" w:ascii="宋体" w:hAnsi="宋体" w:cs="宋体"/>
          <w:kern w:val="0"/>
          <w:sz w:val="24"/>
          <w:szCs w:val="24"/>
        </w:rPr>
        <w:t>八、招标文件获取方式：</w:t>
      </w:r>
    </w:p>
    <w:p>
      <w:pPr>
        <w:widowControl/>
        <w:shd w:val="clear" w:color="auto" w:fill="FFFFFF"/>
        <w:snapToGrid w:val="0"/>
        <w:spacing w:line="480" w:lineRule="auto"/>
        <w:ind w:firstLine="480" w:firstLineChars="200"/>
        <w:jc w:val="left"/>
        <w:rPr>
          <w:rFonts w:ascii="宋体" w:cs="宋体"/>
          <w:kern w:val="0"/>
          <w:sz w:val="24"/>
          <w:szCs w:val="24"/>
        </w:rPr>
      </w:pPr>
      <w:r>
        <w:rPr>
          <w:rFonts w:hint="eastAsia" w:ascii="宋体" w:hAnsi="宋体" w:cs="宋体"/>
          <w:kern w:val="0"/>
          <w:sz w:val="24"/>
          <w:szCs w:val="24"/>
        </w:rPr>
        <w:t>本项目招标文件随招标公告一并在</w:t>
      </w:r>
      <w:r>
        <w:rPr>
          <w:rFonts w:hint="eastAsia" w:ascii="宋体" w:hAnsi="宋体" w:cs="宋体"/>
          <w:sz w:val="24"/>
          <w:szCs w:val="24"/>
          <w:u w:val="single"/>
        </w:rPr>
        <w:t>广州公共资源交易中心</w:t>
      </w:r>
      <w:r>
        <w:rPr>
          <w:rFonts w:hint="eastAsia" w:ascii="宋体" w:hAnsi="宋体"/>
          <w:sz w:val="24"/>
          <w:szCs w:val="24"/>
        </w:rPr>
        <w:t>交易平台</w:t>
      </w:r>
      <w:r>
        <w:rPr>
          <w:rFonts w:hint="eastAsia" w:ascii="宋体" w:hAnsi="宋体"/>
          <w:sz w:val="24"/>
        </w:rPr>
        <w:t>网站发布。招标文件</w:t>
      </w:r>
      <w:r>
        <w:rPr>
          <w:rFonts w:hint="eastAsia" w:ascii="宋体" w:hAnsi="宋体" w:cs="宋体"/>
          <w:kern w:val="0"/>
          <w:sz w:val="24"/>
          <w:szCs w:val="24"/>
        </w:rPr>
        <w:t>一经在</w:t>
      </w:r>
      <w:r>
        <w:rPr>
          <w:rFonts w:hint="eastAsia" w:ascii="宋体" w:hAnsi="宋体" w:cs="宋体"/>
          <w:sz w:val="24"/>
          <w:szCs w:val="24"/>
          <w:u w:val="single"/>
        </w:rPr>
        <w:t>广州公共资源交易中心</w:t>
      </w:r>
      <w:r>
        <w:rPr>
          <w:rFonts w:hint="eastAsia" w:ascii="宋体" w:hAnsi="宋体"/>
          <w:sz w:val="24"/>
          <w:szCs w:val="24"/>
        </w:rPr>
        <w:t>交易平台</w:t>
      </w:r>
      <w:r>
        <w:rPr>
          <w:rFonts w:hint="eastAsia" w:ascii="宋体" w:hAnsi="宋体" w:cs="宋体"/>
          <w:kern w:val="0"/>
          <w:sz w:val="24"/>
          <w:szCs w:val="24"/>
        </w:rPr>
        <w:t>发布，视为发售给投标人，招标文件由投标人自行在</w:t>
      </w:r>
      <w:r>
        <w:rPr>
          <w:rFonts w:hint="eastAsia" w:ascii="宋体" w:hAnsi="宋体" w:cs="宋体"/>
          <w:sz w:val="24"/>
          <w:szCs w:val="24"/>
          <w:u w:val="single"/>
        </w:rPr>
        <w:t>广州公共资源交易中心</w:t>
      </w:r>
      <w:r>
        <w:rPr>
          <w:rFonts w:hint="eastAsia" w:ascii="宋体" w:hAnsi="宋体"/>
          <w:sz w:val="24"/>
          <w:szCs w:val="24"/>
        </w:rPr>
        <w:t>交易平台</w:t>
      </w:r>
      <w:r>
        <w:rPr>
          <w:rFonts w:hint="eastAsia" w:ascii="宋体" w:hAnsi="宋体" w:cs="宋体"/>
          <w:kern w:val="0"/>
          <w:sz w:val="24"/>
          <w:szCs w:val="24"/>
        </w:rPr>
        <w:t>网站下载。</w:t>
      </w:r>
    </w:p>
    <w:p>
      <w:pPr>
        <w:spacing w:line="480" w:lineRule="auto"/>
        <w:ind w:firstLine="537" w:firstLineChars="224"/>
        <w:rPr>
          <w:rFonts w:ascii="宋体"/>
          <w:sz w:val="24"/>
        </w:rPr>
      </w:pPr>
      <w:r>
        <w:rPr>
          <w:rFonts w:hint="eastAsia" w:ascii="宋体" w:hAnsi="宋体"/>
          <w:sz w:val="24"/>
        </w:rPr>
        <w:t>九、投标人合格条件：</w:t>
      </w:r>
    </w:p>
    <w:p>
      <w:pPr>
        <w:spacing w:line="480" w:lineRule="auto"/>
        <w:ind w:firstLine="537" w:firstLineChars="224"/>
        <w:rPr>
          <w:rFonts w:ascii="宋体"/>
          <w:sz w:val="24"/>
        </w:rPr>
      </w:pPr>
      <w:r>
        <w:rPr>
          <w:rFonts w:ascii="宋体" w:hAnsi="宋体"/>
          <w:sz w:val="24"/>
        </w:rPr>
        <w:t>1</w:t>
      </w:r>
      <w:r>
        <w:rPr>
          <w:rFonts w:hint="eastAsia" w:ascii="宋体" w:hAnsi="宋体"/>
          <w:sz w:val="24"/>
        </w:rPr>
        <w:t>、投标人参加投标的意思表达清楚，投标人代表被授权有效。</w:t>
      </w:r>
    </w:p>
    <w:p>
      <w:pPr>
        <w:spacing w:line="480" w:lineRule="auto"/>
        <w:ind w:firstLine="537" w:firstLineChars="224"/>
        <w:rPr>
          <w:rFonts w:ascii="宋体"/>
          <w:sz w:val="24"/>
        </w:rPr>
      </w:pPr>
      <w:r>
        <w:rPr>
          <w:rFonts w:ascii="宋体" w:hAnsi="宋体"/>
          <w:sz w:val="24"/>
        </w:rPr>
        <w:t>2</w:t>
      </w:r>
      <w:r>
        <w:rPr>
          <w:rFonts w:hint="eastAsia" w:ascii="宋体" w:hAnsi="宋体"/>
          <w:sz w:val="24"/>
        </w:rPr>
        <w:t>、投标人均具有独立法人资格，按国家法律经营。</w:t>
      </w:r>
    </w:p>
    <w:p>
      <w:pPr>
        <w:spacing w:line="480" w:lineRule="auto"/>
        <w:ind w:firstLine="537" w:firstLineChars="224"/>
        <w:rPr>
          <w:rFonts w:ascii="宋体"/>
          <w:sz w:val="24"/>
          <w:shd w:val="clear" w:color="FFFFFF" w:fill="D9D9D9"/>
        </w:rPr>
      </w:pPr>
      <w:r>
        <w:rPr>
          <w:rFonts w:ascii="宋体" w:hAnsi="宋体"/>
          <w:sz w:val="24"/>
        </w:rPr>
        <w:t>3</w:t>
      </w:r>
      <w:r>
        <w:rPr>
          <w:rFonts w:hint="eastAsia" w:ascii="宋体" w:hAnsi="宋体"/>
          <w:sz w:val="24"/>
        </w:rPr>
        <w:t>、投标人均持有建设行政主管部门颁发的企业资质证书及安全生产许可证；</w:t>
      </w:r>
    </w:p>
    <w:p>
      <w:pPr>
        <w:pStyle w:val="25"/>
        <w:spacing w:line="480" w:lineRule="auto"/>
        <w:ind w:firstLine="539"/>
        <w:rPr>
          <w:rFonts w:ascii="宋体" w:hAnsi="宋体" w:eastAsia="宋体"/>
          <w:color w:val="auto"/>
          <w:sz w:val="24"/>
          <w:szCs w:val="24"/>
          <w:u w:val="single"/>
        </w:rPr>
      </w:pPr>
      <w:r>
        <w:rPr>
          <w:rFonts w:ascii="宋体" w:hAnsi="宋体" w:eastAsia="宋体"/>
          <w:color w:val="auto"/>
          <w:sz w:val="24"/>
          <w:szCs w:val="24"/>
        </w:rPr>
        <w:t>4</w:t>
      </w:r>
      <w:r>
        <w:rPr>
          <w:rFonts w:hint="eastAsia" w:ascii="宋体" w:hAnsi="宋体" w:eastAsia="宋体"/>
          <w:color w:val="auto"/>
          <w:sz w:val="24"/>
          <w:szCs w:val="24"/>
        </w:rPr>
        <w:t>、投标人应具备承接本工程所需的：</w:t>
      </w:r>
      <w:r>
        <w:rPr>
          <w:rFonts w:hint="eastAsia" w:ascii="宋体" w:hAnsi="宋体" w:eastAsia="宋体"/>
          <w:color w:val="auto"/>
          <w:sz w:val="24"/>
          <w:szCs w:val="24"/>
          <w:u w:val="single"/>
        </w:rPr>
        <w:t>电子与智能化工程专业承包一级资质，或相应的建筑智能化工程设计与施工资质（以资质证书许可范围为准，在有效期内）。</w:t>
      </w:r>
      <w:r>
        <w:rPr>
          <w:rFonts w:hint="eastAsia" w:ascii="宋体" w:hAnsi="宋体" w:eastAsia="宋体"/>
          <w:color w:val="auto"/>
          <w:sz w:val="24"/>
          <w:szCs w:val="24"/>
          <w:u w:val="single"/>
        </w:rPr>
        <w:tab/>
      </w:r>
    </w:p>
    <w:p>
      <w:pPr>
        <w:pStyle w:val="25"/>
        <w:spacing w:line="480" w:lineRule="auto"/>
        <w:ind w:firstLine="539"/>
        <w:rPr>
          <w:rFonts w:ascii="宋体" w:hAnsi="宋体" w:eastAsia="宋体"/>
          <w:color w:val="auto"/>
          <w:sz w:val="24"/>
          <w:szCs w:val="24"/>
        </w:rPr>
      </w:pPr>
      <w:r>
        <w:rPr>
          <w:rFonts w:hint="eastAsia" w:ascii="宋体" w:hAnsi="宋体" w:eastAsia="宋体"/>
          <w:color w:val="auto"/>
          <w:sz w:val="24"/>
          <w:szCs w:val="24"/>
        </w:rPr>
        <w:t>投标人拟担任本工程项目负责人的人员为：</w:t>
      </w:r>
      <w:r>
        <w:rPr>
          <w:rFonts w:hint="eastAsia" w:ascii="宋体" w:hAnsi="宋体" w:eastAsia="宋体"/>
          <w:color w:val="auto"/>
          <w:sz w:val="24"/>
          <w:szCs w:val="24"/>
          <w:u w:val="single"/>
        </w:rPr>
        <w:t>机电工程专业一级注册建造师。</w:t>
      </w:r>
    </w:p>
    <w:p>
      <w:pPr>
        <w:pStyle w:val="25"/>
        <w:spacing w:line="480" w:lineRule="auto"/>
        <w:ind w:firstLine="480" w:firstLineChars="200"/>
        <w:rPr>
          <w:rFonts w:ascii="宋体" w:hAnsi="宋体" w:eastAsia="宋体"/>
          <w:color w:val="auto"/>
          <w:sz w:val="24"/>
          <w:szCs w:val="24"/>
        </w:rPr>
      </w:pPr>
      <w:r>
        <w:rPr>
          <w:rFonts w:hint="eastAsia" w:ascii="宋体" w:hAnsi="宋体" w:eastAsia="宋体"/>
          <w:color w:val="auto"/>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和城乡建设部办公厅关于建设工程企业资质有关事宜的通知》（建办市函〔2023〕361号）的要求设置。招标内容含有设计要求，且设计要求仅为深化设计的，在投标人的资质设置要求中，不允许设置设计资质。</w:t>
      </w:r>
    </w:p>
    <w:p>
      <w:pPr>
        <w:pStyle w:val="25"/>
        <w:spacing w:line="480" w:lineRule="auto"/>
        <w:ind w:firstLine="480" w:firstLineChars="200"/>
        <w:rPr>
          <w:rFonts w:ascii="宋体" w:hAnsi="宋体" w:eastAsia="宋体"/>
          <w:color w:val="auto"/>
          <w:sz w:val="24"/>
          <w:szCs w:val="24"/>
        </w:rPr>
      </w:pPr>
      <w:r>
        <w:rPr>
          <w:rFonts w:hint="eastAsia" w:ascii="宋体" w:hAnsi="宋体" w:eastAsia="宋体"/>
          <w:color w:val="auto"/>
          <w:sz w:val="24"/>
          <w:szCs w:val="24"/>
        </w:rPr>
        <w:t>②项目负责人在任职期间不得担任专职安全员，项目专职安全员在任职期间也不得担任项目负责人，项目负责人和专职安全员不为同一人。</w:t>
      </w:r>
    </w:p>
    <w:p>
      <w:pPr>
        <w:pStyle w:val="25"/>
        <w:spacing w:line="480" w:lineRule="auto"/>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、项目负责人持有安全生产考核合格证（B类）或建筑施工企业项目负责人安全生产考核合格证书；</w:t>
      </w:r>
    </w:p>
    <w:p>
      <w:pPr>
        <w:pStyle w:val="25"/>
        <w:spacing w:line="480" w:lineRule="auto"/>
        <w:ind w:firstLine="480" w:firstLineChars="200"/>
        <w:rPr>
          <w:color w:val="auto"/>
        </w:rPr>
      </w:pPr>
      <w:r>
        <w:rPr>
          <w:rFonts w:hint="eastAsia" w:ascii="宋体" w:hAnsi="宋体" w:eastAsia="宋体"/>
          <w:color w:val="auto"/>
          <w:sz w:val="24"/>
          <w:szCs w:val="24"/>
        </w:rPr>
        <w:t>6、投标人拟担任本工程技术负责人的资格要求为：具有</w:t>
      </w:r>
      <w:r>
        <w:rPr>
          <w:rFonts w:hint="eastAsia" w:ascii="宋体" w:hAnsi="宋体" w:eastAsia="宋体" w:cs="宋体"/>
          <w:color w:val="auto"/>
          <w:sz w:val="24"/>
          <w:szCs w:val="24"/>
          <w:u w:val="single"/>
          <w:shd w:val="clear" w:color="auto" w:fill="FFFFFF"/>
        </w:rPr>
        <w:t>机电类</w:t>
      </w:r>
      <w:r>
        <w:rPr>
          <w:rFonts w:hint="eastAsia" w:ascii="宋体" w:hAnsi="宋体" w:eastAsia="宋体"/>
          <w:color w:val="auto"/>
          <w:sz w:val="24"/>
          <w:szCs w:val="24"/>
        </w:rPr>
        <w:t>相关专业高级工程师(或以上)技术职称。</w:t>
      </w:r>
    </w:p>
    <w:p>
      <w:pPr>
        <w:pStyle w:val="25"/>
        <w:spacing w:line="480" w:lineRule="auto"/>
        <w:ind w:firstLine="480" w:firstLineChars="200"/>
        <w:rPr>
          <w:rFonts w:ascii="宋体" w:hAnsi="宋体" w:eastAsia="宋体"/>
          <w:color w:val="auto"/>
          <w:sz w:val="24"/>
          <w:szCs w:val="24"/>
        </w:rPr>
      </w:pPr>
      <w:r>
        <w:rPr>
          <w:rFonts w:hint="eastAsia" w:ascii="宋体" w:hAnsi="宋体" w:eastAsia="宋体"/>
          <w:color w:val="auto"/>
          <w:sz w:val="24"/>
          <w:szCs w:val="24"/>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②采用其他资质的项目，宜要求技术负责人具备项目相适应专业的中级或以上职称。</w:t>
      </w:r>
    </w:p>
    <w:p>
      <w:pPr>
        <w:numPr>
          <w:ilvl w:val="0"/>
          <w:numId w:val="1"/>
        </w:numPr>
        <w:spacing w:line="480" w:lineRule="auto"/>
        <w:ind w:firstLine="537" w:firstLineChars="224"/>
        <w:rPr>
          <w:rFonts w:ascii="宋体" w:hAnsi="宋体"/>
          <w:kern w:val="0"/>
          <w:sz w:val="24"/>
        </w:rPr>
      </w:pPr>
      <w:r>
        <w:rPr>
          <w:rFonts w:hint="eastAsia" w:ascii="宋体" w:hAnsi="宋体"/>
          <w:kern w:val="0"/>
          <w:sz w:val="24"/>
        </w:rPr>
        <w:t>专职安全员须具有安全生产考核合格证（C类）或建筑施工企业专职安全生产管理人员安全生产考核合格证书（C3类）。</w:t>
      </w:r>
    </w:p>
    <w:p>
      <w:pPr>
        <w:spacing w:line="480" w:lineRule="auto"/>
        <w:ind w:firstLine="537" w:firstLineChars="224"/>
        <w:rPr>
          <w:rFonts w:ascii="宋体" w:hAnsi="宋体"/>
          <w:color w:val="000000"/>
          <w:sz w:val="24"/>
        </w:rPr>
      </w:pPr>
      <w:r>
        <w:rPr>
          <w:rFonts w:hint="eastAsia" w:ascii="宋体" w:hAnsi="宋体"/>
          <w:color w:val="000000"/>
          <w:sz w:val="24"/>
        </w:rPr>
        <w:t>8、投标人自2019年1月1日至今完成过质量合格的类似工程业绩（类似工程是指</w:t>
      </w:r>
      <w:r>
        <w:rPr>
          <w:rFonts w:hint="eastAsia" w:ascii="宋体" w:hAnsi="宋体"/>
          <w:color w:val="000000"/>
          <w:sz w:val="24"/>
          <w:u w:val="single"/>
        </w:rPr>
        <w:t>工程造价≥1500万元的电子与智能化工程（包含原建筑智能化施工专业承包工程）施工业绩</w:t>
      </w:r>
      <w:r>
        <w:rPr>
          <w:rFonts w:hint="eastAsia" w:ascii="宋体" w:hAnsi="宋体"/>
          <w:color w:val="000000"/>
          <w:sz w:val="24"/>
        </w:rPr>
        <w:t>）。</w:t>
      </w:r>
    </w:p>
    <w:p>
      <w:pPr>
        <w:spacing w:line="480" w:lineRule="auto"/>
        <w:ind w:firstLine="537" w:firstLineChars="224"/>
        <w:rPr>
          <w:rFonts w:ascii="宋体" w:hAnsi="宋体"/>
          <w:color w:val="000000"/>
          <w:sz w:val="24"/>
        </w:rPr>
      </w:pPr>
      <w:r>
        <w:rPr>
          <w:rFonts w:hint="eastAsia" w:ascii="宋体" w:hAnsi="宋体"/>
          <w:color w:val="000000"/>
          <w:sz w:val="24"/>
        </w:rPr>
        <w:t>注：（1）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spacing w:line="480" w:lineRule="auto"/>
        <w:ind w:firstLine="537" w:firstLineChars="224"/>
        <w:rPr>
          <w:rFonts w:ascii="宋体" w:hAnsi="宋体"/>
          <w:color w:val="000000"/>
          <w:sz w:val="24"/>
        </w:rPr>
      </w:pPr>
      <w:r>
        <w:rPr>
          <w:rFonts w:hint="eastAsia" w:ascii="宋体" w:hAnsi="宋体"/>
          <w:color w:val="000000"/>
          <w:sz w:val="24"/>
        </w:rPr>
        <w:t>（2）适用于施工专业承包项目：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用于本项目投标的类似业绩，在平台中“工程对应的企业资质”栏中须登记有与本项目要求相对应的资质（电子与智能化工程或建筑智能化工程或建筑智能化工程设计与施工）。</w:t>
      </w:r>
    </w:p>
    <w:p>
      <w:pPr>
        <w:spacing w:line="480" w:lineRule="auto"/>
        <w:ind w:firstLine="537" w:firstLineChars="224"/>
        <w:rPr>
          <w:rFonts w:ascii="宋体" w:hAnsi="宋体"/>
          <w:color w:val="000000"/>
          <w:sz w:val="24"/>
        </w:rPr>
      </w:pPr>
      <w:r>
        <w:rPr>
          <w:rFonts w:hint="eastAsia" w:ascii="宋体" w:hAnsi="宋体"/>
          <w:color w:val="000000"/>
          <w:sz w:val="24"/>
        </w:rPr>
        <w:t>（3）完成时间以子分部工程质量验收记录时间为准。未提供子分部工程质量验收记录的，完成时间以验收文件记录时间为准。验收记录至少具有建设单位、设计、施工和监理单位盖章。</w:t>
      </w:r>
    </w:p>
    <w:p>
      <w:pPr>
        <w:spacing w:line="480" w:lineRule="auto"/>
        <w:ind w:firstLine="537" w:firstLineChars="224"/>
        <w:rPr>
          <w:rFonts w:ascii="宋体" w:hAnsi="宋体"/>
          <w:color w:val="000000"/>
          <w:sz w:val="24"/>
        </w:rPr>
      </w:pPr>
      <w:r>
        <w:rPr>
          <w:rFonts w:hint="eastAsia" w:ascii="宋体" w:hAnsi="宋体"/>
          <w:color w:val="000000"/>
          <w:sz w:val="24"/>
        </w:rPr>
        <w:t>（4）平台内业绩上传件不符合上述要求的或登记的工程资质内容与施工合同等业绩证明资料不相符的，该项业绩不予认定。</w:t>
      </w:r>
    </w:p>
    <w:p>
      <w:pPr>
        <w:spacing w:line="480" w:lineRule="auto"/>
        <w:ind w:firstLine="537" w:firstLineChars="224"/>
        <w:rPr>
          <w:rFonts w:ascii="宋体"/>
          <w:sz w:val="24"/>
        </w:rPr>
      </w:pPr>
      <w:r>
        <w:rPr>
          <w:rFonts w:hint="eastAsia" w:ascii="宋体" w:hAnsi="宋体"/>
          <w:sz w:val="24"/>
        </w:rPr>
        <w:t>9</w:t>
      </w:r>
      <w:r>
        <w:rPr>
          <w:rFonts w:hint="eastAsia" w:ascii="宋体"/>
          <w:sz w:val="24"/>
        </w:rPr>
        <w:t>、</w:t>
      </w:r>
      <w:r>
        <w:rPr>
          <w:rFonts w:hint="eastAsia" w:ascii="宋体" w:hAnsi="宋体"/>
          <w:sz w:val="24"/>
        </w:rPr>
        <w:t>投标人已按照附件一的内容签署盖章的投标人声明。</w:t>
      </w:r>
    </w:p>
    <w:p>
      <w:pPr>
        <w:spacing w:line="480" w:lineRule="auto"/>
        <w:ind w:firstLine="537" w:firstLineChars="224"/>
        <w:rPr>
          <w:rFonts w:ascii="宋体"/>
          <w:sz w:val="24"/>
        </w:rPr>
      </w:pPr>
      <w:r>
        <w:rPr>
          <w:rFonts w:hint="eastAsia" w:ascii="宋体" w:hAnsi="宋体"/>
          <w:sz w:val="24"/>
          <w:szCs w:val="24"/>
        </w:rPr>
        <w:t>10、关于联合体投标：</w:t>
      </w:r>
      <w:r>
        <w:rPr>
          <w:rFonts w:hint="eastAsia" w:ascii="宋体" w:hAnsi="宋体"/>
          <w:kern w:val="0"/>
          <w:sz w:val="24"/>
          <w:szCs w:val="24"/>
        </w:rPr>
        <w:t>本项目不接受联合体投标。</w:t>
      </w:r>
    </w:p>
    <w:p>
      <w:pPr>
        <w:spacing w:line="480" w:lineRule="auto"/>
        <w:ind w:firstLine="480" w:firstLineChars="200"/>
        <w:rPr>
          <w:rFonts w:ascii="宋体" w:hAnsi="宋体"/>
          <w:sz w:val="24"/>
        </w:rPr>
      </w:pPr>
      <w:r>
        <w:rPr>
          <w:rFonts w:ascii="宋体" w:hAnsi="宋体"/>
          <w:sz w:val="24"/>
        </w:rPr>
        <w:t>1</w:t>
      </w:r>
      <w:r>
        <w:rPr>
          <w:rFonts w:hint="eastAsia" w:ascii="宋体" w:hAnsi="宋体"/>
          <w:sz w:val="24"/>
        </w:rPr>
        <w:t>1、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480" w:lineRule="auto"/>
        <w:rPr>
          <w:rFonts w:ascii="宋体" w:hAnsi="宋体"/>
          <w:sz w:val="24"/>
        </w:rPr>
      </w:pPr>
      <w:r>
        <w:fldChar w:fldCharType="begin"/>
      </w:r>
      <w:r>
        <w:instrText xml:space="preserve"> HYPERLINK "http://zfcj.gz.gov.cn/zwgk/zsdwxxgkzl/gzsjzyglfwzx/bszy/content/post_8484886.html））" </w:instrText>
      </w:r>
      <w:r>
        <w:fldChar w:fldCharType="separate"/>
      </w:r>
      <w:r>
        <w:rPr>
          <w:rStyle w:val="18"/>
          <w:rFonts w:hint="eastAsia" w:ascii="宋体" w:hAnsi="宋体"/>
          <w:sz w:val="24"/>
        </w:rPr>
        <w:t>http://zfcj.gz.gov.cn/zwgk/zsdwxxgkzl/gzsjzyglfwzx/bszy/content/post_8484886.html））</w:t>
      </w:r>
      <w:r>
        <w:rPr>
          <w:rStyle w:val="18"/>
          <w:rFonts w:hint="eastAsia" w:ascii="宋体" w:hAnsi="宋体"/>
          <w:sz w:val="24"/>
        </w:rPr>
        <w:fldChar w:fldCharType="end"/>
      </w:r>
    </w:p>
    <w:p>
      <w:pPr>
        <w:spacing w:line="480" w:lineRule="auto"/>
        <w:ind w:firstLine="537" w:firstLineChars="224"/>
        <w:rPr>
          <w:rFonts w:ascii="宋体" w:hAnsi="宋体"/>
          <w:sz w:val="24"/>
        </w:rPr>
      </w:pPr>
      <w:r>
        <w:rPr>
          <w:rFonts w:hint="eastAsia" w:ascii="宋体" w:hAnsi="宋体"/>
          <w:sz w:val="24"/>
        </w:rPr>
        <w:t>12、</w:t>
      </w:r>
      <w:r>
        <w:rPr>
          <w:rFonts w:hint="eastAsia" w:ascii="宋体" w:hAnsi="宋体"/>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kern w:val="0"/>
          <w:sz w:val="24"/>
          <w:szCs w:val="24"/>
          <w:u w:val="single"/>
        </w:rPr>
        <w:t>视为无效投标</w:t>
      </w:r>
      <w:r>
        <w:rPr>
          <w:rFonts w:hint="eastAsia" w:ascii="宋体" w:hAnsi="宋体"/>
          <w:kern w:val="0"/>
          <w:sz w:val="24"/>
          <w:szCs w:val="24"/>
        </w:rPr>
        <w:t>。</w:t>
      </w:r>
    </w:p>
    <w:p>
      <w:pPr>
        <w:spacing w:line="480" w:lineRule="auto"/>
        <w:ind w:firstLine="537" w:firstLineChars="224"/>
        <w:rPr>
          <w:rFonts w:ascii="宋体" w:hAnsi="宋体"/>
          <w:sz w:val="24"/>
          <w:szCs w:val="24"/>
        </w:rPr>
      </w:pPr>
      <w:r>
        <w:rPr>
          <w:rFonts w:hint="eastAsia" w:ascii="宋体" w:hAnsi="宋体"/>
          <w:sz w:val="24"/>
          <w:szCs w:val="24"/>
        </w:rPr>
        <w:t>13、适用于财政投资项目：未被纳入失信联合惩戒名单且被限制参加财政投资工程或政府投资工程或建设工程投标的（具体名单以递交投标文件截止时间“信用广州”https://credit1.gz.gov.cn/sgs/sgsXkNew公布的“失信黑名单”为准）。</w:t>
      </w:r>
    </w:p>
    <w:p>
      <w:pPr>
        <w:spacing w:line="480" w:lineRule="auto"/>
        <w:ind w:firstLine="537" w:firstLineChars="224"/>
        <w:rPr>
          <w:rFonts w:ascii="宋体" w:hAnsi="宋体"/>
          <w:sz w:val="24"/>
        </w:rPr>
      </w:pPr>
      <w:r>
        <w:rPr>
          <w:rFonts w:hint="eastAsia" w:ascii="宋体" w:hAnsi="宋体"/>
          <w:sz w:val="24"/>
          <w:szCs w:val="24"/>
        </w:rPr>
        <w:t>注：因联合惩戒措施表述存在细微差别，惩戒措施与上文不完全一致但措施内容相同的，也应属于被限制参与相关项目的投标。</w:t>
      </w:r>
    </w:p>
    <w:p>
      <w:pPr>
        <w:pStyle w:val="13"/>
        <w:tabs>
          <w:tab w:val="left" w:pos="7380"/>
        </w:tabs>
        <w:spacing w:after="0" w:line="480" w:lineRule="auto"/>
        <w:ind w:firstLine="523" w:firstLineChars="218"/>
        <w:rPr>
          <w:rFonts w:ascii="宋体"/>
          <w:sz w:val="24"/>
        </w:rPr>
      </w:pPr>
      <w:r>
        <w:rPr>
          <w:rFonts w:hint="eastAsia" w:ascii="宋体" w:hAnsi="宋体"/>
          <w:sz w:val="24"/>
        </w:rPr>
        <w:t>注：未在招标公告第九条单列的资审合格条件，不作为资审不合格的依据。</w:t>
      </w:r>
    </w:p>
    <w:p>
      <w:pPr>
        <w:snapToGrid w:val="0"/>
        <w:spacing w:line="480" w:lineRule="auto"/>
        <w:ind w:firstLine="480" w:firstLineChars="200"/>
        <w:rPr>
          <w:rFonts w:ascii="宋体" w:cs="宋体"/>
          <w:sz w:val="24"/>
          <w:szCs w:val="24"/>
        </w:rPr>
      </w:pPr>
      <w:r>
        <w:rPr>
          <w:rFonts w:hint="eastAsia" w:ascii="宋体" w:hAnsi="宋体" w:cs="宋体"/>
          <w:sz w:val="24"/>
          <w:szCs w:val="24"/>
        </w:rPr>
        <w:t>十、资格审查方式：</w:t>
      </w:r>
    </w:p>
    <w:p>
      <w:pPr>
        <w:widowControl/>
        <w:snapToGrid w:val="0"/>
        <w:spacing w:line="480" w:lineRule="auto"/>
        <w:ind w:firstLine="480" w:firstLineChars="200"/>
        <w:rPr>
          <w:rFonts w:ascii="宋体" w:cs="宋体"/>
          <w:sz w:val="24"/>
          <w:szCs w:val="24"/>
        </w:rPr>
      </w:pPr>
      <w:r>
        <w:rPr>
          <w:rFonts w:hint="eastAsia" w:ascii="宋体" w:hAnsi="宋体" w:cs="宋体"/>
          <w:sz w:val="24"/>
          <w:szCs w:val="24"/>
        </w:rPr>
        <w:t>本工程采用资格后审方式，由评标委员会负责资格审查。</w:t>
      </w:r>
    </w:p>
    <w:p>
      <w:pPr>
        <w:snapToGrid w:val="0"/>
        <w:spacing w:line="480" w:lineRule="auto"/>
        <w:rPr>
          <w:rFonts w:ascii="宋体" w:hAnsi="宋体"/>
          <w:sz w:val="24"/>
        </w:rPr>
      </w:pPr>
      <w:r>
        <w:rPr>
          <w:rFonts w:hint="eastAsia" w:ascii="宋体" w:hAnsi="宋体"/>
          <w:sz w:val="24"/>
        </w:rPr>
        <w:t xml:space="preserve">    十一、资格审查结果将在</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和广东省招标投标监管网公示，</w:t>
      </w:r>
      <w:r>
        <w:rPr>
          <w:rFonts w:hint="eastAsia" w:ascii="宋体" w:hAnsi="宋体"/>
          <w:bCs/>
          <w:sz w:val="24"/>
        </w:rPr>
        <w:t>公示时间不得少于3日。</w:t>
      </w:r>
    </w:p>
    <w:p>
      <w:pPr>
        <w:snapToGrid w:val="0"/>
        <w:spacing w:line="480" w:lineRule="auto"/>
        <w:rPr>
          <w:rFonts w:ascii="宋体" w:hAnsi="宋体"/>
          <w:sz w:val="24"/>
        </w:rPr>
      </w:pPr>
      <w:r>
        <w:rPr>
          <w:rFonts w:hint="eastAsia" w:ascii="宋体" w:hAnsi="宋体"/>
          <w:sz w:val="24"/>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80" w:lineRule="auto"/>
        <w:ind w:firstLine="537" w:firstLineChars="224"/>
        <w:rPr>
          <w:rFonts w:ascii="宋体"/>
          <w:sz w:val="24"/>
        </w:rPr>
      </w:pPr>
      <w:r>
        <w:rPr>
          <w:rFonts w:hint="eastAsia" w:ascii="宋体" w:hAnsi="宋体"/>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firstLine="537" w:firstLineChars="224"/>
        <w:rPr>
          <w:rFonts w:ascii="宋体" w:hAnsi="宋体"/>
          <w:sz w:val="24"/>
        </w:rPr>
      </w:pPr>
      <w:r>
        <w:rPr>
          <w:rFonts w:hint="eastAsia" w:ascii="宋体" w:hAnsi="宋体"/>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80" w:lineRule="auto"/>
        <w:ind w:firstLine="537" w:firstLineChars="224"/>
        <w:rPr>
          <w:rFonts w:ascii="宋体" w:hAnsi="宋体"/>
          <w:sz w:val="24"/>
        </w:rPr>
      </w:pPr>
      <w:r>
        <w:rPr>
          <w:rFonts w:hint="eastAsia" w:ascii="宋体" w:hAnsi="宋体"/>
          <w:sz w:val="24"/>
        </w:rPr>
        <w:t>十五、潜在投标人或利害关系人对本招标公告及招标文件有异议的，应当在投标截止时间10日前向招标人书面提出。</w:t>
      </w:r>
    </w:p>
    <w:p>
      <w:pPr>
        <w:spacing w:line="480" w:lineRule="auto"/>
        <w:ind w:left="538" w:leftChars="256"/>
        <w:rPr>
          <w:rFonts w:ascii="宋体"/>
          <w:sz w:val="24"/>
          <w:u w:val="single"/>
        </w:rPr>
      </w:pPr>
      <w:r>
        <w:rPr>
          <w:rFonts w:hint="eastAsia" w:ascii="宋体" w:hAnsi="宋体"/>
          <w:sz w:val="24"/>
        </w:rPr>
        <w:t>异议受理部门：</w:t>
      </w:r>
      <w:r>
        <w:rPr>
          <w:rFonts w:hint="eastAsia" w:ascii="宋体" w:hAnsi="宋体"/>
          <w:sz w:val="24"/>
          <w:u w:val="single"/>
        </w:rPr>
        <w:t>中山大学附属第一医院</w:t>
      </w:r>
    </w:p>
    <w:p>
      <w:pPr>
        <w:spacing w:line="480" w:lineRule="auto"/>
        <w:ind w:firstLine="537" w:firstLineChars="224"/>
        <w:rPr>
          <w:rFonts w:ascii="宋体"/>
          <w:sz w:val="24"/>
          <w:u w:val="single"/>
        </w:rPr>
      </w:pPr>
      <w:r>
        <w:rPr>
          <w:rFonts w:hint="eastAsia" w:ascii="宋体" w:hAnsi="宋体"/>
          <w:sz w:val="24"/>
        </w:rPr>
        <w:t>异议受理电话：</w:t>
      </w:r>
      <w:r>
        <w:rPr>
          <w:rFonts w:hint="eastAsia" w:ascii="宋体" w:hAnsi="宋体"/>
          <w:sz w:val="24"/>
          <w:u w:val="single"/>
        </w:rPr>
        <w:t>020-87755766-8159/020-87608949</w:t>
      </w:r>
    </w:p>
    <w:p>
      <w:pPr>
        <w:spacing w:line="480" w:lineRule="auto"/>
        <w:ind w:firstLine="537" w:firstLineChars="224"/>
        <w:rPr>
          <w:rFonts w:ascii="宋体" w:hAnsi="宋体"/>
          <w:sz w:val="24"/>
          <w:u w:val="single"/>
        </w:rPr>
      </w:pPr>
      <w:r>
        <w:rPr>
          <w:rFonts w:hint="eastAsia" w:ascii="宋体" w:hAnsi="宋体"/>
          <w:sz w:val="24"/>
        </w:rPr>
        <w:t>地址：</w:t>
      </w:r>
      <w:r>
        <w:rPr>
          <w:rFonts w:hint="eastAsia" w:ascii="宋体" w:hAnsi="宋体"/>
          <w:sz w:val="24"/>
          <w:u w:val="single"/>
        </w:rPr>
        <w:t>广州市越秀区中山二路58号</w:t>
      </w:r>
    </w:p>
    <w:p>
      <w:pPr>
        <w:spacing w:line="480" w:lineRule="auto"/>
        <w:ind w:firstLine="480" w:firstLineChars="200"/>
        <w:rPr>
          <w:rFonts w:ascii="宋体" w:hAnsi="宋体"/>
          <w:sz w:val="24"/>
          <w:u w:val="single"/>
        </w:rPr>
      </w:pPr>
      <w:r>
        <w:rPr>
          <w:rFonts w:hint="eastAsia" w:ascii="宋体" w:hAnsi="宋体"/>
          <w:sz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80" w:lineRule="auto"/>
        <w:ind w:left="239" w:leftChars="114" w:firstLine="297" w:firstLineChars="124"/>
        <w:rPr>
          <w:rFonts w:ascii="宋体"/>
          <w:sz w:val="24"/>
        </w:rPr>
      </w:pPr>
      <w:r>
        <w:rPr>
          <w:rFonts w:hint="eastAsia" w:ascii="宋体" w:hAnsi="宋体"/>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80" w:lineRule="auto"/>
        <w:ind w:firstLine="537" w:firstLineChars="224"/>
        <w:rPr>
          <w:rFonts w:ascii="宋体"/>
          <w:sz w:val="24"/>
        </w:rPr>
      </w:pPr>
      <w:r>
        <w:rPr>
          <w:rFonts w:hint="eastAsia" w:ascii="宋体" w:hAnsi="宋体"/>
          <w:sz w:val="24"/>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537" w:firstLineChars="224"/>
        <w:rPr>
          <w:rFonts w:ascii="宋体" w:hAnsi="宋体"/>
          <w:sz w:val="24"/>
        </w:rPr>
      </w:pPr>
      <w:r>
        <w:rPr>
          <w:rFonts w:hint="eastAsia" w:ascii="宋体" w:hAnsi="宋体"/>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80" w:lineRule="auto"/>
        <w:ind w:firstLine="537" w:firstLineChars="224"/>
        <w:rPr>
          <w:rFonts w:ascii="宋体"/>
          <w:sz w:val="24"/>
        </w:rPr>
      </w:pPr>
      <w:r>
        <w:rPr>
          <w:rFonts w:hint="eastAsia" w:ascii="宋体"/>
          <w:sz w:val="24"/>
        </w:rPr>
        <w:t>十九、《投诉处理决定书》和《行政处理决定书》在</w:t>
      </w:r>
      <w:r>
        <w:rPr>
          <w:rFonts w:hint="eastAsia" w:ascii="宋体" w:hAnsi="宋体"/>
          <w:sz w:val="24"/>
        </w:rPr>
        <w:t>广州市住房和城乡建设局</w:t>
      </w:r>
      <w:r>
        <w:rPr>
          <w:rFonts w:hint="eastAsia" w:ascii="宋体"/>
          <w:sz w:val="24"/>
        </w:rPr>
        <w:t>网站上公布的，视为送达其他与决定书有关的当事人。</w:t>
      </w:r>
    </w:p>
    <w:p>
      <w:pPr>
        <w:spacing w:line="480" w:lineRule="auto"/>
        <w:ind w:firstLine="537" w:firstLineChars="224"/>
        <w:rPr>
          <w:rFonts w:ascii="宋体"/>
          <w:sz w:val="24"/>
        </w:rPr>
      </w:pPr>
      <w:r>
        <w:rPr>
          <w:rFonts w:hint="eastAsia" w:ascii="宋体"/>
          <w:sz w:val="24"/>
        </w:rPr>
        <w:t>特别提示：投标人在本项目招标人的工程项目中存在下列行为的，将被拒绝一定时期内参与招标人后续工程投标。（拒绝投标时限为180日历天）：</w:t>
      </w:r>
    </w:p>
    <w:p>
      <w:pPr>
        <w:spacing w:line="480" w:lineRule="auto"/>
        <w:ind w:firstLine="537" w:firstLineChars="224"/>
        <w:rPr>
          <w:rFonts w:ascii="宋体"/>
          <w:sz w:val="24"/>
        </w:rPr>
      </w:pPr>
      <w:r>
        <w:rPr>
          <w:rFonts w:hint="eastAsia" w:ascii="宋体"/>
          <w:sz w:val="24"/>
        </w:rPr>
        <w:t>1.将中标工程转包或者违法分包的；</w:t>
      </w:r>
    </w:p>
    <w:p>
      <w:pPr>
        <w:spacing w:line="480" w:lineRule="auto"/>
        <w:ind w:firstLine="537" w:firstLineChars="224"/>
        <w:rPr>
          <w:rFonts w:ascii="宋体"/>
          <w:sz w:val="24"/>
        </w:rPr>
      </w:pPr>
      <w:r>
        <w:rPr>
          <w:rFonts w:hint="eastAsia" w:ascii="宋体"/>
          <w:sz w:val="24"/>
        </w:rPr>
        <w:t>2.在中标工程中不执行质量、安全生产相关规定的，造成质量或安全事故的；</w:t>
      </w:r>
    </w:p>
    <w:p>
      <w:pPr>
        <w:spacing w:line="480" w:lineRule="auto"/>
        <w:ind w:firstLine="537" w:firstLineChars="224"/>
        <w:rPr>
          <w:rFonts w:ascii="宋体"/>
          <w:sz w:val="24"/>
        </w:rPr>
      </w:pPr>
      <w:r>
        <w:rPr>
          <w:rFonts w:hint="eastAsia" w:ascii="宋体"/>
          <w:sz w:val="24"/>
        </w:rPr>
        <w:t>3.存在围标或串标情形的；</w:t>
      </w:r>
    </w:p>
    <w:p>
      <w:pPr>
        <w:spacing w:line="480" w:lineRule="auto"/>
        <w:ind w:firstLine="537" w:firstLineChars="224"/>
        <w:rPr>
          <w:rFonts w:ascii="宋体"/>
          <w:sz w:val="24"/>
        </w:rPr>
      </w:pPr>
      <w:r>
        <w:rPr>
          <w:rFonts w:hint="eastAsia" w:ascii="宋体"/>
          <w:sz w:val="24"/>
        </w:rPr>
        <w:t>4.存在弄虚作假骗取中标、行贿情形的；</w:t>
      </w:r>
    </w:p>
    <w:p>
      <w:pPr>
        <w:spacing w:line="480" w:lineRule="auto"/>
        <w:ind w:firstLine="537" w:firstLineChars="224"/>
        <w:rPr>
          <w:rFonts w:ascii="宋体"/>
          <w:sz w:val="24"/>
        </w:rPr>
      </w:pPr>
      <w:r>
        <w:rPr>
          <w:rFonts w:hint="eastAsia" w:ascii="宋体"/>
          <w:sz w:val="24"/>
        </w:rPr>
        <w:t>5.拖欠农民工工资的；</w:t>
      </w:r>
    </w:p>
    <w:p>
      <w:pPr>
        <w:spacing w:line="480" w:lineRule="auto"/>
        <w:ind w:firstLine="537" w:firstLineChars="224"/>
        <w:rPr>
          <w:rFonts w:ascii="宋体"/>
          <w:sz w:val="24"/>
        </w:rPr>
      </w:pPr>
      <w:r>
        <w:rPr>
          <w:rFonts w:hint="eastAsia" w:ascii="宋体"/>
          <w:sz w:val="24"/>
        </w:rPr>
        <w:t>6.未按照国家、省、市有关建筑施工实名制管理和工人工资支付分账管理的规定执行，被行政监管部门处罚的；</w:t>
      </w:r>
    </w:p>
    <w:p>
      <w:pPr>
        <w:spacing w:line="480" w:lineRule="auto"/>
        <w:ind w:firstLine="537" w:firstLineChars="224"/>
        <w:rPr>
          <w:rFonts w:ascii="宋体"/>
          <w:sz w:val="24"/>
        </w:rPr>
      </w:pPr>
      <w:r>
        <w:rPr>
          <w:rFonts w:hint="eastAsia" w:ascii="宋体"/>
          <w:sz w:val="24"/>
        </w:rPr>
        <w:t>7.中标人在项目实施过程中选取的专业分包单位或劳务企业或劳务班组长与投标时不一致的（如有）。</w:t>
      </w:r>
    </w:p>
    <w:p>
      <w:pPr>
        <w:spacing w:line="480" w:lineRule="auto"/>
        <w:ind w:firstLine="537" w:firstLineChars="224"/>
        <w:rPr>
          <w:rFonts w:ascii="宋体"/>
          <w:sz w:val="24"/>
        </w:rPr>
      </w:pPr>
      <w:r>
        <w:rPr>
          <w:rFonts w:hint="eastAsia" w:ascii="宋体"/>
          <w:sz w:val="24"/>
        </w:rPr>
        <w:t>8.</w:t>
      </w:r>
      <w:r>
        <w:rPr>
          <w:rFonts w:hint="eastAsia" w:ascii="宋体"/>
          <w:sz w:val="24"/>
          <w:u w:val="single"/>
        </w:rPr>
        <w:t>存在因过错行为被生效法律文书认定承担违约或侵权责任的</w:t>
      </w:r>
      <w:r>
        <w:rPr>
          <w:rFonts w:hint="eastAsia" w:ascii="宋体"/>
          <w:sz w:val="24"/>
        </w:rPr>
        <w:t>。</w:t>
      </w:r>
    </w:p>
    <w:p>
      <w:pPr>
        <w:spacing w:line="480" w:lineRule="auto"/>
        <w:ind w:firstLine="537" w:firstLineChars="224"/>
        <w:rPr>
          <w:rFonts w:ascii="宋体"/>
          <w:sz w:val="24"/>
        </w:rPr>
      </w:pPr>
    </w:p>
    <w:p>
      <w:pPr>
        <w:spacing w:line="360" w:lineRule="auto"/>
        <w:ind w:right="1348" w:rightChars="642"/>
        <w:jc w:val="right"/>
        <w:rPr>
          <w:rFonts w:ascii="宋体" w:hAnsi="宋体"/>
          <w:sz w:val="24"/>
        </w:rPr>
      </w:pPr>
      <w:r>
        <w:rPr>
          <w:rFonts w:hint="eastAsia" w:ascii="宋体" w:hAnsi="宋体"/>
          <w:sz w:val="24"/>
        </w:rPr>
        <w:t>中山大学附属第一医院</w:t>
      </w:r>
    </w:p>
    <w:p>
      <w:pPr>
        <w:spacing w:line="360" w:lineRule="auto"/>
        <w:ind w:right="1348" w:rightChars="642"/>
        <w:jc w:val="right"/>
        <w:rPr>
          <w:rFonts w:ascii="宋体" w:hAnsi="宋体"/>
          <w:sz w:val="24"/>
        </w:rPr>
      </w:pPr>
      <w:r>
        <w:rPr>
          <w:rFonts w:hint="eastAsia" w:ascii="宋体" w:hAnsi="宋体"/>
          <w:sz w:val="24"/>
        </w:rPr>
        <w:t>国义招标股份有限公司</w:t>
      </w:r>
    </w:p>
    <w:p>
      <w:pPr>
        <w:spacing w:line="360" w:lineRule="auto"/>
        <w:ind w:right="1348" w:rightChars="642" w:firstLine="4860" w:firstLineChars="2025"/>
        <w:jc w:val="right"/>
        <w:rPr>
          <w:rFonts w:ascii="宋体" w:hAnsi="宋体"/>
          <w:sz w:val="24"/>
        </w:rPr>
      </w:pPr>
      <w:r>
        <w:rPr>
          <w:rFonts w:hint="eastAsia" w:ascii="宋体" w:hAnsi="宋体"/>
          <w:sz w:val="24"/>
        </w:rPr>
        <w:t>2023年  月  日</w:t>
      </w:r>
    </w:p>
    <w:p>
      <w:pPr>
        <w:spacing w:line="480" w:lineRule="auto"/>
        <w:ind w:right="1348" w:rightChars="642" w:firstLine="4860" w:firstLineChars="2025"/>
        <w:jc w:val="center"/>
        <w:rPr>
          <w:rFonts w:ascii="宋体"/>
          <w:sz w:val="24"/>
        </w:rPr>
        <w:sectPr>
          <w:footerReference r:id="rId3" w:type="default"/>
          <w:footerReference r:id="rId4" w:type="even"/>
          <w:endnotePr>
            <w:numFmt w:val="decimal"/>
          </w:endnotePr>
          <w:pgSz w:w="11906" w:h="16838"/>
          <w:pgMar w:top="1276" w:right="1134" w:bottom="1276" w:left="1134" w:header="851" w:footer="992" w:gutter="0"/>
          <w:cols w:space="425" w:num="1"/>
          <w:docGrid w:type="lines" w:linePitch="312" w:charSpace="0"/>
        </w:sectPr>
      </w:pPr>
    </w:p>
    <w:p>
      <w:pPr>
        <w:spacing w:line="360" w:lineRule="auto"/>
        <w:rPr>
          <w:b/>
          <w:sz w:val="44"/>
        </w:rPr>
      </w:pPr>
      <w:r>
        <w:rPr>
          <w:rFonts w:hint="eastAsia" w:ascii="宋体" w:hAnsi="宋体"/>
          <w:sz w:val="24"/>
        </w:rPr>
        <w:t>附件一：</w:t>
      </w:r>
    </w:p>
    <w:p>
      <w:pPr>
        <w:jc w:val="center"/>
        <w:rPr>
          <w:b/>
          <w:kern w:val="0"/>
          <w:sz w:val="32"/>
          <w:szCs w:val="32"/>
        </w:rPr>
      </w:pPr>
      <w:r>
        <w:rPr>
          <w:rFonts w:hint="eastAsia"/>
          <w:b/>
          <w:kern w:val="0"/>
          <w:sz w:val="32"/>
          <w:szCs w:val="32"/>
        </w:rPr>
        <w:t>投标人声明</w:t>
      </w:r>
    </w:p>
    <w:p>
      <w:pPr>
        <w:pStyle w:val="25"/>
        <w:ind w:firstLine="0"/>
        <w:rPr>
          <w:rFonts w:ascii="宋体" w:hAnsi="宋体" w:eastAsia="宋体"/>
          <w:color w:val="auto"/>
          <w:sz w:val="21"/>
          <w:szCs w:val="21"/>
        </w:rPr>
      </w:pPr>
    </w:p>
    <w:p>
      <w:pPr>
        <w:pStyle w:val="25"/>
        <w:ind w:firstLine="0"/>
        <w:rPr>
          <w:rFonts w:ascii="宋体" w:hAnsi="宋体" w:eastAsia="宋体"/>
          <w:color w:val="auto"/>
          <w:sz w:val="21"/>
          <w:szCs w:val="21"/>
        </w:rPr>
      </w:pPr>
      <w:r>
        <w:rPr>
          <w:rFonts w:hint="eastAsia" w:ascii="宋体" w:hAnsi="宋体" w:eastAsia="宋体"/>
          <w:color w:val="auto"/>
          <w:sz w:val="21"/>
          <w:szCs w:val="21"/>
        </w:rPr>
        <w:t>广州市住房和城乡建设局、本招标项目招标人及招标监管机构：</w:t>
      </w:r>
    </w:p>
    <w:p>
      <w:pPr>
        <w:pStyle w:val="25"/>
        <w:ind w:firstLine="420" w:firstLineChars="200"/>
        <w:rPr>
          <w:rFonts w:ascii="宋体" w:hAnsi="宋体" w:eastAsia="宋体"/>
          <w:color w:val="auto"/>
          <w:sz w:val="21"/>
          <w:szCs w:val="21"/>
        </w:rPr>
      </w:pPr>
      <w:r>
        <w:rPr>
          <w:rFonts w:hint="eastAsia" w:ascii="宋体" w:hAnsi="宋体" w:eastAsia="宋体"/>
          <w:color w:val="auto"/>
          <w:sz w:val="21"/>
          <w:szCs w:val="21"/>
        </w:rPr>
        <w:t>本公司就参加</w:t>
      </w:r>
      <w:r>
        <w:rPr>
          <w:rFonts w:hint="eastAsia" w:ascii="宋体" w:hAnsi="宋体" w:eastAsia="宋体"/>
          <w:color w:val="auto"/>
          <w:sz w:val="21"/>
          <w:szCs w:val="21"/>
          <w:u w:val="single"/>
        </w:rPr>
        <w:t xml:space="preserve">     （项目名称）     </w:t>
      </w:r>
      <w:r>
        <w:rPr>
          <w:rFonts w:hint="eastAsia" w:ascii="宋体" w:hAnsi="宋体" w:eastAsia="宋体"/>
          <w:color w:val="auto"/>
          <w:sz w:val="21"/>
          <w:szCs w:val="21"/>
        </w:rPr>
        <w:t>投标工作，作出郑重声明：</w:t>
      </w:r>
    </w:p>
    <w:p>
      <w:pPr>
        <w:pStyle w:val="25"/>
        <w:ind w:firstLine="420" w:firstLineChars="200"/>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一、本公司保证投标文件及其后提供的一切材料都是真实的。如我司成为本项目中标候选人，我司同意并授权招标人将我司投标文件商务部分文件的人员、业绩、奖项等资料进行公开。</w:t>
      </w:r>
    </w:p>
    <w:p>
      <w:pPr>
        <w:pStyle w:val="25"/>
        <w:ind w:firstLine="420" w:firstLineChars="200"/>
        <w:rPr>
          <w:rFonts w:ascii="宋体" w:hAnsi="宋体" w:eastAsia="宋体"/>
          <w:color w:val="auto"/>
          <w:sz w:val="21"/>
          <w:szCs w:val="21"/>
        </w:rPr>
      </w:pPr>
      <w:r>
        <w:rPr>
          <w:rFonts w:hint="eastAsia" w:ascii="宋体" w:hAnsi="宋体" w:eastAsia="宋体"/>
          <w:color w:val="auto"/>
          <w:sz w:val="21"/>
          <w:szCs w:val="21"/>
        </w:rPr>
        <w:t>二、本公司保证在本项目投标中不与其他单位围标、串标，不出让投标资格，不向招标人或评标委员会成员行贿。</w:t>
      </w:r>
    </w:p>
    <w:p>
      <w:pPr>
        <w:pStyle w:val="25"/>
        <w:ind w:firstLine="420" w:firstLineChars="200"/>
        <w:rPr>
          <w:rFonts w:ascii="宋体" w:hAnsi="宋体" w:eastAsia="宋体"/>
          <w:color w:val="auto"/>
          <w:sz w:val="21"/>
          <w:szCs w:val="21"/>
        </w:rPr>
      </w:pPr>
      <w:r>
        <w:rPr>
          <w:rFonts w:hint="eastAsia" w:ascii="宋体" w:hAnsi="宋体" w:eastAsia="宋体"/>
          <w:color w:val="auto"/>
          <w:sz w:val="21"/>
          <w:szCs w:val="21"/>
        </w:rPr>
        <w:t>三、本公司不存在下列情形之一：</w:t>
      </w:r>
    </w:p>
    <w:p>
      <w:pPr>
        <w:pStyle w:val="2"/>
        <w:spacing w:line="360" w:lineRule="auto"/>
        <w:ind w:firstLine="420" w:firstLineChars="200"/>
        <w:rPr>
          <w:rFonts w:hAnsi="宋体" w:cs="宋体"/>
          <w:bCs/>
          <w:color w:val="000000"/>
          <w:kern w:val="0"/>
          <w:szCs w:val="21"/>
        </w:rPr>
      </w:pPr>
      <w:r>
        <w:rPr>
          <w:rFonts w:hint="eastAsia" w:hAnsi="宋体" w:cs="宋体"/>
          <w:bCs/>
          <w:color w:val="000000"/>
          <w:kern w:val="0"/>
          <w:szCs w:val="21"/>
        </w:rPr>
        <w:t>（一）为招标人不具有独立法人资格的附属机构（单位）；</w:t>
      </w:r>
    </w:p>
    <w:p>
      <w:pPr>
        <w:pStyle w:val="2"/>
        <w:spacing w:line="360" w:lineRule="auto"/>
        <w:ind w:firstLine="420" w:firstLineChars="200"/>
        <w:rPr>
          <w:rFonts w:hAnsi="宋体" w:cs="宋体"/>
          <w:bCs/>
          <w:color w:val="000000"/>
          <w:kern w:val="0"/>
          <w:szCs w:val="21"/>
        </w:rPr>
      </w:pPr>
      <w:r>
        <w:rPr>
          <w:rFonts w:hint="eastAsia" w:hAnsi="宋体" w:cs="宋体"/>
          <w:bCs/>
          <w:color w:val="000000"/>
          <w:kern w:val="0"/>
          <w:szCs w:val="21"/>
        </w:rPr>
        <w:t>（二）为本标段前期准备提供设计或咨询服务或者与本项目设计人或提供咨询服务的机构存在附属关系的；</w:t>
      </w:r>
    </w:p>
    <w:p>
      <w:pPr>
        <w:pStyle w:val="2"/>
        <w:spacing w:line="360" w:lineRule="auto"/>
        <w:ind w:firstLine="420" w:firstLineChars="200"/>
        <w:rPr>
          <w:rFonts w:hAnsi="宋体" w:cs="宋体"/>
          <w:bCs/>
          <w:color w:val="000000"/>
          <w:kern w:val="0"/>
          <w:szCs w:val="21"/>
        </w:rPr>
      </w:pPr>
      <w:r>
        <w:rPr>
          <w:rFonts w:hint="eastAsia" w:hAnsi="宋体" w:cs="宋体"/>
          <w:bCs/>
          <w:color w:val="000000"/>
          <w:kern w:val="0"/>
          <w:szCs w:val="21"/>
        </w:rPr>
        <w:t>（三）为本</w:t>
      </w:r>
      <w:r>
        <w:rPr>
          <w:rFonts w:hint="eastAsia" w:hAnsi="宋体" w:cs="宋体"/>
          <w:b/>
          <w:color w:val="000000"/>
          <w:kern w:val="0"/>
          <w:szCs w:val="21"/>
        </w:rPr>
        <w:t>标段</w:t>
      </w:r>
      <w:r>
        <w:rPr>
          <w:rFonts w:hint="eastAsia" w:hAnsi="宋体" w:cs="宋体"/>
          <w:bCs/>
          <w:color w:val="000000"/>
          <w:kern w:val="0"/>
          <w:szCs w:val="21"/>
        </w:rPr>
        <w:t>监理人或者与本</w:t>
      </w:r>
      <w:r>
        <w:rPr>
          <w:rFonts w:hint="eastAsia" w:hAnsi="宋体" w:cs="宋体"/>
          <w:b/>
          <w:color w:val="000000"/>
          <w:kern w:val="0"/>
          <w:szCs w:val="21"/>
        </w:rPr>
        <w:t>标段</w:t>
      </w:r>
      <w:r>
        <w:rPr>
          <w:rFonts w:hint="eastAsia" w:hAnsi="宋体" w:cs="宋体"/>
          <w:bCs/>
          <w:color w:val="000000"/>
          <w:kern w:val="0"/>
          <w:szCs w:val="21"/>
        </w:rPr>
        <w:t>监理人存在隶属关系或者其他利害关系；</w:t>
      </w:r>
    </w:p>
    <w:p>
      <w:pPr>
        <w:pStyle w:val="2"/>
        <w:spacing w:line="360" w:lineRule="auto"/>
        <w:ind w:firstLine="420" w:firstLineChars="200"/>
        <w:rPr>
          <w:rFonts w:hAnsi="宋体" w:cs="宋体"/>
          <w:bCs/>
          <w:color w:val="000000"/>
          <w:kern w:val="0"/>
          <w:szCs w:val="21"/>
        </w:rPr>
      </w:pPr>
      <w:r>
        <w:rPr>
          <w:rFonts w:hint="eastAsia" w:hAnsi="宋体" w:cs="宋体"/>
          <w:bCs/>
          <w:color w:val="000000"/>
          <w:kern w:val="0"/>
          <w:szCs w:val="21"/>
        </w:rPr>
        <w:t>（四）为本标段的代建人；</w:t>
      </w:r>
    </w:p>
    <w:p>
      <w:pPr>
        <w:pStyle w:val="2"/>
        <w:spacing w:line="360" w:lineRule="auto"/>
        <w:ind w:firstLine="420" w:firstLineChars="200"/>
        <w:rPr>
          <w:rFonts w:hAnsi="宋体" w:cs="宋体"/>
          <w:bCs/>
          <w:color w:val="000000"/>
          <w:kern w:val="0"/>
          <w:szCs w:val="21"/>
        </w:rPr>
      </w:pPr>
      <w:r>
        <w:rPr>
          <w:rFonts w:hint="eastAsia" w:hAnsi="宋体" w:cs="宋体"/>
          <w:bCs/>
          <w:color w:val="000000"/>
          <w:kern w:val="0"/>
          <w:szCs w:val="21"/>
        </w:rPr>
        <w:t>（五）为本标段提供招标代理服务的；</w:t>
      </w:r>
    </w:p>
    <w:p>
      <w:pPr>
        <w:pStyle w:val="2"/>
        <w:spacing w:line="360" w:lineRule="auto"/>
        <w:ind w:firstLine="420" w:firstLineChars="200"/>
        <w:rPr>
          <w:rFonts w:hAnsi="宋体" w:cs="宋体"/>
          <w:bCs/>
          <w:color w:val="000000"/>
          <w:kern w:val="0"/>
          <w:szCs w:val="21"/>
        </w:rPr>
      </w:pPr>
      <w:r>
        <w:rPr>
          <w:rFonts w:hint="eastAsia" w:hAnsi="宋体" w:cs="宋体"/>
          <w:bCs/>
          <w:color w:val="000000"/>
          <w:kern w:val="0"/>
          <w:szCs w:val="21"/>
        </w:rPr>
        <w:t>（六）与本标段的监理人或代建人或招标代理机构同为一个法定代表人的；</w:t>
      </w:r>
    </w:p>
    <w:p>
      <w:pPr>
        <w:pStyle w:val="2"/>
        <w:spacing w:line="360" w:lineRule="auto"/>
        <w:ind w:firstLine="420" w:firstLineChars="200"/>
        <w:rPr>
          <w:rFonts w:hAnsi="宋体" w:cs="宋体"/>
          <w:bCs/>
          <w:color w:val="000000"/>
          <w:kern w:val="0"/>
          <w:szCs w:val="21"/>
        </w:rPr>
      </w:pPr>
      <w:r>
        <w:rPr>
          <w:rFonts w:hint="eastAsia" w:hAnsi="宋体" w:cs="宋体"/>
          <w:bCs/>
          <w:color w:val="000000"/>
          <w:kern w:val="0"/>
          <w:szCs w:val="21"/>
        </w:rPr>
        <w:t>（七）与本标段的监理人或代建人或招标代理机构互相控股或参股的；</w:t>
      </w:r>
    </w:p>
    <w:p>
      <w:pPr>
        <w:pStyle w:val="2"/>
        <w:spacing w:line="360" w:lineRule="auto"/>
        <w:ind w:firstLine="420" w:firstLineChars="200"/>
        <w:rPr>
          <w:rFonts w:hAnsi="宋体" w:cs="宋体"/>
          <w:bCs/>
          <w:color w:val="000000"/>
          <w:kern w:val="0"/>
          <w:szCs w:val="21"/>
        </w:rPr>
      </w:pPr>
      <w:r>
        <w:rPr>
          <w:rFonts w:hint="eastAsia" w:hAnsi="宋体" w:cs="宋体"/>
          <w:bCs/>
          <w:color w:val="000000"/>
          <w:kern w:val="0"/>
          <w:szCs w:val="21"/>
        </w:rPr>
        <w:t>（八）与本标段的监理人或代建人或招标代理机构相互任职或工作的；</w:t>
      </w:r>
    </w:p>
    <w:p>
      <w:pPr>
        <w:pStyle w:val="2"/>
        <w:spacing w:line="360" w:lineRule="auto"/>
        <w:ind w:firstLine="420" w:firstLineChars="200"/>
        <w:rPr>
          <w:rFonts w:hAnsi="宋体" w:cs="宋体"/>
          <w:bCs/>
          <w:color w:val="000000"/>
          <w:kern w:val="0"/>
          <w:szCs w:val="21"/>
        </w:rPr>
      </w:pPr>
      <w:r>
        <w:rPr>
          <w:rFonts w:hint="eastAsia" w:hAnsi="宋体" w:cs="宋体"/>
          <w:bCs/>
          <w:color w:val="000000"/>
          <w:kern w:val="0"/>
          <w:szCs w:val="21"/>
        </w:rPr>
        <w:t>（九）与本标段的检测机构有隶属关系或者其他利害关系；</w:t>
      </w:r>
    </w:p>
    <w:p>
      <w:pPr>
        <w:pStyle w:val="2"/>
        <w:spacing w:line="360" w:lineRule="auto"/>
        <w:ind w:firstLine="420" w:firstLineChars="200"/>
        <w:rPr>
          <w:rFonts w:hAnsi="宋体" w:cs="宋体"/>
          <w:bCs/>
          <w:color w:val="000000"/>
          <w:kern w:val="0"/>
          <w:szCs w:val="21"/>
        </w:rPr>
      </w:pPr>
      <w:r>
        <w:rPr>
          <w:rFonts w:hint="eastAsia" w:hAnsi="宋体" w:cs="宋体"/>
          <w:bCs/>
          <w:color w:val="000000"/>
          <w:kern w:val="0"/>
          <w:szCs w:val="21"/>
        </w:rPr>
        <w:t xml:space="preserve">（十）与招标人存在利害关系且可能影响招标公正性； </w:t>
      </w:r>
    </w:p>
    <w:p>
      <w:pPr>
        <w:pStyle w:val="2"/>
        <w:spacing w:line="360" w:lineRule="auto"/>
        <w:ind w:firstLine="420" w:firstLineChars="200"/>
        <w:rPr>
          <w:rFonts w:hAnsi="宋体" w:cs="宋体"/>
          <w:bCs/>
          <w:color w:val="000000"/>
          <w:kern w:val="0"/>
          <w:szCs w:val="21"/>
        </w:rPr>
      </w:pPr>
      <w:r>
        <w:rPr>
          <w:rFonts w:hint="eastAsia" w:hAnsi="宋体" w:cs="宋体"/>
          <w:bCs/>
          <w:color w:val="000000"/>
          <w:kern w:val="0"/>
          <w:szCs w:val="21"/>
        </w:rPr>
        <w:t>（十一）被依法暂停或取消投标资格的；（</w:t>
      </w:r>
      <w:r>
        <w:rPr>
          <w:rFonts w:hint="eastAsia" w:hAnsi="宋体" w:cs="宋体"/>
          <w:b/>
          <w:color w:val="000000"/>
          <w:kern w:val="0"/>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hAnsi="宋体" w:cs="宋体"/>
          <w:bCs/>
          <w:color w:val="000000"/>
          <w:kern w:val="0"/>
          <w:szCs w:val="21"/>
        </w:rPr>
        <w:t xml:space="preserve">） </w:t>
      </w:r>
    </w:p>
    <w:p>
      <w:pPr>
        <w:pStyle w:val="2"/>
        <w:spacing w:line="360" w:lineRule="auto"/>
        <w:ind w:firstLine="420" w:firstLineChars="200"/>
        <w:rPr>
          <w:rFonts w:hAnsi="宋体" w:cs="宋体"/>
          <w:bCs/>
          <w:color w:val="000000"/>
          <w:kern w:val="0"/>
          <w:szCs w:val="21"/>
        </w:rPr>
      </w:pPr>
      <w:r>
        <w:rPr>
          <w:rFonts w:hint="eastAsia" w:hAnsi="宋体" w:cs="宋体"/>
          <w:bCs/>
          <w:color w:val="000000"/>
          <w:kern w:val="0"/>
          <w:szCs w:val="21"/>
        </w:rPr>
        <w:t>（十二）被责令停产停业、暂扣或者吊销许可证、暂扣或者吊销执照的</w:t>
      </w:r>
      <w:r>
        <w:rPr>
          <w:rFonts w:hint="eastAsia" w:hAnsi="宋体" w:cs="宋体"/>
          <w:b/>
          <w:color w:val="000000"/>
          <w:kern w:val="0"/>
          <w:szCs w:val="21"/>
        </w:rPr>
        <w:t>（</w:t>
      </w:r>
      <w:r>
        <w:rPr>
          <w:rFonts w:hint="eastAsia" w:hAnsi="宋体" w:cs="宋体"/>
          <w:b/>
          <w:color w:val="000000"/>
          <w:kern w:val="0"/>
          <w:szCs w:val="21"/>
          <w:lang w:val="zh-CN"/>
        </w:rPr>
        <w:t>本项事实应当以根据《中华人民共和国行政处罚法》依法作出并已经生效的行政处罚决定为认定依据。</w:t>
      </w:r>
      <w:r>
        <w:rPr>
          <w:rFonts w:hint="eastAsia" w:hAnsi="宋体" w:cs="宋体"/>
          <w:b/>
          <w:color w:val="000000"/>
          <w:kern w:val="0"/>
          <w:szCs w:val="21"/>
        </w:rPr>
        <w:t>）</w:t>
      </w:r>
      <w:r>
        <w:rPr>
          <w:rFonts w:hint="eastAsia" w:hAnsi="宋体" w:cs="宋体"/>
          <w:bCs/>
          <w:color w:val="000000"/>
          <w:kern w:val="0"/>
          <w:szCs w:val="21"/>
        </w:rPr>
        <w:t>；</w:t>
      </w:r>
    </w:p>
    <w:p>
      <w:pPr>
        <w:pStyle w:val="2"/>
        <w:spacing w:line="360" w:lineRule="auto"/>
        <w:ind w:firstLine="420" w:firstLineChars="200"/>
        <w:rPr>
          <w:rFonts w:hAnsi="宋体" w:cs="宋体"/>
          <w:bCs/>
          <w:color w:val="000000"/>
          <w:kern w:val="0"/>
          <w:szCs w:val="21"/>
        </w:rPr>
      </w:pPr>
      <w:r>
        <w:rPr>
          <w:rFonts w:hint="eastAsia" w:hAnsi="宋体" w:cs="宋体"/>
          <w:bCs/>
          <w:color w:val="000000"/>
          <w:kern w:val="0"/>
          <w:szCs w:val="21"/>
        </w:rPr>
        <w:t>（十三）进入清算程序，或被宣布破产，或其他丧失履约能力的情形；</w:t>
      </w:r>
    </w:p>
    <w:p>
      <w:pPr>
        <w:pStyle w:val="2"/>
        <w:spacing w:line="360" w:lineRule="auto"/>
        <w:ind w:firstLine="420" w:firstLineChars="200"/>
        <w:rPr>
          <w:rFonts w:hAnsi="宋体" w:cs="宋体"/>
          <w:bCs/>
          <w:color w:val="000000"/>
          <w:kern w:val="0"/>
          <w:szCs w:val="21"/>
        </w:rPr>
      </w:pPr>
      <w:r>
        <w:rPr>
          <w:rFonts w:hint="eastAsia" w:hAnsi="宋体" w:cs="宋体"/>
          <w:bCs/>
          <w:color w:val="000000"/>
          <w:kern w:val="0"/>
          <w:szCs w:val="21"/>
        </w:rPr>
        <w:t>（十四）在最近三年内有严重违约或重大工程质量问题的；</w:t>
      </w:r>
      <w:r>
        <w:rPr>
          <w:rFonts w:hint="eastAsia" w:hAnsi="宋体" w:cs="宋体"/>
          <w:b/>
          <w:color w:val="000000"/>
          <w:kern w:val="0"/>
          <w:szCs w:val="21"/>
        </w:rPr>
        <w:t>（</w:t>
      </w:r>
      <w:r>
        <w:rPr>
          <w:rFonts w:hint="eastAsia" w:hAnsi="宋体" w:cs="宋体"/>
          <w:b/>
          <w:color w:val="000000"/>
          <w:kern w:val="0"/>
          <w:szCs w:val="21"/>
          <w:lang w:val="zh-CN"/>
        </w:rPr>
        <w:t>“严重违约”事实应当以</w:t>
      </w:r>
      <w:r>
        <w:rPr>
          <w:rFonts w:hint="eastAsia" w:hAnsi="宋体" w:cs="宋体"/>
          <w:b/>
          <w:color w:val="000000"/>
          <w:kern w:val="0"/>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5"/>
        <w:ind w:firstLine="420" w:firstLineChars="200"/>
        <w:rPr>
          <w:rFonts w:ascii="宋体" w:hAnsi="宋体" w:eastAsia="宋体"/>
          <w:color w:val="auto"/>
          <w:sz w:val="21"/>
          <w:szCs w:val="21"/>
        </w:rPr>
      </w:pPr>
      <w:r>
        <w:rPr>
          <w:rFonts w:hint="eastAsia" w:ascii="宋体" w:hAnsi="宋体" w:eastAsia="宋体" w:cs="宋体"/>
          <w:bCs/>
          <w:sz w:val="21"/>
          <w:szCs w:val="21"/>
        </w:rPr>
        <w:t>（十五）法律法规规定的其他情形。</w:t>
      </w:r>
    </w:p>
    <w:p>
      <w:pPr>
        <w:pStyle w:val="25"/>
        <w:ind w:firstLine="420" w:firstLineChars="200"/>
        <w:rPr>
          <w:rFonts w:ascii="宋体" w:hAnsi="宋体" w:eastAsia="宋体"/>
          <w:color w:val="auto"/>
          <w:sz w:val="21"/>
          <w:szCs w:val="21"/>
        </w:rPr>
      </w:pPr>
      <w:r>
        <w:rPr>
          <w:rFonts w:hint="eastAsia" w:ascii="宋体" w:hAnsi="宋体" w:eastAsia="宋体"/>
          <w:color w:val="auto"/>
          <w:sz w:val="21"/>
          <w:szCs w:val="21"/>
        </w:rPr>
        <w:t>四、本公司保证：本项目拟派的项目负责人没有在其他在建项目中任施工单位项目负责人，本项目拟派的专职安全员没有在其他在建项目中任职。</w:t>
      </w:r>
    </w:p>
    <w:p>
      <w:pPr>
        <w:widowControl/>
        <w:spacing w:line="360" w:lineRule="auto"/>
        <w:ind w:firstLine="422" w:firstLineChars="200"/>
        <w:jc w:val="left"/>
        <w:rPr>
          <w:rFonts w:ascii="宋体" w:hAnsi="宋体"/>
          <w:b/>
          <w:bCs/>
          <w:kern w:val="0"/>
          <w:szCs w:val="21"/>
        </w:rPr>
      </w:pPr>
      <w:r>
        <w:rPr>
          <w:rFonts w:hint="eastAsia" w:ascii="宋体" w:hAnsi="宋体"/>
          <w:b/>
          <w:bCs/>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420" w:firstLineChars="200"/>
        <w:jc w:val="left"/>
        <w:rPr>
          <w:rFonts w:ascii="宋体" w:hAnsi="宋体"/>
          <w:kern w:val="0"/>
          <w:szCs w:val="21"/>
        </w:rPr>
      </w:pPr>
      <w:r>
        <w:rPr>
          <w:rFonts w:hint="eastAsia" w:ascii="宋体" w:hAnsi="宋体"/>
          <w:kern w:val="0"/>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5"/>
        <w:ind w:firstLine="420" w:firstLineChars="200"/>
        <w:rPr>
          <w:rFonts w:ascii="宋体" w:hAnsi="宋体" w:eastAsia="宋体"/>
          <w:color w:val="auto"/>
          <w:sz w:val="21"/>
          <w:szCs w:val="21"/>
        </w:rPr>
      </w:pPr>
      <w:r>
        <w:rPr>
          <w:rFonts w:hint="eastAsia" w:ascii="宋体" w:hAnsi="宋体" w:eastAsia="宋体"/>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pPr>
        <w:pStyle w:val="25"/>
        <w:ind w:firstLine="420" w:firstLineChars="200"/>
        <w:jc w:val="left"/>
        <w:rPr>
          <w:rFonts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 。（注：本条由投标人如实填写，如有，应列出全部满足招标公告资质要求的相关单位的名称；如无，则填写“无”。）</w:t>
      </w:r>
    </w:p>
    <w:p>
      <w:pPr>
        <w:pStyle w:val="25"/>
        <w:ind w:firstLine="420" w:firstLineChars="200"/>
        <w:rPr>
          <w:rFonts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5"/>
        <w:ind w:firstLine="420" w:firstLineChars="200"/>
        <w:rPr>
          <w:rFonts w:ascii="宋体" w:hAnsi="宋体" w:eastAsia="宋体"/>
          <w:color w:val="auto"/>
          <w:sz w:val="21"/>
          <w:szCs w:val="21"/>
        </w:rPr>
      </w:pPr>
      <w:r>
        <w:rPr>
          <w:rFonts w:hint="eastAsia" w:ascii="宋体" w:hAnsi="宋体" w:eastAsia="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5"/>
        <w:ind w:firstLine="420" w:firstLineChars="200"/>
        <w:rPr>
          <w:rFonts w:ascii="宋体" w:hAnsi="宋体" w:eastAsia="宋体"/>
          <w:color w:val="auto"/>
          <w:sz w:val="21"/>
          <w:szCs w:val="21"/>
        </w:rPr>
      </w:pPr>
      <w:r>
        <w:rPr>
          <w:rFonts w:hint="eastAsia" w:ascii="宋体" w:hAnsi="宋体" w:eastAsia="宋体"/>
          <w:color w:val="auto"/>
          <w:sz w:val="21"/>
          <w:szCs w:val="21"/>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pStyle w:val="25"/>
        <w:ind w:firstLine="420" w:firstLineChars="200"/>
        <w:rPr>
          <w:rFonts w:ascii="宋体" w:hAnsi="宋体" w:eastAsia="宋体"/>
          <w:color w:val="auto"/>
          <w:sz w:val="21"/>
          <w:szCs w:val="21"/>
        </w:rPr>
      </w:pPr>
      <w:r>
        <w:rPr>
          <w:rFonts w:hint="eastAsia" w:ascii="宋体" w:hAnsi="宋体" w:eastAsia="宋体"/>
          <w:color w:val="auto"/>
          <w:sz w:val="21"/>
          <w:szCs w:val="21"/>
        </w:rPr>
        <w:t>特此声明。</w:t>
      </w:r>
    </w:p>
    <w:p>
      <w:pPr>
        <w:pStyle w:val="26"/>
        <w:ind w:left="629" w:right="1449"/>
        <w:jc w:val="both"/>
        <w:rPr>
          <w:rFonts w:ascii="宋体" w:hAnsi="宋体" w:eastAsia="宋体"/>
          <w:color w:val="auto"/>
          <w:sz w:val="21"/>
          <w:szCs w:val="21"/>
        </w:rPr>
      </w:pPr>
      <w:r>
        <w:rPr>
          <w:rFonts w:hint="eastAsia" w:ascii="宋体" w:hAnsi="宋体" w:eastAsia="宋体"/>
          <w:color w:val="auto"/>
          <w:sz w:val="21"/>
          <w:szCs w:val="21"/>
        </w:rPr>
        <w:t xml:space="preserve">                         声明企业：</w:t>
      </w:r>
    </w:p>
    <w:p>
      <w:pPr>
        <w:pStyle w:val="25"/>
        <w:ind w:right="1179" w:firstLine="0"/>
        <w:rPr>
          <w:rFonts w:ascii="宋体" w:hAnsi="宋体" w:eastAsia="宋体"/>
          <w:color w:val="auto"/>
          <w:sz w:val="21"/>
          <w:szCs w:val="21"/>
        </w:rPr>
      </w:pPr>
      <w:r>
        <w:rPr>
          <w:rFonts w:hint="eastAsia" w:ascii="宋体" w:hAnsi="宋体" w:eastAsia="宋体"/>
          <w:color w:val="auto"/>
          <w:sz w:val="21"/>
          <w:szCs w:val="21"/>
        </w:rPr>
        <w:t xml:space="preserve">                             法定代表人签字：</w:t>
      </w:r>
    </w:p>
    <w:p>
      <w:pPr>
        <w:pStyle w:val="25"/>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25"/>
        <w:ind w:right="879" w:firstLine="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25"/>
        <w:ind w:right="879" w:firstLine="5040" w:firstLineChars="2400"/>
        <w:jc w:val="left"/>
        <w:rPr>
          <w:rFonts w:ascii="宋体" w:hAnsi="宋体" w:eastAsia="宋体"/>
          <w:color w:val="auto"/>
          <w:sz w:val="21"/>
          <w:szCs w:val="21"/>
        </w:rPr>
      </w:pPr>
      <w:r>
        <w:rPr>
          <w:rFonts w:hint="eastAsia" w:ascii="宋体" w:hAnsi="宋体" w:eastAsia="宋体"/>
          <w:color w:val="auto"/>
          <w:sz w:val="21"/>
          <w:szCs w:val="21"/>
        </w:rPr>
        <w:t xml:space="preserve">年   月   日                 </w:t>
      </w:r>
    </w:p>
    <w:p>
      <w:pPr>
        <w:pStyle w:val="25"/>
        <w:ind w:right="879" w:firstLine="5040" w:firstLineChars="2400"/>
        <w:jc w:val="left"/>
        <w:rPr>
          <w:rFonts w:ascii="宋体" w:hAnsi="宋体" w:eastAsia="宋体"/>
          <w:color w:val="auto"/>
          <w:sz w:val="21"/>
          <w:szCs w:val="21"/>
        </w:rPr>
      </w:pPr>
      <w:r>
        <w:rPr>
          <w:rFonts w:hint="eastAsia" w:ascii="宋体" w:hAnsi="宋体" w:eastAsia="宋体"/>
          <w:color w:val="auto"/>
          <w:sz w:val="21"/>
          <w:szCs w:val="21"/>
        </w:rPr>
        <w:t xml:space="preserve"> （企业公章）</w:t>
      </w:r>
    </w:p>
    <w:p>
      <w:pPr>
        <w:widowControl/>
        <w:snapToGrid w:val="0"/>
        <w:spacing w:line="480" w:lineRule="auto"/>
        <w:ind w:right="102"/>
        <w:jc w:val="left"/>
        <w:rPr>
          <w:rFonts w:ascii="宋体" w:hAnsi="宋体"/>
          <w:kern w:val="0"/>
          <w:szCs w:val="21"/>
        </w:rPr>
      </w:pPr>
      <w:r>
        <w:rPr>
          <w:rFonts w:hint="eastAsia" w:ascii="宋体" w:hAnsi="宋体"/>
          <w:kern w:val="0"/>
          <w:szCs w:val="21"/>
        </w:rPr>
        <w:t xml:space="preserve">注：招标人应当要求投标人的项目负责人和技术负责人签字。 </w:t>
      </w:r>
    </w:p>
    <w:p>
      <w:pPr>
        <w:widowControl/>
        <w:jc w:val="left"/>
        <w:rPr>
          <w:rFonts w:ascii="宋体" w:hAnsi="宋体"/>
          <w:kern w:val="0"/>
          <w:szCs w:val="21"/>
        </w:rPr>
      </w:pPr>
      <w:r>
        <w:rPr>
          <w:rFonts w:hint="eastAsia" w:ascii="宋体" w:hAnsi="宋体"/>
          <w:kern w:val="0"/>
          <w:szCs w:val="21"/>
        </w:rPr>
        <w:br w:type="page"/>
      </w:r>
    </w:p>
    <w:p>
      <w:pPr>
        <w:rPr>
          <w:rFonts w:ascii="宋体" w:hAnsi="宋体" w:cs="宋体"/>
          <w:sz w:val="24"/>
        </w:rPr>
      </w:pPr>
      <w:r>
        <w:rPr>
          <w:rFonts w:hint="eastAsia" w:ascii="宋体" w:hAnsi="宋体" w:cs="宋体"/>
          <w:sz w:val="24"/>
        </w:rPr>
        <w:t>附件二：</w:t>
      </w:r>
    </w:p>
    <w:p>
      <w:pPr>
        <w:snapToGrid w:val="0"/>
        <w:spacing w:after="78" w:afterLines="25" w:line="300" w:lineRule="auto"/>
        <w:ind w:firstLine="629"/>
        <w:rPr>
          <w:rFonts w:ascii="宋体" w:hAnsi="宋体"/>
          <w:kern w:val="0"/>
          <w:szCs w:val="21"/>
        </w:rPr>
      </w:pPr>
    </w:p>
    <w:p>
      <w:pPr>
        <w:snapToGrid w:val="0"/>
        <w:spacing w:after="78" w:afterLines="25" w:line="480" w:lineRule="auto"/>
        <w:jc w:val="center"/>
        <w:rPr>
          <w:rFonts w:ascii="宋体" w:hAnsi="宋体"/>
          <w:b/>
          <w:kern w:val="0"/>
          <w:sz w:val="36"/>
          <w:szCs w:val="36"/>
        </w:rPr>
      </w:pPr>
      <w:r>
        <w:rPr>
          <w:rFonts w:hint="eastAsia" w:ascii="宋体" w:hAnsi="宋体"/>
          <w:b/>
          <w:kern w:val="0"/>
          <w:sz w:val="36"/>
          <w:szCs w:val="36"/>
        </w:rPr>
        <w:t>施工项目管理团队人员信息表</w:t>
      </w:r>
    </w:p>
    <w:tbl>
      <w:tblPr>
        <w:tblStyle w:val="14"/>
        <w:tblW w:w="9850" w:type="dxa"/>
        <w:jc w:val="center"/>
        <w:tblLayout w:type="fixed"/>
        <w:tblCellMar>
          <w:top w:w="0" w:type="dxa"/>
          <w:left w:w="108" w:type="dxa"/>
          <w:bottom w:w="0" w:type="dxa"/>
          <w:right w:w="108" w:type="dxa"/>
        </w:tblCellMar>
      </w:tblPr>
      <w:tblGrid>
        <w:gridCol w:w="715"/>
        <w:gridCol w:w="1231"/>
        <w:gridCol w:w="2409"/>
        <w:gridCol w:w="1290"/>
        <w:gridCol w:w="4205"/>
      </w:tblGrid>
      <w:tr>
        <w:tblPrEx>
          <w:tblCellMar>
            <w:top w:w="0" w:type="dxa"/>
            <w:left w:w="108" w:type="dxa"/>
            <w:bottom w:w="0" w:type="dxa"/>
            <w:right w:w="108" w:type="dxa"/>
          </w:tblCellMar>
        </w:tblPrEx>
        <w:trPr>
          <w:trHeight w:val="482"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
                <w:bCs/>
                <w:szCs w:val="21"/>
              </w:rPr>
            </w:pPr>
            <w:r>
              <w:rPr>
                <w:rFonts w:hint="eastAsia" w:ascii="宋体" w:hAnsi="宋体" w:cs="宋体"/>
                <w:b/>
                <w:bCs/>
                <w:szCs w:val="21"/>
              </w:rPr>
              <w:t>序号</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
                <w:bCs/>
                <w:szCs w:val="21"/>
              </w:rPr>
            </w:pPr>
            <w:r>
              <w:rPr>
                <w:rFonts w:hint="eastAsia" w:ascii="宋体" w:hAnsi="宋体" w:cs="宋体"/>
                <w:b/>
                <w:bCs/>
                <w:szCs w:val="21"/>
              </w:rPr>
              <w:t>姓名</w:t>
            </w:r>
          </w:p>
        </w:tc>
        <w:tc>
          <w:tcPr>
            <w:tcW w:w="2409"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
                <w:bCs/>
                <w:szCs w:val="21"/>
              </w:rPr>
            </w:pPr>
            <w:r>
              <w:rPr>
                <w:rFonts w:hint="eastAsia" w:ascii="宋体" w:hAnsi="宋体" w:cs="宋体"/>
                <w:b/>
                <w:bCs/>
                <w:szCs w:val="21"/>
              </w:rPr>
              <w:t>岗位</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
                <w:bCs/>
                <w:szCs w:val="21"/>
              </w:rPr>
            </w:pPr>
            <w:r>
              <w:rPr>
                <w:rFonts w:hint="eastAsia" w:ascii="宋体" w:hAnsi="宋体" w:cs="宋体"/>
                <w:b/>
                <w:bCs/>
                <w:szCs w:val="21"/>
              </w:rPr>
              <w:t>职称</w:t>
            </w: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
                <w:bCs/>
                <w:szCs w:val="21"/>
              </w:rPr>
            </w:pPr>
            <w:r>
              <w:rPr>
                <w:rFonts w:hint="eastAsia" w:ascii="宋体" w:hAnsi="宋体" w:cs="宋体"/>
                <w:b/>
                <w:bCs/>
                <w:szCs w:val="21"/>
              </w:rPr>
              <w:t>职称证书或资格证书编号</w:t>
            </w: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r>
              <w:rPr>
                <w:rFonts w:ascii="宋体" w:hAnsi="宋体" w:cs="宋体"/>
                <w:bCs/>
                <w:szCs w:val="21"/>
              </w:rPr>
              <w:t>1</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240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cs="宋体"/>
                <w:bCs/>
                <w:szCs w:val="21"/>
              </w:rPr>
            </w:pPr>
            <w:r>
              <w:rPr>
                <w:rFonts w:hint="eastAsia" w:ascii="宋体" w:hAnsi="宋体" w:cs="宋体"/>
                <w:kern w:val="0"/>
                <w:szCs w:val="21"/>
              </w:rPr>
              <w:t>技术负责人</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szCs w:val="21"/>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r>
              <w:rPr>
                <w:rFonts w:ascii="宋体" w:hAnsi="宋体" w:cs="宋体"/>
                <w:bCs/>
                <w:szCs w:val="21"/>
              </w:rPr>
              <w:t>2</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240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cs="宋体"/>
                <w:bCs/>
                <w:szCs w:val="21"/>
              </w:rPr>
            </w:pPr>
            <w:r>
              <w:rPr>
                <w:rFonts w:hint="eastAsia" w:ascii="宋体" w:hAnsi="宋体" w:cs="宋体"/>
                <w:kern w:val="0"/>
                <w:szCs w:val="21"/>
              </w:rPr>
              <w:t>安全负责人</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szCs w:val="21"/>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r>
              <w:rPr>
                <w:rFonts w:ascii="宋体" w:hAnsi="宋体" w:cs="宋体"/>
                <w:bCs/>
                <w:szCs w:val="21"/>
              </w:rPr>
              <w:t>3</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240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cs="宋体"/>
                <w:bCs/>
                <w:szCs w:val="21"/>
              </w:rPr>
            </w:pPr>
            <w:r>
              <w:rPr>
                <w:rFonts w:hint="eastAsia" w:ascii="宋体" w:hAnsi="宋体" w:cs="宋体"/>
                <w:kern w:val="0"/>
                <w:szCs w:val="21"/>
              </w:rPr>
              <w:t>质量负责人</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szCs w:val="21"/>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r>
              <w:rPr>
                <w:rFonts w:ascii="宋体" w:hAnsi="宋体" w:cs="宋体"/>
                <w:bCs/>
                <w:szCs w:val="21"/>
              </w:rPr>
              <w:t>4</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240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cs="宋体"/>
                <w:bCs/>
                <w:szCs w:val="21"/>
              </w:rPr>
            </w:pPr>
            <w:r>
              <w:rPr>
                <w:rFonts w:hint="eastAsia" w:ascii="宋体" w:hAnsi="宋体" w:cs="宋体"/>
                <w:kern w:val="0"/>
                <w:szCs w:val="21"/>
              </w:rPr>
              <w:t>造价负责人</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szCs w:val="21"/>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r>
              <w:rPr>
                <w:rFonts w:hint="eastAsia" w:ascii="宋体" w:hAnsi="宋体" w:cs="宋体"/>
                <w:bCs/>
                <w:szCs w:val="21"/>
              </w:rPr>
              <w:t>5</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240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szCs w:val="21"/>
              </w:rPr>
            </w:pPr>
            <w:r>
              <w:rPr>
                <w:rFonts w:hint="eastAsia" w:ascii="宋体" w:hAnsi="宋体" w:cs="宋体"/>
                <w:kern w:val="0"/>
                <w:szCs w:val="21"/>
              </w:rPr>
              <w:t>其他专业工程师</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szCs w:val="21"/>
              </w:rPr>
            </w:pPr>
          </w:p>
        </w:tc>
      </w:tr>
      <w:tr>
        <w:tblPrEx>
          <w:tblCellMar>
            <w:top w:w="0" w:type="dxa"/>
            <w:left w:w="108" w:type="dxa"/>
            <w:bottom w:w="0" w:type="dxa"/>
            <w:right w:w="108" w:type="dxa"/>
          </w:tblCellMar>
        </w:tblPrEx>
        <w:trPr>
          <w:trHeight w:val="3487" w:hRule="atLeast"/>
          <w:jc w:val="center"/>
        </w:trPr>
        <w:tc>
          <w:tcPr>
            <w:tcW w:w="9850"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kern w:val="0"/>
                <w:szCs w:val="21"/>
              </w:rPr>
            </w:pPr>
            <w:r>
              <w:rPr>
                <w:rFonts w:hint="eastAsia" w:ascii="宋体" w:hAnsi="宋体"/>
                <w:kern w:val="0"/>
                <w:szCs w:val="21"/>
              </w:rPr>
              <w:t>备注：</w:t>
            </w:r>
          </w:p>
          <w:p>
            <w:pPr>
              <w:snapToGrid w:val="0"/>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w:t>
            </w:r>
            <w:r>
              <w:rPr>
                <w:rFonts w:hint="eastAsia" w:ascii="宋体" w:hAnsi="宋体"/>
                <w:kern w:val="0"/>
                <w:szCs w:val="21"/>
                <w:u w:val="single"/>
              </w:rPr>
              <w:t>“岗</w:t>
            </w:r>
            <w:r>
              <w:rPr>
                <w:rFonts w:hint="eastAsia" w:ascii="宋体" w:hAnsi="宋体"/>
                <w:spacing w:val="-2"/>
                <w:kern w:val="0"/>
                <w:szCs w:val="21"/>
                <w:u w:val="single"/>
              </w:rPr>
              <w:t>位”要求（除项目负责人和专职安全员外）：拟派驻施工现场的技术负责人、安全负责人、质量负责人、造价负责人、其他专业工程师等</w:t>
            </w:r>
            <w:r>
              <w:rPr>
                <w:rFonts w:hint="eastAsia" w:ascii="宋体" w:hAnsi="宋体"/>
                <w:spacing w:val="-2"/>
                <w:kern w:val="0"/>
                <w:szCs w:val="21"/>
              </w:rPr>
              <w:t>。以上项目管理团队人员信息将由交易系统提取后供各相关单位在履约时比对、查核</w:t>
            </w:r>
            <w:r>
              <w:rPr>
                <w:rFonts w:hint="eastAsia" w:ascii="宋体" w:hAnsi="宋体"/>
                <w:kern w:val="0"/>
                <w:szCs w:val="21"/>
              </w:rPr>
              <w:t>。</w:t>
            </w:r>
          </w:p>
          <w:p>
            <w:pPr>
              <w:snapToGrid w:val="0"/>
              <w:ind w:firstLine="420" w:firstLineChars="200"/>
              <w:rPr>
                <w:rFonts w:ascii="宋体" w:hAnsi="宋体"/>
                <w:kern w:val="0"/>
                <w:szCs w:val="21"/>
              </w:rPr>
            </w:pPr>
            <w:r>
              <w:rPr>
                <w:rFonts w:ascii="宋体" w:hAnsi="宋体"/>
                <w:kern w:val="0"/>
                <w:szCs w:val="21"/>
              </w:rPr>
              <w:t>2</w:t>
            </w:r>
            <w:r>
              <w:rPr>
                <w:rFonts w:hint="eastAsia" w:ascii="宋体" w:hAnsi="宋体"/>
                <w:kern w:val="0"/>
                <w:szCs w:val="21"/>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ascii="宋体" w:hAnsi="宋体"/>
                <w:kern w:val="0"/>
                <w:szCs w:val="21"/>
              </w:rPr>
              <w:t>(</w:t>
            </w:r>
            <w:r>
              <w:rPr>
                <w:rFonts w:hint="eastAsia" w:ascii="宋体" w:hAnsi="宋体"/>
                <w:kern w:val="0"/>
                <w:szCs w:val="21"/>
              </w:rPr>
              <w:t>投标截止时间前可以补充、修改、替代</w:t>
            </w:r>
            <w:r>
              <w:rPr>
                <w:rFonts w:ascii="宋体" w:hAnsi="宋体"/>
                <w:kern w:val="0"/>
                <w:szCs w:val="21"/>
              </w:rPr>
              <w:t>)</w:t>
            </w:r>
            <w:r>
              <w:rPr>
                <w:rFonts w:hint="eastAsia" w:ascii="宋体" w:hAnsi="宋体"/>
                <w:kern w:val="0"/>
                <w:szCs w:val="21"/>
              </w:rPr>
              <w:t>。</w:t>
            </w:r>
          </w:p>
          <w:p>
            <w:pPr>
              <w:snapToGrid w:val="0"/>
              <w:ind w:firstLine="420" w:firstLineChars="200"/>
              <w:rPr>
                <w:rFonts w:ascii="宋体" w:hAnsi="宋体"/>
                <w:kern w:val="0"/>
                <w:szCs w:val="21"/>
              </w:rPr>
            </w:pPr>
            <w:r>
              <w:rPr>
                <w:rFonts w:ascii="宋体" w:hAnsi="宋体"/>
                <w:kern w:val="0"/>
                <w:szCs w:val="21"/>
              </w:rPr>
              <w:t>3</w:t>
            </w:r>
            <w:r>
              <w:rPr>
                <w:rFonts w:hint="eastAsia" w:ascii="宋体" w:hAnsi="宋体"/>
                <w:kern w:val="0"/>
                <w:szCs w:val="21"/>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2"/>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w:t>
    </w:r>
    <w:r>
      <w:rPr>
        <w:rStyle w:val="16"/>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92"/>
      <w:jc w:val="center"/>
      <w:rPr>
        <w:rStyle w:val="16"/>
      </w:rPr>
    </w:pPr>
    <w:r>
      <w:rPr>
        <w:rStyle w:val="16"/>
      </w:rPr>
      <w:fldChar w:fldCharType="begin"/>
    </w:r>
    <w:r>
      <w:rPr>
        <w:rStyle w:val="16"/>
      </w:rPr>
      <w:instrText xml:space="preserve">PAGE  </w:instrText>
    </w:r>
    <w:r>
      <w:rPr>
        <w:rStyle w:val="16"/>
      </w:rPr>
      <w:fldChar w:fldCharType="separate"/>
    </w:r>
    <w:r>
      <w:rPr>
        <w:rStyle w:val="16"/>
      </w:rPr>
      <w:t>12</w:t>
    </w:r>
    <w:r>
      <w:rPr>
        <w:rStyle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92"/>
      <w:rPr>
        <w:rStyle w:val="16"/>
      </w:rPr>
    </w:pPr>
    <w:r>
      <w:rPr>
        <w:rStyle w:val="16"/>
      </w:rPr>
      <w:fldChar w:fldCharType="begin"/>
    </w:r>
    <w:r>
      <w:rPr>
        <w:rStyle w:val="16"/>
      </w:rPr>
      <w:instrText xml:space="preserve">PAGE  </w:instrText>
    </w:r>
    <w:r>
      <w:rPr>
        <w:rStyle w:val="16"/>
      </w:rPr>
      <w:fldChar w:fldCharType="separate"/>
    </w:r>
    <w:r>
      <w:rPr>
        <w:rStyle w:val="16"/>
        <w:rFonts w:hint="eastAsia"/>
      </w:rPr>
      <w:t>一</w:t>
    </w:r>
    <w:r>
      <w:rPr>
        <w:rStyle w:val="16"/>
      </w:rPr>
      <w:t>–2</w:t>
    </w:r>
    <w:r>
      <w:rPr>
        <w:rStyle w:val="16"/>
      </w:rPr>
      <w:fldChar w:fldCharType="end"/>
    </w:r>
  </w:p>
  <w:p>
    <w:pPr>
      <w:pStyle w:val="7"/>
      <w:ind w:firstLine="392"/>
    </w:pPr>
    <w: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92"/>
    </w:pPr>
    <w:r>
      <w:rPr>
        <w:rStyle w:val="16"/>
      </w:rPr>
      <w:fldChar w:fldCharType="begin"/>
    </w:r>
    <w:r>
      <w:rPr>
        <w:rStyle w:val="16"/>
      </w:rPr>
      <w:instrText xml:space="preserve"> PAGE </w:instrText>
    </w:r>
    <w:r>
      <w:rPr>
        <w:rStyle w:val="16"/>
      </w:rPr>
      <w:fldChar w:fldCharType="separate"/>
    </w:r>
    <w:r>
      <w:rPr>
        <w:rStyle w:val="16"/>
      </w:rPr>
      <w:t>10</w:t>
    </w:r>
    <w:r>
      <w:rPr>
        <w:rStyle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E8756"/>
    <w:multiLevelType w:val="singleLevel"/>
    <w:tmpl w:val="C52E8756"/>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0YzE1ODViZDcyMjAwMTc2YzY0NGViNDk0OTM3OTQifQ=="/>
  </w:docVars>
  <w:rsids>
    <w:rsidRoot w:val="001C36EE"/>
    <w:rsid w:val="00011E67"/>
    <w:rsid w:val="00105DE0"/>
    <w:rsid w:val="00121C77"/>
    <w:rsid w:val="00167BFF"/>
    <w:rsid w:val="001A6843"/>
    <w:rsid w:val="001C36EE"/>
    <w:rsid w:val="0022218B"/>
    <w:rsid w:val="00283E4C"/>
    <w:rsid w:val="0028533B"/>
    <w:rsid w:val="002A642F"/>
    <w:rsid w:val="002C08E0"/>
    <w:rsid w:val="003121A1"/>
    <w:rsid w:val="00416809"/>
    <w:rsid w:val="00457788"/>
    <w:rsid w:val="004956C2"/>
    <w:rsid w:val="00524715"/>
    <w:rsid w:val="00595C8A"/>
    <w:rsid w:val="0067367A"/>
    <w:rsid w:val="00682E8B"/>
    <w:rsid w:val="006E1822"/>
    <w:rsid w:val="007259B2"/>
    <w:rsid w:val="007A6B3D"/>
    <w:rsid w:val="007E03D3"/>
    <w:rsid w:val="007E75F5"/>
    <w:rsid w:val="008510DF"/>
    <w:rsid w:val="00860432"/>
    <w:rsid w:val="00867B85"/>
    <w:rsid w:val="00886268"/>
    <w:rsid w:val="008C7378"/>
    <w:rsid w:val="00976D4B"/>
    <w:rsid w:val="00980613"/>
    <w:rsid w:val="009E04E5"/>
    <w:rsid w:val="00AD3795"/>
    <w:rsid w:val="00AE0DB2"/>
    <w:rsid w:val="00B45B7C"/>
    <w:rsid w:val="00B82133"/>
    <w:rsid w:val="00BF6247"/>
    <w:rsid w:val="00C8408A"/>
    <w:rsid w:val="00CA05F2"/>
    <w:rsid w:val="00D51F8B"/>
    <w:rsid w:val="00D53D56"/>
    <w:rsid w:val="00D5408A"/>
    <w:rsid w:val="00DE4ED6"/>
    <w:rsid w:val="00E47D01"/>
    <w:rsid w:val="00E85CCE"/>
    <w:rsid w:val="00EE26CB"/>
    <w:rsid w:val="00FC12C0"/>
    <w:rsid w:val="00FF0A65"/>
    <w:rsid w:val="00FF4E4E"/>
    <w:rsid w:val="012153D7"/>
    <w:rsid w:val="015E5E12"/>
    <w:rsid w:val="01CD0AF7"/>
    <w:rsid w:val="01E93200"/>
    <w:rsid w:val="01F353DB"/>
    <w:rsid w:val="02845E60"/>
    <w:rsid w:val="029F7154"/>
    <w:rsid w:val="036E28F4"/>
    <w:rsid w:val="037C0F02"/>
    <w:rsid w:val="03D93EDA"/>
    <w:rsid w:val="04575263"/>
    <w:rsid w:val="04826744"/>
    <w:rsid w:val="04F7772C"/>
    <w:rsid w:val="051D6775"/>
    <w:rsid w:val="052430DB"/>
    <w:rsid w:val="052C3D34"/>
    <w:rsid w:val="0532195B"/>
    <w:rsid w:val="05BB24F7"/>
    <w:rsid w:val="05EC0654"/>
    <w:rsid w:val="065958F2"/>
    <w:rsid w:val="06622C7D"/>
    <w:rsid w:val="06AF2867"/>
    <w:rsid w:val="07175D1E"/>
    <w:rsid w:val="07917873"/>
    <w:rsid w:val="079F5E6D"/>
    <w:rsid w:val="07D17DB0"/>
    <w:rsid w:val="0824254E"/>
    <w:rsid w:val="084208A2"/>
    <w:rsid w:val="08555818"/>
    <w:rsid w:val="0867191A"/>
    <w:rsid w:val="08830CDE"/>
    <w:rsid w:val="097A53C7"/>
    <w:rsid w:val="0993146A"/>
    <w:rsid w:val="09C24519"/>
    <w:rsid w:val="09D4148D"/>
    <w:rsid w:val="0A016858"/>
    <w:rsid w:val="0A1C13D2"/>
    <w:rsid w:val="0A2C3B1B"/>
    <w:rsid w:val="0B4B2A98"/>
    <w:rsid w:val="0B765B95"/>
    <w:rsid w:val="0BD725F5"/>
    <w:rsid w:val="0C123173"/>
    <w:rsid w:val="0C2B2513"/>
    <w:rsid w:val="0C8F2829"/>
    <w:rsid w:val="0CFE26A9"/>
    <w:rsid w:val="0D8308C4"/>
    <w:rsid w:val="0E0D2217"/>
    <w:rsid w:val="0E0D57F7"/>
    <w:rsid w:val="0E0F3E38"/>
    <w:rsid w:val="0E526B07"/>
    <w:rsid w:val="0E5D5183"/>
    <w:rsid w:val="0EE12586"/>
    <w:rsid w:val="0F2E7F13"/>
    <w:rsid w:val="0F4E7EE7"/>
    <w:rsid w:val="0F8267DB"/>
    <w:rsid w:val="10973517"/>
    <w:rsid w:val="10BD35C7"/>
    <w:rsid w:val="1109042B"/>
    <w:rsid w:val="111911C3"/>
    <w:rsid w:val="11495112"/>
    <w:rsid w:val="11BC4D17"/>
    <w:rsid w:val="124D60E5"/>
    <w:rsid w:val="125A3098"/>
    <w:rsid w:val="126420E9"/>
    <w:rsid w:val="12A76776"/>
    <w:rsid w:val="13192BB2"/>
    <w:rsid w:val="134D6332"/>
    <w:rsid w:val="137415A0"/>
    <w:rsid w:val="139130A4"/>
    <w:rsid w:val="13A97F48"/>
    <w:rsid w:val="14397DD8"/>
    <w:rsid w:val="14671DBF"/>
    <w:rsid w:val="14C32666"/>
    <w:rsid w:val="151235F9"/>
    <w:rsid w:val="15835C67"/>
    <w:rsid w:val="15903CA5"/>
    <w:rsid w:val="161004B7"/>
    <w:rsid w:val="162118FC"/>
    <w:rsid w:val="162400F6"/>
    <w:rsid w:val="169225C3"/>
    <w:rsid w:val="16A82624"/>
    <w:rsid w:val="16DA67F6"/>
    <w:rsid w:val="16E2752A"/>
    <w:rsid w:val="177E3384"/>
    <w:rsid w:val="17AC1E4E"/>
    <w:rsid w:val="17FB3316"/>
    <w:rsid w:val="18817CB2"/>
    <w:rsid w:val="189C3C17"/>
    <w:rsid w:val="18A51933"/>
    <w:rsid w:val="18B51C8F"/>
    <w:rsid w:val="18BB3B37"/>
    <w:rsid w:val="18BF5274"/>
    <w:rsid w:val="19173A91"/>
    <w:rsid w:val="19436939"/>
    <w:rsid w:val="196B3484"/>
    <w:rsid w:val="198218CD"/>
    <w:rsid w:val="19861019"/>
    <w:rsid w:val="19A1335A"/>
    <w:rsid w:val="1A03709F"/>
    <w:rsid w:val="1A072B23"/>
    <w:rsid w:val="1A080F1B"/>
    <w:rsid w:val="1AB84F53"/>
    <w:rsid w:val="1ABC48F0"/>
    <w:rsid w:val="1ADF05DE"/>
    <w:rsid w:val="1B1B1F29"/>
    <w:rsid w:val="1BC952F2"/>
    <w:rsid w:val="1BDB41D6"/>
    <w:rsid w:val="1C611550"/>
    <w:rsid w:val="1C870638"/>
    <w:rsid w:val="1CB7665E"/>
    <w:rsid w:val="1CCE4466"/>
    <w:rsid w:val="1CDA19C1"/>
    <w:rsid w:val="1D405808"/>
    <w:rsid w:val="1DDD44C8"/>
    <w:rsid w:val="1E060BE2"/>
    <w:rsid w:val="1E086616"/>
    <w:rsid w:val="1F8136F5"/>
    <w:rsid w:val="1FB85127"/>
    <w:rsid w:val="201C3226"/>
    <w:rsid w:val="203065DE"/>
    <w:rsid w:val="205D622D"/>
    <w:rsid w:val="206F236A"/>
    <w:rsid w:val="20887022"/>
    <w:rsid w:val="20F90404"/>
    <w:rsid w:val="21DF48AF"/>
    <w:rsid w:val="21E46A4E"/>
    <w:rsid w:val="21EC13EF"/>
    <w:rsid w:val="21FB714B"/>
    <w:rsid w:val="2213502C"/>
    <w:rsid w:val="22210462"/>
    <w:rsid w:val="22656765"/>
    <w:rsid w:val="22912EC0"/>
    <w:rsid w:val="22A139BF"/>
    <w:rsid w:val="22CA2FC7"/>
    <w:rsid w:val="230F7587"/>
    <w:rsid w:val="23162C67"/>
    <w:rsid w:val="231F3AEB"/>
    <w:rsid w:val="231F5939"/>
    <w:rsid w:val="23254AE0"/>
    <w:rsid w:val="236B6EB3"/>
    <w:rsid w:val="237F5E1F"/>
    <w:rsid w:val="2392339C"/>
    <w:rsid w:val="23943268"/>
    <w:rsid w:val="2424165E"/>
    <w:rsid w:val="24244ED4"/>
    <w:rsid w:val="24997BD1"/>
    <w:rsid w:val="24B11094"/>
    <w:rsid w:val="25954413"/>
    <w:rsid w:val="25A30362"/>
    <w:rsid w:val="25A462E2"/>
    <w:rsid w:val="25C0501D"/>
    <w:rsid w:val="25CC4B2B"/>
    <w:rsid w:val="25CD10F9"/>
    <w:rsid w:val="263D0486"/>
    <w:rsid w:val="269A360B"/>
    <w:rsid w:val="26BE0028"/>
    <w:rsid w:val="27552761"/>
    <w:rsid w:val="27B72598"/>
    <w:rsid w:val="2809760F"/>
    <w:rsid w:val="284A0044"/>
    <w:rsid w:val="29191616"/>
    <w:rsid w:val="2938245E"/>
    <w:rsid w:val="2950171F"/>
    <w:rsid w:val="298113C1"/>
    <w:rsid w:val="29E63150"/>
    <w:rsid w:val="29F41D18"/>
    <w:rsid w:val="2AE906CB"/>
    <w:rsid w:val="2AFF555D"/>
    <w:rsid w:val="2B4E7C6A"/>
    <w:rsid w:val="2B991D4C"/>
    <w:rsid w:val="2BFC211E"/>
    <w:rsid w:val="2C105A4A"/>
    <w:rsid w:val="2C133F1E"/>
    <w:rsid w:val="2C203772"/>
    <w:rsid w:val="2C452775"/>
    <w:rsid w:val="2C7E5D56"/>
    <w:rsid w:val="2C97659A"/>
    <w:rsid w:val="2C9D76A2"/>
    <w:rsid w:val="2D0D2D89"/>
    <w:rsid w:val="2D5776A5"/>
    <w:rsid w:val="2E9D3382"/>
    <w:rsid w:val="2ED563FB"/>
    <w:rsid w:val="2EFF3620"/>
    <w:rsid w:val="2F07200E"/>
    <w:rsid w:val="2F3C4C02"/>
    <w:rsid w:val="2FB83911"/>
    <w:rsid w:val="2FC34145"/>
    <w:rsid w:val="2FDB57F3"/>
    <w:rsid w:val="30234296"/>
    <w:rsid w:val="31060DE6"/>
    <w:rsid w:val="311E38B4"/>
    <w:rsid w:val="315C6248"/>
    <w:rsid w:val="31713594"/>
    <w:rsid w:val="318B715B"/>
    <w:rsid w:val="31D61CC4"/>
    <w:rsid w:val="31D7118A"/>
    <w:rsid w:val="320008F1"/>
    <w:rsid w:val="32F27C96"/>
    <w:rsid w:val="32FD149B"/>
    <w:rsid w:val="33411E93"/>
    <w:rsid w:val="343516FB"/>
    <w:rsid w:val="3481200A"/>
    <w:rsid w:val="34BE2FB1"/>
    <w:rsid w:val="34F84078"/>
    <w:rsid w:val="352960B5"/>
    <w:rsid w:val="355E5AD1"/>
    <w:rsid w:val="35684088"/>
    <w:rsid w:val="36A60369"/>
    <w:rsid w:val="37835E55"/>
    <w:rsid w:val="383B2D1A"/>
    <w:rsid w:val="38747127"/>
    <w:rsid w:val="387D6E9F"/>
    <w:rsid w:val="387F7D49"/>
    <w:rsid w:val="38C64085"/>
    <w:rsid w:val="38D27183"/>
    <w:rsid w:val="38E57F67"/>
    <w:rsid w:val="38F93C10"/>
    <w:rsid w:val="39FB0669"/>
    <w:rsid w:val="3AA62924"/>
    <w:rsid w:val="3B0C081D"/>
    <w:rsid w:val="3B0C5280"/>
    <w:rsid w:val="3B1A6930"/>
    <w:rsid w:val="3B231D40"/>
    <w:rsid w:val="3B6E2517"/>
    <w:rsid w:val="3BEA11C9"/>
    <w:rsid w:val="3C1E1EE2"/>
    <w:rsid w:val="3CD37EFE"/>
    <w:rsid w:val="3D8E2AFE"/>
    <w:rsid w:val="3DBF00CF"/>
    <w:rsid w:val="3DC74E4C"/>
    <w:rsid w:val="3DF53E53"/>
    <w:rsid w:val="3E06004E"/>
    <w:rsid w:val="3E424B35"/>
    <w:rsid w:val="3E5351D5"/>
    <w:rsid w:val="3EDC080D"/>
    <w:rsid w:val="3F367F1D"/>
    <w:rsid w:val="3F740A45"/>
    <w:rsid w:val="3FB65E92"/>
    <w:rsid w:val="3FE536F1"/>
    <w:rsid w:val="3FF05BE1"/>
    <w:rsid w:val="40084E77"/>
    <w:rsid w:val="403918CF"/>
    <w:rsid w:val="40624243"/>
    <w:rsid w:val="40D90F20"/>
    <w:rsid w:val="41155923"/>
    <w:rsid w:val="41615D7E"/>
    <w:rsid w:val="424E5D61"/>
    <w:rsid w:val="429F5713"/>
    <w:rsid w:val="42B4353C"/>
    <w:rsid w:val="42D741E3"/>
    <w:rsid w:val="42EE7A68"/>
    <w:rsid w:val="42FF7F79"/>
    <w:rsid w:val="438016CA"/>
    <w:rsid w:val="43830FEE"/>
    <w:rsid w:val="43D75602"/>
    <w:rsid w:val="44045059"/>
    <w:rsid w:val="4478091B"/>
    <w:rsid w:val="44AE7B04"/>
    <w:rsid w:val="44B65141"/>
    <w:rsid w:val="44C55904"/>
    <w:rsid w:val="452F5F4C"/>
    <w:rsid w:val="45724994"/>
    <w:rsid w:val="4583444B"/>
    <w:rsid w:val="45F20A03"/>
    <w:rsid w:val="46570B7F"/>
    <w:rsid w:val="46834FC3"/>
    <w:rsid w:val="47034758"/>
    <w:rsid w:val="47140E7E"/>
    <w:rsid w:val="47C9559D"/>
    <w:rsid w:val="47CC284A"/>
    <w:rsid w:val="47D048BC"/>
    <w:rsid w:val="48143A2B"/>
    <w:rsid w:val="483C1890"/>
    <w:rsid w:val="483F2463"/>
    <w:rsid w:val="48BB1493"/>
    <w:rsid w:val="491F2669"/>
    <w:rsid w:val="49756CB8"/>
    <w:rsid w:val="49915D1A"/>
    <w:rsid w:val="49A23DAC"/>
    <w:rsid w:val="49F12736"/>
    <w:rsid w:val="49F930E0"/>
    <w:rsid w:val="4A1231CF"/>
    <w:rsid w:val="4A1F6E62"/>
    <w:rsid w:val="4ABC373D"/>
    <w:rsid w:val="4AD1021E"/>
    <w:rsid w:val="4AEE0F90"/>
    <w:rsid w:val="4B047908"/>
    <w:rsid w:val="4B0F6C8F"/>
    <w:rsid w:val="4B2C5E19"/>
    <w:rsid w:val="4B712402"/>
    <w:rsid w:val="4C4009E7"/>
    <w:rsid w:val="4C5E09B9"/>
    <w:rsid w:val="4C691378"/>
    <w:rsid w:val="4C6C79C4"/>
    <w:rsid w:val="4D0C4EDB"/>
    <w:rsid w:val="4D4B229B"/>
    <w:rsid w:val="4D720DA7"/>
    <w:rsid w:val="4D9C4497"/>
    <w:rsid w:val="4DD81EA9"/>
    <w:rsid w:val="4E4B30FD"/>
    <w:rsid w:val="4EB517F2"/>
    <w:rsid w:val="4F1156F4"/>
    <w:rsid w:val="4F293A6D"/>
    <w:rsid w:val="4F2B1E42"/>
    <w:rsid w:val="4F975815"/>
    <w:rsid w:val="4FDC03A1"/>
    <w:rsid w:val="50304ED3"/>
    <w:rsid w:val="50554B7F"/>
    <w:rsid w:val="505D5410"/>
    <w:rsid w:val="50BA10E4"/>
    <w:rsid w:val="50E74E01"/>
    <w:rsid w:val="512025D6"/>
    <w:rsid w:val="515B5AA7"/>
    <w:rsid w:val="518C6764"/>
    <w:rsid w:val="51A508E7"/>
    <w:rsid w:val="51DD6022"/>
    <w:rsid w:val="523E0F91"/>
    <w:rsid w:val="526B1CE3"/>
    <w:rsid w:val="526E606C"/>
    <w:rsid w:val="52D003E7"/>
    <w:rsid w:val="52DB5734"/>
    <w:rsid w:val="52EA44E7"/>
    <w:rsid w:val="52F43FF6"/>
    <w:rsid w:val="53463EF0"/>
    <w:rsid w:val="53CB1303"/>
    <w:rsid w:val="53EA5979"/>
    <w:rsid w:val="540723BD"/>
    <w:rsid w:val="541C2491"/>
    <w:rsid w:val="543B4702"/>
    <w:rsid w:val="54464B8A"/>
    <w:rsid w:val="544762AC"/>
    <w:rsid w:val="544967CB"/>
    <w:rsid w:val="54870CE9"/>
    <w:rsid w:val="548C44D0"/>
    <w:rsid w:val="54AA393B"/>
    <w:rsid w:val="54F448A4"/>
    <w:rsid w:val="55180893"/>
    <w:rsid w:val="55847E23"/>
    <w:rsid w:val="56356DBB"/>
    <w:rsid w:val="564A004F"/>
    <w:rsid w:val="567D61CE"/>
    <w:rsid w:val="5697618B"/>
    <w:rsid w:val="56F56C5D"/>
    <w:rsid w:val="574232EE"/>
    <w:rsid w:val="57C54915"/>
    <w:rsid w:val="57F9070D"/>
    <w:rsid w:val="58A4226E"/>
    <w:rsid w:val="59774ACC"/>
    <w:rsid w:val="597E4A16"/>
    <w:rsid w:val="59DD1137"/>
    <w:rsid w:val="5A3337C3"/>
    <w:rsid w:val="5A8326F7"/>
    <w:rsid w:val="5A9A53AC"/>
    <w:rsid w:val="5AC9244D"/>
    <w:rsid w:val="5B51582B"/>
    <w:rsid w:val="5BA109C3"/>
    <w:rsid w:val="5BBC1352"/>
    <w:rsid w:val="5C147B09"/>
    <w:rsid w:val="5C3C0E61"/>
    <w:rsid w:val="5C672353"/>
    <w:rsid w:val="5CCA5622"/>
    <w:rsid w:val="5D1325AE"/>
    <w:rsid w:val="5D3A7375"/>
    <w:rsid w:val="5D89735E"/>
    <w:rsid w:val="5D8F700E"/>
    <w:rsid w:val="5DCA3A18"/>
    <w:rsid w:val="5E045326"/>
    <w:rsid w:val="5EAC1F1C"/>
    <w:rsid w:val="5F0F10E7"/>
    <w:rsid w:val="5F882086"/>
    <w:rsid w:val="5FB2142F"/>
    <w:rsid w:val="5FC7101F"/>
    <w:rsid w:val="600E18DB"/>
    <w:rsid w:val="60433FA6"/>
    <w:rsid w:val="60671524"/>
    <w:rsid w:val="60714E01"/>
    <w:rsid w:val="60717CF2"/>
    <w:rsid w:val="61322D83"/>
    <w:rsid w:val="61504E19"/>
    <w:rsid w:val="61B6101A"/>
    <w:rsid w:val="6269762A"/>
    <w:rsid w:val="62704B5B"/>
    <w:rsid w:val="62B91878"/>
    <w:rsid w:val="62F06648"/>
    <w:rsid w:val="62F50074"/>
    <w:rsid w:val="630D619B"/>
    <w:rsid w:val="631876D7"/>
    <w:rsid w:val="634563ED"/>
    <w:rsid w:val="634D0E4E"/>
    <w:rsid w:val="63642BCE"/>
    <w:rsid w:val="63AB4186"/>
    <w:rsid w:val="644F2419"/>
    <w:rsid w:val="65742452"/>
    <w:rsid w:val="65B732B6"/>
    <w:rsid w:val="66914062"/>
    <w:rsid w:val="66D41C46"/>
    <w:rsid w:val="67121848"/>
    <w:rsid w:val="672076F9"/>
    <w:rsid w:val="67A12C4B"/>
    <w:rsid w:val="67C879E6"/>
    <w:rsid w:val="68527D75"/>
    <w:rsid w:val="685327A1"/>
    <w:rsid w:val="68720F3A"/>
    <w:rsid w:val="6895071F"/>
    <w:rsid w:val="68D423D1"/>
    <w:rsid w:val="696944ED"/>
    <w:rsid w:val="696A007A"/>
    <w:rsid w:val="697C30C8"/>
    <w:rsid w:val="69824A4D"/>
    <w:rsid w:val="69AD6C43"/>
    <w:rsid w:val="69EB2192"/>
    <w:rsid w:val="69F73489"/>
    <w:rsid w:val="6A86657E"/>
    <w:rsid w:val="6A9C04C7"/>
    <w:rsid w:val="6B151F5A"/>
    <w:rsid w:val="6B3462D1"/>
    <w:rsid w:val="6B3B334A"/>
    <w:rsid w:val="6B4B0772"/>
    <w:rsid w:val="6B7D59FA"/>
    <w:rsid w:val="6BAE7DDB"/>
    <w:rsid w:val="6BB61486"/>
    <w:rsid w:val="6BDC2F65"/>
    <w:rsid w:val="6C543D68"/>
    <w:rsid w:val="6C6B3EF7"/>
    <w:rsid w:val="6C9A3C64"/>
    <w:rsid w:val="6CE53294"/>
    <w:rsid w:val="6CF0352F"/>
    <w:rsid w:val="6CFC1EF7"/>
    <w:rsid w:val="6D445338"/>
    <w:rsid w:val="6D692989"/>
    <w:rsid w:val="6DDB5465"/>
    <w:rsid w:val="6E0739D7"/>
    <w:rsid w:val="6E4D03A1"/>
    <w:rsid w:val="6E6E0BD2"/>
    <w:rsid w:val="6E731A0D"/>
    <w:rsid w:val="6E7F7A62"/>
    <w:rsid w:val="6E9A19C7"/>
    <w:rsid w:val="6EB440E9"/>
    <w:rsid w:val="6ED27FA4"/>
    <w:rsid w:val="6F153637"/>
    <w:rsid w:val="6F7E124A"/>
    <w:rsid w:val="70545BA6"/>
    <w:rsid w:val="707029DF"/>
    <w:rsid w:val="70B074D1"/>
    <w:rsid w:val="70FA499F"/>
    <w:rsid w:val="7123390F"/>
    <w:rsid w:val="71401B10"/>
    <w:rsid w:val="714F3FE5"/>
    <w:rsid w:val="717A200D"/>
    <w:rsid w:val="71C575A5"/>
    <w:rsid w:val="7285473C"/>
    <w:rsid w:val="73080A44"/>
    <w:rsid w:val="736C3DBA"/>
    <w:rsid w:val="739F72F3"/>
    <w:rsid w:val="73B07652"/>
    <w:rsid w:val="73DC6C44"/>
    <w:rsid w:val="73EC6785"/>
    <w:rsid w:val="73F42B72"/>
    <w:rsid w:val="74522E59"/>
    <w:rsid w:val="746F3FC4"/>
    <w:rsid w:val="74DD0F83"/>
    <w:rsid w:val="74DE1AB1"/>
    <w:rsid w:val="75526B58"/>
    <w:rsid w:val="755E3691"/>
    <w:rsid w:val="757E7345"/>
    <w:rsid w:val="759C12DB"/>
    <w:rsid w:val="75B66CB7"/>
    <w:rsid w:val="75C30DC4"/>
    <w:rsid w:val="75FE283B"/>
    <w:rsid w:val="765F4CD8"/>
    <w:rsid w:val="769549C0"/>
    <w:rsid w:val="76A514C8"/>
    <w:rsid w:val="76ED6AD1"/>
    <w:rsid w:val="77974721"/>
    <w:rsid w:val="77B7138C"/>
    <w:rsid w:val="77F3500A"/>
    <w:rsid w:val="78040EAB"/>
    <w:rsid w:val="78354103"/>
    <w:rsid w:val="787D249B"/>
    <w:rsid w:val="78896A97"/>
    <w:rsid w:val="78F369D5"/>
    <w:rsid w:val="799D7640"/>
    <w:rsid w:val="79A0404F"/>
    <w:rsid w:val="79C26734"/>
    <w:rsid w:val="7AA6776D"/>
    <w:rsid w:val="7AB05834"/>
    <w:rsid w:val="7AD72F66"/>
    <w:rsid w:val="7AFF36A9"/>
    <w:rsid w:val="7B7F57B8"/>
    <w:rsid w:val="7BB44029"/>
    <w:rsid w:val="7BFC4EE4"/>
    <w:rsid w:val="7C14558C"/>
    <w:rsid w:val="7C381D81"/>
    <w:rsid w:val="7C472F78"/>
    <w:rsid w:val="7D6E7127"/>
    <w:rsid w:val="7D89584C"/>
    <w:rsid w:val="7DB74351"/>
    <w:rsid w:val="7E311A31"/>
    <w:rsid w:val="7E507AA1"/>
    <w:rsid w:val="7E5A7B78"/>
    <w:rsid w:val="7E6D46AA"/>
    <w:rsid w:val="7EF853D2"/>
    <w:rsid w:val="7F381468"/>
    <w:rsid w:val="7F6763F4"/>
    <w:rsid w:val="7F9929DC"/>
    <w:rsid w:val="7FAF7FE8"/>
    <w:rsid w:val="7FC401FE"/>
    <w:rsid w:val="7FD27C07"/>
    <w:rsid w:val="7FD863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Indent"/>
    <w:basedOn w:val="1"/>
    <w:unhideWhenUsed/>
    <w:qFormat/>
    <w:uiPriority w:val="99"/>
    <w:pPr>
      <w:ind w:firstLine="420"/>
    </w:pPr>
    <w:rPr>
      <w:szCs w:val="20"/>
    </w:rPr>
  </w:style>
  <w:style w:type="paragraph" w:styleId="4">
    <w:name w:val="annotation text"/>
    <w:basedOn w:val="1"/>
    <w:link w:val="27"/>
    <w:qFormat/>
    <w:uiPriority w:val="0"/>
    <w:pPr>
      <w:spacing w:line="360" w:lineRule="auto"/>
      <w:ind w:firstLine="523" w:firstLineChars="218"/>
      <w:jc w:val="left"/>
    </w:pPr>
    <w:rPr>
      <w:rFonts w:ascii="宋体" w:hAnsi="宋体"/>
      <w:kern w:val="0"/>
      <w:sz w:val="24"/>
      <w:szCs w:val="24"/>
      <w:lang w:val="zh-CN"/>
    </w:rPr>
  </w:style>
  <w:style w:type="paragraph" w:styleId="5">
    <w:name w:val="Body Text"/>
    <w:basedOn w:val="1"/>
    <w:link w:val="22"/>
    <w:semiHidden/>
    <w:unhideWhenUsed/>
    <w:qFormat/>
    <w:uiPriority w:val="99"/>
    <w:pPr>
      <w:spacing w:after="120"/>
    </w:pPr>
  </w:style>
  <w:style w:type="paragraph" w:styleId="6">
    <w:name w:val="Balloon Text"/>
    <w:basedOn w:val="1"/>
    <w:link w:val="28"/>
    <w:semiHidden/>
    <w:unhideWhenUsed/>
    <w:qFormat/>
    <w:uiPriority w:val="99"/>
    <w:rPr>
      <w:sz w:val="18"/>
      <w:szCs w:val="18"/>
    </w:rPr>
  </w:style>
  <w:style w:type="paragraph" w:styleId="7">
    <w:name w:val="footer"/>
    <w:basedOn w:val="1"/>
    <w:link w:val="21"/>
    <w:unhideWhenUsed/>
    <w:qFormat/>
    <w:uiPriority w:val="0"/>
    <w:pPr>
      <w:tabs>
        <w:tab w:val="center" w:pos="4153"/>
        <w:tab w:val="right" w:pos="8306"/>
      </w:tabs>
      <w:snapToGrid w:val="0"/>
      <w:jc w:val="left"/>
    </w:pPr>
    <w:rPr>
      <w:sz w:val="18"/>
      <w:szCs w:val="18"/>
    </w:rPr>
  </w:style>
  <w:style w:type="paragraph" w:styleId="8">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10">
    <w:name w:val="Body Text 2"/>
    <w:basedOn w:val="1"/>
    <w:link w:val="24"/>
    <w:qFormat/>
    <w:uiPriority w:val="0"/>
    <w:rPr>
      <w:rFonts w:ascii="宋体" w:hAnsi="宋体"/>
      <w:kern w:val="0"/>
      <w:sz w:val="20"/>
      <w:szCs w:val="24"/>
      <w:u w:val="single"/>
      <w:lang w:val="zh-CN"/>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annotation subject"/>
    <w:basedOn w:val="4"/>
    <w:next w:val="4"/>
    <w:link w:val="29"/>
    <w:semiHidden/>
    <w:unhideWhenUsed/>
    <w:qFormat/>
    <w:uiPriority w:val="99"/>
    <w:pPr>
      <w:spacing w:line="240" w:lineRule="auto"/>
      <w:ind w:firstLine="0" w:firstLineChars="0"/>
    </w:pPr>
    <w:rPr>
      <w:rFonts w:ascii="Calibri" w:hAnsi="Calibri"/>
      <w:b/>
      <w:bCs/>
      <w:kern w:val="2"/>
      <w:sz w:val="21"/>
      <w:szCs w:val="22"/>
      <w:lang w:val="en-US"/>
    </w:rPr>
  </w:style>
  <w:style w:type="paragraph" w:styleId="13">
    <w:name w:val="Body Text First Indent"/>
    <w:basedOn w:val="5"/>
    <w:link w:val="23"/>
    <w:qFormat/>
    <w:uiPriority w:val="0"/>
    <w:pPr>
      <w:ind w:firstLine="420"/>
    </w:pPr>
    <w:rPr>
      <w:rFonts w:ascii="Times New Roman" w:hAnsi="Times New Roman"/>
      <w:kern w:val="0"/>
      <w:sz w:val="20"/>
      <w:szCs w:val="20"/>
      <w:lang w:val="zh-CN"/>
    </w:rPr>
  </w:style>
  <w:style w:type="character" w:styleId="16">
    <w:name w:val="page number"/>
    <w:qFormat/>
    <w:uiPriority w:val="0"/>
    <w:rPr>
      <w:rFonts w:cs="Times New Roman"/>
    </w:rPr>
  </w:style>
  <w:style w:type="character" w:styleId="17">
    <w:name w:val="FollowedHyperlink"/>
    <w:basedOn w:val="15"/>
    <w:semiHidden/>
    <w:unhideWhenUsed/>
    <w:qFormat/>
    <w:uiPriority w:val="99"/>
    <w:rPr>
      <w:color w:val="000000"/>
      <w:u w:val="none"/>
    </w:rPr>
  </w:style>
  <w:style w:type="character" w:styleId="18">
    <w:name w:val="Hyperlink"/>
    <w:basedOn w:val="15"/>
    <w:semiHidden/>
    <w:unhideWhenUsed/>
    <w:qFormat/>
    <w:uiPriority w:val="99"/>
    <w:rPr>
      <w:color w:val="000000"/>
      <w:u w:val="none"/>
    </w:rPr>
  </w:style>
  <w:style w:type="character" w:styleId="19">
    <w:name w:val="annotation reference"/>
    <w:qFormat/>
    <w:uiPriority w:val="0"/>
    <w:rPr>
      <w:sz w:val="21"/>
      <w:szCs w:val="21"/>
    </w:rPr>
  </w:style>
  <w:style w:type="character" w:customStyle="1" w:styleId="20">
    <w:name w:val="页眉 字符"/>
    <w:basedOn w:val="15"/>
    <w:link w:val="8"/>
    <w:qFormat/>
    <w:uiPriority w:val="0"/>
    <w:rPr>
      <w:sz w:val="18"/>
      <w:szCs w:val="18"/>
    </w:rPr>
  </w:style>
  <w:style w:type="character" w:customStyle="1" w:styleId="21">
    <w:name w:val="页脚 字符"/>
    <w:basedOn w:val="15"/>
    <w:link w:val="7"/>
    <w:qFormat/>
    <w:uiPriority w:val="0"/>
    <w:rPr>
      <w:sz w:val="18"/>
      <w:szCs w:val="18"/>
    </w:rPr>
  </w:style>
  <w:style w:type="character" w:customStyle="1" w:styleId="22">
    <w:name w:val="正文文本 字符"/>
    <w:basedOn w:val="15"/>
    <w:link w:val="5"/>
    <w:semiHidden/>
    <w:qFormat/>
    <w:uiPriority w:val="99"/>
    <w:rPr>
      <w:rFonts w:ascii="Calibri" w:hAnsi="Calibri" w:eastAsia="宋体" w:cs="Times New Roman"/>
    </w:rPr>
  </w:style>
  <w:style w:type="character" w:customStyle="1" w:styleId="23">
    <w:name w:val="正文首行缩进 字符"/>
    <w:basedOn w:val="22"/>
    <w:link w:val="13"/>
    <w:qFormat/>
    <w:uiPriority w:val="0"/>
    <w:rPr>
      <w:rFonts w:ascii="Times New Roman" w:hAnsi="Times New Roman" w:eastAsia="宋体" w:cs="Times New Roman"/>
      <w:kern w:val="0"/>
      <w:sz w:val="20"/>
      <w:szCs w:val="20"/>
      <w:lang w:val="zh-CN" w:eastAsia="zh-CN"/>
    </w:rPr>
  </w:style>
  <w:style w:type="character" w:customStyle="1" w:styleId="24">
    <w:name w:val="正文文本 2 字符"/>
    <w:basedOn w:val="15"/>
    <w:link w:val="10"/>
    <w:qFormat/>
    <w:uiPriority w:val="0"/>
    <w:rPr>
      <w:rFonts w:ascii="宋体" w:hAnsi="宋体" w:eastAsia="宋体" w:cs="Times New Roman"/>
      <w:kern w:val="0"/>
      <w:sz w:val="20"/>
      <w:szCs w:val="24"/>
      <w:u w:val="single"/>
      <w:lang w:val="zh-CN" w:eastAsia="zh-CN"/>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
    <w:name w:val="发文落款"/>
    <w:basedOn w:val="25"/>
    <w:qFormat/>
    <w:uiPriority w:val="0"/>
    <w:pPr>
      <w:ind w:left="4094" w:right="607" w:firstLine="0"/>
      <w:jc w:val="center"/>
    </w:pPr>
  </w:style>
  <w:style w:type="character" w:customStyle="1" w:styleId="27">
    <w:name w:val="批注文字 字符"/>
    <w:basedOn w:val="15"/>
    <w:link w:val="4"/>
    <w:qFormat/>
    <w:uiPriority w:val="0"/>
    <w:rPr>
      <w:rFonts w:ascii="宋体" w:hAnsi="宋体" w:eastAsia="宋体" w:cs="Times New Roman"/>
      <w:kern w:val="0"/>
      <w:sz w:val="24"/>
      <w:szCs w:val="24"/>
      <w:lang w:val="zh-CN" w:eastAsia="zh-CN"/>
    </w:rPr>
  </w:style>
  <w:style w:type="character" w:customStyle="1" w:styleId="28">
    <w:name w:val="批注框文本 字符"/>
    <w:basedOn w:val="15"/>
    <w:link w:val="6"/>
    <w:semiHidden/>
    <w:qFormat/>
    <w:uiPriority w:val="99"/>
    <w:rPr>
      <w:rFonts w:ascii="Calibri" w:hAnsi="Calibri" w:eastAsia="宋体" w:cs="Times New Roman"/>
      <w:sz w:val="18"/>
      <w:szCs w:val="18"/>
    </w:rPr>
  </w:style>
  <w:style w:type="character" w:customStyle="1" w:styleId="29">
    <w:name w:val="批注主题 字符"/>
    <w:basedOn w:val="27"/>
    <w:link w:val="12"/>
    <w:semiHidden/>
    <w:qFormat/>
    <w:uiPriority w:val="99"/>
    <w:rPr>
      <w:rFonts w:ascii="Calibri" w:hAnsi="Calibri" w:eastAsia="宋体" w:cs="Times New Roman"/>
      <w:b/>
      <w:bCs/>
      <w:kern w:val="0"/>
      <w:sz w:val="24"/>
      <w:szCs w:val="24"/>
      <w:lang w:val="zh-CN" w:eastAsia="zh-CN"/>
    </w:rPr>
  </w:style>
  <w:style w:type="paragraph" w:customStyle="1" w:styleId="30">
    <w:name w:val="列出段落1"/>
    <w:basedOn w:val="1"/>
    <w:qFormat/>
    <w:uiPriority w:val="34"/>
    <w:pPr>
      <w:widowControl/>
      <w:adjustRightInd w:val="0"/>
      <w:snapToGrid w:val="0"/>
      <w:ind w:firstLine="420"/>
      <w:jc w:val="left"/>
    </w:pPr>
    <w:rPr>
      <w:rFonts w:eastAsia="PMingLiU"/>
      <w:snapToGrid w:val="0"/>
      <w:kern w:val="0"/>
      <w:sz w:val="22"/>
      <w:lang w:val="en-GB" w:eastAsia="en-US"/>
    </w:rPr>
  </w:style>
  <w:style w:type="character" w:customStyle="1" w:styleId="31">
    <w:name w:val="times"/>
    <w:basedOn w:val="15"/>
    <w:qFormat/>
    <w:uiPriority w:val="0"/>
    <w:rPr>
      <w:color w:val="3399FF"/>
      <w:bdr w:val="single" w:color="D1EDF8" w:sz="6" w:space="0"/>
      <w:shd w:val="clear" w:color="auto" w:fill="EAF9FF"/>
    </w:rPr>
  </w:style>
  <w:style w:type="character" w:customStyle="1" w:styleId="32">
    <w:name w:val="times1"/>
    <w:basedOn w:val="15"/>
    <w:qFormat/>
    <w:uiPriority w:val="0"/>
    <w:rPr>
      <w:color w:val="CDCDCD"/>
      <w:bdr w:val="single" w:color="CDCDCD" w:sz="6" w:space="0"/>
      <w:shd w:val="clear" w:color="auto" w:fill="EFEFEF"/>
    </w:rPr>
  </w:style>
  <w:style w:type="character" w:customStyle="1" w:styleId="33">
    <w:name w:val="hover42"/>
    <w:basedOn w:val="15"/>
    <w:qFormat/>
    <w:uiPriority w:val="0"/>
  </w:style>
  <w:style w:type="character" w:customStyle="1" w:styleId="34">
    <w:name w:val="hover40"/>
    <w:basedOn w:val="15"/>
    <w:qFormat/>
    <w:uiPriority w:val="0"/>
  </w:style>
  <w:style w:type="character" w:customStyle="1" w:styleId="35">
    <w:name w:val="hover41"/>
    <w:basedOn w:val="15"/>
    <w:qFormat/>
    <w:uiPriority w:val="0"/>
  </w:style>
  <w:style w:type="paragraph" w:customStyle="1" w:styleId="36">
    <w:name w:val="文一"/>
    <w:basedOn w:val="1"/>
    <w:qFormat/>
    <w:uiPriority w:val="0"/>
    <w:pPr>
      <w:topLinePunct/>
      <w:adjustRightInd w:val="0"/>
      <w:snapToGrid w:val="0"/>
      <w:spacing w:line="360" w:lineRule="auto"/>
      <w:ind w:firstLine="200" w:firstLineChars="200"/>
    </w:pPr>
    <w:rPr>
      <w:spacing w:val="4"/>
      <w:sz w:val="24"/>
    </w:rPr>
  </w:style>
  <w:style w:type="paragraph" w:customStyle="1" w:styleId="37">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1266</Words>
  <Characters>7222</Characters>
  <Lines>60</Lines>
  <Paragraphs>16</Paragraphs>
  <TotalTime>5</TotalTime>
  <ScaleCrop>false</ScaleCrop>
  <LinksUpToDate>false</LinksUpToDate>
  <CharactersWithSpaces>8472</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2023-05-05T07:46:00Z</dcterms:created>
  <dc:creator>xbx</dc:creator>
  <cp:lastModifiedBy>林泽鑫</cp:lastModifiedBy>
  <dcterms:modified xsi:type="dcterms:W3CDTF">2023-05-19T02:54:03Z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7F0DE31311A541FEB4FE1B566AD7718D</vt:lpwstr>
  </property>
  <property fmtid="{D5CDD505-2E9C-101B-9397-08002B2CF9AE}" pid="4" name="commondata">
    <vt:lpwstr>eyJoZGlkIjoiNDcxNjdiZTdjOTc2MTkwNWM3NDg3YmYxMTBjZDU5ODgifQ==</vt:lpwstr>
  </property>
</Properties>
</file>