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p>
    <w:p>
      <w:pPr>
        <w:pStyle w:val="17"/>
      </w:pPr>
    </w:p>
    <w:p>
      <w:pPr>
        <w:spacing w:line="360" w:lineRule="auto"/>
        <w:jc w:val="center"/>
        <w:rPr>
          <w:sz w:val="28"/>
          <w:szCs w:val="28"/>
        </w:rPr>
      </w:pPr>
      <w:r>
        <w:rPr>
          <w:rFonts w:hint="eastAsia"/>
          <w:b/>
          <w:bCs/>
          <w:sz w:val="48"/>
          <w:szCs w:val="48"/>
        </w:rPr>
        <w:t>连平县工业园三期基础设施建设工程项目（石龙-</w:t>
      </w:r>
      <w:r>
        <w:rPr>
          <w:b/>
          <w:bCs/>
          <w:sz w:val="48"/>
          <w:szCs w:val="48"/>
        </w:rPr>
        <w:t>1#</w:t>
      </w:r>
      <w:r>
        <w:rPr>
          <w:rFonts w:hint="eastAsia"/>
          <w:b/>
          <w:bCs/>
          <w:sz w:val="48"/>
          <w:szCs w:val="48"/>
        </w:rPr>
        <w:t>厂房、园区内部市政道路及排污主管工程）</w:t>
      </w:r>
    </w:p>
    <w:p>
      <w:pPr>
        <w:spacing w:line="360" w:lineRule="auto"/>
        <w:rPr>
          <w:sz w:val="28"/>
          <w:szCs w:val="28"/>
        </w:rPr>
      </w:pPr>
      <w:r>
        <w:rPr>
          <w:rFonts w:hint="eastAsia"/>
          <w:sz w:val="28"/>
          <w:szCs w:val="28"/>
        </w:rPr>
        <w:t xml:space="preserve"> </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jc w:val="center"/>
        <w:rPr>
          <w:b/>
          <w:sz w:val="84"/>
          <w:szCs w:val="84"/>
        </w:rPr>
      </w:pPr>
      <w:r>
        <w:rPr>
          <w:rFonts w:hint="eastAsia"/>
          <w:b/>
          <w:sz w:val="84"/>
          <w:szCs w:val="84"/>
        </w:rPr>
        <w:t>招 标 文 件</w:t>
      </w:r>
    </w:p>
    <w:p>
      <w:pPr>
        <w:spacing w:line="360" w:lineRule="auto"/>
        <w:jc w:val="center"/>
        <w:rPr>
          <w:b/>
          <w:sz w:val="56"/>
          <w:szCs w:val="56"/>
        </w:rPr>
      </w:pPr>
      <w:bookmarkStart w:id="0" w:name="_Toc144974478"/>
      <w:bookmarkStart w:id="1" w:name="_Toc300834926"/>
      <w:bookmarkStart w:id="2" w:name="_Toc152042286"/>
      <w:bookmarkStart w:id="3" w:name="_Toc247527532"/>
      <w:r>
        <w:rPr>
          <w:rFonts w:hint="eastAsia"/>
          <w:b/>
          <w:sz w:val="56"/>
          <w:szCs w:val="56"/>
        </w:rPr>
        <w:t xml:space="preserve"> </w:t>
      </w:r>
    </w:p>
    <w:p>
      <w:pPr>
        <w:spacing w:line="360" w:lineRule="auto"/>
        <w:jc w:val="center"/>
        <w:rPr>
          <w:b/>
          <w:sz w:val="52"/>
          <w:szCs w:val="52"/>
        </w:rPr>
      </w:pPr>
    </w:p>
    <w:p>
      <w:pPr>
        <w:pStyle w:val="17"/>
      </w:pPr>
    </w:p>
    <w:p>
      <w:pPr>
        <w:pStyle w:val="17"/>
      </w:pPr>
    </w:p>
    <w:p>
      <w:pPr>
        <w:pStyle w:val="28"/>
        <w:ind w:firstLine="1044"/>
        <w:rPr>
          <w:b/>
          <w:sz w:val="52"/>
          <w:szCs w:val="52"/>
        </w:rPr>
      </w:pPr>
    </w:p>
    <w:p>
      <w:pPr>
        <w:pStyle w:val="28"/>
        <w:ind w:firstLine="1044"/>
        <w:rPr>
          <w:b/>
          <w:sz w:val="52"/>
          <w:szCs w:val="52"/>
        </w:rPr>
      </w:pPr>
    </w:p>
    <w:p>
      <w:pPr>
        <w:spacing w:line="360" w:lineRule="auto"/>
        <w:ind w:left="1470" w:leftChars="700"/>
        <w:jc w:val="left"/>
        <w:rPr>
          <w:sz w:val="32"/>
          <w:szCs w:val="32"/>
        </w:rPr>
      </w:pPr>
      <w:r>
        <w:rPr>
          <w:rFonts w:hint="eastAsia"/>
          <w:sz w:val="32"/>
          <w:szCs w:val="32"/>
        </w:rPr>
        <w:t>招标单位：连平县工业园管理委员会</w:t>
      </w:r>
    </w:p>
    <w:p>
      <w:pPr>
        <w:spacing w:line="360" w:lineRule="auto"/>
        <w:ind w:left="1470" w:leftChars="700"/>
        <w:jc w:val="left"/>
        <w:rPr>
          <w:sz w:val="32"/>
          <w:szCs w:val="32"/>
        </w:rPr>
      </w:pPr>
      <w:r>
        <w:rPr>
          <w:rFonts w:hint="eastAsia"/>
          <w:sz w:val="32"/>
          <w:szCs w:val="32"/>
        </w:rPr>
        <w:t>代理机构：深圳市祺骏建设工程顾问有限公司</w:t>
      </w:r>
    </w:p>
    <w:p>
      <w:pPr>
        <w:spacing w:line="360" w:lineRule="auto"/>
        <w:ind w:left="1470" w:leftChars="700"/>
        <w:jc w:val="left"/>
        <w:sectPr>
          <w:footerReference r:id="rId3" w:type="first"/>
          <w:pgSz w:w="11906" w:h="16838"/>
          <w:pgMar w:top="1361" w:right="1797" w:bottom="1361" w:left="1797" w:header="851" w:footer="573" w:gutter="0"/>
          <w:cols w:space="720" w:num="1"/>
          <w:docGrid w:type="lines" w:linePitch="312" w:charSpace="0"/>
        </w:sectPr>
      </w:pPr>
      <w:r>
        <w:rPr>
          <w:rFonts w:hint="eastAsia"/>
          <w:sz w:val="32"/>
          <w:szCs w:val="32"/>
        </w:rPr>
        <w:t>编制时间：202</w:t>
      </w:r>
      <w:r>
        <w:rPr>
          <w:sz w:val="32"/>
          <w:szCs w:val="32"/>
        </w:rPr>
        <w:t>3</w:t>
      </w:r>
      <w:r>
        <w:rPr>
          <w:rFonts w:hint="eastAsia"/>
          <w:sz w:val="32"/>
          <w:szCs w:val="32"/>
        </w:rPr>
        <w:t>年</w:t>
      </w:r>
      <w:r>
        <w:rPr>
          <w:rFonts w:hint="eastAsia"/>
          <w:sz w:val="32"/>
          <w:szCs w:val="32"/>
          <w:lang w:val="en-US" w:eastAsia="zh-CN"/>
        </w:rPr>
        <w:t>5</w:t>
      </w:r>
      <w:r>
        <w:rPr>
          <w:rFonts w:hint="eastAsia"/>
          <w:sz w:val="32"/>
          <w:szCs w:val="32"/>
        </w:rPr>
        <w:t>月</w:t>
      </w:r>
    </w:p>
    <w:p>
      <w:pPr>
        <w:jc w:val="center"/>
        <w:rPr>
          <w:b/>
          <w:bCs/>
          <w:sz w:val="44"/>
          <w:szCs w:val="44"/>
        </w:rPr>
      </w:pPr>
      <w:bookmarkStart w:id="4" w:name="_Toc385"/>
      <w:bookmarkStart w:id="5" w:name="_Toc459914383"/>
      <w:bookmarkStart w:id="6" w:name="_Toc2960"/>
      <w:bookmarkStart w:id="7" w:name="_Toc23661"/>
      <w:bookmarkStart w:id="8" w:name="_Toc31307"/>
      <w:bookmarkStart w:id="9" w:name="_Toc9780"/>
      <w:bookmarkStart w:id="10" w:name="_Toc11679"/>
      <w:bookmarkStart w:id="11" w:name="_Toc935"/>
      <w:bookmarkStart w:id="12" w:name="_Toc5409"/>
      <w:bookmarkStart w:id="13" w:name="_Toc15342"/>
      <w:bookmarkStart w:id="14" w:name="_Toc3129"/>
      <w:bookmarkStart w:id="15" w:name="_Toc19267"/>
      <w:bookmarkStart w:id="16" w:name="_Toc24604"/>
      <w:bookmarkStart w:id="17" w:name="_Toc29424"/>
      <w:bookmarkStart w:id="18" w:name="_Toc11295"/>
      <w:bookmarkStart w:id="19" w:name="_Toc3264"/>
      <w:bookmarkStart w:id="20" w:name="_Toc26383"/>
      <w:bookmarkStart w:id="21" w:name="_Toc9161"/>
      <w:bookmarkStart w:id="22" w:name="_Toc12120"/>
      <w:bookmarkStart w:id="23" w:name="_Toc31337"/>
      <w:bookmarkStart w:id="24" w:name="_Toc11173"/>
      <w:bookmarkStart w:id="25" w:name="_Toc19049"/>
      <w:bookmarkStart w:id="26" w:name="_Toc25830"/>
      <w:bookmarkStart w:id="27" w:name="_Toc84875898"/>
      <w:bookmarkStart w:id="28" w:name="_Toc12302"/>
      <w:bookmarkStart w:id="29" w:name="_Toc3345"/>
      <w:bookmarkStart w:id="30" w:name="_Toc11795"/>
      <w:bookmarkStart w:id="31" w:name="_Toc20639"/>
      <w:r>
        <w:rPr>
          <w:rFonts w:hint="eastAsia"/>
          <w:b/>
          <w:bCs/>
          <w:sz w:val="44"/>
          <w:szCs w:val="44"/>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23"/>
        <w:tabs>
          <w:tab w:val="right" w:leader="dot" w:pos="9070"/>
        </w:tabs>
      </w:pPr>
      <w:bookmarkStart w:id="32" w:name="_Toc247527533"/>
      <w:bookmarkStart w:id="33" w:name="_Toc247513932"/>
      <w:bookmarkStart w:id="34" w:name="_Toc144974479"/>
      <w:bookmarkStart w:id="35" w:name="_Toc152042287"/>
      <w:bookmarkStart w:id="36" w:name="_Toc152045511"/>
      <w:r>
        <w:rPr>
          <w:rFonts w:hint="eastAsia"/>
          <w:szCs w:val="21"/>
        </w:rPr>
        <w:fldChar w:fldCharType="begin"/>
      </w:r>
      <w:r>
        <w:rPr>
          <w:rFonts w:hint="eastAsia"/>
          <w:szCs w:val="21"/>
        </w:rPr>
        <w:instrText xml:space="preserve"> TOC \o "1-3" \h \z \u </w:instrText>
      </w:r>
      <w:r>
        <w:rPr>
          <w:rFonts w:hint="eastAsia"/>
          <w:szCs w:val="21"/>
        </w:rPr>
        <w:fldChar w:fldCharType="separate"/>
      </w:r>
      <w:r>
        <w:rPr>
          <w:rFonts w:hint="eastAsia"/>
          <w:szCs w:val="21"/>
        </w:rPr>
        <w:fldChar w:fldCharType="begin"/>
      </w:r>
      <w:r>
        <w:rPr>
          <w:rFonts w:hint="eastAsia"/>
          <w:szCs w:val="21"/>
        </w:rPr>
        <w:instrText xml:space="preserve"> HYPERLINK \l _Toc5348 </w:instrText>
      </w:r>
      <w:r>
        <w:rPr>
          <w:rFonts w:hint="eastAsia"/>
          <w:szCs w:val="21"/>
        </w:rPr>
        <w:fldChar w:fldCharType="separate"/>
      </w:r>
      <w:r>
        <w:rPr>
          <w:rFonts w:hint="eastAsia"/>
        </w:rPr>
        <w:t>第一卷</w:t>
      </w:r>
      <w:r>
        <w:tab/>
      </w:r>
      <w:r>
        <w:fldChar w:fldCharType="begin"/>
      </w:r>
      <w:r>
        <w:instrText xml:space="preserve"> PAGEREF _Toc5348 \h </w:instrText>
      </w:r>
      <w:r>
        <w:fldChar w:fldCharType="separate"/>
      </w:r>
      <w:r>
        <w:t>1</w:t>
      </w:r>
      <w:r>
        <w:fldChar w:fldCharType="end"/>
      </w:r>
      <w:r>
        <w:rPr>
          <w:rFonts w:hint="eastAsia"/>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_Toc674 </w:instrText>
      </w:r>
      <w:r>
        <w:rPr>
          <w:rFonts w:hint="eastAsia"/>
          <w:bCs w:val="0"/>
          <w:szCs w:val="21"/>
        </w:rPr>
        <w:fldChar w:fldCharType="separate"/>
      </w:r>
      <w:r>
        <w:rPr>
          <w:rFonts w:hint="eastAsia"/>
          <w:szCs w:val="32"/>
        </w:rPr>
        <w:t>第一章 招标公告</w:t>
      </w:r>
      <w:r>
        <w:tab/>
      </w:r>
      <w:r>
        <w:fldChar w:fldCharType="begin"/>
      </w:r>
      <w:r>
        <w:instrText xml:space="preserve"> PAGEREF _Toc674 \h </w:instrText>
      </w:r>
      <w:r>
        <w:fldChar w:fldCharType="separate"/>
      </w:r>
      <w:r>
        <w:t>2</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_Toc22180 </w:instrText>
      </w:r>
      <w:r>
        <w:rPr>
          <w:rFonts w:hint="eastAsia"/>
          <w:bCs w:val="0"/>
          <w:szCs w:val="21"/>
        </w:rPr>
        <w:fldChar w:fldCharType="separate"/>
      </w:r>
      <w:r>
        <w:rPr>
          <w:rFonts w:hint="eastAsia"/>
        </w:rPr>
        <w:t>第二章 投标人须知</w:t>
      </w:r>
      <w:r>
        <w:tab/>
      </w:r>
      <w:r>
        <w:fldChar w:fldCharType="begin"/>
      </w:r>
      <w:r>
        <w:instrText xml:space="preserve"> PAGEREF _Toc22180 \h </w:instrText>
      </w:r>
      <w:r>
        <w:fldChar w:fldCharType="separate"/>
      </w:r>
      <w:r>
        <w:t>6</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_Toc8025 </w:instrText>
      </w:r>
      <w:r>
        <w:rPr>
          <w:rFonts w:hint="eastAsia"/>
          <w:bCs w:val="0"/>
          <w:szCs w:val="21"/>
        </w:rPr>
        <w:fldChar w:fldCharType="separate"/>
      </w:r>
      <w:r>
        <w:rPr>
          <w:rFonts w:hint="eastAsia" w:ascii="宋体" w:hAnsi="宋体" w:eastAsia="宋体"/>
        </w:rPr>
        <w:t>投标人须知一览表</w:t>
      </w:r>
      <w:r>
        <w:tab/>
      </w:r>
      <w:r>
        <w:fldChar w:fldCharType="begin"/>
      </w:r>
      <w:r>
        <w:instrText xml:space="preserve"> PAGEREF _Toc8025 \h </w:instrText>
      </w:r>
      <w:r>
        <w:fldChar w:fldCharType="separate"/>
      </w:r>
      <w:r>
        <w:t>6</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_Toc25019 </w:instrText>
      </w:r>
      <w:r>
        <w:rPr>
          <w:rFonts w:hint="eastAsia"/>
          <w:bCs w:val="0"/>
          <w:szCs w:val="21"/>
        </w:rPr>
        <w:fldChar w:fldCharType="separate"/>
      </w:r>
      <w:r>
        <w:rPr>
          <w:rFonts w:hint="eastAsia"/>
        </w:rPr>
        <w:t>第三章 评标办法 （综合评估法）</w:t>
      </w:r>
      <w:r>
        <w:tab/>
      </w:r>
      <w:r>
        <w:fldChar w:fldCharType="begin"/>
      </w:r>
      <w:r>
        <w:instrText xml:space="preserve"> PAGEREF _Toc25019 \h </w:instrText>
      </w:r>
      <w:r>
        <w:fldChar w:fldCharType="separate"/>
      </w:r>
      <w:r>
        <w:t>29</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_Toc17670 </w:instrText>
      </w:r>
      <w:r>
        <w:rPr>
          <w:rFonts w:hint="eastAsia"/>
          <w:bCs w:val="0"/>
          <w:szCs w:val="21"/>
        </w:rPr>
        <w:fldChar w:fldCharType="separate"/>
      </w:r>
      <w:r>
        <w:rPr>
          <w:rFonts w:hint="eastAsia" w:ascii="宋体" w:hAnsi="宋体" w:eastAsia="宋体"/>
        </w:rPr>
        <w:t>评标办法前附表</w:t>
      </w:r>
      <w:r>
        <w:tab/>
      </w:r>
      <w:r>
        <w:fldChar w:fldCharType="begin"/>
      </w:r>
      <w:r>
        <w:instrText xml:space="preserve"> PAGEREF _Toc17670 \h </w:instrText>
      </w:r>
      <w:r>
        <w:fldChar w:fldCharType="separate"/>
      </w:r>
      <w:r>
        <w:t>29</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_Toc23551 </w:instrText>
      </w:r>
      <w:r>
        <w:rPr>
          <w:rFonts w:hint="eastAsia"/>
          <w:bCs w:val="0"/>
          <w:szCs w:val="21"/>
        </w:rPr>
        <w:fldChar w:fldCharType="separate"/>
      </w:r>
      <w:r>
        <w:rPr>
          <w:rFonts w:hint="eastAsia" w:ascii="宋体" w:hAnsi="宋体" w:eastAsia="宋体"/>
        </w:rPr>
        <w:t>1. 评标方法</w:t>
      </w:r>
      <w:r>
        <w:tab/>
      </w:r>
      <w:r>
        <w:fldChar w:fldCharType="begin"/>
      </w:r>
      <w:r>
        <w:instrText xml:space="preserve"> PAGEREF _Toc23551 \h </w:instrText>
      </w:r>
      <w:r>
        <w:fldChar w:fldCharType="separate"/>
      </w:r>
      <w:r>
        <w:t>34</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_Toc21497 </w:instrText>
      </w:r>
      <w:r>
        <w:rPr>
          <w:rFonts w:hint="eastAsia"/>
          <w:bCs w:val="0"/>
          <w:szCs w:val="21"/>
        </w:rPr>
        <w:fldChar w:fldCharType="separate"/>
      </w:r>
      <w:r>
        <w:rPr>
          <w:rFonts w:hint="eastAsia" w:ascii="宋体" w:hAnsi="宋体" w:eastAsia="宋体"/>
        </w:rPr>
        <w:t>2. 评审标准</w:t>
      </w:r>
      <w:r>
        <w:tab/>
      </w:r>
      <w:r>
        <w:fldChar w:fldCharType="begin"/>
      </w:r>
      <w:r>
        <w:instrText xml:space="preserve"> PAGEREF _Toc21497 \h </w:instrText>
      </w:r>
      <w:r>
        <w:fldChar w:fldCharType="separate"/>
      </w:r>
      <w:r>
        <w:t>34</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_Toc30476 </w:instrText>
      </w:r>
      <w:r>
        <w:rPr>
          <w:rFonts w:hint="eastAsia"/>
          <w:bCs w:val="0"/>
          <w:szCs w:val="21"/>
        </w:rPr>
        <w:fldChar w:fldCharType="separate"/>
      </w:r>
      <w:r>
        <w:rPr>
          <w:rFonts w:hint="eastAsia"/>
        </w:rPr>
        <w:t>2.1 初步评审标准</w:t>
      </w:r>
      <w:r>
        <w:tab/>
      </w:r>
      <w:r>
        <w:fldChar w:fldCharType="begin"/>
      </w:r>
      <w:r>
        <w:instrText xml:space="preserve"> PAGEREF _Toc30476 \h </w:instrText>
      </w:r>
      <w:r>
        <w:fldChar w:fldCharType="separate"/>
      </w:r>
      <w:r>
        <w:t>34</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_Toc26558 </w:instrText>
      </w:r>
      <w:r>
        <w:rPr>
          <w:rFonts w:hint="eastAsia"/>
          <w:bCs w:val="0"/>
          <w:szCs w:val="21"/>
        </w:rPr>
        <w:fldChar w:fldCharType="separate"/>
      </w:r>
      <w:r>
        <w:rPr>
          <w:rFonts w:hint="eastAsia"/>
        </w:rPr>
        <w:t>2.2 分值构成与评分标准</w:t>
      </w:r>
      <w:r>
        <w:tab/>
      </w:r>
      <w:r>
        <w:fldChar w:fldCharType="begin"/>
      </w:r>
      <w:r>
        <w:instrText xml:space="preserve"> PAGEREF _Toc26558 \h </w:instrText>
      </w:r>
      <w:r>
        <w:fldChar w:fldCharType="separate"/>
      </w:r>
      <w:r>
        <w:t>34</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_Toc22296 </w:instrText>
      </w:r>
      <w:r>
        <w:rPr>
          <w:rFonts w:hint="eastAsia"/>
          <w:bCs w:val="0"/>
          <w:szCs w:val="21"/>
        </w:rPr>
        <w:fldChar w:fldCharType="separate"/>
      </w:r>
      <w:r>
        <w:rPr>
          <w:rFonts w:hint="eastAsia" w:ascii="宋体" w:hAnsi="宋体" w:eastAsia="宋体"/>
        </w:rPr>
        <w:t>3. 评标程序</w:t>
      </w:r>
      <w:r>
        <w:tab/>
      </w:r>
      <w:r>
        <w:fldChar w:fldCharType="begin"/>
      </w:r>
      <w:r>
        <w:instrText xml:space="preserve"> PAGEREF _Toc22296 \h </w:instrText>
      </w:r>
      <w:r>
        <w:fldChar w:fldCharType="separate"/>
      </w:r>
      <w:r>
        <w:t>34</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_Toc5925 </w:instrText>
      </w:r>
      <w:r>
        <w:rPr>
          <w:rFonts w:hint="eastAsia"/>
          <w:bCs w:val="0"/>
          <w:szCs w:val="21"/>
        </w:rPr>
        <w:fldChar w:fldCharType="separate"/>
      </w:r>
      <w:r>
        <w:rPr>
          <w:rFonts w:hint="eastAsia"/>
        </w:rPr>
        <w:t>3.1 初步评审</w:t>
      </w:r>
      <w:r>
        <w:tab/>
      </w:r>
      <w:r>
        <w:fldChar w:fldCharType="begin"/>
      </w:r>
      <w:r>
        <w:instrText xml:space="preserve"> PAGEREF _Toc5925 \h </w:instrText>
      </w:r>
      <w:r>
        <w:fldChar w:fldCharType="separate"/>
      </w:r>
      <w:r>
        <w:t>34</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_Toc30049 </w:instrText>
      </w:r>
      <w:r>
        <w:rPr>
          <w:rFonts w:hint="eastAsia"/>
          <w:bCs w:val="0"/>
          <w:szCs w:val="21"/>
        </w:rPr>
        <w:fldChar w:fldCharType="separate"/>
      </w:r>
      <w:r>
        <w:rPr>
          <w:rFonts w:hint="eastAsia"/>
        </w:rPr>
        <w:t>3.2 详细评审</w:t>
      </w:r>
      <w:r>
        <w:tab/>
      </w:r>
      <w:r>
        <w:fldChar w:fldCharType="begin"/>
      </w:r>
      <w:r>
        <w:instrText xml:space="preserve"> PAGEREF _Toc30049 \h </w:instrText>
      </w:r>
      <w:r>
        <w:fldChar w:fldCharType="separate"/>
      </w:r>
      <w:r>
        <w:t>35</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_Toc25979 </w:instrText>
      </w:r>
      <w:r>
        <w:rPr>
          <w:rFonts w:hint="eastAsia"/>
          <w:bCs w:val="0"/>
          <w:szCs w:val="21"/>
        </w:rPr>
        <w:fldChar w:fldCharType="separate"/>
      </w:r>
      <w:r>
        <w:rPr>
          <w:rFonts w:hint="eastAsia"/>
        </w:rPr>
        <w:t>3.3 投标文件的澄清和补正</w:t>
      </w:r>
      <w:r>
        <w:tab/>
      </w:r>
      <w:r>
        <w:fldChar w:fldCharType="begin"/>
      </w:r>
      <w:r>
        <w:instrText xml:space="preserve"> PAGEREF _Toc25979 \h </w:instrText>
      </w:r>
      <w:r>
        <w:fldChar w:fldCharType="separate"/>
      </w:r>
      <w:r>
        <w:t>35</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_Toc755 </w:instrText>
      </w:r>
      <w:r>
        <w:rPr>
          <w:rFonts w:hint="eastAsia"/>
          <w:bCs w:val="0"/>
          <w:szCs w:val="21"/>
        </w:rPr>
        <w:fldChar w:fldCharType="separate"/>
      </w:r>
      <w:r>
        <w:rPr>
          <w:rFonts w:hint="eastAsia"/>
        </w:rPr>
        <w:t>3.4 评标结果</w:t>
      </w:r>
      <w:r>
        <w:tab/>
      </w:r>
      <w:r>
        <w:fldChar w:fldCharType="begin"/>
      </w:r>
      <w:r>
        <w:instrText xml:space="preserve"> PAGEREF _Toc755 \h </w:instrText>
      </w:r>
      <w:r>
        <w:fldChar w:fldCharType="separate"/>
      </w:r>
      <w:r>
        <w:t>36</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_Toc30375 </w:instrText>
      </w:r>
      <w:r>
        <w:rPr>
          <w:rFonts w:hint="eastAsia"/>
          <w:bCs w:val="0"/>
          <w:szCs w:val="21"/>
        </w:rPr>
        <w:fldChar w:fldCharType="separate"/>
      </w:r>
      <w:r>
        <w:rPr>
          <w:rFonts w:hint="eastAsia"/>
        </w:rPr>
        <w:t>第四章 合同主要条款</w:t>
      </w:r>
      <w:r>
        <w:tab/>
      </w:r>
      <w:r>
        <w:fldChar w:fldCharType="begin"/>
      </w:r>
      <w:r>
        <w:instrText xml:space="preserve"> PAGEREF _Toc30375 \h </w:instrText>
      </w:r>
      <w:r>
        <w:fldChar w:fldCharType="separate"/>
      </w:r>
      <w:r>
        <w:t>37</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_Toc14055 </w:instrText>
      </w:r>
      <w:r>
        <w:rPr>
          <w:rFonts w:hint="eastAsia"/>
          <w:bCs w:val="0"/>
          <w:szCs w:val="21"/>
        </w:rPr>
        <w:fldChar w:fldCharType="separate"/>
      </w:r>
      <w:r>
        <w:rPr>
          <w:rFonts w:hint="eastAsia"/>
        </w:rPr>
        <w:t>第二卷</w:t>
      </w:r>
      <w:r>
        <w:tab/>
      </w:r>
      <w:r>
        <w:fldChar w:fldCharType="begin"/>
      </w:r>
      <w:r>
        <w:instrText xml:space="preserve"> PAGEREF _Toc14055 \h </w:instrText>
      </w:r>
      <w:r>
        <w:fldChar w:fldCharType="separate"/>
      </w:r>
      <w:r>
        <w:t>43</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_Toc25860 </w:instrText>
      </w:r>
      <w:r>
        <w:rPr>
          <w:rFonts w:hint="eastAsia"/>
          <w:bCs w:val="0"/>
          <w:szCs w:val="21"/>
        </w:rPr>
        <w:fldChar w:fldCharType="separate"/>
      </w:r>
      <w:r>
        <w:rPr>
          <w:rFonts w:hint="eastAsia"/>
        </w:rPr>
        <w:t>第五章 招标人提供的资料</w:t>
      </w:r>
      <w:r>
        <w:tab/>
      </w:r>
      <w:r>
        <w:fldChar w:fldCharType="begin"/>
      </w:r>
      <w:r>
        <w:instrText xml:space="preserve"> PAGEREF _Toc25860 \h </w:instrText>
      </w:r>
      <w:r>
        <w:fldChar w:fldCharType="separate"/>
      </w:r>
      <w:r>
        <w:t>44</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_Toc2884 </w:instrText>
      </w:r>
      <w:r>
        <w:rPr>
          <w:rFonts w:hint="eastAsia"/>
          <w:bCs w:val="0"/>
          <w:szCs w:val="21"/>
        </w:rPr>
        <w:fldChar w:fldCharType="separate"/>
      </w:r>
      <w:r>
        <w:rPr>
          <w:rFonts w:hint="eastAsia"/>
        </w:rPr>
        <w:t>第三卷</w:t>
      </w:r>
      <w:r>
        <w:tab/>
      </w:r>
      <w:r>
        <w:fldChar w:fldCharType="begin"/>
      </w:r>
      <w:r>
        <w:instrText xml:space="preserve"> PAGEREF _Toc2884 \h </w:instrText>
      </w:r>
      <w:r>
        <w:fldChar w:fldCharType="separate"/>
      </w:r>
      <w:r>
        <w:t>45</w:t>
      </w:r>
      <w:r>
        <w:fldChar w:fldCharType="end"/>
      </w:r>
      <w:r>
        <w:rPr>
          <w:rFonts w:hint="eastAsia"/>
          <w:bCs w:val="0"/>
          <w:szCs w:val="21"/>
        </w:rPr>
        <w:fldChar w:fldCharType="end"/>
      </w:r>
    </w:p>
    <w:p>
      <w:pPr>
        <w:pStyle w:val="23"/>
        <w:tabs>
          <w:tab w:val="right" w:leader="dot" w:pos="9070"/>
        </w:tabs>
      </w:pPr>
      <w:r>
        <w:rPr>
          <w:rFonts w:hint="eastAsia"/>
          <w:bCs w:val="0"/>
          <w:szCs w:val="21"/>
        </w:rPr>
        <w:fldChar w:fldCharType="begin"/>
      </w:r>
      <w:r>
        <w:rPr>
          <w:rFonts w:hint="eastAsia"/>
          <w:bCs w:val="0"/>
          <w:szCs w:val="21"/>
        </w:rPr>
        <w:instrText xml:space="preserve"> HYPERLINK \l _Toc20270 </w:instrText>
      </w:r>
      <w:r>
        <w:rPr>
          <w:rFonts w:hint="eastAsia"/>
          <w:bCs w:val="0"/>
          <w:szCs w:val="21"/>
        </w:rPr>
        <w:fldChar w:fldCharType="separate"/>
      </w:r>
      <w:r>
        <w:rPr>
          <w:rFonts w:hint="eastAsia"/>
        </w:rPr>
        <w:t>第六章 投标文件格式</w:t>
      </w:r>
      <w:r>
        <w:tab/>
      </w:r>
      <w:r>
        <w:fldChar w:fldCharType="begin"/>
      </w:r>
      <w:r>
        <w:instrText xml:space="preserve"> PAGEREF _Toc20270 \h </w:instrText>
      </w:r>
      <w:r>
        <w:fldChar w:fldCharType="separate"/>
      </w:r>
      <w:r>
        <w:t>46</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_Toc17954 </w:instrText>
      </w:r>
      <w:r>
        <w:rPr>
          <w:rFonts w:hint="eastAsia"/>
          <w:bCs w:val="0"/>
          <w:szCs w:val="21"/>
        </w:rPr>
        <w:fldChar w:fldCharType="separate"/>
      </w:r>
      <w:r>
        <w:rPr>
          <w:rFonts w:hint="eastAsia" w:ascii="宋体" w:hAnsi="宋体" w:eastAsia="宋体"/>
        </w:rPr>
        <w:t>目    录</w:t>
      </w:r>
      <w:r>
        <w:tab/>
      </w:r>
      <w:r>
        <w:fldChar w:fldCharType="begin"/>
      </w:r>
      <w:r>
        <w:instrText xml:space="preserve"> PAGEREF _Toc17954 \h </w:instrText>
      </w:r>
      <w:r>
        <w:fldChar w:fldCharType="separate"/>
      </w:r>
      <w:r>
        <w:t>48</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_Toc9504 </w:instrText>
      </w:r>
      <w:r>
        <w:rPr>
          <w:rFonts w:hint="eastAsia"/>
          <w:bCs w:val="0"/>
          <w:szCs w:val="21"/>
        </w:rPr>
        <w:fldChar w:fldCharType="separate"/>
      </w:r>
      <w:r>
        <w:rPr>
          <w:rFonts w:hint="eastAsia" w:ascii="宋体" w:hAnsi="宋体" w:eastAsia="宋体"/>
        </w:rPr>
        <w:t>一、投标函及投标函附录</w:t>
      </w:r>
      <w:r>
        <w:tab/>
      </w:r>
      <w:r>
        <w:fldChar w:fldCharType="begin"/>
      </w:r>
      <w:r>
        <w:instrText xml:space="preserve"> PAGEREF _Toc9504 \h </w:instrText>
      </w:r>
      <w:r>
        <w:fldChar w:fldCharType="separate"/>
      </w:r>
      <w:r>
        <w:t>49</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_Toc22729 </w:instrText>
      </w:r>
      <w:r>
        <w:rPr>
          <w:rFonts w:hint="eastAsia"/>
          <w:bCs w:val="0"/>
          <w:szCs w:val="21"/>
        </w:rPr>
        <w:fldChar w:fldCharType="separate"/>
      </w:r>
      <w:r>
        <w:rPr>
          <w:rFonts w:hint="eastAsia" w:ascii="宋体" w:hAnsi="宋体" w:eastAsia="宋体"/>
          <w:bCs w:val="0"/>
          <w:szCs w:val="28"/>
        </w:rPr>
        <w:t>（一）投标函</w:t>
      </w:r>
      <w:r>
        <w:tab/>
      </w:r>
      <w:r>
        <w:fldChar w:fldCharType="begin"/>
      </w:r>
      <w:r>
        <w:instrText xml:space="preserve"> PAGEREF _Toc22729 \h </w:instrText>
      </w:r>
      <w:r>
        <w:fldChar w:fldCharType="separate"/>
      </w:r>
      <w:r>
        <w:t>49</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_Toc14161 </w:instrText>
      </w:r>
      <w:r>
        <w:rPr>
          <w:rFonts w:hint="eastAsia"/>
          <w:bCs w:val="0"/>
          <w:szCs w:val="21"/>
        </w:rPr>
        <w:fldChar w:fldCharType="separate"/>
      </w:r>
      <w:r>
        <w:rPr>
          <w:rFonts w:hint="eastAsia"/>
        </w:rPr>
        <w:t>（二）投标函附录</w:t>
      </w:r>
      <w:r>
        <w:tab/>
      </w:r>
      <w:r>
        <w:fldChar w:fldCharType="begin"/>
      </w:r>
      <w:r>
        <w:instrText xml:space="preserve"> PAGEREF _Toc14161 \h </w:instrText>
      </w:r>
      <w:r>
        <w:fldChar w:fldCharType="separate"/>
      </w:r>
      <w:r>
        <w:t>50</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_Toc11487 </w:instrText>
      </w:r>
      <w:r>
        <w:rPr>
          <w:rFonts w:hint="eastAsia"/>
          <w:bCs w:val="0"/>
          <w:szCs w:val="21"/>
        </w:rPr>
        <w:fldChar w:fldCharType="separate"/>
      </w:r>
      <w:r>
        <w:rPr>
          <w:rFonts w:hint="eastAsia" w:ascii="宋体" w:hAnsi="宋体" w:eastAsia="宋体"/>
        </w:rPr>
        <w:t>二、 法定代表人身份证明或附有法定代表人身份证明的授权委托书</w:t>
      </w:r>
      <w:r>
        <w:tab/>
      </w:r>
      <w:r>
        <w:fldChar w:fldCharType="begin"/>
      </w:r>
      <w:r>
        <w:instrText xml:space="preserve"> PAGEREF _Toc11487 \h </w:instrText>
      </w:r>
      <w:r>
        <w:fldChar w:fldCharType="separate"/>
      </w:r>
      <w:r>
        <w:t>51</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_Toc24502 </w:instrText>
      </w:r>
      <w:r>
        <w:rPr>
          <w:rFonts w:hint="eastAsia"/>
          <w:bCs w:val="0"/>
          <w:szCs w:val="21"/>
        </w:rPr>
        <w:fldChar w:fldCharType="separate"/>
      </w:r>
      <w:r>
        <w:rPr>
          <w:rFonts w:hint="eastAsia"/>
        </w:rPr>
        <w:t>（一）法定代表人身份证明</w:t>
      </w:r>
      <w:r>
        <w:tab/>
      </w:r>
      <w:r>
        <w:fldChar w:fldCharType="begin"/>
      </w:r>
      <w:r>
        <w:instrText xml:space="preserve"> PAGEREF _Toc24502 \h </w:instrText>
      </w:r>
      <w:r>
        <w:fldChar w:fldCharType="separate"/>
      </w:r>
      <w:r>
        <w:t>51</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_Toc30685 </w:instrText>
      </w:r>
      <w:r>
        <w:rPr>
          <w:rFonts w:hint="eastAsia"/>
          <w:bCs w:val="0"/>
          <w:szCs w:val="21"/>
        </w:rPr>
        <w:fldChar w:fldCharType="separate"/>
      </w:r>
      <w:r>
        <w:rPr>
          <w:rFonts w:hint="eastAsia" w:ascii="宋体" w:hAnsi="宋体" w:eastAsia="宋体"/>
        </w:rPr>
        <w:t>（二）授权委托书</w:t>
      </w:r>
      <w:r>
        <w:tab/>
      </w:r>
      <w:r>
        <w:fldChar w:fldCharType="begin"/>
      </w:r>
      <w:r>
        <w:instrText xml:space="preserve"> PAGEREF _Toc30685 \h </w:instrText>
      </w:r>
      <w:r>
        <w:fldChar w:fldCharType="separate"/>
      </w:r>
      <w:r>
        <w:t>52</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_Toc7121 </w:instrText>
      </w:r>
      <w:r>
        <w:rPr>
          <w:rFonts w:hint="eastAsia"/>
          <w:bCs w:val="0"/>
          <w:szCs w:val="21"/>
        </w:rPr>
        <w:fldChar w:fldCharType="separate"/>
      </w:r>
      <w:r>
        <w:rPr>
          <w:rFonts w:hint="eastAsia" w:ascii="宋体" w:hAnsi="宋体" w:eastAsia="宋体"/>
        </w:rPr>
        <w:t>三、联合体协议书</w:t>
      </w:r>
      <w:r>
        <w:tab/>
      </w:r>
      <w:r>
        <w:fldChar w:fldCharType="begin"/>
      </w:r>
      <w:r>
        <w:instrText xml:space="preserve"> PAGEREF _Toc7121 \h </w:instrText>
      </w:r>
      <w:r>
        <w:fldChar w:fldCharType="separate"/>
      </w:r>
      <w:r>
        <w:t>53</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_Toc12138 </w:instrText>
      </w:r>
      <w:r>
        <w:rPr>
          <w:rFonts w:hint="eastAsia"/>
          <w:bCs w:val="0"/>
          <w:szCs w:val="21"/>
        </w:rPr>
        <w:fldChar w:fldCharType="separate"/>
      </w:r>
      <w:r>
        <w:rPr>
          <w:rFonts w:hint="eastAsia" w:ascii="宋体" w:hAnsi="宋体" w:eastAsia="宋体"/>
        </w:rPr>
        <w:t>四、投标保证金</w:t>
      </w:r>
      <w:r>
        <w:tab/>
      </w:r>
      <w:r>
        <w:fldChar w:fldCharType="begin"/>
      </w:r>
      <w:r>
        <w:instrText xml:space="preserve"> PAGEREF _Toc12138 \h </w:instrText>
      </w:r>
      <w:r>
        <w:fldChar w:fldCharType="separate"/>
      </w:r>
      <w:r>
        <w:t>54</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_Toc26675 </w:instrText>
      </w:r>
      <w:r>
        <w:rPr>
          <w:rFonts w:hint="eastAsia"/>
          <w:bCs w:val="0"/>
          <w:szCs w:val="21"/>
        </w:rPr>
        <w:fldChar w:fldCharType="separate"/>
      </w:r>
      <w:r>
        <w:rPr>
          <w:rFonts w:hint="eastAsia" w:ascii="宋体" w:hAnsi="宋体" w:eastAsia="宋体"/>
        </w:rPr>
        <w:t>五</w:t>
      </w:r>
      <w:r>
        <w:rPr>
          <w:rFonts w:hint="eastAsia" w:ascii="宋体" w:hAnsi="宋体" w:eastAsia="宋体"/>
          <w:szCs w:val="27"/>
        </w:rPr>
        <w:t>、</w:t>
      </w:r>
      <w:r>
        <w:rPr>
          <w:rFonts w:hint="eastAsia" w:ascii="宋体" w:hAnsi="宋体" w:eastAsia="宋体"/>
        </w:rPr>
        <w:t>资格审查资料</w:t>
      </w:r>
      <w:r>
        <w:tab/>
      </w:r>
      <w:r>
        <w:fldChar w:fldCharType="begin"/>
      </w:r>
      <w:r>
        <w:instrText xml:space="preserve"> PAGEREF _Toc26675 \h </w:instrText>
      </w:r>
      <w:r>
        <w:fldChar w:fldCharType="separate"/>
      </w:r>
      <w:r>
        <w:t>55</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_Toc19787 </w:instrText>
      </w:r>
      <w:r>
        <w:rPr>
          <w:rFonts w:hint="eastAsia"/>
          <w:bCs w:val="0"/>
          <w:szCs w:val="21"/>
        </w:rPr>
        <w:fldChar w:fldCharType="separate"/>
      </w:r>
      <w:r>
        <w:rPr>
          <w:rFonts w:hint="eastAsia"/>
        </w:rPr>
        <w:t>（一）投标人基本情况表</w:t>
      </w:r>
      <w:r>
        <w:tab/>
      </w:r>
      <w:r>
        <w:fldChar w:fldCharType="begin"/>
      </w:r>
      <w:r>
        <w:instrText xml:space="preserve"> PAGEREF _Toc19787 \h </w:instrText>
      </w:r>
      <w:r>
        <w:fldChar w:fldCharType="separate"/>
      </w:r>
      <w:r>
        <w:t>55</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_Toc28958 </w:instrText>
      </w:r>
      <w:r>
        <w:rPr>
          <w:rFonts w:hint="eastAsia"/>
          <w:bCs w:val="0"/>
          <w:szCs w:val="21"/>
        </w:rPr>
        <w:fldChar w:fldCharType="separate"/>
      </w:r>
      <w:r>
        <w:rPr>
          <w:rFonts w:hint="eastAsia"/>
        </w:rPr>
        <w:t>（二）项目管理机构组成表</w:t>
      </w:r>
      <w:r>
        <w:tab/>
      </w:r>
      <w:r>
        <w:fldChar w:fldCharType="begin"/>
      </w:r>
      <w:r>
        <w:instrText xml:space="preserve"> PAGEREF _Toc28958 \h </w:instrText>
      </w:r>
      <w:r>
        <w:fldChar w:fldCharType="separate"/>
      </w:r>
      <w:r>
        <w:t>56</w:t>
      </w:r>
      <w:r>
        <w:fldChar w:fldCharType="end"/>
      </w:r>
      <w:r>
        <w:rPr>
          <w:rFonts w:hint="eastAsia"/>
          <w:bCs w:val="0"/>
          <w:szCs w:val="21"/>
        </w:rPr>
        <w:fldChar w:fldCharType="end"/>
      </w:r>
    </w:p>
    <w:p>
      <w:pPr>
        <w:pStyle w:val="16"/>
        <w:tabs>
          <w:tab w:val="right" w:leader="dot" w:pos="9070"/>
        </w:tabs>
      </w:pPr>
      <w:r>
        <w:rPr>
          <w:rFonts w:hint="eastAsia"/>
          <w:bCs w:val="0"/>
          <w:szCs w:val="21"/>
        </w:rPr>
        <w:fldChar w:fldCharType="begin"/>
      </w:r>
      <w:r>
        <w:rPr>
          <w:rFonts w:hint="eastAsia"/>
          <w:bCs w:val="0"/>
          <w:szCs w:val="21"/>
        </w:rPr>
        <w:instrText xml:space="preserve"> HYPERLINK \l _Toc18434 </w:instrText>
      </w:r>
      <w:r>
        <w:rPr>
          <w:rFonts w:hint="eastAsia"/>
          <w:bCs w:val="0"/>
          <w:szCs w:val="21"/>
        </w:rPr>
        <w:fldChar w:fldCharType="separate"/>
      </w:r>
      <w:r>
        <w:rPr>
          <w:rFonts w:hint="eastAsia"/>
        </w:rPr>
        <w:t>（四）项目负责人简历表</w:t>
      </w:r>
      <w:r>
        <w:tab/>
      </w:r>
      <w:r>
        <w:fldChar w:fldCharType="begin"/>
      </w:r>
      <w:r>
        <w:instrText xml:space="preserve"> PAGEREF _Toc18434 \h </w:instrText>
      </w:r>
      <w:r>
        <w:fldChar w:fldCharType="separate"/>
      </w:r>
      <w:r>
        <w:t>57</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_Toc2348 </w:instrText>
      </w:r>
      <w:r>
        <w:rPr>
          <w:rFonts w:hint="eastAsia"/>
          <w:bCs w:val="0"/>
          <w:szCs w:val="21"/>
        </w:rPr>
        <w:fldChar w:fldCharType="separate"/>
      </w:r>
      <w:r>
        <w:rPr>
          <w:rFonts w:hint="eastAsia" w:ascii="宋体" w:hAnsi="宋体" w:eastAsia="宋体"/>
        </w:rPr>
        <w:t>六、投标人须知一览表规定的其他资料</w:t>
      </w:r>
      <w:r>
        <w:tab/>
      </w:r>
      <w:r>
        <w:fldChar w:fldCharType="begin"/>
      </w:r>
      <w:r>
        <w:instrText xml:space="preserve"> PAGEREF _Toc2348 \h </w:instrText>
      </w:r>
      <w:r>
        <w:fldChar w:fldCharType="separate"/>
      </w:r>
      <w:r>
        <w:t>58</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_Toc3424 </w:instrText>
      </w:r>
      <w:r>
        <w:rPr>
          <w:rFonts w:hint="eastAsia"/>
          <w:bCs w:val="0"/>
          <w:szCs w:val="21"/>
        </w:rPr>
        <w:fldChar w:fldCharType="separate"/>
      </w:r>
      <w:r>
        <w:rPr>
          <w:rFonts w:hint="eastAsia" w:ascii="宋体" w:hAnsi="宋体" w:eastAsia="宋体"/>
        </w:rPr>
        <w:t>七、评标办法规定的其他资料</w:t>
      </w:r>
      <w:r>
        <w:tab/>
      </w:r>
      <w:r>
        <w:fldChar w:fldCharType="begin"/>
      </w:r>
      <w:r>
        <w:instrText xml:space="preserve"> PAGEREF _Toc3424 \h </w:instrText>
      </w:r>
      <w:r>
        <w:fldChar w:fldCharType="separate"/>
      </w:r>
      <w:r>
        <w:t>60</w:t>
      </w:r>
      <w:r>
        <w:fldChar w:fldCharType="end"/>
      </w:r>
      <w:r>
        <w:rPr>
          <w:rFonts w:hint="eastAsia"/>
          <w:bCs w:val="0"/>
          <w:szCs w:val="21"/>
        </w:rPr>
        <w:fldChar w:fldCharType="end"/>
      </w:r>
    </w:p>
    <w:p>
      <w:pPr>
        <w:pStyle w:val="26"/>
        <w:tabs>
          <w:tab w:val="right" w:leader="dot" w:pos="9070"/>
        </w:tabs>
      </w:pPr>
      <w:r>
        <w:rPr>
          <w:rFonts w:hint="eastAsia"/>
          <w:bCs w:val="0"/>
          <w:szCs w:val="21"/>
        </w:rPr>
        <w:fldChar w:fldCharType="begin"/>
      </w:r>
      <w:r>
        <w:rPr>
          <w:rFonts w:hint="eastAsia"/>
          <w:bCs w:val="0"/>
          <w:szCs w:val="21"/>
        </w:rPr>
        <w:instrText xml:space="preserve"> HYPERLINK \l _Toc7709 </w:instrText>
      </w:r>
      <w:r>
        <w:rPr>
          <w:rFonts w:hint="eastAsia"/>
          <w:bCs w:val="0"/>
          <w:szCs w:val="21"/>
        </w:rPr>
        <w:fldChar w:fldCharType="separate"/>
      </w:r>
      <w:r>
        <w:rPr>
          <w:rFonts w:hint="eastAsia" w:ascii="宋体" w:hAnsi="宋体" w:eastAsia="宋体"/>
        </w:rPr>
        <w:t>八、施工组织设计方案</w:t>
      </w:r>
      <w:r>
        <w:tab/>
      </w:r>
      <w:r>
        <w:fldChar w:fldCharType="begin"/>
      </w:r>
      <w:r>
        <w:instrText xml:space="preserve"> PAGEREF _Toc7709 \h </w:instrText>
      </w:r>
      <w:r>
        <w:fldChar w:fldCharType="separate"/>
      </w:r>
      <w:r>
        <w:t>62</w:t>
      </w:r>
      <w:r>
        <w:fldChar w:fldCharType="end"/>
      </w:r>
      <w:r>
        <w:rPr>
          <w:rFonts w:hint="eastAsia"/>
          <w:bCs w:val="0"/>
          <w:szCs w:val="21"/>
        </w:rPr>
        <w:fldChar w:fldCharType="end"/>
      </w:r>
    </w:p>
    <w:p>
      <w:pPr>
        <w:pStyle w:val="2"/>
        <w:spacing w:line="360" w:lineRule="auto"/>
        <w:jc w:val="center"/>
        <w:sectPr>
          <w:footerReference r:id="rId4" w:type="default"/>
          <w:pgSz w:w="11906" w:h="16838"/>
          <w:pgMar w:top="1440" w:right="1418" w:bottom="1440" w:left="1418" w:header="851" w:footer="567" w:gutter="0"/>
          <w:pgNumType w:start="1"/>
          <w:cols w:space="720" w:num="1"/>
          <w:docGrid w:type="lines" w:linePitch="312" w:charSpace="0"/>
        </w:sectPr>
      </w:pPr>
      <w:r>
        <w:rPr>
          <w:rFonts w:hint="eastAsia"/>
          <w:bCs w:val="0"/>
          <w:szCs w:val="21"/>
        </w:rPr>
        <w:fldChar w:fldCharType="end"/>
      </w:r>
      <w:bookmarkEnd w:id="32"/>
      <w:bookmarkEnd w:id="33"/>
      <w:bookmarkStart w:id="37" w:name="_Toc459914384"/>
      <w:bookmarkStart w:id="38" w:name="_Toc2445"/>
      <w:bookmarkStart w:id="39" w:name="_Toc390336988"/>
    </w:p>
    <w:p>
      <w:pPr>
        <w:pStyle w:val="27"/>
        <w:spacing w:line="360" w:lineRule="auto"/>
        <w:rPr>
          <w:rFonts w:ascii="宋体" w:hAnsi="宋体" w:cs="宋体"/>
        </w:rPr>
      </w:pPr>
    </w:p>
    <w:p>
      <w:pPr>
        <w:pStyle w:val="2"/>
        <w:spacing w:line="360" w:lineRule="auto"/>
        <w:jc w:val="center"/>
      </w:pPr>
    </w:p>
    <w:p>
      <w:pPr>
        <w:pStyle w:val="2"/>
        <w:spacing w:line="360" w:lineRule="auto"/>
      </w:pPr>
    </w:p>
    <w:p>
      <w:pPr>
        <w:pStyle w:val="2"/>
        <w:spacing w:line="360" w:lineRule="auto"/>
        <w:jc w:val="center"/>
      </w:pPr>
      <w:bookmarkStart w:id="40" w:name="_Toc27347"/>
      <w:bookmarkStart w:id="41" w:name="_Toc6347"/>
      <w:bookmarkStart w:id="42" w:name="_Toc22116"/>
      <w:bookmarkStart w:id="43" w:name="_Toc21029"/>
      <w:bookmarkStart w:id="44" w:name="_Toc30573"/>
      <w:bookmarkStart w:id="45" w:name="_Toc29016"/>
      <w:bookmarkStart w:id="46" w:name="_Toc13583"/>
      <w:bookmarkStart w:id="47" w:name="_Toc24410"/>
      <w:bookmarkStart w:id="48" w:name="_Toc28448"/>
      <w:bookmarkStart w:id="49" w:name="_Toc5261"/>
      <w:bookmarkStart w:id="50" w:name="_Toc4598"/>
      <w:bookmarkStart w:id="51" w:name="_Toc22044"/>
      <w:bookmarkStart w:id="52" w:name="_Toc5450"/>
      <w:bookmarkStart w:id="53" w:name="_Toc4230"/>
      <w:bookmarkStart w:id="54" w:name="_Toc13591"/>
      <w:bookmarkStart w:id="55" w:name="_Toc28627"/>
      <w:bookmarkStart w:id="56" w:name="_Toc7755"/>
      <w:bookmarkStart w:id="57" w:name="_Toc29514"/>
      <w:bookmarkStart w:id="58" w:name="_Toc26980"/>
      <w:bookmarkStart w:id="59" w:name="_Toc23066"/>
      <w:bookmarkStart w:id="60" w:name="_Toc30194"/>
      <w:bookmarkStart w:id="61" w:name="_Toc7758"/>
      <w:bookmarkStart w:id="62" w:name="_Toc9061"/>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bookmarkStart w:id="63" w:name="_Toc10202"/>
      <w:bookmarkStart w:id="64" w:name="_Toc21974"/>
      <w:bookmarkStart w:id="65" w:name="_Toc32760"/>
      <w:bookmarkStart w:id="66" w:name="_Toc5348"/>
      <w:r>
        <w:rPr>
          <w:rFonts w:hint="eastAsia"/>
        </w:rPr>
        <w:t>第一卷</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17"/>
        <w:rPr>
          <w:rFonts w:hAnsi="宋体" w:cs="宋体"/>
        </w:rPr>
      </w:pPr>
    </w:p>
    <w:p>
      <w:pPr>
        <w:pStyle w:val="2"/>
        <w:numPr>
          <w:ilvl w:val="0"/>
          <w:numId w:val="1"/>
        </w:numPr>
        <w:spacing w:line="360" w:lineRule="auto"/>
        <w:jc w:val="center"/>
        <w:rPr>
          <w:sz w:val="32"/>
          <w:szCs w:val="32"/>
        </w:rPr>
      </w:pPr>
      <w:bookmarkStart w:id="67" w:name="_Toc7742"/>
      <w:bookmarkStart w:id="68" w:name="_Toc18187"/>
      <w:bookmarkStart w:id="69" w:name="_Toc11527"/>
      <w:bookmarkStart w:id="70" w:name="_Toc21889"/>
      <w:bookmarkStart w:id="71" w:name="_Toc27643"/>
      <w:bookmarkStart w:id="72" w:name="_Toc21447"/>
      <w:bookmarkStart w:id="73" w:name="_Toc25204"/>
      <w:bookmarkStart w:id="74" w:name="_Toc12524"/>
      <w:bookmarkStart w:id="75" w:name="_Toc10133"/>
      <w:bookmarkStart w:id="76" w:name="_Toc6679"/>
      <w:bookmarkStart w:id="77" w:name="_Toc26672"/>
      <w:bookmarkStart w:id="78" w:name="_Toc21321"/>
      <w:bookmarkStart w:id="79" w:name="_Toc4207"/>
      <w:bookmarkStart w:id="80" w:name="_Toc975"/>
      <w:bookmarkStart w:id="81" w:name="_Toc6359"/>
      <w:bookmarkStart w:id="82" w:name="_Toc20217"/>
      <w:bookmarkStart w:id="83" w:name="_Toc369262896"/>
      <w:bookmarkStart w:id="84" w:name="_Toc20395"/>
      <w:bookmarkStart w:id="85" w:name="_Toc459914385"/>
      <w:bookmarkStart w:id="86" w:name="_Toc9730"/>
      <w:bookmarkStart w:id="87" w:name="_Toc2681"/>
      <w:bookmarkStart w:id="88" w:name="_Toc9809"/>
      <w:bookmarkStart w:id="89" w:name="_Toc9153"/>
      <w:bookmarkStart w:id="90" w:name="_Toc27615"/>
      <w:bookmarkStart w:id="91" w:name="_Toc22664"/>
      <w:bookmarkStart w:id="92" w:name="_Toc8738"/>
      <w:bookmarkStart w:id="93" w:name="_Toc674"/>
      <w:bookmarkStart w:id="94" w:name="_Toc27753"/>
      <w:bookmarkStart w:id="95" w:name="_Toc28456"/>
      <w:bookmarkStart w:id="96" w:name="_Toc28884"/>
      <w:r>
        <w:rPr>
          <w:rFonts w:hint="eastAsia"/>
          <w:sz w:val="32"/>
          <w:szCs w:val="32"/>
        </w:rPr>
        <w:t>招标公告</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255"/>
          <w:numId w:val="0"/>
        </w:numPr>
        <w:jc w:val="center"/>
        <w:rPr>
          <w:b/>
          <w:bCs/>
          <w:sz w:val="32"/>
          <w:szCs w:val="40"/>
        </w:rPr>
      </w:pPr>
      <w:r>
        <w:rPr>
          <w:rFonts w:hint="eastAsia"/>
          <w:b/>
          <w:bCs/>
          <w:sz w:val="32"/>
          <w:szCs w:val="40"/>
        </w:rPr>
        <w:t>连平县工业园三期基础设施建设工程项目（石龙-1#厂房、园区内部市政道路及排污主管工程）招标公告</w:t>
      </w:r>
    </w:p>
    <w:p>
      <w:pPr>
        <w:spacing w:before="156" w:beforeLines="50" w:after="156" w:afterLines="50" w:line="360" w:lineRule="auto"/>
        <w:rPr>
          <w:b/>
          <w:szCs w:val="21"/>
        </w:rPr>
      </w:pPr>
      <w:r>
        <w:rPr>
          <w:rFonts w:hint="eastAsia"/>
          <w:b/>
          <w:szCs w:val="21"/>
        </w:rPr>
        <w:t>一、招标条件</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rPr>
          <w:szCs w:val="21"/>
        </w:rPr>
      </w:pPr>
      <w:r>
        <w:rPr>
          <w:rFonts w:hint="eastAsia"/>
          <w:szCs w:val="21"/>
        </w:rPr>
        <w:t>本招标项目</w:t>
      </w:r>
      <w:r>
        <w:rPr>
          <w:rFonts w:hint="eastAsia"/>
          <w:b/>
          <w:bCs/>
          <w:szCs w:val="21"/>
        </w:rPr>
        <w:t>连平县工业园三期基础设施建设工程项目（石龙-1#厂房、</w:t>
      </w:r>
      <w:bookmarkStart w:id="97" w:name="_Hlk134810389"/>
      <w:r>
        <w:rPr>
          <w:rFonts w:hint="eastAsia"/>
          <w:b/>
          <w:bCs/>
          <w:szCs w:val="21"/>
        </w:rPr>
        <w:t>园区内部市政道路及排污主管工程</w:t>
      </w:r>
      <w:bookmarkEnd w:id="97"/>
      <w:r>
        <w:rPr>
          <w:rFonts w:hint="eastAsia"/>
          <w:b/>
          <w:bCs/>
          <w:szCs w:val="21"/>
        </w:rPr>
        <w:t>）</w:t>
      </w:r>
      <w:r>
        <w:rPr>
          <w:rFonts w:hint="eastAsia"/>
          <w:szCs w:val="21"/>
        </w:rPr>
        <w:t>，已由</w:t>
      </w:r>
      <w:r>
        <w:rPr>
          <w:rFonts w:hint="eastAsia"/>
          <w:b/>
          <w:bCs/>
          <w:szCs w:val="21"/>
          <w:u w:val="single"/>
        </w:rPr>
        <w:t>连平县发展和改革局</w:t>
      </w:r>
      <w:r>
        <w:rPr>
          <w:rFonts w:hint="eastAsia"/>
          <w:szCs w:val="21"/>
        </w:rPr>
        <w:t>以</w:t>
      </w:r>
      <w:r>
        <w:rPr>
          <w:rFonts w:hint="eastAsia"/>
          <w:b/>
          <w:bCs/>
          <w:szCs w:val="21"/>
          <w:u w:val="single"/>
        </w:rPr>
        <w:t xml:space="preserve"> 连发改投审[2022]</w:t>
      </w:r>
      <w:r>
        <w:rPr>
          <w:b/>
          <w:bCs/>
          <w:szCs w:val="21"/>
          <w:u w:val="single"/>
        </w:rPr>
        <w:t>95</w:t>
      </w:r>
      <w:r>
        <w:rPr>
          <w:rFonts w:hint="eastAsia"/>
          <w:b/>
          <w:bCs/>
          <w:szCs w:val="21"/>
          <w:u w:val="single"/>
        </w:rPr>
        <w:t>号文</w:t>
      </w:r>
      <w:r>
        <w:rPr>
          <w:rFonts w:hint="eastAsia"/>
          <w:szCs w:val="21"/>
        </w:rPr>
        <w:t>及</w:t>
      </w:r>
      <w:r>
        <w:rPr>
          <w:rFonts w:hint="eastAsia"/>
          <w:b/>
          <w:bCs/>
          <w:szCs w:val="21"/>
          <w:u w:val="single"/>
        </w:rPr>
        <w:t>连发改投审[2022]</w:t>
      </w:r>
      <w:r>
        <w:rPr>
          <w:b/>
          <w:bCs/>
          <w:szCs w:val="21"/>
          <w:u w:val="single"/>
        </w:rPr>
        <w:t>157</w:t>
      </w:r>
      <w:r>
        <w:rPr>
          <w:rFonts w:hint="eastAsia"/>
          <w:b/>
          <w:bCs/>
          <w:szCs w:val="21"/>
          <w:u w:val="single"/>
        </w:rPr>
        <w:t>号文</w:t>
      </w:r>
      <w:r>
        <w:rPr>
          <w:rFonts w:hint="eastAsia"/>
          <w:szCs w:val="21"/>
        </w:rPr>
        <w:t>批准建设，建设资金来自</w:t>
      </w:r>
      <w:r>
        <w:rPr>
          <w:rFonts w:hint="eastAsia"/>
          <w:b/>
          <w:bCs/>
          <w:szCs w:val="21"/>
          <w:u w:val="single"/>
        </w:rPr>
        <w:t xml:space="preserve"> </w:t>
      </w:r>
      <w:r>
        <w:rPr>
          <w:b/>
          <w:bCs/>
          <w:szCs w:val="21"/>
          <w:u w:val="single"/>
        </w:rPr>
        <w:t xml:space="preserve"> </w:t>
      </w:r>
      <w:r>
        <w:rPr>
          <w:rFonts w:hint="eastAsia"/>
          <w:b/>
          <w:bCs/>
          <w:szCs w:val="21"/>
          <w:u w:val="single"/>
        </w:rPr>
        <w:t xml:space="preserve">上级专项资金及县财政统筹解决 </w:t>
      </w:r>
      <w:r>
        <w:rPr>
          <w:rFonts w:hint="eastAsia"/>
          <w:szCs w:val="21"/>
        </w:rPr>
        <w:t>，资金已落实。招标人为</w:t>
      </w:r>
      <w:r>
        <w:rPr>
          <w:rFonts w:hint="eastAsia"/>
          <w:b/>
          <w:bCs/>
          <w:szCs w:val="21"/>
          <w:u w:val="single"/>
        </w:rPr>
        <w:t>连平县工业园管理委员会</w:t>
      </w:r>
      <w:r>
        <w:rPr>
          <w:rFonts w:hint="eastAsia"/>
          <w:szCs w:val="21"/>
        </w:rPr>
        <w:t>，招标代理机构为</w:t>
      </w:r>
      <w:r>
        <w:rPr>
          <w:rFonts w:hint="eastAsia"/>
          <w:b/>
          <w:bCs/>
          <w:szCs w:val="21"/>
          <w:u w:val="single"/>
        </w:rPr>
        <w:t>深圳市祺骏建设工程顾问有限公司</w:t>
      </w:r>
      <w:r>
        <w:rPr>
          <w:rFonts w:hint="eastAsia"/>
          <w:szCs w:val="21"/>
        </w:rPr>
        <w:t>。本项目已具备招标条件，</w:t>
      </w:r>
      <w:r>
        <w:rPr>
          <w:rFonts w:hint="eastAsia"/>
          <w:color w:val="auto"/>
          <w:szCs w:val="21"/>
        </w:rPr>
        <w:t>现对本项目施工进行公开招标。</w:t>
      </w:r>
    </w:p>
    <w:p>
      <w:pPr>
        <w:spacing w:before="156" w:beforeLines="50" w:after="156" w:afterLines="50" w:line="360" w:lineRule="auto"/>
        <w:rPr>
          <w:b/>
          <w:szCs w:val="21"/>
        </w:rPr>
      </w:pPr>
      <w:r>
        <w:rPr>
          <w:rFonts w:hint="eastAsia"/>
          <w:b/>
          <w:szCs w:val="21"/>
        </w:rPr>
        <w:t>二、工程概况及招标范围</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rPr>
          <w:szCs w:val="21"/>
        </w:rPr>
      </w:pPr>
      <w:r>
        <w:rPr>
          <w:rFonts w:hint="eastAsia"/>
          <w:b/>
          <w:bCs/>
          <w:szCs w:val="21"/>
        </w:rPr>
        <w:t>2.1 工程名称：</w:t>
      </w:r>
      <w:r>
        <w:rPr>
          <w:rFonts w:hint="eastAsia"/>
          <w:b w:val="0"/>
          <w:bCs w:val="0"/>
          <w:szCs w:val="21"/>
        </w:rPr>
        <w:t>连平县工业园三期基础设施建设工程项目（石龙-1#厂房、园区内部市政道路及排污主管工程）</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pPr>
      <w:r>
        <w:rPr>
          <w:rFonts w:hint="eastAsia"/>
          <w:b/>
          <w:bCs/>
        </w:rPr>
        <w:t>2.2 项目编号：</w:t>
      </w:r>
      <w:r>
        <w:t>2207-441623-04-01-1266</w:t>
      </w:r>
      <w:r>
        <w:rPr>
          <w:rFonts w:hint="eastAsia"/>
          <w:lang w:val="en-US" w:eastAsia="zh-CN"/>
        </w:rPr>
        <w:t>6</w:t>
      </w:r>
      <w:r>
        <w:t>0</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rPr>
          <w:szCs w:val="21"/>
        </w:rPr>
      </w:pPr>
      <w:r>
        <w:rPr>
          <w:rFonts w:hint="eastAsia"/>
          <w:b/>
          <w:bCs/>
          <w:szCs w:val="21"/>
        </w:rPr>
        <w:t>2.3 建设地点：</w:t>
      </w:r>
      <w:r>
        <w:rPr>
          <w:rFonts w:hint="eastAsia"/>
          <w:b w:val="0"/>
          <w:bCs w:val="0"/>
          <w:szCs w:val="21"/>
        </w:rPr>
        <w:t>连平县辖区</w:t>
      </w:r>
    </w:p>
    <w:p>
      <w:pPr>
        <w:spacing w:line="336" w:lineRule="auto"/>
        <w:ind w:firstLine="422" w:firstLineChars="200"/>
        <w:rPr>
          <w:highlight w:val="none"/>
        </w:rPr>
      </w:pPr>
      <w:r>
        <w:rPr>
          <w:rFonts w:hint="eastAsia"/>
          <w:b/>
          <w:bCs/>
          <w:szCs w:val="21"/>
        </w:rPr>
        <w:t xml:space="preserve">2.4 </w:t>
      </w:r>
      <w:r>
        <w:rPr>
          <w:rFonts w:hint="eastAsia"/>
          <w:b/>
          <w:bCs/>
          <w:kern w:val="0"/>
          <w:szCs w:val="21"/>
        </w:rPr>
        <w:t>建设规模及内容：</w:t>
      </w:r>
      <w:r>
        <w:rPr>
          <w:rFonts w:hint="eastAsia" w:ascii="宋体" w:hAnsi="宋体" w:eastAsia="宋体" w:cs="宋体"/>
          <w:b w:val="0"/>
          <w:bCs w:val="0"/>
          <w:kern w:val="0"/>
          <w:szCs w:val="21"/>
        </w:rPr>
        <w:t>石龙污水主管工程及园区内部市政道路配套工程总长度约1.9km</w:t>
      </w:r>
      <w:r>
        <w:rPr>
          <w:rFonts w:hint="eastAsia" w:ascii="宋体" w:hAnsi="宋体" w:eastAsia="宋体" w:cs="宋体"/>
          <w:b w:val="0"/>
          <w:bCs w:val="0"/>
          <w:kern w:val="0"/>
          <w:szCs w:val="21"/>
          <w:lang w:eastAsia="zh-CN"/>
        </w:rPr>
        <w:t>；</w:t>
      </w:r>
      <w:r>
        <w:rPr>
          <w:rFonts w:hint="eastAsia" w:ascii="宋体" w:hAnsi="宋体" w:eastAsia="宋体" w:cs="宋体"/>
          <w:b w:val="0"/>
          <w:bCs w:val="0"/>
          <w:kern w:val="0"/>
          <w:szCs w:val="21"/>
        </w:rPr>
        <w:t>建筑工程包含1#厂房一栋，5层，单层建筑面积1490.5m</w:t>
      </w:r>
      <w:r>
        <w:rPr>
          <w:rFonts w:hint="eastAsia" w:ascii="宋体" w:hAnsi="宋体" w:eastAsia="宋体" w:cs="宋体"/>
          <w:b w:val="0"/>
          <w:bCs w:val="0"/>
          <w:kern w:val="0"/>
          <w:szCs w:val="21"/>
          <w:lang w:val="en-US" w:eastAsia="zh-CN"/>
        </w:rPr>
        <w:t>²</w:t>
      </w:r>
      <w:r>
        <w:rPr>
          <w:rFonts w:hint="eastAsia" w:ascii="宋体" w:hAnsi="宋体" w:eastAsia="宋体" w:cs="宋体"/>
          <w:b w:val="0"/>
          <w:bCs w:val="0"/>
          <w:kern w:val="0"/>
          <w:szCs w:val="21"/>
        </w:rPr>
        <w:t>，总建筑面积7764.44m</w:t>
      </w:r>
      <w:r>
        <w:rPr>
          <w:rFonts w:hint="eastAsia" w:ascii="宋体" w:hAnsi="宋体" w:eastAsia="宋体" w:cs="宋体"/>
          <w:b w:val="0"/>
          <w:bCs w:val="0"/>
          <w:kern w:val="0"/>
          <w:szCs w:val="21"/>
          <w:lang w:val="en-US" w:eastAsia="zh-CN"/>
        </w:rPr>
        <w:t>²</w:t>
      </w:r>
      <w:r>
        <w:rPr>
          <w:rFonts w:hint="eastAsia" w:ascii="宋体" w:hAnsi="宋体" w:eastAsia="宋体" w:cs="宋体"/>
          <w:b w:val="0"/>
          <w:bCs w:val="0"/>
          <w:kern w:val="0"/>
          <w:szCs w:val="21"/>
        </w:rPr>
        <w:t>，采用框架结构，建筑高度23.3m，厂房附属配套设施264.00m</w:t>
      </w:r>
      <w:r>
        <w:rPr>
          <w:rFonts w:hint="eastAsia" w:ascii="宋体" w:hAnsi="宋体" w:eastAsia="宋体" w:cs="宋体"/>
          <w:b w:val="0"/>
          <w:bCs w:val="0"/>
          <w:kern w:val="0"/>
          <w:szCs w:val="21"/>
          <w:lang w:val="en-US" w:eastAsia="zh-CN"/>
        </w:rPr>
        <w:t>²</w:t>
      </w:r>
      <w:r>
        <w:rPr>
          <w:rFonts w:hint="eastAsia"/>
          <w:kern w:val="0"/>
          <w:szCs w:val="21"/>
          <w:highlight w:val="none"/>
          <w:lang w:eastAsia="zh-CN"/>
        </w:rPr>
        <w:t>（</w:t>
      </w:r>
      <w:r>
        <w:rPr>
          <w:rFonts w:hint="eastAsia"/>
          <w:highlight w:val="none"/>
        </w:rPr>
        <w:t>具体施工内容以设计文件及工程量清单为准）</w:t>
      </w:r>
      <w:r>
        <w:rPr>
          <w:rFonts w:hint="eastAsia" w:ascii="宋体" w:hAnsi="宋体" w:eastAsia="宋体" w:cs="宋体"/>
          <w:b w:val="0"/>
          <w:bCs w:val="0"/>
          <w:kern w:val="0"/>
          <w:szCs w:val="21"/>
        </w:rPr>
        <w:t>。</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rPr>
          <w:b/>
          <w:bCs/>
          <w:sz w:val="18"/>
          <w:szCs w:val="18"/>
        </w:rPr>
      </w:pPr>
      <w:r>
        <w:rPr>
          <w:rFonts w:hint="eastAsia"/>
          <w:b/>
          <w:bCs/>
          <w:szCs w:val="21"/>
        </w:rPr>
        <w:t>2.5</w:t>
      </w:r>
      <w:r>
        <w:rPr>
          <w:rFonts w:hint="eastAsia"/>
          <w:b/>
          <w:bCs/>
          <w:kern w:val="0"/>
          <w:szCs w:val="21"/>
        </w:rPr>
        <w:t xml:space="preserve"> </w:t>
      </w:r>
      <w:bookmarkStart w:id="98" w:name="OLE_LINK4"/>
      <w:r>
        <w:rPr>
          <w:rFonts w:hint="eastAsia"/>
          <w:b/>
          <w:bCs/>
          <w:kern w:val="0"/>
          <w:szCs w:val="21"/>
        </w:rPr>
        <w:t>最高投标限价</w:t>
      </w:r>
    </w:p>
    <w:p>
      <w:pPr>
        <w:tabs>
          <w:tab w:val="left" w:pos="2520"/>
          <w:tab w:val="left" w:pos="3000"/>
          <w:tab w:val="left" w:pos="3280"/>
          <w:tab w:val="left" w:pos="6120"/>
          <w:tab w:val="left" w:pos="7540"/>
          <w:tab w:val="left" w:pos="8320"/>
        </w:tabs>
        <w:autoSpaceDE w:val="0"/>
        <w:autoSpaceDN w:val="0"/>
        <w:adjustRightInd w:val="0"/>
        <w:snapToGrid w:val="0"/>
        <w:spacing w:line="360" w:lineRule="auto"/>
        <w:ind w:firstLine="420" w:firstLineChars="200"/>
        <w:rPr>
          <w:kern w:val="0"/>
          <w:szCs w:val="21"/>
        </w:rPr>
      </w:pPr>
      <w:r>
        <w:rPr>
          <w:rFonts w:hint="eastAsia"/>
          <w:kern w:val="0"/>
          <w:szCs w:val="21"/>
        </w:rPr>
        <w:t>本项目最高限价为：</w:t>
      </w:r>
      <w:r>
        <w:rPr>
          <w:rFonts w:hint="eastAsia"/>
          <w:b/>
          <w:bCs/>
          <w:szCs w:val="21"/>
          <w:u w:val="single"/>
        </w:rPr>
        <w:t xml:space="preserve"> </w:t>
      </w:r>
      <w:r>
        <w:rPr>
          <w:b/>
          <w:bCs/>
          <w:szCs w:val="21"/>
          <w:u w:val="single"/>
        </w:rPr>
        <w:t xml:space="preserve">47178255.50 </w:t>
      </w:r>
      <w:r>
        <w:rPr>
          <w:rFonts w:hint="eastAsia"/>
          <w:b/>
          <w:bCs/>
          <w:szCs w:val="21"/>
        </w:rPr>
        <w:t>元，（</w:t>
      </w:r>
      <w:r>
        <w:rPr>
          <w:rFonts w:hint="eastAsia"/>
          <w:szCs w:val="21"/>
        </w:rPr>
        <w:t>其中，1</w:t>
      </w:r>
      <w:r>
        <w:rPr>
          <w:szCs w:val="21"/>
        </w:rPr>
        <w:t>#</w:t>
      </w:r>
      <w:r>
        <w:rPr>
          <w:rFonts w:hint="eastAsia"/>
          <w:szCs w:val="21"/>
        </w:rPr>
        <w:t>厂房部分为：</w:t>
      </w:r>
      <w:r>
        <w:rPr>
          <w:rFonts w:hint="eastAsia"/>
          <w:b/>
          <w:bCs/>
          <w:szCs w:val="21"/>
          <w:u w:val="single"/>
        </w:rPr>
        <w:t>2</w:t>
      </w:r>
      <w:r>
        <w:rPr>
          <w:b/>
          <w:bCs/>
          <w:szCs w:val="21"/>
          <w:u w:val="single"/>
        </w:rPr>
        <w:t>3944868.55</w:t>
      </w:r>
      <w:r>
        <w:rPr>
          <w:rFonts w:hint="eastAsia"/>
          <w:b/>
          <w:bCs/>
          <w:szCs w:val="21"/>
          <w:u w:val="single"/>
          <w:lang w:val="en-US" w:eastAsia="zh-CN"/>
        </w:rPr>
        <w:t xml:space="preserve"> </w:t>
      </w:r>
      <w:r>
        <w:rPr>
          <w:rFonts w:hint="eastAsia"/>
          <w:b w:val="0"/>
          <w:bCs w:val="0"/>
          <w:szCs w:val="21"/>
          <w:lang w:val="en-US" w:eastAsia="zh-CN"/>
        </w:rPr>
        <w:t>元</w:t>
      </w:r>
      <w:r>
        <w:rPr>
          <w:rFonts w:hint="eastAsia"/>
          <w:szCs w:val="21"/>
        </w:rPr>
        <w:t>，园区内部市政道路及排污主管工程部分为：</w:t>
      </w:r>
      <w:r>
        <w:rPr>
          <w:b/>
          <w:bCs/>
          <w:strike w:val="0"/>
          <w:dstrike w:val="0"/>
          <w:szCs w:val="21"/>
          <w:u w:val="single"/>
        </w:rPr>
        <w:t>23233386.95</w:t>
      </w:r>
      <w:r>
        <w:rPr>
          <w:rFonts w:hint="eastAsia"/>
          <w:b/>
          <w:bCs/>
          <w:strike w:val="0"/>
          <w:dstrike w:val="0"/>
          <w:szCs w:val="21"/>
          <w:u w:val="single"/>
          <w:lang w:val="en-US" w:eastAsia="zh-CN"/>
        </w:rPr>
        <w:t xml:space="preserve"> </w:t>
      </w:r>
      <w:r>
        <w:rPr>
          <w:rFonts w:hint="eastAsia"/>
          <w:szCs w:val="21"/>
        </w:rPr>
        <w:t>元</w:t>
      </w:r>
      <w:r>
        <w:rPr>
          <w:szCs w:val="21"/>
        </w:rPr>
        <w:t xml:space="preserve"> </w:t>
      </w:r>
      <w:r>
        <w:rPr>
          <w:rFonts w:hint="eastAsia"/>
          <w:b/>
          <w:bCs/>
          <w:szCs w:val="21"/>
        </w:rPr>
        <w:t>）</w:t>
      </w:r>
      <w:r>
        <w:rPr>
          <w:rFonts w:hint="eastAsia"/>
          <w:kern w:val="0"/>
          <w:szCs w:val="21"/>
        </w:rPr>
        <w:t>，最终</w:t>
      </w:r>
      <w:r>
        <w:rPr>
          <w:rFonts w:hint="eastAsia"/>
          <w:kern w:val="0"/>
          <w:szCs w:val="21"/>
          <w:lang w:val="en-US" w:eastAsia="zh-CN"/>
        </w:rPr>
        <w:t>结算</w:t>
      </w:r>
      <w:r>
        <w:rPr>
          <w:rFonts w:hint="eastAsia"/>
          <w:kern w:val="0"/>
          <w:szCs w:val="21"/>
        </w:rPr>
        <w:t>金额以连平县财政投资评审中心审定金额为准。</w:t>
      </w:r>
      <w:bookmarkEnd w:id="98"/>
    </w:p>
    <w:p>
      <w:pPr>
        <w:pStyle w:val="17"/>
        <w:autoSpaceDE w:val="0"/>
        <w:autoSpaceDN w:val="0"/>
        <w:adjustRightInd w:val="0"/>
        <w:snapToGrid w:val="0"/>
        <w:spacing w:line="360" w:lineRule="auto"/>
        <w:ind w:firstLine="422" w:firstLineChars="200"/>
        <w:rPr>
          <w:rFonts w:hAnsi="宋体" w:cs="宋体"/>
          <w:szCs w:val="16"/>
        </w:rPr>
      </w:pPr>
      <w:bookmarkStart w:id="99" w:name="_Hlk85136834"/>
      <w:r>
        <w:rPr>
          <w:rFonts w:hAnsi="宋体" w:cs="宋体"/>
          <w:b/>
          <w:bCs/>
        </w:rPr>
        <w:t>2.</w:t>
      </w:r>
      <w:r>
        <w:rPr>
          <w:rFonts w:hint="eastAsia" w:hAnsi="宋体" w:cs="宋体"/>
          <w:b/>
          <w:bCs/>
        </w:rPr>
        <w:t>6</w:t>
      </w:r>
      <w:r>
        <w:rPr>
          <w:rFonts w:hAnsi="宋体" w:cs="宋体"/>
          <w:b/>
          <w:bCs/>
        </w:rPr>
        <w:t xml:space="preserve"> </w:t>
      </w:r>
      <w:r>
        <w:rPr>
          <w:rFonts w:hint="eastAsia" w:hAnsi="宋体" w:cs="宋体"/>
          <w:b/>
          <w:bCs/>
        </w:rPr>
        <w:t>工期要求：</w:t>
      </w:r>
      <w:r>
        <w:rPr>
          <w:rFonts w:hint="eastAsia" w:hAnsi="宋体" w:cs="宋体"/>
        </w:rPr>
        <w:t>总工期为</w:t>
      </w:r>
      <w:r>
        <w:rPr>
          <w:rFonts w:hint="eastAsia" w:hAnsi="宋体" w:cs="宋体"/>
          <w:u w:val="single"/>
          <w:lang w:val="en-US" w:eastAsia="zh-CN"/>
        </w:rPr>
        <w:t xml:space="preserve"> 120 </w:t>
      </w:r>
      <w:r>
        <w:rPr>
          <w:rFonts w:hAnsi="宋体" w:cs="宋体"/>
        </w:rPr>
        <w:t>日历天（具体开工时间以招标人发出的开工令时间为</w:t>
      </w:r>
      <w:r>
        <w:rPr>
          <w:rFonts w:hint="eastAsia" w:hAnsi="宋体" w:cs="宋体"/>
        </w:rPr>
        <w:t>准）。</w:t>
      </w:r>
    </w:p>
    <w:p>
      <w:pPr>
        <w:pStyle w:val="17"/>
        <w:spacing w:line="360" w:lineRule="auto"/>
        <w:ind w:firstLine="422" w:firstLineChars="200"/>
        <w:rPr>
          <w:lang w:val="zh-TW"/>
        </w:rPr>
      </w:pPr>
      <w:r>
        <w:rPr>
          <w:rFonts w:hint="eastAsia" w:hAnsi="宋体" w:cs="宋体"/>
          <w:b/>
          <w:bCs/>
        </w:rPr>
        <w:t>2.7 招标范围：</w:t>
      </w:r>
      <w:r>
        <w:rPr>
          <w:rFonts w:hint="eastAsia" w:asciiTheme="minorEastAsia" w:hAnsiTheme="minorEastAsia" w:eastAsiaTheme="minorEastAsia" w:cstheme="minorEastAsia"/>
        </w:rPr>
        <w:t>按招标人提供的施工图设计文件所包含全部内容（具体内容以招标人提供的工程量清单为准）的施工及保修</w:t>
      </w:r>
      <w:r>
        <w:rPr>
          <w:rFonts w:hint="eastAsia"/>
          <w:szCs w:val="16"/>
        </w:rPr>
        <w:t>。</w:t>
      </w:r>
    </w:p>
    <w:p>
      <w:pPr>
        <w:tabs>
          <w:tab w:val="left" w:pos="2520"/>
          <w:tab w:val="left" w:pos="3000"/>
          <w:tab w:val="left" w:pos="3280"/>
          <w:tab w:val="left" w:pos="6120"/>
          <w:tab w:val="left" w:pos="7540"/>
          <w:tab w:val="left" w:pos="8320"/>
        </w:tabs>
        <w:spacing w:line="360" w:lineRule="auto"/>
        <w:ind w:firstLine="422" w:firstLineChars="200"/>
        <w:rPr>
          <w:szCs w:val="21"/>
          <w:lang w:val="zh-TW"/>
        </w:rPr>
      </w:pPr>
      <w:r>
        <w:rPr>
          <w:rFonts w:hint="eastAsia"/>
          <w:b/>
          <w:bCs/>
          <w:szCs w:val="21"/>
        </w:rPr>
        <w:t>2.8</w:t>
      </w:r>
      <w:r>
        <w:rPr>
          <w:rFonts w:hint="eastAsia"/>
          <w:b/>
          <w:bCs/>
          <w:szCs w:val="21"/>
          <w:lang w:val="zh-TW"/>
        </w:rPr>
        <w:t>工程质量要求：</w:t>
      </w:r>
      <w:r>
        <w:rPr>
          <w:rFonts w:hint="eastAsia"/>
          <w:szCs w:val="21"/>
          <w:lang w:val="zh-TW"/>
        </w:rPr>
        <w:t>符合设计图纸要求和国家、省、市相关法律法规规定要求及行业颁发的工程质量合格标准。</w:t>
      </w:r>
      <w:bookmarkEnd w:id="99"/>
    </w:p>
    <w:p>
      <w:pPr>
        <w:tabs>
          <w:tab w:val="left" w:pos="2520"/>
          <w:tab w:val="left" w:pos="3000"/>
          <w:tab w:val="left" w:pos="3280"/>
          <w:tab w:val="left" w:pos="6120"/>
          <w:tab w:val="left" w:pos="7540"/>
          <w:tab w:val="left" w:pos="8320"/>
        </w:tabs>
        <w:spacing w:line="360" w:lineRule="auto"/>
        <w:rPr>
          <w:b/>
          <w:szCs w:val="21"/>
        </w:rPr>
      </w:pPr>
      <w:r>
        <w:rPr>
          <w:rFonts w:hint="eastAsia"/>
          <w:b/>
          <w:szCs w:val="21"/>
        </w:rPr>
        <w:t xml:space="preserve">三、投标人资格要求 </w:t>
      </w:r>
    </w:p>
    <w:p>
      <w:pPr>
        <w:tabs>
          <w:tab w:val="left" w:pos="2520"/>
          <w:tab w:val="left" w:pos="3000"/>
          <w:tab w:val="left" w:pos="3280"/>
          <w:tab w:val="left" w:pos="6120"/>
          <w:tab w:val="left" w:pos="7540"/>
          <w:tab w:val="left" w:pos="8320"/>
        </w:tabs>
        <w:spacing w:line="360" w:lineRule="auto"/>
        <w:ind w:firstLine="420" w:firstLineChars="200"/>
        <w:rPr>
          <w:szCs w:val="21"/>
        </w:rPr>
      </w:pPr>
      <w:r>
        <w:rPr>
          <w:rFonts w:hint="eastAsia"/>
          <w:szCs w:val="21"/>
        </w:rPr>
        <w:t>3.1在中华人民共和国境内依法注册的企业法人。</w:t>
      </w:r>
    </w:p>
    <w:p>
      <w:pPr>
        <w:tabs>
          <w:tab w:val="left" w:pos="2520"/>
          <w:tab w:val="left" w:pos="3000"/>
          <w:tab w:val="left" w:pos="3280"/>
          <w:tab w:val="left" w:pos="6120"/>
          <w:tab w:val="left" w:pos="7540"/>
          <w:tab w:val="left" w:pos="8320"/>
        </w:tabs>
        <w:spacing w:line="360" w:lineRule="auto"/>
        <w:ind w:firstLine="422" w:firstLineChars="200"/>
        <w:rPr>
          <w:b/>
          <w:bCs/>
          <w:szCs w:val="21"/>
        </w:rPr>
      </w:pPr>
      <w:r>
        <w:rPr>
          <w:rFonts w:hint="eastAsia"/>
          <w:b/>
          <w:bCs/>
          <w:szCs w:val="21"/>
        </w:rPr>
        <w:t>3.2具备行政主管部门颁发的企业资质证书且同时满足承接本项目所需以下（1）、（2）的资质：</w:t>
      </w:r>
    </w:p>
    <w:p>
      <w:pPr>
        <w:tabs>
          <w:tab w:val="left" w:pos="2520"/>
          <w:tab w:val="left" w:pos="3000"/>
          <w:tab w:val="left" w:pos="3280"/>
          <w:tab w:val="left" w:pos="6120"/>
          <w:tab w:val="left" w:pos="7540"/>
          <w:tab w:val="left" w:pos="8320"/>
        </w:tabs>
        <w:spacing w:line="360" w:lineRule="auto"/>
        <w:ind w:firstLine="420" w:firstLineChars="200"/>
        <w:rPr>
          <w:rFonts w:eastAsiaTheme="minorEastAsia"/>
          <w:szCs w:val="21"/>
        </w:rPr>
      </w:pPr>
      <w:r>
        <w:rPr>
          <w:rFonts w:hint="eastAsia"/>
          <w:szCs w:val="21"/>
        </w:rPr>
        <w:t>（1）具有市政公用工程施工总承包三级（含三级）以上施工资质</w:t>
      </w:r>
      <w:r>
        <w:rPr>
          <w:rFonts w:hint="eastAsia" w:asciiTheme="minorEastAsia" w:hAnsiTheme="minorEastAsia" w:eastAsiaTheme="minorEastAsia" w:cstheme="minorEastAsia"/>
          <w:szCs w:val="21"/>
        </w:rPr>
        <w:t>。</w:t>
      </w:r>
    </w:p>
    <w:p>
      <w:pPr>
        <w:pStyle w:val="17"/>
        <w:spacing w:line="360" w:lineRule="auto"/>
        <w:ind w:firstLine="420" w:firstLineChars="200"/>
        <w:rPr>
          <w:rFonts w:hAnsi="宋体" w:cs="宋体"/>
          <w:szCs w:val="16"/>
        </w:rPr>
      </w:pPr>
      <w:r>
        <w:rPr>
          <w:rFonts w:hint="eastAsia" w:hAnsi="宋体" w:cs="宋体"/>
        </w:rPr>
        <w:t>（2）</w:t>
      </w:r>
      <w:r>
        <w:rPr>
          <w:rFonts w:hint="eastAsia" w:hAnsi="宋体" w:cs="宋体"/>
          <w:szCs w:val="16"/>
        </w:rPr>
        <w:t>具有建筑工程施工总承包三级（含三级）以上施工资质。</w:t>
      </w:r>
    </w:p>
    <w:p>
      <w:pPr>
        <w:widowControl/>
        <w:shd w:val="clear" w:color="auto" w:fill="FFFFFF"/>
        <w:spacing w:line="360" w:lineRule="auto"/>
        <w:ind w:firstLine="422" w:firstLineChars="200"/>
        <w:jc w:val="left"/>
        <w:rPr>
          <w:b/>
          <w:bCs/>
          <w:color w:val="000000" w:themeColor="text1"/>
          <w:szCs w:val="21"/>
          <w14:textFill>
            <w14:solidFill>
              <w14:schemeClr w14:val="tx1"/>
            </w14:solidFill>
          </w14:textFill>
        </w:rPr>
      </w:pPr>
      <w:r>
        <w:rPr>
          <w:rFonts w:hint="eastAsia"/>
          <w:b/>
          <w:bCs/>
          <w:szCs w:val="21"/>
        </w:rPr>
        <w:t>3.</w:t>
      </w:r>
      <w:r>
        <w:rPr>
          <w:b/>
          <w:bCs/>
          <w:szCs w:val="21"/>
        </w:rPr>
        <w:t>3</w:t>
      </w:r>
      <w:r>
        <w:rPr>
          <w:rFonts w:hint="eastAsia"/>
          <w:b/>
          <w:bCs/>
          <w:color w:val="000000" w:themeColor="text1"/>
          <w:szCs w:val="21"/>
          <w14:textFill>
            <w14:solidFill>
              <w14:schemeClr w14:val="tx1"/>
            </w14:solidFill>
          </w14:textFill>
        </w:rPr>
        <w:t>拟派本项目的项目负责人</w:t>
      </w:r>
      <w:r>
        <w:rPr>
          <w:rFonts w:hint="eastAsia"/>
          <w:b/>
          <w:bCs/>
          <w:color w:val="000000" w:themeColor="text1"/>
          <w:szCs w:val="21"/>
          <w:lang w:val="en-US" w:eastAsia="zh-CN"/>
          <w14:textFill>
            <w14:solidFill>
              <w14:schemeClr w14:val="tx1"/>
            </w14:solidFill>
          </w14:textFill>
        </w:rPr>
        <w:t>如下</w:t>
      </w:r>
      <w:r>
        <w:rPr>
          <w:rFonts w:hint="eastAsia"/>
          <w:b/>
          <w:bCs/>
          <w:color w:val="000000" w:themeColor="text1"/>
          <w:szCs w:val="21"/>
          <w14:textFill>
            <w14:solidFill>
              <w14:schemeClr w14:val="tx1"/>
            </w14:solidFill>
          </w14:textFill>
        </w:rPr>
        <w:t>：</w:t>
      </w:r>
    </w:p>
    <w:p>
      <w:pPr>
        <w:widowControl/>
        <w:shd w:val="clear" w:color="auto" w:fill="FFFFFF"/>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（1）拟派本项目市政公用工程专业项目负责人1名，须具备市政公用工程专业二级（或以上）注册建造师且在投标人单位注册，</w:t>
      </w:r>
      <w:r>
        <w:rPr>
          <w:rFonts w:hint="eastAsia"/>
          <w:szCs w:val="21"/>
        </w:rPr>
        <w:t>广东省外企业拟派本工程的项目负责人须具有</w:t>
      </w:r>
      <w:r>
        <w:rPr>
          <w:rFonts w:hint="eastAsia"/>
          <w:color w:val="000000" w:themeColor="text1"/>
          <w:szCs w:val="21"/>
          <w14:textFill>
            <w14:solidFill>
              <w14:schemeClr w14:val="tx1"/>
            </w14:solidFill>
          </w14:textFill>
        </w:rPr>
        <w:t>市政公用工程</w:t>
      </w:r>
      <w:r>
        <w:rPr>
          <w:rFonts w:hint="eastAsia"/>
          <w:szCs w:val="21"/>
        </w:rPr>
        <w:t>一级注册建造师资格</w:t>
      </w:r>
      <w:r>
        <w:rPr>
          <w:rFonts w:hint="eastAsia"/>
          <w:color w:val="000000" w:themeColor="text1"/>
          <w:szCs w:val="21"/>
          <w14:textFill>
            <w14:solidFill>
              <w14:schemeClr w14:val="tx1"/>
            </w14:solidFill>
          </w14:textFill>
        </w:rPr>
        <w:t>；且持有在有效期内的安全生产考核合格证书（B类），或能够提供广东省建筑施工企业管理人员安全生产考核信息系统安全生产管理人员证书信息的打印页。</w:t>
      </w:r>
    </w:p>
    <w:p>
      <w:pPr>
        <w:widowControl/>
        <w:shd w:val="clear" w:color="auto" w:fill="FFFFFF"/>
        <w:spacing w:line="360" w:lineRule="auto"/>
        <w:ind w:firstLine="420" w:firstLineChars="200"/>
        <w:jc w:val="left"/>
        <w:rPr>
          <w:rFonts w:hint="eastAsia"/>
          <w:szCs w:val="21"/>
        </w:rPr>
      </w:pPr>
      <w:r>
        <w:rPr>
          <w:rFonts w:hint="eastAsia"/>
          <w:color w:val="000000" w:themeColor="text1"/>
          <w:szCs w:val="21"/>
          <w14:textFill>
            <w14:solidFill>
              <w14:schemeClr w14:val="tx1"/>
            </w14:solidFill>
          </w14:textFill>
        </w:rPr>
        <w:t>（2）拟派本项目建筑工程专业项目负责人1名，须具备建筑工程专业二级（或以上）注册建造师且在投标人单位注册，</w:t>
      </w:r>
      <w:r>
        <w:rPr>
          <w:rFonts w:hint="eastAsia"/>
          <w:szCs w:val="21"/>
        </w:rPr>
        <w:t>广东省外企业拟派本工程的项目负责人须具有</w:t>
      </w:r>
      <w:r>
        <w:rPr>
          <w:rFonts w:hint="eastAsia"/>
        </w:rPr>
        <w:t>建筑工程</w:t>
      </w:r>
      <w:r>
        <w:rPr>
          <w:rFonts w:hint="eastAsia"/>
          <w:szCs w:val="21"/>
        </w:rPr>
        <w:t>一级注册建造师资格</w:t>
      </w:r>
      <w:r>
        <w:rPr>
          <w:rFonts w:hint="eastAsia"/>
          <w:color w:val="000000" w:themeColor="text1"/>
          <w:szCs w:val="21"/>
          <w14:textFill>
            <w14:solidFill>
              <w14:schemeClr w14:val="tx1"/>
            </w14:solidFill>
          </w14:textFill>
        </w:rPr>
        <w:t>；且持有在有效期内的安全生产考核合格证书（B类），或能够提供广东省建筑施工企业管理人员安全生产考核信息系统安全生产管理人员证书信息的打印页</w:t>
      </w:r>
      <w:r>
        <w:rPr>
          <w:rFonts w:hint="eastAsia"/>
          <w:szCs w:val="21"/>
        </w:rPr>
        <w:t>。</w:t>
      </w:r>
    </w:p>
    <w:p>
      <w:pPr>
        <w:pStyle w:val="31"/>
        <w:ind w:firstLineChars="200"/>
        <w:rPr>
          <w:rFonts w:hint="default" w:eastAsia="宋体"/>
          <w:b/>
          <w:bCs/>
          <w:lang w:val="en-US" w:eastAsia="zh-CN"/>
        </w:rPr>
      </w:pPr>
      <w:r>
        <w:rPr>
          <w:rFonts w:hint="eastAsia"/>
          <w:b/>
          <w:bCs/>
          <w:lang w:val="en-US" w:eastAsia="zh-CN"/>
        </w:rPr>
        <w:t>注明：如潜在投标人拟派的项目负责人，同时</w:t>
      </w:r>
      <w:r>
        <w:rPr>
          <w:rFonts w:hint="eastAsia"/>
          <w:b/>
          <w:bCs/>
          <w:color w:val="000000" w:themeColor="text1"/>
          <w:szCs w:val="21"/>
          <w14:textFill>
            <w14:solidFill>
              <w14:schemeClr w14:val="tx1"/>
            </w14:solidFill>
          </w14:textFill>
        </w:rPr>
        <w:t>具备市政公用工程专业二级（或以上）</w:t>
      </w:r>
      <w:r>
        <w:rPr>
          <w:rFonts w:hint="eastAsia"/>
          <w:b/>
          <w:bCs/>
          <w:color w:val="000000" w:themeColor="text1"/>
          <w:szCs w:val="21"/>
          <w:lang w:val="en-US" w:eastAsia="zh-CN"/>
          <w14:textFill>
            <w14:solidFill>
              <w14:schemeClr w14:val="tx1"/>
            </w14:solidFill>
          </w14:textFill>
        </w:rPr>
        <w:t>及</w:t>
      </w:r>
      <w:r>
        <w:rPr>
          <w:rFonts w:hint="eastAsia"/>
          <w:b/>
          <w:bCs/>
          <w:color w:val="000000" w:themeColor="text1"/>
          <w:szCs w:val="21"/>
          <w14:textFill>
            <w14:solidFill>
              <w14:schemeClr w14:val="tx1"/>
            </w14:solidFill>
          </w14:textFill>
        </w:rPr>
        <w:t>建筑工程专业二级（或以上）注册建造师且在</w:t>
      </w:r>
      <w:r>
        <w:rPr>
          <w:rFonts w:hint="eastAsia"/>
          <w:b/>
          <w:bCs/>
          <w:color w:val="000000" w:themeColor="text1"/>
          <w:szCs w:val="21"/>
          <w:lang w:val="en-US" w:eastAsia="zh-CN"/>
          <w14:textFill>
            <w14:solidFill>
              <w14:schemeClr w14:val="tx1"/>
            </w14:solidFill>
          </w14:textFill>
        </w:rPr>
        <w:t>潜在</w:t>
      </w:r>
      <w:r>
        <w:rPr>
          <w:rFonts w:hint="eastAsia"/>
          <w:b/>
          <w:bCs/>
          <w:color w:val="000000" w:themeColor="text1"/>
          <w:szCs w:val="21"/>
          <w14:textFill>
            <w14:solidFill>
              <w14:schemeClr w14:val="tx1"/>
            </w14:solidFill>
          </w14:textFill>
        </w:rPr>
        <w:t>投标人单位注册</w:t>
      </w:r>
      <w:r>
        <w:rPr>
          <w:rFonts w:hint="eastAsia"/>
          <w:b/>
          <w:bCs/>
          <w:color w:val="000000" w:themeColor="text1"/>
          <w:szCs w:val="21"/>
          <w:lang w:eastAsia="zh-CN"/>
          <w14:textFill>
            <w14:solidFill>
              <w14:schemeClr w14:val="tx1"/>
            </w14:solidFill>
          </w14:textFill>
        </w:rPr>
        <w:t>，</w:t>
      </w:r>
      <w:r>
        <w:rPr>
          <w:rFonts w:hint="eastAsia"/>
          <w:b/>
          <w:bCs/>
          <w:szCs w:val="21"/>
        </w:rPr>
        <w:t>广东省外企业拟派本工程的项目负责人须具有</w:t>
      </w:r>
      <w:r>
        <w:rPr>
          <w:rFonts w:hint="eastAsia"/>
          <w:b/>
          <w:bCs/>
          <w:color w:val="000000" w:themeColor="text1"/>
          <w:szCs w:val="21"/>
          <w14:textFill>
            <w14:solidFill>
              <w14:schemeClr w14:val="tx1"/>
            </w14:solidFill>
          </w14:textFill>
        </w:rPr>
        <w:t>市政公用工程</w:t>
      </w:r>
      <w:r>
        <w:rPr>
          <w:rFonts w:hint="eastAsia"/>
          <w:b/>
          <w:bCs/>
          <w:szCs w:val="21"/>
        </w:rPr>
        <w:t>一级注册建造师</w:t>
      </w:r>
      <w:r>
        <w:rPr>
          <w:rFonts w:hint="eastAsia"/>
          <w:b/>
          <w:bCs/>
          <w:szCs w:val="21"/>
          <w:lang w:val="en-US" w:eastAsia="zh-CN"/>
        </w:rPr>
        <w:t>及</w:t>
      </w:r>
      <w:r>
        <w:rPr>
          <w:rFonts w:hint="eastAsia"/>
          <w:b/>
          <w:bCs/>
        </w:rPr>
        <w:t>建筑工程</w:t>
      </w:r>
      <w:r>
        <w:rPr>
          <w:rFonts w:hint="eastAsia"/>
          <w:b/>
          <w:bCs/>
          <w:szCs w:val="21"/>
        </w:rPr>
        <w:t>一级注册建造师资格</w:t>
      </w:r>
      <w:r>
        <w:rPr>
          <w:rFonts w:hint="eastAsia"/>
          <w:b/>
          <w:bCs/>
          <w:color w:val="000000" w:themeColor="text1"/>
          <w:szCs w:val="21"/>
          <w14:textFill>
            <w14:solidFill>
              <w14:schemeClr w14:val="tx1"/>
            </w14:solidFill>
          </w14:textFill>
        </w:rPr>
        <w:t>；且持有在有效期内的安全生产考核合格证书（B类），或能够提供广东省建筑施工企业管理人员安全生产考核信息系统安全生产管理人员证书信息的打印页</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lang w:val="en-US" w:eastAsia="zh-CN"/>
          <w14:textFill>
            <w14:solidFill>
              <w14:schemeClr w14:val="tx1"/>
            </w14:solidFill>
          </w14:textFill>
        </w:rPr>
        <w:t>具备以上资格要求的潜在投标人可只拟派1名项目负责人即可。</w:t>
      </w:r>
    </w:p>
    <w:p>
      <w:pPr>
        <w:spacing w:line="360" w:lineRule="auto"/>
        <w:ind w:firstLine="420" w:firstLineChars="200"/>
        <w:rPr>
          <w:szCs w:val="21"/>
        </w:rPr>
      </w:pPr>
      <w:r>
        <w:rPr>
          <w:rFonts w:hint="eastAsia"/>
          <w:szCs w:val="21"/>
        </w:rPr>
        <w:t>3.</w:t>
      </w:r>
      <w:r>
        <w:rPr>
          <w:szCs w:val="21"/>
        </w:rPr>
        <w:t xml:space="preserve">4 </w:t>
      </w:r>
      <w:r>
        <w:rPr>
          <w:rFonts w:hint="eastAsia"/>
          <w:szCs w:val="21"/>
        </w:rPr>
        <w:t>拟派本工程专职安全员须具有有效期内的安全生产考核合格证（C类）或建筑施工企业专职安全生产管理人员安全生产考核合格证书（C3类）。</w:t>
      </w:r>
    </w:p>
    <w:p>
      <w:pPr>
        <w:pStyle w:val="31"/>
      </w:pPr>
      <w:r>
        <w:rPr>
          <w:rFonts w:hint="eastAsia"/>
        </w:rPr>
        <w:t>3</w:t>
      </w:r>
      <w:r>
        <w:t>.5拟派本工程的项目负责人和专职安全员必须是本公司正式员工，须提供</w:t>
      </w:r>
      <w:r>
        <w:rPr>
          <w:rFonts w:hint="eastAsia"/>
        </w:rPr>
        <w:t>从</w:t>
      </w:r>
      <w:r>
        <w:rPr>
          <w:rFonts w:hint="eastAsia"/>
          <w:color w:val="000000" w:themeColor="text1"/>
          <w:szCs w:val="21"/>
          <w14:textFill>
            <w14:solidFill>
              <w14:schemeClr w14:val="tx1"/>
            </w14:solidFill>
          </w14:textFill>
        </w:rPr>
        <w:t>2023年</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月至2023年</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月</w:t>
      </w:r>
      <w:r>
        <w:rPr>
          <w:rFonts w:hint="eastAsia"/>
        </w:rPr>
        <w:t>连续三个月</w:t>
      </w:r>
      <w:r>
        <w:t>在本公司缴交社保证明</w:t>
      </w:r>
      <w:r>
        <w:rPr>
          <w:rFonts w:hint="eastAsia"/>
        </w:rPr>
        <w:t>（</w:t>
      </w:r>
      <w:r>
        <w:rPr>
          <w:rFonts w:hint="eastAsia"/>
          <w:lang w:eastAsia="zh-CN"/>
        </w:rPr>
        <w:t>分公司缴纳的社保予以认定，须提供购买社保</w:t>
      </w:r>
      <w:bookmarkStart w:id="1121" w:name="_GoBack"/>
      <w:bookmarkEnd w:id="1121"/>
      <w:r>
        <w:rPr>
          <w:rFonts w:hint="eastAsia"/>
          <w:lang w:eastAsia="zh-CN"/>
        </w:rPr>
        <w:t>的证明材料复印件</w:t>
      </w:r>
      <w:r>
        <w:rPr>
          <w:rFonts w:hint="eastAsia"/>
        </w:rPr>
        <w:t>）</w:t>
      </w:r>
      <w:r>
        <w:t>。</w:t>
      </w:r>
    </w:p>
    <w:p>
      <w:pPr>
        <w:spacing w:line="360" w:lineRule="auto"/>
        <w:ind w:firstLine="420" w:firstLineChars="200"/>
        <w:rPr>
          <w:szCs w:val="21"/>
        </w:rPr>
      </w:pPr>
      <w:r>
        <w:rPr>
          <w:rFonts w:hint="eastAsia"/>
          <w:szCs w:val="21"/>
        </w:rPr>
        <w:t>3.</w:t>
      </w:r>
      <w:r>
        <w:rPr>
          <w:szCs w:val="21"/>
        </w:rPr>
        <w:t>6</w:t>
      </w:r>
      <w:r>
        <w:rPr>
          <w:rFonts w:hint="eastAsia"/>
          <w:szCs w:val="21"/>
        </w:rPr>
        <w:t>根据《广东省住房和城乡建设厅关于取消省外建筑企业和人员进粤信息备案有关工作的通知》粤建市〔2015〕52号规定，广东省省外企业须提供在“进粤企业和人员诚信信息登记平台”挂网的企业和人员信息网页打印件（如联合体投标的，联合体各成员均需提供）。</w:t>
      </w:r>
    </w:p>
    <w:p>
      <w:pPr>
        <w:spacing w:line="360" w:lineRule="auto"/>
        <w:ind w:firstLine="420" w:firstLineChars="200"/>
        <w:rPr>
          <w:szCs w:val="21"/>
        </w:rPr>
      </w:pPr>
      <w:r>
        <w:rPr>
          <w:rFonts w:hint="eastAsia"/>
          <w:szCs w:val="21"/>
        </w:rPr>
        <w:t>3.</w:t>
      </w:r>
      <w:r>
        <w:rPr>
          <w:rFonts w:hint="eastAsia"/>
          <w:szCs w:val="21"/>
          <w:lang w:val="en-US" w:eastAsia="zh-CN"/>
        </w:rPr>
        <w:t>7</w:t>
      </w:r>
      <w:r>
        <w:rPr>
          <w:rFonts w:hint="eastAsia"/>
          <w:szCs w:val="21"/>
        </w:rPr>
        <w:t>若单个投标企业不满足以上资格要求，本项目接受不超过2家单位组成的联合体投标。联合体投标的，须签订联合体协议书，且具有上述要求的</w:t>
      </w:r>
      <w:r>
        <w:rPr>
          <w:rFonts w:hint="eastAsia" w:hAnsi="宋体" w:cs="宋体"/>
          <w:szCs w:val="16"/>
        </w:rPr>
        <w:t>建筑工程</w:t>
      </w:r>
      <w:r>
        <w:rPr>
          <w:rFonts w:hint="eastAsia"/>
          <w:szCs w:val="21"/>
        </w:rPr>
        <w:t>施工资质单位为联合体牵头人。联合体各方签订联合体协议书后，不得再以自己的名义单独参与同一项目的投标，也不得组成新的联合体参与同一项目的投标，否则全部视为无效。</w:t>
      </w:r>
    </w:p>
    <w:p>
      <w:pPr>
        <w:spacing w:line="360" w:lineRule="auto"/>
        <w:rPr>
          <w:b/>
          <w:bCs/>
          <w:color w:val="000000" w:themeColor="text1"/>
          <w:szCs w:val="21"/>
          <w14:textFill>
            <w14:solidFill>
              <w14:schemeClr w14:val="tx1"/>
            </w14:solidFill>
          </w14:textFill>
        </w:rPr>
      </w:pPr>
      <w:r>
        <w:rPr>
          <w:rFonts w:hint="eastAsia"/>
          <w:b/>
          <w:bCs/>
          <w:szCs w:val="21"/>
        </w:rPr>
        <w:t>四、</w:t>
      </w:r>
      <w:r>
        <w:rPr>
          <w:rFonts w:hint="eastAsia"/>
          <w:b/>
          <w:bCs/>
          <w:color w:val="000000" w:themeColor="text1"/>
          <w:szCs w:val="21"/>
          <w14:textFill>
            <w14:solidFill>
              <w14:schemeClr w14:val="tx1"/>
            </w14:solidFill>
          </w14:textFill>
        </w:rPr>
        <w:t>招标文件获取</w:t>
      </w:r>
    </w:p>
    <w:p>
      <w:pPr>
        <w:widowControl/>
        <w:spacing w:line="360" w:lineRule="auto"/>
        <w:ind w:firstLine="420" w:firstLineChars="200"/>
        <w:jc w:val="left"/>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4.1凡有意参加投标的企业，请于</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分至</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w:t>
      </w:r>
      <w:r>
        <w:rPr>
          <w:rFonts w:hint="eastAsia"/>
          <w:color w:val="000000" w:themeColor="text1"/>
          <w:szCs w:val="21"/>
          <w:lang w:val="en-US" w:eastAsia="zh-CN" w:bidi="ar"/>
          <w14:textFill>
            <w14:solidFill>
              <w14:schemeClr w14:val="tx1"/>
            </w14:solidFill>
          </w14:textFill>
        </w:rPr>
        <w:t>（北京时间，下同）</w:t>
      </w:r>
      <w:r>
        <w:rPr>
          <w:rFonts w:hint="eastAsia"/>
          <w:color w:val="000000" w:themeColor="text1"/>
          <w:szCs w:val="21"/>
          <w:lang w:bidi="ar"/>
          <w14:textFill>
            <w14:solidFill>
              <w14:schemeClr w14:val="tx1"/>
            </w14:solidFill>
          </w14:textFill>
        </w:rPr>
        <w:t>，招标文件随招标公告一并在电子招标投标交易平台网站发布。参加投标者登录广州公共资源交易中心网站（http://www.gzzb.gd.cn）（电子招标投标交易平台）下载电子招标文件。招标文件由投标人自行登录广州公共资源交易中心网站（http://www.gzzb.gd.cn）（电子招标投标交易平台）下载。招标文件一经在电子招标投标交易平台发布，视为送达给所有投标人。</w:t>
      </w:r>
    </w:p>
    <w:p>
      <w:pPr>
        <w:numPr>
          <w:ilvl w:val="0"/>
          <w:numId w:val="2"/>
        </w:numPr>
        <w:spacing w:line="360" w:lineRule="auto"/>
        <w:rPr>
          <w:rFonts w:hint="eastAsia"/>
          <w:b/>
          <w:bCs/>
          <w:szCs w:val="21"/>
        </w:rPr>
      </w:pPr>
      <w:r>
        <w:rPr>
          <w:rFonts w:hint="eastAsia"/>
          <w:b/>
          <w:bCs/>
          <w:szCs w:val="21"/>
        </w:rPr>
        <w:t>发布招标公告、投标文件递交、开标时间</w:t>
      </w:r>
    </w:p>
    <w:p>
      <w:pPr>
        <w:pStyle w:val="31"/>
        <w:numPr>
          <w:ilvl w:val="0"/>
          <w:numId w:val="0"/>
        </w:numPr>
        <w:ind w:firstLine="420" w:firstLineChars="200"/>
        <w:rPr>
          <w:rFonts w:hint="eastAsia"/>
        </w:rPr>
      </w:pPr>
      <w:r>
        <w:rPr>
          <w:rFonts w:hint="eastAsia"/>
          <w:lang w:val="en-US" w:eastAsia="zh-CN"/>
        </w:rPr>
        <w:t>5.1</w:t>
      </w:r>
      <w:r>
        <w:rPr>
          <w:rFonts w:hint="eastAsia"/>
        </w:rPr>
        <w:t xml:space="preserve">招标公告发布日期（含本日）：自 </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分至</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w:t>
      </w:r>
      <w:r>
        <w:rPr>
          <w:rFonts w:hint="eastAsia"/>
        </w:rPr>
        <w:t>。</w:t>
      </w:r>
    </w:p>
    <w:p>
      <w:pPr>
        <w:widowControl/>
        <w:spacing w:line="360" w:lineRule="auto"/>
        <w:ind w:firstLine="420" w:firstLineChars="200"/>
        <w:jc w:val="left"/>
        <w:rPr>
          <w:rFonts w:hint="eastAsia"/>
          <w:color w:val="000000" w:themeColor="text1"/>
          <w:szCs w:val="21"/>
          <w:lang w:bidi="ar"/>
          <w14:textFill>
            <w14:solidFill>
              <w14:schemeClr w14:val="tx1"/>
            </w14:solidFill>
          </w14:textFill>
        </w:rPr>
      </w:pPr>
      <w:r>
        <w:rPr>
          <w:rFonts w:hint="eastAsia"/>
          <w:color w:val="000000" w:themeColor="text1"/>
          <w:szCs w:val="21"/>
          <w:lang w:bidi="ar"/>
          <w14:textFill>
            <w14:solidFill>
              <w14:schemeClr w14:val="tx1"/>
            </w14:solidFill>
          </w14:textFill>
        </w:rPr>
        <w:t>注：发布招标公告的时间为招标公告发出之日起至递交投标文件截止时间止。</w:t>
      </w:r>
    </w:p>
    <w:p>
      <w:pPr>
        <w:widowControl/>
        <w:spacing w:line="360" w:lineRule="auto"/>
        <w:ind w:firstLine="420" w:firstLineChars="200"/>
        <w:jc w:val="left"/>
        <w:rPr>
          <w:rFonts w:hint="eastAsia"/>
          <w:color w:val="000000" w:themeColor="text1"/>
          <w:szCs w:val="21"/>
          <w:lang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5.2</w:t>
      </w:r>
      <w:r>
        <w:rPr>
          <w:rFonts w:hint="eastAsia"/>
          <w:color w:val="000000" w:themeColor="text1"/>
          <w:szCs w:val="21"/>
          <w:lang w:bidi="ar"/>
          <w14:textFill>
            <w14:solidFill>
              <w14:schemeClr w14:val="tx1"/>
            </w14:solidFill>
          </w14:textFill>
        </w:rPr>
        <w:t>投标文件递交的截止时间为</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投标人应在截止时间前通过广州公共资源交易中心交易平台网站递交电子投标文件。递交文件前，应按照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pPr>
        <w:pStyle w:val="31"/>
        <w:rPr>
          <w:rFonts w:hint="eastAsia" w:eastAsia="宋体"/>
          <w:color w:val="000000" w:themeColor="text1"/>
          <w:szCs w:val="21"/>
          <w:lang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5.3递交电子投标文件备用U盘时间：</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分至</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分，递交地点：广州公共资源交易中心第</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开标室。电子</w:t>
      </w:r>
      <w:r>
        <w:rPr>
          <w:rFonts w:hint="eastAsia"/>
          <w:color w:val="000000" w:themeColor="text1"/>
          <w:szCs w:val="21"/>
          <w:lang w:val="en-US" w:eastAsia="zh-CN" w:bidi="ar"/>
          <w14:textFill>
            <w14:solidFill>
              <w14:schemeClr w14:val="tx1"/>
            </w14:solidFill>
          </w14:textFill>
        </w:rPr>
        <w:t>U</w:t>
      </w:r>
      <w:r>
        <w:rPr>
          <w:rFonts w:hint="eastAsia"/>
          <w:color w:val="000000" w:themeColor="text1"/>
          <w:szCs w:val="21"/>
          <w:lang w:bidi="ar"/>
          <w14:textFill>
            <w14:solidFill>
              <w14:schemeClr w14:val="tx1"/>
            </w14:solidFill>
          </w14:textFill>
        </w:rPr>
        <w:t>盘需按规定封装。投标人在将数据</w:t>
      </w:r>
      <w:r>
        <w:rPr>
          <w:rFonts w:hint="eastAsia"/>
          <w:color w:val="000000" w:themeColor="text1"/>
          <w:szCs w:val="21"/>
          <w:lang w:val="en-US" w:eastAsia="zh-CN" w:bidi="ar"/>
          <w14:textFill>
            <w14:solidFill>
              <w14:schemeClr w14:val="tx1"/>
            </w14:solidFill>
          </w14:textFill>
        </w:rPr>
        <w:t>导入</w:t>
      </w:r>
      <w:r>
        <w:rPr>
          <w:rFonts w:hint="eastAsia"/>
          <w:color w:val="000000" w:themeColor="text1"/>
          <w:szCs w:val="21"/>
          <w:lang w:bidi="ar"/>
          <w14:textFill>
            <w14:solidFill>
              <w14:schemeClr w14:val="tx1"/>
            </w14:solidFill>
          </w14:textFill>
        </w:rPr>
        <w:t>到</w:t>
      </w:r>
      <w:r>
        <w:rPr>
          <w:rFonts w:hint="eastAsia"/>
          <w:color w:val="000000" w:themeColor="text1"/>
          <w:szCs w:val="21"/>
          <w:lang w:val="en-US" w:eastAsia="zh-CN" w:bidi="ar"/>
          <w14:textFill>
            <w14:solidFill>
              <w14:schemeClr w14:val="tx1"/>
            </w14:solidFill>
          </w14:textFill>
        </w:rPr>
        <w:t>U盘</w:t>
      </w:r>
      <w:r>
        <w:rPr>
          <w:rFonts w:hint="eastAsia"/>
          <w:color w:val="000000" w:themeColor="text1"/>
          <w:szCs w:val="21"/>
          <w:lang w:bidi="ar"/>
          <w14:textFill>
            <w14:solidFill>
              <w14:schemeClr w14:val="tx1"/>
            </w14:solidFill>
          </w14:textFill>
        </w:rPr>
        <w:t>之后，投标前自行检查文件是否可以读取</w:t>
      </w:r>
      <w:r>
        <w:rPr>
          <w:rFonts w:hint="eastAsia"/>
          <w:color w:val="000000" w:themeColor="text1"/>
          <w:szCs w:val="21"/>
          <w:lang w:eastAsia="zh-CN" w:bidi="ar"/>
          <w14:textFill>
            <w14:solidFill>
              <w14:schemeClr w14:val="tx1"/>
            </w14:solidFill>
          </w14:textFill>
        </w:rPr>
        <w:t>。</w:t>
      </w:r>
    </w:p>
    <w:p>
      <w:pPr>
        <w:pStyle w:val="31"/>
        <w:rPr>
          <w:rFonts w:hint="eastAsia"/>
          <w:color w:val="000000" w:themeColor="text1"/>
          <w:szCs w:val="21"/>
          <w:lang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 xml:space="preserve">5.4 </w:t>
      </w:r>
      <w:r>
        <w:rPr>
          <w:rFonts w:hint="eastAsia"/>
          <w:color w:val="000000" w:themeColor="text1"/>
          <w:szCs w:val="21"/>
          <w14:textFill>
            <w14:solidFill>
              <w14:schemeClr w14:val="tx1"/>
            </w14:solidFill>
          </w14:textFill>
        </w:rPr>
        <w:t>投标人代表[法定代表人（联合体投标的，则为联合体牵头人的法定代表人）或其委托代理人（委托代理人必须是本公司在职人员）]必须参加开标会等，并自带单独一份法定代表人身份证明书原件，若法定代表人不参加招标活动的，其委托代理人还须提交法定代表人授权委托书原件及委托代理人于202</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月至2023年</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月在本公司缴交的社保证明复印件（</w:t>
      </w:r>
      <w:r>
        <w:rPr>
          <w:rFonts w:hint="eastAsia"/>
          <w:color w:val="000000" w:themeColor="text1"/>
          <w:szCs w:val="21"/>
          <w:lang w:eastAsia="zh-CN"/>
          <w14:textFill>
            <w14:solidFill>
              <w14:schemeClr w14:val="tx1"/>
            </w14:solidFill>
          </w14:textFill>
        </w:rPr>
        <w:t>分公司缴纳的社保予以认定，须提供购买社保的证明材料复印件</w:t>
      </w:r>
      <w:r>
        <w:rPr>
          <w:rFonts w:hint="eastAsia"/>
          <w:color w:val="000000" w:themeColor="text1"/>
          <w:szCs w:val="21"/>
          <w14:textFill>
            <w14:solidFill>
              <w14:schemeClr w14:val="tx1"/>
            </w14:solidFill>
          </w14:textFill>
        </w:rPr>
        <w:t>）、有效身份证原件核查</w:t>
      </w:r>
      <w:r>
        <w:rPr>
          <w:rFonts w:hint="eastAsia" w:cs="宋体"/>
          <w:color w:val="000000" w:themeColor="text1"/>
          <w:szCs w:val="21"/>
          <w:lang w:eastAsia="zh-CN"/>
          <w14:textFill>
            <w14:solidFill>
              <w14:schemeClr w14:val="tx1"/>
            </w14:solidFill>
          </w14:textFill>
        </w:rPr>
        <w:t>。</w:t>
      </w:r>
      <w:r>
        <w:rPr>
          <w:rFonts w:hint="eastAsia" w:cs="宋体"/>
          <w:b/>
          <w:bCs/>
          <w:color w:val="000000" w:themeColor="text1"/>
          <w:szCs w:val="21"/>
          <w:lang w:eastAsia="zh-CN"/>
          <w14:textFill>
            <w14:solidFill>
              <w14:schemeClr w14:val="tx1"/>
            </w14:solidFill>
          </w14:textFill>
        </w:rPr>
        <w:t>注明：如投标人递交U盘或招标文件要求的</w:t>
      </w:r>
      <w:r>
        <w:rPr>
          <w:rFonts w:hint="eastAsia" w:ascii="宋体" w:hAnsi="宋体" w:cs="宋体"/>
          <w:b/>
          <w:bCs/>
          <w:szCs w:val="21"/>
          <w:lang w:val="en-US" w:eastAsia="zh-CN"/>
        </w:rPr>
        <w:t>其他</w:t>
      </w:r>
      <w:r>
        <w:rPr>
          <w:rFonts w:hint="eastAsia" w:cs="宋体"/>
          <w:b/>
          <w:bCs/>
          <w:color w:val="000000" w:themeColor="text1"/>
          <w:szCs w:val="21"/>
          <w:lang w:eastAsia="zh-CN"/>
          <w14:textFill>
            <w14:solidFill>
              <w14:schemeClr w14:val="tx1"/>
            </w14:solidFill>
          </w14:textFill>
        </w:rPr>
        <w:t>资料</w:t>
      </w:r>
      <w:r>
        <w:rPr>
          <w:rFonts w:hint="eastAsia" w:ascii="宋体" w:hAnsi="宋体" w:cs="宋体"/>
          <w:b/>
          <w:bCs/>
          <w:szCs w:val="21"/>
          <w:lang w:val="en-US" w:eastAsia="zh-CN"/>
        </w:rPr>
        <w:t>时</w:t>
      </w:r>
      <w:r>
        <w:rPr>
          <w:rFonts w:hint="eastAsia" w:cs="宋体"/>
          <w:b/>
          <w:bCs/>
          <w:color w:val="000000" w:themeColor="text1"/>
          <w:szCs w:val="21"/>
          <w:lang w:eastAsia="zh-CN"/>
          <w14:textFill>
            <w14:solidFill>
              <w14:schemeClr w14:val="tx1"/>
            </w14:solidFill>
          </w14:textFill>
        </w:rPr>
        <w:t>，须携带上述资料一并递交</w:t>
      </w:r>
      <w:r>
        <w:rPr>
          <w:rFonts w:hint="eastAsia" w:ascii="宋体" w:hAnsi="宋体" w:cs="宋体"/>
          <w:b/>
          <w:bCs/>
          <w:szCs w:val="21"/>
          <w:lang w:val="en-US" w:eastAsia="zh-CN"/>
        </w:rPr>
        <w:t>核验</w:t>
      </w:r>
      <w:r>
        <w:rPr>
          <w:rFonts w:hint="eastAsia" w:cs="宋体"/>
          <w:b/>
          <w:bCs/>
          <w:color w:val="000000" w:themeColor="text1"/>
          <w:szCs w:val="21"/>
          <w:lang w:eastAsia="zh-CN"/>
          <w14:textFill>
            <w14:solidFill>
              <w14:schemeClr w14:val="tx1"/>
            </w14:solidFill>
          </w14:textFill>
        </w:rPr>
        <w:t>。</w:t>
      </w:r>
    </w:p>
    <w:p>
      <w:pPr>
        <w:pStyle w:val="31"/>
        <w:rPr>
          <w:rFonts w:hint="default"/>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5.4</w:t>
      </w:r>
      <w:r>
        <w:rPr>
          <w:rFonts w:hint="default"/>
          <w:color w:val="000000" w:themeColor="text1"/>
          <w:szCs w:val="21"/>
          <w:lang w:val="en-US" w:eastAsia="zh-CN" w:bidi="ar"/>
          <w14:textFill>
            <w14:solidFill>
              <w14:schemeClr w14:val="tx1"/>
            </w14:solidFill>
          </w14:textFill>
        </w:rPr>
        <w:t>开标时间：</w:t>
      </w:r>
      <w:r>
        <w:rPr>
          <w:rFonts w:hint="eastAsia"/>
          <w:color w:val="000000" w:themeColor="text1"/>
          <w:szCs w:val="21"/>
          <w:u w:val="single"/>
          <w:lang w:bidi="ar"/>
          <w14:textFill>
            <w14:solidFill>
              <w14:schemeClr w14:val="tx1"/>
            </w14:solidFill>
          </w14:textFill>
        </w:rPr>
        <w:t>2023</w:t>
      </w:r>
      <w:r>
        <w:rPr>
          <w:rFonts w:hint="eastAsia"/>
          <w:color w:val="000000" w:themeColor="text1"/>
          <w:szCs w:val="21"/>
          <w:lang w:bidi="ar"/>
          <w14:textFill>
            <w14:solidFill>
              <w14:schemeClr w14:val="tx1"/>
            </w14:solidFill>
          </w14:textFill>
        </w:rPr>
        <w:t>年</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月</w:t>
      </w:r>
      <w:r>
        <w:rPr>
          <w:rFonts w:hint="eastAsia"/>
          <w:color w:val="000000" w:themeColor="text1"/>
          <w:szCs w:val="21"/>
          <w:u w:val="single"/>
          <w:lang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日</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时</w:t>
      </w:r>
      <w:r>
        <w:rPr>
          <w:rFonts w:hint="eastAsia"/>
          <w:color w:val="000000" w:themeColor="text1"/>
          <w:szCs w:val="21"/>
          <w:u w:val="single"/>
          <w:lang w:val="en-US" w:eastAsia="zh-CN" w:bidi="ar"/>
          <w14:textFill>
            <w14:solidFill>
              <w14:schemeClr w14:val="tx1"/>
            </w14:solidFill>
          </w14:textFill>
        </w:rPr>
        <w:t xml:space="preserve">  </w:t>
      </w:r>
      <w:r>
        <w:rPr>
          <w:rFonts w:hint="eastAsia"/>
          <w:color w:val="000000" w:themeColor="text1"/>
          <w:szCs w:val="21"/>
          <w:lang w:bidi="ar"/>
          <w14:textFill>
            <w14:solidFill>
              <w14:schemeClr w14:val="tx1"/>
            </w14:solidFill>
          </w14:textFill>
        </w:rPr>
        <w:t>分</w:t>
      </w:r>
      <w:r>
        <w:rPr>
          <w:rFonts w:hint="default"/>
          <w:color w:val="000000" w:themeColor="text1"/>
          <w:szCs w:val="21"/>
          <w:lang w:val="en-US" w:eastAsia="zh-CN" w:bidi="ar"/>
          <w14:textFill>
            <w14:solidFill>
              <w14:schemeClr w14:val="tx1"/>
            </w14:solidFill>
          </w14:textFill>
        </w:rPr>
        <w:t>。</w:t>
      </w:r>
    </w:p>
    <w:p>
      <w:pPr>
        <w:pStyle w:val="31"/>
        <w:rPr>
          <w:rFonts w:hint="eastAsia"/>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注明：递交投标文件截止时间及开标时间是否有变化，请密切留意广州公共资源交易中心网站的相关信息。</w:t>
      </w:r>
    </w:p>
    <w:p>
      <w:pPr>
        <w:pStyle w:val="31"/>
        <w:rPr>
          <w:rFonts w:hint="default"/>
          <w:color w:val="000000" w:themeColor="text1"/>
          <w:szCs w:val="21"/>
          <w:lang w:val="en-US" w:eastAsia="zh-CN" w:bidi="ar"/>
          <w14:textFill>
            <w14:solidFill>
              <w14:schemeClr w14:val="tx1"/>
            </w14:solidFill>
          </w14:textFill>
        </w:rPr>
      </w:pPr>
      <w:r>
        <w:rPr>
          <w:rFonts w:hint="eastAsia"/>
          <w:color w:val="000000" w:themeColor="text1"/>
          <w:szCs w:val="21"/>
          <w:lang w:val="en-US" w:eastAsia="zh-CN" w:bidi="ar"/>
          <w14:textFill>
            <w14:solidFill>
              <w14:schemeClr w14:val="tx1"/>
            </w14:solidFill>
          </w14:textFill>
        </w:rPr>
        <w:t>5.5</w:t>
      </w:r>
      <w:r>
        <w:rPr>
          <w:rFonts w:hint="default"/>
          <w:color w:val="000000" w:themeColor="text1"/>
          <w:szCs w:val="21"/>
          <w:lang w:val="en-US" w:eastAsia="zh-CN" w:bidi="ar"/>
          <w14:textFill>
            <w14:solidFill>
              <w14:schemeClr w14:val="tx1"/>
            </w14:solidFill>
          </w14:textFill>
        </w:rPr>
        <w:t>逾期送达的投标文件，交易平台将予以拒收</w:t>
      </w:r>
      <w:r>
        <w:rPr>
          <w:rFonts w:hint="eastAsia"/>
          <w:color w:val="000000" w:themeColor="text1"/>
          <w:szCs w:val="21"/>
          <w:lang w:val="en-US" w:eastAsia="zh-CN" w:bidi="ar"/>
          <w14:textFill>
            <w14:solidFill>
              <w14:schemeClr w14:val="tx1"/>
            </w14:solidFill>
          </w14:textFill>
        </w:rPr>
        <w:t>。</w:t>
      </w:r>
    </w:p>
    <w:p>
      <w:pPr>
        <w:spacing w:line="360" w:lineRule="auto"/>
        <w:rPr>
          <w:b/>
          <w:bCs/>
          <w:szCs w:val="21"/>
        </w:rPr>
      </w:pPr>
      <w:r>
        <w:rPr>
          <w:rFonts w:hint="eastAsia"/>
          <w:b/>
          <w:bCs/>
          <w:szCs w:val="21"/>
          <w:lang w:val="en-US" w:eastAsia="zh-CN"/>
        </w:rPr>
        <w:t>六</w:t>
      </w:r>
      <w:r>
        <w:rPr>
          <w:rFonts w:hint="eastAsia"/>
          <w:b/>
          <w:bCs/>
          <w:szCs w:val="21"/>
        </w:rPr>
        <w:t>、投标人须知</w:t>
      </w:r>
    </w:p>
    <w:p>
      <w:pPr>
        <w:spacing w:line="360" w:lineRule="auto"/>
        <w:ind w:firstLine="420" w:firstLineChars="200"/>
        <w:rPr>
          <w:szCs w:val="21"/>
        </w:rPr>
      </w:pPr>
      <w:r>
        <w:rPr>
          <w:rFonts w:hint="eastAsia"/>
          <w:szCs w:val="21"/>
          <w:lang w:val="en-US" w:eastAsia="zh-CN"/>
        </w:rPr>
        <w:t>6</w:t>
      </w:r>
      <w:r>
        <w:rPr>
          <w:rFonts w:hint="eastAsia"/>
          <w:szCs w:val="21"/>
        </w:rPr>
        <w:t>.1资格审查方式：采用资格后审，资格审查不通过的投标文件作废标处理。</w:t>
      </w:r>
    </w:p>
    <w:p>
      <w:pPr>
        <w:spacing w:line="360" w:lineRule="auto"/>
        <w:ind w:firstLine="420" w:firstLineChars="200"/>
        <w:rPr>
          <w:szCs w:val="21"/>
        </w:rPr>
      </w:pPr>
      <w:r>
        <w:rPr>
          <w:rFonts w:hint="eastAsia"/>
          <w:szCs w:val="21"/>
          <w:lang w:val="en-US" w:eastAsia="zh-CN"/>
        </w:rPr>
        <w:t>6</w:t>
      </w:r>
      <w:r>
        <w:rPr>
          <w:rFonts w:hint="eastAsia"/>
          <w:szCs w:val="21"/>
        </w:rPr>
        <w:t>.2评标办法：本项目评标办法采用“综合评估法”。</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6.3</w:t>
      </w:r>
      <w:r>
        <w:rPr>
          <w:rFonts w:hint="eastAsia"/>
          <w:color w:val="000000" w:themeColor="text1"/>
          <w:szCs w:val="21"/>
          <w14:textFill>
            <w14:solidFill>
              <w14:schemeClr w14:val="tx1"/>
            </w14:solidFill>
          </w14:textFill>
        </w:rPr>
        <w:t>投标人必须在投标截止时间前提交投标保证金</w:t>
      </w:r>
      <w:r>
        <w:rPr>
          <w:rFonts w:hint="eastAsia"/>
          <w:b/>
          <w:bCs/>
          <w:color w:val="000000" w:themeColor="text1"/>
          <w:szCs w:val="21"/>
          <w:u w:val="single"/>
          <w14:textFill>
            <w14:solidFill>
              <w14:schemeClr w14:val="tx1"/>
            </w14:solidFill>
          </w14:textFill>
        </w:rPr>
        <w:t xml:space="preserve"> </w:t>
      </w:r>
      <w:r>
        <w:rPr>
          <w:rFonts w:hint="eastAsia"/>
          <w:b/>
          <w:bCs/>
          <w:color w:val="000000" w:themeColor="text1"/>
          <w:szCs w:val="21"/>
          <w:u w:val="single"/>
          <w:lang w:val="en-US" w:eastAsia="zh-CN"/>
          <w14:textFill>
            <w14:solidFill>
              <w14:schemeClr w14:val="tx1"/>
            </w14:solidFill>
          </w14:textFill>
        </w:rPr>
        <w:t>50</w:t>
      </w:r>
      <w:r>
        <w:rPr>
          <w:rFonts w:hint="eastAsia"/>
          <w:b/>
          <w:bCs/>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.1没有按规定提交投标保证金的投标人资格审查不予通过。</w:t>
      </w:r>
    </w:p>
    <w:p>
      <w:pPr>
        <w:pStyle w:val="31"/>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6.4投标人拟派本项目的人员及资料必须真实，如发现有虚假证件或虚假职称的，招标人将要求投标人提供相关证书证明文件、联系电话，否则取消其投标资格或中标资格，投标保证金不予退回，并提交相关部门依法依规处理。</w:t>
      </w:r>
    </w:p>
    <w:p>
      <w:pPr>
        <w:pStyle w:val="31"/>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6.5</w:t>
      </w:r>
      <w:r>
        <w:rPr>
          <w:rFonts w:hint="eastAsia"/>
          <w:color w:val="000000" w:themeColor="text1"/>
          <w:szCs w:val="21"/>
          <w14:textFill>
            <w14:solidFill>
              <w14:schemeClr w14:val="tx1"/>
            </w14:solidFill>
          </w14:textFill>
        </w:rPr>
        <w:t>中标人在领取中标通知书后，须提交与投标文件一致的中标项目负责人的执业证书原件给招标人查验，并同时提交任命书。</w:t>
      </w:r>
    </w:p>
    <w:p>
      <w:pPr>
        <w:pStyle w:val="31"/>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6.6</w:t>
      </w:r>
      <w:r>
        <w:rPr>
          <w:rFonts w:hint="eastAsia"/>
          <w:color w:val="000000" w:themeColor="text1"/>
          <w:szCs w:val="21"/>
          <w14:textFill>
            <w14:solidFill>
              <w14:schemeClr w14:val="tx1"/>
            </w14:solidFill>
          </w14:textFill>
        </w:rPr>
        <w:t>招标人不接受在河源市建筑业信用信息平台信用评价等级C级(当企业信用评分为70分及以下时，其信用等级降为C级)的企业参加投标。</w:t>
      </w:r>
    </w:p>
    <w:p>
      <w:pPr>
        <w:spacing w:line="360" w:lineRule="auto"/>
        <w:rPr>
          <w:b/>
          <w:bCs/>
          <w:szCs w:val="21"/>
        </w:rPr>
      </w:pPr>
      <w:r>
        <w:rPr>
          <w:rFonts w:hint="eastAsia"/>
          <w:b/>
          <w:bCs/>
          <w:kern w:val="0"/>
          <w:szCs w:val="21"/>
          <w:shd w:val="clear" w:color="auto" w:fill="FFFFFF"/>
          <w:lang w:bidi="ar"/>
        </w:rPr>
        <w:t>七、</w:t>
      </w:r>
      <w:r>
        <w:rPr>
          <w:rFonts w:hint="eastAsia"/>
          <w:b/>
          <w:bCs/>
          <w:szCs w:val="21"/>
        </w:rPr>
        <w:t>发布公告的媒介</w:t>
      </w:r>
    </w:p>
    <w:p>
      <w:pPr>
        <w:spacing w:line="360" w:lineRule="auto"/>
        <w:ind w:firstLine="420" w:firstLineChars="200"/>
        <w:rPr>
          <w:szCs w:val="21"/>
        </w:rPr>
      </w:pPr>
      <w:r>
        <w:rPr>
          <w:rFonts w:hint="eastAsia"/>
          <w:color w:val="000000" w:themeColor="text1"/>
          <w:szCs w:val="21"/>
          <w14:textFill>
            <w14:solidFill>
              <w14:schemeClr w14:val="tx1"/>
            </w14:solidFill>
          </w14:textFill>
        </w:rPr>
        <w:t>7.1本次招标公告同时在“广州公共资源交易中心网”及“广东省招标投标监管网”上发布。如媒体发布公告详细内容不一致者，以广东省招标投标监管网网站公告为准</w:t>
      </w:r>
      <w:r>
        <w:rPr>
          <w:rFonts w:hint="eastAsia"/>
          <w:szCs w:val="21"/>
        </w:rPr>
        <w:t>。</w:t>
      </w:r>
    </w:p>
    <w:p>
      <w:pPr>
        <w:spacing w:line="360" w:lineRule="auto"/>
        <w:rPr>
          <w:b/>
          <w:bCs/>
          <w:szCs w:val="21"/>
        </w:rPr>
      </w:pPr>
      <w:r>
        <w:rPr>
          <w:rFonts w:hint="eastAsia"/>
          <w:b/>
          <w:bCs/>
          <w:szCs w:val="21"/>
        </w:rPr>
        <w:t>八、联系方式</w:t>
      </w:r>
    </w:p>
    <w:p>
      <w:pPr>
        <w:spacing w:line="400" w:lineRule="exact"/>
        <w:ind w:firstLine="420" w:firstLineChars="200"/>
        <w:rPr>
          <w:rFonts w:hint="eastAsia"/>
          <w:szCs w:val="21"/>
        </w:rPr>
      </w:pPr>
      <w:r>
        <w:rPr>
          <w:rFonts w:hint="eastAsia"/>
          <w:szCs w:val="21"/>
        </w:rPr>
        <w:t xml:space="preserve">招 标 人：连平县工业园管理委员会 </w:t>
      </w:r>
    </w:p>
    <w:p>
      <w:pPr>
        <w:spacing w:line="400" w:lineRule="exact"/>
        <w:ind w:firstLine="420" w:firstLineChars="200"/>
        <w:rPr>
          <w:szCs w:val="21"/>
        </w:rPr>
      </w:pPr>
      <w:r>
        <w:rPr>
          <w:rFonts w:hint="eastAsia"/>
          <w:szCs w:val="21"/>
        </w:rPr>
        <w:t xml:space="preserve">联 系 人：江先生                   </w:t>
      </w:r>
      <w:r>
        <w:rPr>
          <w:szCs w:val="21"/>
        </w:rPr>
        <w:t xml:space="preserve"> </w:t>
      </w:r>
      <w:r>
        <w:rPr>
          <w:rFonts w:hint="eastAsia"/>
          <w:szCs w:val="21"/>
        </w:rPr>
        <w:t xml:space="preserve">  联系电话：</w:t>
      </w:r>
      <w:r>
        <w:rPr>
          <w:szCs w:val="21"/>
        </w:rPr>
        <w:t>0762-4613718</w:t>
      </w:r>
      <w:r>
        <w:rPr>
          <w:rFonts w:hint="eastAsia"/>
          <w:szCs w:val="21"/>
        </w:rPr>
        <w:t xml:space="preserve"> </w:t>
      </w:r>
    </w:p>
    <w:p>
      <w:pPr>
        <w:spacing w:line="400" w:lineRule="exact"/>
        <w:ind w:firstLine="420" w:firstLineChars="200"/>
        <w:rPr>
          <w:szCs w:val="21"/>
        </w:rPr>
      </w:pPr>
      <w:r>
        <w:rPr>
          <w:rFonts w:hint="eastAsia"/>
          <w:szCs w:val="21"/>
        </w:rPr>
        <w:t xml:space="preserve">地    址：河源市连平县三角镇尚进路 </w:t>
      </w:r>
    </w:p>
    <w:p>
      <w:pPr>
        <w:pStyle w:val="31"/>
      </w:pPr>
    </w:p>
    <w:p>
      <w:pPr>
        <w:autoSpaceDN w:val="0"/>
        <w:spacing w:line="420" w:lineRule="exact"/>
        <w:ind w:firstLine="420" w:firstLineChars="200"/>
        <w:rPr>
          <w:szCs w:val="21"/>
        </w:rPr>
      </w:pPr>
      <w:r>
        <w:rPr>
          <w:rFonts w:hint="eastAsia"/>
          <w:szCs w:val="21"/>
        </w:rPr>
        <w:t>招标代理：深圳市祺骏建设工程顾问有限公司</w:t>
      </w:r>
    </w:p>
    <w:p>
      <w:pPr>
        <w:autoSpaceDN w:val="0"/>
        <w:spacing w:line="420" w:lineRule="exact"/>
        <w:ind w:firstLine="420" w:firstLineChars="200"/>
        <w:rPr>
          <w:szCs w:val="21"/>
        </w:rPr>
      </w:pPr>
      <w:r>
        <w:rPr>
          <w:rFonts w:hint="eastAsia"/>
          <w:szCs w:val="21"/>
        </w:rPr>
        <w:t xml:space="preserve">联 系 人：谢小姐                     联系电话： 0762-5566869 </w:t>
      </w:r>
    </w:p>
    <w:p>
      <w:pPr>
        <w:spacing w:line="400" w:lineRule="exact"/>
        <w:ind w:firstLine="420" w:firstLineChars="200"/>
        <w:rPr>
          <w:szCs w:val="21"/>
        </w:rPr>
      </w:pPr>
      <w:r>
        <w:rPr>
          <w:rFonts w:hint="eastAsia"/>
          <w:szCs w:val="21"/>
        </w:rPr>
        <w:t xml:space="preserve">地    址：深圳市宝安区新安街道大浪社区27区华联城市全景E、F、G栋G栋301-1 </w:t>
      </w:r>
    </w:p>
    <w:p>
      <w:pPr>
        <w:pStyle w:val="31"/>
      </w:pPr>
    </w:p>
    <w:p>
      <w:pPr>
        <w:spacing w:line="400" w:lineRule="exact"/>
        <w:ind w:firstLine="420" w:firstLineChars="200"/>
        <w:rPr>
          <w:szCs w:val="21"/>
        </w:rPr>
      </w:pPr>
      <w:r>
        <w:rPr>
          <w:rFonts w:hint="eastAsia"/>
          <w:szCs w:val="21"/>
        </w:rPr>
        <w:t>交易中心：广州公共资源交易中心</w:t>
      </w:r>
    </w:p>
    <w:p>
      <w:pPr>
        <w:autoSpaceDN w:val="0"/>
        <w:spacing w:line="420" w:lineRule="exact"/>
        <w:ind w:firstLine="420" w:firstLineChars="200"/>
        <w:rPr>
          <w:szCs w:val="21"/>
        </w:rPr>
      </w:pPr>
      <w:r>
        <w:rPr>
          <w:szCs w:val="21"/>
        </w:rPr>
        <w:t>联系电话：020-28866000</w:t>
      </w:r>
    </w:p>
    <w:p>
      <w:pPr>
        <w:autoSpaceDN w:val="0"/>
        <w:spacing w:line="420" w:lineRule="exact"/>
        <w:ind w:firstLine="420" w:firstLineChars="200"/>
        <w:rPr>
          <w:szCs w:val="21"/>
        </w:rPr>
      </w:pPr>
      <w:r>
        <w:rPr>
          <w:rFonts w:hint="eastAsia"/>
          <w:szCs w:val="21"/>
        </w:rPr>
        <w:t>地    址：广州市天河区天润路</w:t>
      </w:r>
      <w:r>
        <w:rPr>
          <w:szCs w:val="21"/>
        </w:rPr>
        <w:t>333号</w:t>
      </w:r>
    </w:p>
    <w:p>
      <w:pPr>
        <w:pStyle w:val="31"/>
        <w:rPr>
          <w:szCs w:val="21"/>
        </w:rPr>
      </w:pPr>
    </w:p>
    <w:p>
      <w:pPr>
        <w:autoSpaceDN w:val="0"/>
        <w:spacing w:line="420" w:lineRule="exact"/>
        <w:ind w:firstLine="6720" w:firstLineChars="3200"/>
        <w:rPr>
          <w:szCs w:val="21"/>
        </w:rPr>
      </w:pPr>
      <w:bookmarkStart w:id="100" w:name="_Toc22021"/>
      <w:bookmarkStart w:id="101" w:name="_Toc24535"/>
      <w:bookmarkStart w:id="102" w:name="_Toc23357"/>
      <w:bookmarkStart w:id="103" w:name="_Toc17178"/>
      <w:bookmarkStart w:id="104" w:name="_Toc6130"/>
      <w:bookmarkStart w:id="105" w:name="_Toc12887"/>
      <w:bookmarkStart w:id="106" w:name="_Toc10077"/>
      <w:bookmarkStart w:id="107" w:name="_Toc26109"/>
      <w:bookmarkStart w:id="108" w:name="_Toc18550"/>
      <w:r>
        <w:rPr>
          <w:rFonts w:hint="eastAsia"/>
          <w:szCs w:val="21"/>
        </w:rPr>
        <w:t>202</w:t>
      </w:r>
      <w:r>
        <w:rPr>
          <w:szCs w:val="21"/>
        </w:rPr>
        <w:t>3</w:t>
      </w:r>
      <w:r>
        <w:rPr>
          <w:rFonts w:hint="eastAsia"/>
          <w:szCs w:val="21"/>
        </w:rPr>
        <w:t>年</w:t>
      </w:r>
      <w:r>
        <w:rPr>
          <w:szCs w:val="21"/>
        </w:rPr>
        <w:t xml:space="preserve">  </w:t>
      </w:r>
      <w:r>
        <w:rPr>
          <w:rFonts w:hint="eastAsia"/>
          <w:szCs w:val="21"/>
        </w:rPr>
        <w:t>月</w:t>
      </w:r>
      <w:r>
        <w:rPr>
          <w:szCs w:val="21"/>
        </w:rPr>
        <w:t xml:space="preserve">  </w:t>
      </w:r>
      <w:r>
        <w:rPr>
          <w:rFonts w:hint="eastAsia"/>
          <w:szCs w:val="21"/>
          <w:lang w:val="en-US" w:eastAsia="zh-CN"/>
        </w:rPr>
        <w:t xml:space="preserve"> </w:t>
      </w:r>
      <w:r>
        <w:rPr>
          <w:rFonts w:hint="eastAsia"/>
          <w:szCs w:val="21"/>
        </w:rPr>
        <w:t>日</w:t>
      </w:r>
    </w:p>
    <w:p>
      <w:pPr>
        <w:rPr>
          <w:b/>
          <w:bCs/>
        </w:rPr>
      </w:pPr>
    </w:p>
    <w:p>
      <w:pPr>
        <w:pStyle w:val="31"/>
      </w:pPr>
    </w:p>
    <w:p>
      <w:pPr>
        <w:rPr>
          <w:b/>
          <w:bCs/>
        </w:rPr>
        <w:sectPr>
          <w:footerReference r:id="rId5" w:type="default"/>
          <w:pgSz w:w="11906" w:h="16838"/>
          <w:pgMar w:top="1247" w:right="1247" w:bottom="1247" w:left="1247" w:header="851" w:footer="567" w:gutter="0"/>
          <w:pgNumType w:start="1"/>
          <w:cols w:space="720" w:num="1"/>
          <w:docGrid w:type="lines" w:linePitch="312" w:charSpace="0"/>
        </w:sectPr>
      </w:pPr>
    </w:p>
    <w:bookmarkEnd w:id="100"/>
    <w:bookmarkEnd w:id="101"/>
    <w:bookmarkEnd w:id="102"/>
    <w:bookmarkEnd w:id="103"/>
    <w:bookmarkEnd w:id="104"/>
    <w:bookmarkEnd w:id="105"/>
    <w:bookmarkEnd w:id="106"/>
    <w:bookmarkEnd w:id="107"/>
    <w:bookmarkEnd w:id="108"/>
    <w:p>
      <w:pPr>
        <w:pStyle w:val="2"/>
        <w:spacing w:line="360" w:lineRule="auto"/>
        <w:jc w:val="center"/>
      </w:pPr>
      <w:bookmarkStart w:id="109" w:name="_Toc14158"/>
      <w:bookmarkStart w:id="110" w:name="_Toc9893"/>
      <w:bookmarkStart w:id="111" w:name="_Toc6106"/>
      <w:bookmarkStart w:id="112" w:name="_Toc4950"/>
      <w:bookmarkStart w:id="113" w:name="_Toc3061"/>
      <w:bookmarkStart w:id="114" w:name="_Toc29593"/>
      <w:bookmarkStart w:id="115" w:name="_Toc22827"/>
      <w:bookmarkStart w:id="116" w:name="_Toc14239"/>
      <w:bookmarkStart w:id="117" w:name="_Toc22180"/>
      <w:bookmarkStart w:id="118" w:name="_Toc3486"/>
      <w:bookmarkStart w:id="119" w:name="_Toc29752"/>
      <w:bookmarkStart w:id="120" w:name="_Toc24140"/>
      <w:bookmarkStart w:id="121" w:name="_Toc2129"/>
      <w:bookmarkStart w:id="122" w:name="_Toc21728"/>
      <w:bookmarkStart w:id="123" w:name="_Toc459914387"/>
      <w:bookmarkStart w:id="124" w:name="_Toc11739"/>
      <w:bookmarkStart w:id="125" w:name="_Toc21953"/>
      <w:bookmarkStart w:id="126" w:name="_Toc26762"/>
      <w:bookmarkStart w:id="127" w:name="_Toc16177"/>
      <w:bookmarkStart w:id="128" w:name="_Toc7811"/>
      <w:bookmarkStart w:id="129" w:name="_Toc24671"/>
      <w:bookmarkStart w:id="130" w:name="_Toc28509"/>
      <w:bookmarkStart w:id="131" w:name="_Toc16912"/>
      <w:bookmarkStart w:id="132" w:name="_Toc3384"/>
      <w:bookmarkStart w:id="133" w:name="_Toc13748"/>
      <w:bookmarkStart w:id="134" w:name="_Toc16572"/>
      <w:bookmarkStart w:id="135" w:name="_Toc29809"/>
      <w:bookmarkStart w:id="136" w:name="_Toc16869"/>
      <w:bookmarkStart w:id="137" w:name="_Toc1786"/>
      <w:bookmarkStart w:id="138" w:name="_Toc20253"/>
      <w:r>
        <w:rPr>
          <w:rFonts w:hint="eastAsia"/>
        </w:rPr>
        <w:t>第二章 投标人须知</w:t>
      </w:r>
      <w:bookmarkEnd w:id="109"/>
      <w:bookmarkEnd w:id="110"/>
      <w:bookmarkEnd w:id="111"/>
      <w:bookmarkEnd w:id="112"/>
      <w:bookmarkEnd w:id="113"/>
      <w:bookmarkEnd w:id="114"/>
      <w:bookmarkEnd w:id="115"/>
      <w:bookmarkEnd w:id="116"/>
      <w:bookmarkEnd w:id="117"/>
    </w:p>
    <w:p>
      <w:pPr>
        <w:pStyle w:val="3"/>
        <w:spacing w:line="360" w:lineRule="auto"/>
        <w:rPr>
          <w:rFonts w:ascii="宋体" w:hAnsi="宋体" w:eastAsia="宋体"/>
        </w:rPr>
      </w:pPr>
      <w:bookmarkStart w:id="139" w:name="_Toc246996917"/>
      <w:bookmarkStart w:id="140" w:name="_Toc247085688"/>
      <w:bookmarkStart w:id="141" w:name="_Toc28152"/>
      <w:bookmarkStart w:id="142" w:name="_Toc18949"/>
      <w:bookmarkStart w:id="143" w:name="_Toc246996174"/>
      <w:bookmarkStart w:id="144" w:name="_Toc16395"/>
      <w:bookmarkStart w:id="145" w:name="_Toc10763"/>
      <w:bookmarkStart w:id="146" w:name="_Toc25311"/>
      <w:bookmarkStart w:id="147" w:name="_Toc152042304"/>
      <w:bookmarkStart w:id="148" w:name="_Toc8163"/>
      <w:bookmarkStart w:id="149" w:name="_Toc179632545"/>
      <w:bookmarkStart w:id="150" w:name="_Toc144974496"/>
      <w:bookmarkStart w:id="151" w:name="_Toc28700"/>
      <w:bookmarkStart w:id="152" w:name="_Toc9719"/>
      <w:bookmarkStart w:id="153" w:name="_Toc152045528"/>
      <w:bookmarkStart w:id="154" w:name="_Toc19353"/>
      <w:bookmarkStart w:id="155" w:name="_Toc18989"/>
      <w:bookmarkStart w:id="156" w:name="_Toc464062022"/>
      <w:bookmarkStart w:id="157" w:name="_Toc8025"/>
      <w:r>
        <w:rPr>
          <w:rFonts w:hint="eastAsia" w:ascii="宋体" w:hAnsi="宋体" w:eastAsia="宋体"/>
        </w:rPr>
        <w:t>投标人须知一览表</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tbl>
      <w:tblPr>
        <w:tblStyle w:val="33"/>
        <w:tblW w:w="9341" w:type="dxa"/>
        <w:tblInd w:w="0" w:type="dxa"/>
        <w:tblLayout w:type="fixed"/>
        <w:tblCellMar>
          <w:top w:w="0" w:type="dxa"/>
          <w:left w:w="108" w:type="dxa"/>
          <w:bottom w:w="0" w:type="dxa"/>
          <w:right w:w="108" w:type="dxa"/>
        </w:tblCellMar>
      </w:tblPr>
      <w:tblGrid>
        <w:gridCol w:w="959"/>
        <w:gridCol w:w="2260"/>
        <w:gridCol w:w="6122"/>
      </w:tblGrid>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bookmarkStart w:id="158" w:name="_Toc179632546"/>
            <w:bookmarkStart w:id="159" w:name="_Toc247085689"/>
            <w:bookmarkStart w:id="160" w:name="_Toc246996918"/>
            <w:bookmarkStart w:id="161" w:name="_Toc246996175"/>
            <w:bookmarkStart w:id="162" w:name="_Toc464062023"/>
            <w:r>
              <w:rPr>
                <w:rFonts w:hint="eastAsia"/>
                <w:b/>
                <w:szCs w:val="21"/>
              </w:rPr>
              <w:t>条款号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条  款  名  称</w:t>
            </w:r>
          </w:p>
        </w:tc>
        <w:tc>
          <w:tcPr>
            <w:tcW w:w="6122"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编  列  内  容</w:t>
            </w:r>
          </w:p>
        </w:tc>
      </w:tr>
      <w:tr>
        <w:tblPrEx>
          <w:tblCellMar>
            <w:top w:w="0" w:type="dxa"/>
            <w:left w:w="108" w:type="dxa"/>
            <w:bottom w:w="0" w:type="dxa"/>
            <w:right w:w="108" w:type="dxa"/>
          </w:tblCellMar>
        </w:tblPrEx>
        <w:trPr>
          <w:trHeight w:val="56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总   则</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1.1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项目概况</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业主单位</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名称：连平县工业园管理委员会</w:t>
            </w:r>
          </w:p>
        </w:tc>
      </w:tr>
      <w:tr>
        <w:tblPrEx>
          <w:tblCellMar>
            <w:top w:w="0" w:type="dxa"/>
            <w:left w:w="108" w:type="dxa"/>
            <w:bottom w:w="0" w:type="dxa"/>
            <w:right w:w="108" w:type="dxa"/>
          </w:tblCellMar>
        </w:tblPrEx>
        <w:trPr>
          <w:trHeight w:val="72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招标人</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名称：连平县工业园管理委员会</w:t>
            </w:r>
          </w:p>
          <w:p>
            <w:pPr>
              <w:rPr>
                <w:szCs w:val="21"/>
              </w:rPr>
            </w:pPr>
            <w:r>
              <w:rPr>
                <w:rFonts w:hint="eastAsia"/>
              </w:rPr>
              <w:t>地址：河源市连平县三角镇尚进路</w:t>
            </w:r>
          </w:p>
          <w:p>
            <w:r>
              <w:rPr>
                <w:rFonts w:hint="eastAsia"/>
                <w:szCs w:val="21"/>
              </w:rPr>
              <w:t>联系人：江先生            电话：0762-4613718</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招标代理机构</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名称：深圳市祺骏建设工程顾问有限公司</w:t>
            </w:r>
          </w:p>
          <w:p>
            <w:r>
              <w:rPr>
                <w:rFonts w:hint="eastAsia"/>
              </w:rPr>
              <w:t>地址：深圳市宝安区新安街道大浪社区27区华联城市全景E、F、G栋G栋301-1</w:t>
            </w:r>
          </w:p>
          <w:p>
            <w:r>
              <w:rPr>
                <w:rFonts w:hint="eastAsia"/>
              </w:rPr>
              <w:t>联系人：谢小姐         电话：0762-5566869</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项目名称</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1" w:firstLineChars="100"/>
            </w:pPr>
            <w:r>
              <w:rPr>
                <w:rFonts w:hint="eastAsia"/>
                <w:b/>
                <w:bCs/>
              </w:rPr>
              <w:t>连平县工业园三期基础设施建设工程项目（石龙-1#厂房、园区内部市政道路及排污主管工程）</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建设地点</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szCs w:val="21"/>
              </w:rPr>
              <w:t>1.2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资金来源和落实情况</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资金来源及比例</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1.2.2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资金落实情况</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szCs w:val="21"/>
              </w:rPr>
              <w:t>1.3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招标范围、服务期限</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1.3.1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招标范围</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1.3.2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计划工期</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1.3.3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质量要求</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szCs w:val="21"/>
              </w:rPr>
              <w:t>1.4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投标人资格要求</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1.4.1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潜在投标人资格要求</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详见本项目招标公告</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1.4.2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是否接受联合体投标</w:t>
            </w:r>
          </w:p>
        </w:tc>
        <w:tc>
          <w:tcPr>
            <w:tcW w:w="6122"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sym w:font="Wingdings" w:char="00A8"/>
            </w:r>
            <w:r>
              <w:rPr>
                <w:rFonts w:hint="eastAsia"/>
                <w:szCs w:val="21"/>
              </w:rPr>
              <w:t>不接受</w:t>
            </w:r>
          </w:p>
          <w:p>
            <w:pPr>
              <w:rPr>
                <w:szCs w:val="21"/>
              </w:rPr>
            </w:pPr>
            <w:r>
              <w:rPr>
                <w:rFonts w:hint="eastAsia"/>
                <w:szCs w:val="21"/>
              </w:rPr>
              <w:sym w:font="Wingdings" w:char="00FE"/>
            </w:r>
            <w:r>
              <w:rPr>
                <w:rFonts w:hint="eastAsia"/>
                <w:szCs w:val="21"/>
              </w:rPr>
              <w:t>接受，应满足下列要求：若单个投标企业不满足以上资格要求，本项目接受不超过2家单位组成的联合体投标。联合体投标的，须签订联合体协议书，且具有上述要求的</w:t>
            </w:r>
            <w:r>
              <w:rPr>
                <w:rFonts w:hint="eastAsia"/>
                <w:szCs w:val="21"/>
                <w:lang w:val="en-US" w:eastAsia="zh-CN"/>
              </w:rPr>
              <w:t>建筑</w:t>
            </w:r>
            <w:r>
              <w:rPr>
                <w:rFonts w:hint="eastAsia"/>
                <w:szCs w:val="21"/>
              </w:rPr>
              <w:t>工程施工资质单位为联合体牵头人。联合体各方签订联合体协议书后，不得再以自己的名义单独参与同一项目的投标，也不得组成新的联合体参与同一项目的投标，否则全部视为无效。</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1.4.3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投标人不得存在情形之一</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（1）为招标人不具有独立法人资格的附属机构（单位）；</w:t>
            </w:r>
          </w:p>
          <w:p>
            <w:r>
              <w:rPr>
                <w:rFonts w:hint="eastAsia"/>
              </w:rPr>
              <w:t>（2）为招标项目前期工作提供咨询服务的；</w:t>
            </w:r>
          </w:p>
          <w:p>
            <w:r>
              <w:rPr>
                <w:rFonts w:hint="eastAsia"/>
              </w:rPr>
              <w:t>（3）为本项目的监理人；</w:t>
            </w:r>
          </w:p>
          <w:p>
            <w:r>
              <w:rPr>
                <w:rFonts w:hint="eastAsia"/>
              </w:rPr>
              <w:t xml:space="preserve">（4）为本项目的代建人； </w:t>
            </w:r>
          </w:p>
          <w:p>
            <w:r>
              <w:rPr>
                <w:rFonts w:hint="eastAsia"/>
              </w:rPr>
              <w:t xml:space="preserve">（5）为本项目提供招标代理服务的； </w:t>
            </w:r>
          </w:p>
          <w:p>
            <w:r>
              <w:rPr>
                <w:rFonts w:hint="eastAsia"/>
              </w:rPr>
              <w:t xml:space="preserve">（6）被责令停业的； </w:t>
            </w:r>
          </w:p>
          <w:p>
            <w:r>
              <w:rPr>
                <w:rFonts w:hint="eastAsia"/>
              </w:rPr>
              <w:t xml:space="preserve">（7）被暂停或取消投标资格的； </w:t>
            </w:r>
          </w:p>
          <w:p>
            <w:r>
              <w:rPr>
                <w:rFonts w:hint="eastAsia"/>
              </w:rPr>
              <w:t>（8）财产被接管或冻结的；</w:t>
            </w:r>
          </w:p>
          <w:p>
            <w:r>
              <w:rPr>
                <w:rFonts w:hint="eastAsia"/>
              </w:rPr>
              <w:t>（9）在最近三年内有骗取中标或严重违约或重大工程质量问题的；</w:t>
            </w:r>
          </w:p>
          <w:p>
            <w:r>
              <w:rPr>
                <w:rFonts w:hint="eastAsia"/>
              </w:rPr>
              <w:t>（10）与本项目的监理人或代建人或招标代理机构同为一个法定代表人的；</w:t>
            </w:r>
          </w:p>
          <w:p>
            <w:r>
              <w:rPr>
                <w:rFonts w:hint="eastAsia"/>
              </w:rPr>
              <w:t>（11）与本项目的监理人或代建人或招标代理机构相互控股或参股的；</w:t>
            </w:r>
          </w:p>
          <w:p>
            <w:r>
              <w:rPr>
                <w:rFonts w:hint="eastAsia"/>
              </w:rPr>
              <w:t>（12）与本项目的监理人或代建人或招标代理机构相互任职或工作的；</w:t>
            </w:r>
          </w:p>
          <w:p>
            <w:pPr>
              <w:pStyle w:val="17"/>
            </w:pPr>
            <w:r>
              <w:rPr>
                <w:rFonts w:hint="eastAsia"/>
              </w:rPr>
              <w:t>（13）单位负责人为同一人或者存在控股、管理关系的不同单位，不得同时参加本项目投标。</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szCs w:val="21"/>
              </w:rPr>
              <w:t>1.5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费用承担</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1.5.1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费用承担</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投标人准备和参加投标活动发生的费用自理。</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szCs w:val="21"/>
              </w:rPr>
              <w:t>1.6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保密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szCs w:val="21"/>
              </w:rPr>
              <w:t>1.6.1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保密</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参与招标投标活动的各方应对招标文件和投标文件中的商业和技术等秘密保密，违者应对由此造成的后果承担法律责任。</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1.7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语言文字</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1.7.1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语言文字</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招标投标文件使用的语言文字为中文。专用术语使用外文的，应附有中文注释。</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1.8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计量单位</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1.8.1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计量单位</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所有计量均采用中华人民共和国法定计量单位。</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1.9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踏勘现场</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1.9.1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踏勘现场</w:t>
            </w:r>
          </w:p>
        </w:tc>
        <w:tc>
          <w:tcPr>
            <w:tcW w:w="6122" w:type="dxa"/>
            <w:tcBorders>
              <w:top w:val="single" w:color="auto" w:sz="4" w:space="0"/>
              <w:left w:val="single" w:color="auto" w:sz="4" w:space="0"/>
              <w:bottom w:val="single" w:color="auto" w:sz="4" w:space="0"/>
              <w:right w:val="single" w:color="auto" w:sz="4" w:space="0"/>
            </w:tcBorders>
            <w:vAlign w:val="center"/>
          </w:tcPr>
          <w:p>
            <w:r>
              <w:t>☑不组织</w:t>
            </w:r>
          </w:p>
          <w:p>
            <w:r>
              <w:t>（1）招标人不统一组织现场踏勘，请各投标人自行到本工程建设场地和周围环境进行踏勘，以获取编制投标文件和签署合同所需的所有资料，工程场地和相关的周边环境情况是现有可供投标人利用的资料，招标人对投标人由此而做出的判断和决策概不负责。</w:t>
            </w:r>
          </w:p>
          <w:p>
            <w:r>
              <w:t>（2）投标人自行负责在踏勘现场中所发生的人员伤亡和财产损失。</w:t>
            </w:r>
          </w:p>
          <w:p>
            <w:r>
              <w:t>□组织，踏勘时间：</w:t>
            </w:r>
          </w:p>
          <w:p>
            <w:r>
              <w:t xml:space="preserve">    踏勘集中地点：</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1.10</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投标预备会</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1.10.1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投标预备会</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☑不召开投标预备会。</w:t>
            </w:r>
          </w:p>
          <w:p>
            <w:r>
              <w:rPr>
                <w:rFonts w:hint="eastAsia"/>
              </w:rPr>
              <w:t>□召开，召开时间：</w:t>
            </w:r>
          </w:p>
          <w:p>
            <w:r>
              <w:rPr>
                <w:rFonts w:hint="eastAsia"/>
              </w:rPr>
              <w:t xml:space="preserve">        召开地点：</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1.11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rPr>
              <w:t>分包</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szCs w:val="21"/>
              </w:rPr>
            </w:pPr>
            <w:r>
              <w:rPr>
                <w:rFonts w:hint="eastAsia"/>
                <w:szCs w:val="21"/>
              </w:rPr>
              <w:t>1.11.1</w:t>
            </w:r>
          </w:p>
        </w:tc>
        <w:tc>
          <w:tcPr>
            <w:tcW w:w="22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rPr>
            </w:pPr>
            <w:r>
              <w:rPr>
                <w:rFonts w:hint="eastAsia"/>
                <w:szCs w:val="21"/>
              </w:rPr>
              <w:t>招标人规定由分包人承担的工作</w:t>
            </w:r>
          </w:p>
        </w:tc>
        <w:tc>
          <w:tcPr>
            <w:tcW w:w="6122" w:type="dxa"/>
            <w:tcBorders>
              <w:top w:val="single" w:color="auto" w:sz="4" w:space="0"/>
              <w:left w:val="single" w:color="auto" w:sz="4" w:space="0"/>
              <w:bottom w:val="single" w:color="auto" w:sz="4" w:space="0"/>
              <w:right w:val="single" w:color="auto" w:sz="4" w:space="0"/>
            </w:tcBorders>
            <w:vAlign w:val="center"/>
          </w:tcPr>
          <w:p>
            <w:pPr>
              <w:spacing w:line="276" w:lineRule="auto"/>
              <w:rPr>
                <w:b/>
              </w:rPr>
            </w:pPr>
            <w:r>
              <w:rPr>
                <w:rFonts w:hint="eastAsia"/>
                <w:szCs w:val="21"/>
              </w:rPr>
              <w:t>无</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Cs w:val="21"/>
              </w:rPr>
            </w:pPr>
            <w:r>
              <w:rPr>
                <w:rFonts w:hint="eastAsia"/>
                <w:szCs w:val="21"/>
              </w:rPr>
              <w:t>1.11.2</w:t>
            </w:r>
          </w:p>
        </w:tc>
        <w:tc>
          <w:tcPr>
            <w:tcW w:w="22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Cs w:val="21"/>
              </w:rPr>
            </w:pPr>
            <w:r>
              <w:rPr>
                <w:rFonts w:hint="eastAsia"/>
                <w:szCs w:val="21"/>
              </w:rPr>
              <w:t>投标人拟分包的工作</w:t>
            </w:r>
          </w:p>
        </w:tc>
        <w:tc>
          <w:tcPr>
            <w:tcW w:w="6122" w:type="dxa"/>
            <w:tcBorders>
              <w:top w:val="single" w:color="auto" w:sz="4" w:space="0"/>
              <w:left w:val="single" w:color="auto" w:sz="4" w:space="0"/>
              <w:bottom w:val="single" w:color="auto" w:sz="4" w:space="0"/>
              <w:right w:val="single" w:color="auto" w:sz="4" w:space="0"/>
            </w:tcBorders>
            <w:vAlign w:val="center"/>
          </w:tcPr>
          <w:p>
            <w:pPr>
              <w:topLinePunct/>
              <w:spacing w:line="276" w:lineRule="auto"/>
            </w:pPr>
            <w:r>
              <w:rPr>
                <w:rFonts w:hint="eastAsia"/>
              </w:rPr>
              <w:t>□</w:t>
            </w:r>
            <w:r>
              <w:t>不允许</w:t>
            </w:r>
          </w:p>
          <w:p>
            <w:pPr>
              <w:jc w:val="left"/>
            </w:pPr>
            <w:r>
              <w:rPr>
                <w:rFonts w:hint="eastAsia"/>
              </w:rPr>
              <w:t>☑</w:t>
            </w:r>
            <w:r>
              <w:t>允许，分包内容要求：对总承包单位不具有咨询、施工资质的专业工程或国家、广东省的法律法规允许分包的部分工程，总承包单位在分包前，必须得到建设单位同意，才能分包给具有相应资质的企业，并报行政主管部门备案。</w:t>
            </w:r>
          </w:p>
          <w:p>
            <w:r>
              <w:t>分包金额要求：无</w:t>
            </w:r>
          </w:p>
          <w:p>
            <w:pPr>
              <w:ind w:firstLine="210" w:firstLineChars="100"/>
              <w:rPr>
                <w:szCs w:val="21"/>
              </w:rPr>
            </w:pPr>
            <w:r>
              <w:t>对分包人的资质要求：项目实施过程中根据具体分包内容按国家、广东省相关资质管理规定确定。</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1.12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偏离</w:t>
            </w:r>
          </w:p>
        </w:tc>
      </w:tr>
      <w:tr>
        <w:tblPrEx>
          <w:tblCellMar>
            <w:top w:w="0" w:type="dxa"/>
            <w:left w:w="108" w:type="dxa"/>
            <w:bottom w:w="0" w:type="dxa"/>
            <w:right w:w="108" w:type="dxa"/>
          </w:tblCellMar>
        </w:tblPrEx>
        <w:trPr>
          <w:trHeight w:val="64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1.12.1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偏离</w:t>
            </w:r>
          </w:p>
        </w:tc>
        <w:tc>
          <w:tcPr>
            <w:tcW w:w="6122" w:type="dxa"/>
            <w:tcBorders>
              <w:top w:val="single" w:color="auto" w:sz="4" w:space="0"/>
              <w:left w:val="single" w:color="auto" w:sz="4" w:space="0"/>
              <w:bottom w:val="single" w:color="auto" w:sz="4" w:space="0"/>
              <w:right w:val="single" w:color="auto" w:sz="4" w:space="0"/>
            </w:tcBorders>
            <w:vAlign w:val="center"/>
          </w:tcPr>
          <w:p>
            <w:r>
              <w:rPr>
                <w:rFonts w:hint="eastAsia"/>
              </w:rPr>
              <w:t>☑不允许投标文件偏离招标文件的要求。</w:t>
            </w:r>
          </w:p>
          <w:p>
            <w:r>
              <w:rPr>
                <w:rFonts w:hint="eastAsia"/>
              </w:rPr>
              <w:t>□允许</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招标文件</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招标文件的组成</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2.1.1 本招标文件包括：</w:t>
            </w:r>
          </w:p>
          <w:p>
            <w:pPr>
              <w:ind w:firstLine="420" w:firstLineChars="200"/>
            </w:pPr>
            <w:r>
              <w:rPr>
                <w:rFonts w:hint="eastAsia"/>
              </w:rPr>
              <w:t>（1）招标公告；</w:t>
            </w:r>
          </w:p>
          <w:p>
            <w:pPr>
              <w:ind w:firstLine="420" w:firstLineChars="200"/>
            </w:pPr>
            <w:r>
              <w:rPr>
                <w:rFonts w:hint="eastAsia"/>
              </w:rPr>
              <w:t>（2）投标人须知；</w:t>
            </w:r>
          </w:p>
          <w:p>
            <w:pPr>
              <w:ind w:firstLine="420" w:firstLineChars="200"/>
            </w:pPr>
            <w:r>
              <w:rPr>
                <w:rFonts w:hint="eastAsia"/>
              </w:rPr>
              <w:t>（3）评标办法；</w:t>
            </w:r>
          </w:p>
          <w:p>
            <w:pPr>
              <w:ind w:firstLine="420" w:firstLineChars="200"/>
            </w:pPr>
            <w:r>
              <w:rPr>
                <w:rFonts w:hint="eastAsia"/>
              </w:rPr>
              <w:t>（4）合同条款及格式；</w:t>
            </w:r>
          </w:p>
          <w:p>
            <w:pPr>
              <w:ind w:firstLine="420" w:firstLineChars="200"/>
              <w:rPr>
                <w:b/>
                <w:bCs/>
              </w:rPr>
            </w:pPr>
            <w:r>
              <w:rPr>
                <w:rFonts w:hint="eastAsia"/>
              </w:rPr>
              <w:t>（5）招标人提供的资料；</w:t>
            </w:r>
          </w:p>
          <w:p>
            <w:pPr>
              <w:ind w:firstLine="420" w:firstLineChars="200"/>
            </w:pPr>
            <w:r>
              <w:rPr>
                <w:rFonts w:hint="eastAsia"/>
              </w:rPr>
              <w:t>（6）投标文件格式。</w:t>
            </w:r>
          </w:p>
          <w:p>
            <w:pPr>
              <w:ind w:firstLine="420" w:firstLineChars="200"/>
            </w:pPr>
            <w:r>
              <w:rPr>
                <w:rFonts w:hint="eastAsia"/>
              </w:rPr>
              <w:t>2.1.2 根据本章第1.11款、第2.2款和第2.3款对招标文件所作的澄清、修改，构成招标文件的组成部分。</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招标文件的澄清</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2.2.1 投标人应仔细阅读和检查招标文件的全部内容。如发现缺页或附件不全，应及时向招标人提出，以便补齐。如有疑问，要求招标人对招标文件予以澄清。</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2.2.2具体要求：操作详见广州公共资源交易中心网站发布的最新版《房屋建筑和市政基础设施工程全流程电子化项目专章》。提问一律不得署名。</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2.2.3投标人提出问题的截止时间及方式：</w:t>
            </w:r>
          </w:p>
          <w:p>
            <w:pPr>
              <w:pStyle w:val="31"/>
              <w:rPr>
                <w:rFonts w:hint="eastAsia" w:eastAsia="宋体"/>
                <w:lang w:eastAsia="zh-CN"/>
              </w:rPr>
            </w:pPr>
            <w:r>
              <w:rPr>
                <w:rFonts w:hint="eastAsia"/>
              </w:rPr>
              <w:t>投标人要求澄清招标文件的截止时间</w:t>
            </w:r>
            <w:r>
              <w:rPr>
                <w:rFonts w:hint="eastAsia"/>
                <w:lang w:eastAsia="zh-CN"/>
              </w:rPr>
              <w:t>：投标人应在投标截止时间</w:t>
            </w:r>
            <w:r>
              <w:rPr>
                <w:rFonts w:hint="eastAsia"/>
                <w:lang w:val="en-US" w:eastAsia="zh-CN"/>
              </w:rPr>
              <w:t>15</w:t>
            </w:r>
            <w:r>
              <w:rPr>
                <w:rFonts w:hint="eastAsia"/>
                <w:lang w:eastAsia="zh-CN"/>
              </w:rPr>
              <w:t>天前；</w:t>
            </w:r>
          </w:p>
          <w:p>
            <w:pPr>
              <w:ind w:firstLine="420" w:firstLineChars="200"/>
            </w:pPr>
            <w:r>
              <w:rPr>
                <w:rFonts w:hint="eastAsia"/>
                <w:color w:val="000000" w:themeColor="text1"/>
                <w:lang w:val="en-US" w:eastAsia="zh-CN"/>
                <w14:textFill>
                  <w14:solidFill>
                    <w14:schemeClr w14:val="tx1"/>
                  </w14:solidFill>
                </w14:textFill>
              </w:rPr>
              <w:t>投标人确认收到招标文件澄清的</w:t>
            </w:r>
            <w:r>
              <w:rPr>
                <w:rFonts w:hint="eastAsia"/>
                <w:color w:val="000000" w:themeColor="text1"/>
                <w14:textFill>
                  <w14:solidFill>
                    <w14:schemeClr w14:val="tx1"/>
                  </w14:solidFill>
                </w14:textFill>
              </w:rPr>
              <w:t>时间：在广州公共资源交易中心网上答疑专区发布时视为投标人收到。</w:t>
            </w:r>
          </w:p>
        </w:tc>
      </w:tr>
      <w:tr>
        <w:tblPrEx>
          <w:tblCellMar>
            <w:top w:w="0" w:type="dxa"/>
            <w:left w:w="108" w:type="dxa"/>
            <w:bottom w:w="0" w:type="dxa"/>
            <w:right w:w="108" w:type="dxa"/>
          </w:tblCellMar>
        </w:tblPrEx>
        <w:trPr>
          <w:trHeight w:val="1125"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招标文件的修改</w:t>
            </w:r>
          </w:p>
        </w:tc>
        <w:tc>
          <w:tcPr>
            <w:tcW w:w="6122" w:type="dxa"/>
            <w:tcBorders>
              <w:top w:val="single" w:color="auto" w:sz="4" w:space="0"/>
              <w:left w:val="single" w:color="auto" w:sz="4" w:space="0"/>
              <w:bottom w:val="single" w:color="auto" w:sz="4" w:space="0"/>
              <w:right w:val="single" w:color="auto" w:sz="4" w:space="0"/>
            </w:tcBorders>
            <w:vAlign w:val="center"/>
          </w:tcPr>
          <w:p>
            <w:pPr>
              <w:pStyle w:val="17"/>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2.3.1</w:t>
            </w:r>
            <w:r>
              <w:rPr>
                <w:rFonts w:hint="eastAsia"/>
                <w:color w:val="000000" w:themeColor="text1"/>
                <w14:textFill>
                  <w14:solidFill>
                    <w14:schemeClr w14:val="tx1"/>
                  </w14:solidFill>
                </w14:textFill>
              </w:rPr>
              <w:t>招标文件的澄清或修改以补充公告或项目答疑澄清的方式在广州公共资源交易中心网站发布。招标文件的澄清或修改一经在广州公共资源交易中心网站发布，视作已发放给所有投标人，招标文件的澄清或修改内容作为招标文件的组成部分，具有约束作用。</w:t>
            </w:r>
          </w:p>
          <w:p>
            <w:pPr>
              <w:pStyle w:val="17"/>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2.3.2 时间：在广州公共资源交易中心网上答疑专区发布时视为投标人收到。</w:t>
            </w:r>
          </w:p>
          <w:p>
            <w:pPr>
              <w:pStyle w:val="17"/>
              <w:ind w:firstLine="422" w:firstLineChars="200"/>
            </w:pPr>
            <w:r>
              <w:rPr>
                <w:rFonts w:hint="eastAsia" w:hAnsi="宋体" w:cs="宋体"/>
                <w:b/>
                <w:bCs/>
                <w:color w:val="000000" w:themeColor="text1"/>
                <w:lang w:val="en-US" w:eastAsia="zh-CN"/>
                <w14:textFill>
                  <w14:solidFill>
                    <w14:schemeClr w14:val="tx1"/>
                  </w14:solidFill>
                </w14:textFill>
              </w:rPr>
              <w:t>注明：</w:t>
            </w:r>
            <w:r>
              <w:rPr>
                <w:rFonts w:hint="eastAsia" w:hAnsi="宋体" w:cs="宋体"/>
                <w:b/>
                <w:bCs/>
                <w:color w:val="000000" w:themeColor="text1"/>
                <w14:textFill>
                  <w14:solidFill>
                    <w14:schemeClr w14:val="tx1"/>
                  </w14:solidFill>
                </w14:textFill>
              </w:rPr>
              <w:t>潜在投标人应自行关注招标公告公布的网站公告，招标人不再一一通知。投标人因自身贻误行为导致投标失败的，责任自负</w:t>
            </w:r>
            <w:r>
              <w:rPr>
                <w:rFonts w:hint="eastAsia" w:hAnsi="宋体" w:cs="宋体"/>
                <w:b/>
                <w:bCs/>
              </w:rPr>
              <w:t>。</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rPr>
              <w:t>投 标 文 件</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bidi="ar"/>
              </w:rPr>
              <w:t>投标文件的组成</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3.1.1投标文件应包括下列内容：</w:t>
            </w:r>
          </w:p>
          <w:p>
            <w:pPr>
              <w:ind w:firstLine="420" w:firstLineChars="200"/>
            </w:pPr>
            <w:r>
              <w:rPr>
                <w:rFonts w:hint="eastAsia"/>
              </w:rPr>
              <w:t>（1）投标函及投标函附录；</w:t>
            </w:r>
          </w:p>
          <w:p>
            <w:pPr>
              <w:ind w:firstLine="420" w:firstLineChars="200"/>
            </w:pPr>
            <w:r>
              <w:rPr>
                <w:rFonts w:hint="eastAsia"/>
              </w:rPr>
              <w:t>（2）法定代表人身份证明或附有法定代表人身份证明的授权委托书；</w:t>
            </w:r>
          </w:p>
          <w:p>
            <w:pPr>
              <w:ind w:firstLine="420" w:firstLineChars="200"/>
            </w:pPr>
            <w:r>
              <w:rPr>
                <w:rFonts w:hint="eastAsia"/>
              </w:rPr>
              <w:t>（3）联合体协议书；</w:t>
            </w:r>
          </w:p>
          <w:p>
            <w:pPr>
              <w:ind w:firstLine="420" w:firstLineChars="200"/>
            </w:pPr>
            <w:r>
              <w:rPr>
                <w:rFonts w:hint="eastAsia"/>
              </w:rPr>
              <w:t>（4）投标保证金；</w:t>
            </w:r>
          </w:p>
          <w:p>
            <w:pPr>
              <w:ind w:firstLine="420" w:firstLineChars="200"/>
            </w:pPr>
            <w:r>
              <w:rPr>
                <w:rFonts w:hint="eastAsia"/>
              </w:rPr>
              <w:t>（5）报价清单；</w:t>
            </w:r>
          </w:p>
          <w:p>
            <w:pPr>
              <w:ind w:firstLine="420" w:firstLineChars="200"/>
            </w:pPr>
            <w:r>
              <w:rPr>
                <w:rFonts w:hint="eastAsia"/>
              </w:rPr>
              <w:t>（6）资格审查资料；</w:t>
            </w:r>
          </w:p>
          <w:p>
            <w:pPr>
              <w:ind w:firstLine="420" w:firstLineChars="200"/>
            </w:pPr>
            <w:r>
              <w:rPr>
                <w:rFonts w:hint="eastAsia"/>
              </w:rPr>
              <w:t>（7）投标人须知一览表规定的其他资料；</w:t>
            </w:r>
          </w:p>
          <w:p>
            <w:pPr>
              <w:ind w:firstLine="420" w:firstLineChars="200"/>
            </w:pPr>
            <w:r>
              <w:rPr>
                <w:rFonts w:hint="eastAsia"/>
              </w:rPr>
              <w:t>（8）评标办法前附表规定的其他资料；</w:t>
            </w:r>
          </w:p>
          <w:p>
            <w:pPr>
              <w:ind w:firstLine="420" w:firstLineChars="200"/>
            </w:pPr>
            <w:r>
              <w:rPr>
                <w:rFonts w:hint="eastAsia"/>
              </w:rPr>
              <w:t>（9）施工组织设计方案。</w:t>
            </w:r>
          </w:p>
          <w:p>
            <w:pPr>
              <w:ind w:firstLine="422" w:firstLineChars="200"/>
              <w:rPr>
                <w:b/>
                <w:bCs/>
              </w:rPr>
            </w:pPr>
            <w:r>
              <w:rPr>
                <w:rFonts w:hint="eastAsia"/>
                <w:b/>
                <w:bCs/>
              </w:rPr>
              <w:t>注明：投标文件可根据招标文件的具体格式编制。</w:t>
            </w:r>
          </w:p>
          <w:p>
            <w:pPr>
              <w:ind w:firstLine="420" w:firstLineChars="200"/>
            </w:pPr>
            <w:r>
              <w:rPr>
                <w:rFonts w:hint="eastAsia"/>
              </w:rPr>
              <w:t>3.1.2 投标人须知前一览表不接受联合体投标的，或投标人没有组成联合体的，投标文件不包括本章3.1.1（</w:t>
            </w:r>
            <w:r>
              <w:rPr>
                <w:rFonts w:hint="eastAsia"/>
                <w:lang w:val="en-US" w:eastAsia="zh-CN"/>
              </w:rPr>
              <w:t>3</w:t>
            </w:r>
            <w:r>
              <w:rPr>
                <w:rFonts w:hint="eastAsia"/>
              </w:rPr>
              <w:t>）目所指的联合体协议书。</w:t>
            </w:r>
          </w:p>
        </w:tc>
      </w:tr>
      <w:tr>
        <w:tblPrEx>
          <w:tblCellMar>
            <w:top w:w="0" w:type="dxa"/>
            <w:left w:w="108" w:type="dxa"/>
            <w:bottom w:w="0" w:type="dxa"/>
            <w:right w:w="108" w:type="dxa"/>
          </w:tblCellMar>
        </w:tblPrEx>
        <w:trPr>
          <w:trHeight w:val="202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lang w:bidi="ar"/>
              </w:rPr>
            </w:pPr>
            <w:r>
              <w:rPr>
                <w:rFonts w:hint="eastAsia"/>
                <w:szCs w:val="21"/>
                <w:lang w:bidi="ar"/>
              </w:rPr>
              <w:t>最高限价及投标报价方式</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b/>
                <w:bCs/>
              </w:rPr>
            </w:pPr>
            <w:r>
              <w:rPr>
                <w:rFonts w:hint="eastAsia"/>
              </w:rPr>
              <w:t>3.2.1 增值税税金的计算方法：</w:t>
            </w:r>
            <w:r>
              <w:rPr>
                <w:rFonts w:ascii="Times New Roman" w:hAnsi="Times New Roman"/>
              </w:rPr>
              <w:t>按一般计税方法计算</w:t>
            </w:r>
            <w:r>
              <w:rPr>
                <w:rFonts w:hint="eastAsia" w:ascii="Times New Roman" w:hAnsi="Times New Roman"/>
              </w:rPr>
              <w:t>。</w:t>
            </w:r>
          </w:p>
          <w:p>
            <w:pPr>
              <w:ind w:firstLine="420" w:firstLineChars="200"/>
              <w:rPr>
                <w:b/>
                <w:bCs/>
                <w:szCs w:val="21"/>
              </w:rPr>
            </w:pPr>
            <w:r>
              <w:rPr>
                <w:rFonts w:hint="eastAsia"/>
                <w:kern w:val="0"/>
                <w:szCs w:val="21"/>
              </w:rPr>
              <w:t>3.2.2本项目最高限价为：</w:t>
            </w:r>
            <w:r>
              <w:rPr>
                <w:rFonts w:hint="eastAsia"/>
                <w:b/>
                <w:bCs/>
                <w:szCs w:val="21"/>
                <w:u w:val="single"/>
              </w:rPr>
              <w:t xml:space="preserve"> </w:t>
            </w:r>
            <w:r>
              <w:rPr>
                <w:b/>
                <w:bCs/>
                <w:szCs w:val="21"/>
                <w:u w:val="single"/>
              </w:rPr>
              <w:t xml:space="preserve">47178255.50 </w:t>
            </w:r>
            <w:r>
              <w:rPr>
                <w:rFonts w:hint="eastAsia"/>
                <w:b/>
                <w:bCs/>
                <w:szCs w:val="21"/>
              </w:rPr>
              <w:t>元，（</w:t>
            </w:r>
            <w:r>
              <w:rPr>
                <w:rFonts w:hint="eastAsia"/>
                <w:szCs w:val="21"/>
              </w:rPr>
              <w:t>其中，1</w:t>
            </w:r>
            <w:r>
              <w:rPr>
                <w:szCs w:val="21"/>
              </w:rPr>
              <w:t>#</w:t>
            </w:r>
            <w:r>
              <w:rPr>
                <w:rFonts w:hint="eastAsia"/>
                <w:szCs w:val="21"/>
              </w:rPr>
              <w:t>厂房部分为：</w:t>
            </w:r>
            <w:r>
              <w:rPr>
                <w:rFonts w:hint="eastAsia"/>
                <w:b/>
                <w:bCs/>
                <w:szCs w:val="21"/>
                <w:u w:val="single"/>
              </w:rPr>
              <w:t>2</w:t>
            </w:r>
            <w:r>
              <w:rPr>
                <w:b/>
                <w:bCs/>
                <w:szCs w:val="21"/>
                <w:u w:val="single"/>
              </w:rPr>
              <w:t>3944868.55</w:t>
            </w:r>
            <w:r>
              <w:rPr>
                <w:rFonts w:hint="eastAsia"/>
                <w:b/>
                <w:bCs/>
                <w:szCs w:val="21"/>
                <w:u w:val="single"/>
                <w:lang w:val="en-US" w:eastAsia="zh-CN"/>
              </w:rPr>
              <w:t xml:space="preserve"> </w:t>
            </w:r>
            <w:r>
              <w:rPr>
                <w:rFonts w:hint="eastAsia"/>
                <w:b/>
                <w:bCs/>
                <w:szCs w:val="21"/>
                <w:lang w:val="en-US" w:eastAsia="zh-CN"/>
              </w:rPr>
              <w:t>元</w:t>
            </w:r>
            <w:r>
              <w:rPr>
                <w:rFonts w:hint="eastAsia"/>
                <w:szCs w:val="21"/>
              </w:rPr>
              <w:t>，园区内部市政道路及排污主管工程部分为：</w:t>
            </w:r>
            <w:r>
              <w:rPr>
                <w:b/>
                <w:bCs/>
                <w:szCs w:val="21"/>
                <w:u w:val="single"/>
              </w:rPr>
              <w:t>23233386.95</w:t>
            </w:r>
            <w:r>
              <w:rPr>
                <w:rFonts w:hint="eastAsia"/>
                <w:b/>
                <w:bCs/>
                <w:szCs w:val="21"/>
                <w:u w:val="single"/>
                <w:lang w:val="en-US" w:eastAsia="zh-CN"/>
              </w:rPr>
              <w:t xml:space="preserve"> </w:t>
            </w:r>
            <w:r>
              <w:rPr>
                <w:rFonts w:hint="eastAsia"/>
                <w:b/>
                <w:bCs/>
                <w:szCs w:val="21"/>
              </w:rPr>
              <w:t>元</w:t>
            </w:r>
            <w:r>
              <w:rPr>
                <w:szCs w:val="21"/>
              </w:rPr>
              <w:t xml:space="preserve"> </w:t>
            </w:r>
            <w:r>
              <w:rPr>
                <w:rFonts w:hint="eastAsia"/>
                <w:b/>
                <w:bCs/>
                <w:szCs w:val="21"/>
              </w:rPr>
              <w:t>）。</w:t>
            </w:r>
          </w:p>
          <w:p>
            <w:pPr>
              <w:ind w:firstLine="422" w:firstLineChars="200"/>
              <w:rPr>
                <w:b/>
                <w:bCs/>
                <w:kern w:val="0"/>
                <w:szCs w:val="21"/>
              </w:rPr>
            </w:pPr>
            <w:r>
              <w:rPr>
                <w:rFonts w:hint="eastAsia"/>
                <w:b/>
                <w:bCs/>
                <w:kern w:val="0"/>
                <w:szCs w:val="21"/>
              </w:rPr>
              <w:t>注明：投标人必须详细审阅全部招标文件</w:t>
            </w:r>
            <w:r>
              <w:rPr>
                <w:rFonts w:hint="eastAsia"/>
                <w:b/>
                <w:bCs/>
                <w:kern w:val="0"/>
                <w:szCs w:val="21"/>
                <w:lang w:eastAsia="zh-CN"/>
              </w:rPr>
              <w:t>，</w:t>
            </w:r>
            <w:r>
              <w:rPr>
                <w:rFonts w:hint="eastAsia"/>
                <w:b/>
                <w:bCs/>
                <w:kern w:val="0"/>
                <w:szCs w:val="21"/>
              </w:rPr>
              <w:t>充分考虑职责和义务</w:t>
            </w:r>
            <w:r>
              <w:rPr>
                <w:rFonts w:hint="eastAsia"/>
                <w:b/>
                <w:bCs/>
                <w:kern w:val="0"/>
                <w:szCs w:val="21"/>
                <w:lang w:eastAsia="zh-CN"/>
              </w:rPr>
              <w:t>，</w:t>
            </w:r>
            <w:r>
              <w:rPr>
                <w:rFonts w:hint="eastAsia"/>
                <w:b/>
                <w:bCs/>
                <w:kern w:val="0"/>
                <w:szCs w:val="21"/>
              </w:rPr>
              <w:t>全面地理解招标文件对投标报价的要求</w:t>
            </w:r>
            <w:r>
              <w:rPr>
                <w:rFonts w:hint="eastAsia"/>
                <w:b/>
                <w:bCs/>
                <w:kern w:val="0"/>
                <w:szCs w:val="21"/>
                <w:lang w:eastAsia="zh-CN"/>
              </w:rPr>
              <w:t>，</w:t>
            </w:r>
            <w:r>
              <w:rPr>
                <w:rFonts w:hint="eastAsia"/>
                <w:b/>
                <w:bCs/>
                <w:kern w:val="0"/>
                <w:szCs w:val="21"/>
              </w:rPr>
              <w:t>并按招标人提出的条件及内容进行报价。</w:t>
            </w:r>
          </w:p>
          <w:p>
            <w:pPr>
              <w:pStyle w:val="69"/>
              <w:numPr>
                <w:ilvl w:val="255"/>
                <w:numId w:val="0"/>
              </w:numPr>
              <w:spacing w:line="276" w:lineRule="auto"/>
              <w:jc w:val="left"/>
              <w:rPr>
                <w:b w:val="0"/>
                <w:bCs w:val="0"/>
                <w:color w:val="auto"/>
                <w:kern w:val="0"/>
                <w:lang w:val="en-US"/>
              </w:rPr>
            </w:pPr>
            <w:r>
              <w:rPr>
                <w:rFonts w:hint="eastAsia"/>
                <w:b w:val="0"/>
                <w:bCs w:val="0"/>
                <w:color w:val="auto"/>
                <w:kern w:val="0"/>
                <w:lang w:val="en-US"/>
              </w:rPr>
              <w:t xml:space="preserve">  3.2.3</w:t>
            </w:r>
            <w:r>
              <w:rPr>
                <w:rFonts w:hint="eastAsia"/>
                <w:b w:val="0"/>
                <w:bCs w:val="0"/>
                <w:color w:val="auto"/>
              </w:rPr>
              <w:t>投标报价的其他要求</w:t>
            </w:r>
          </w:p>
          <w:p>
            <w:pPr>
              <w:pStyle w:val="69"/>
              <w:numPr>
                <w:ilvl w:val="255"/>
                <w:numId w:val="0"/>
              </w:numPr>
              <w:spacing w:line="276" w:lineRule="auto"/>
              <w:ind w:firstLine="210" w:firstLineChars="100"/>
              <w:jc w:val="left"/>
              <w:rPr>
                <w:b w:val="0"/>
                <w:bCs w:val="0"/>
                <w:kern w:val="0"/>
              </w:rPr>
            </w:pPr>
            <w:r>
              <w:rPr>
                <w:rFonts w:hint="eastAsia"/>
                <w:b w:val="0"/>
                <w:bCs w:val="0"/>
                <w:color w:val="auto"/>
                <w:kern w:val="0"/>
              </w:rPr>
              <w:t>（</w:t>
            </w:r>
            <w:r>
              <w:rPr>
                <w:rFonts w:hint="eastAsia"/>
                <w:b w:val="0"/>
                <w:bCs w:val="0"/>
                <w:color w:val="auto"/>
                <w:kern w:val="0"/>
                <w:lang w:val="en-US"/>
              </w:rPr>
              <w:t>1</w:t>
            </w:r>
            <w:r>
              <w:rPr>
                <w:rFonts w:hint="eastAsia"/>
                <w:b w:val="0"/>
                <w:bCs w:val="0"/>
                <w:color w:val="auto"/>
                <w:kern w:val="0"/>
              </w:rPr>
              <w:t>）由投标人采用下浮报价，投标报价必须包含完成本项目招标内容的全部费用。投标报价下浮率</w:t>
            </w:r>
            <w:r>
              <w:rPr>
                <w:rFonts w:cs="Arial"/>
                <w:b w:val="0"/>
                <w:bCs w:val="0"/>
                <w:color w:val="auto"/>
                <w:shd w:val="clear" w:color="auto" w:fill="FFFFFF"/>
              </w:rPr>
              <w:t>≥0.000%</w:t>
            </w:r>
            <w:r>
              <w:rPr>
                <w:rFonts w:hint="eastAsia" w:cs="Arial"/>
                <w:b w:val="0"/>
                <w:bCs w:val="0"/>
                <w:color w:val="auto"/>
                <w:shd w:val="clear" w:color="auto" w:fill="FFFFFF"/>
              </w:rPr>
              <w:t>，下浮率以百分比计算，精确到小数点后三位，下浮率小于0</w:t>
            </w:r>
            <w:r>
              <w:rPr>
                <w:rFonts w:cs="Arial"/>
                <w:b w:val="0"/>
                <w:bCs w:val="0"/>
                <w:color w:val="auto"/>
                <w:shd w:val="clear" w:color="auto" w:fill="FFFFFF"/>
              </w:rPr>
              <w:t>.000%</w:t>
            </w:r>
            <w:r>
              <w:rPr>
                <w:rFonts w:hint="eastAsia" w:cs="Arial"/>
                <w:b w:val="0"/>
                <w:bCs w:val="0"/>
                <w:color w:val="auto"/>
                <w:shd w:val="clear" w:color="auto" w:fill="FFFFFF"/>
              </w:rPr>
              <w:t>的为无效报价。</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lang w:bidi="ar"/>
              </w:rPr>
            </w:pPr>
            <w:r>
              <w:rPr>
                <w:rFonts w:hint="eastAsia"/>
                <w:szCs w:val="21"/>
                <w:lang w:bidi="ar"/>
              </w:rPr>
              <w:t>投标有效期</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3.3.1 除投标人另有规定外，投标有效期为90天（日历天），投标有效期从提交投标文件的截止之日算起。</w:t>
            </w:r>
          </w:p>
          <w:p>
            <w:pPr>
              <w:ind w:firstLine="420" w:firstLineChars="200"/>
            </w:pPr>
            <w:r>
              <w:rPr>
                <w:rFonts w:hint="eastAsia"/>
              </w:rPr>
              <w:t>3.3.2在投标有效期内，投标人撤销或修改其投标文件的，应承担招标文件和法律规定的责任。</w:t>
            </w:r>
          </w:p>
          <w:p>
            <w:pPr>
              <w:ind w:firstLine="420" w:firstLineChars="200"/>
            </w:pPr>
            <w:r>
              <w:rPr>
                <w:rFonts w:hint="eastAsia"/>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lang w:bidi="ar"/>
              </w:rPr>
            </w:pPr>
            <w:r>
              <w:rPr>
                <w:rFonts w:hint="eastAsia"/>
                <w:szCs w:val="21"/>
              </w:rPr>
              <w:t>投标保证金</w:t>
            </w:r>
          </w:p>
        </w:tc>
        <w:tc>
          <w:tcPr>
            <w:tcW w:w="6122"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是否要求投标人递交投标保证金：</w:t>
            </w:r>
          </w:p>
          <w:p>
            <w:pPr>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□不要求；</w:t>
            </w:r>
          </w:p>
          <w:p>
            <w:pPr>
              <w:spacing w:line="276" w:lineRule="auto"/>
              <w:ind w:firstLine="420" w:firstLineChars="200"/>
              <w:rPr>
                <w:rFonts w:hint="default" w:eastAsia="宋体"/>
                <w:color w:val="000000" w:themeColor="text1"/>
                <w:szCs w:val="18"/>
                <w:lang w:val="en-US" w:eastAsia="zh-CN"/>
                <w14:textFill>
                  <w14:solidFill>
                    <w14:schemeClr w14:val="tx1"/>
                  </w14:solidFill>
                </w14:textFill>
              </w:rPr>
            </w:pPr>
            <w:r>
              <w:rPr>
                <w:rFonts w:hint="eastAsia"/>
                <w:color w:val="000000" w:themeColor="text1"/>
                <w14:textFill>
                  <w14:solidFill>
                    <w14:schemeClr w14:val="tx1"/>
                  </w14:solidFill>
                </w14:textFill>
              </w:rPr>
              <w:t>☑要求，</w:t>
            </w:r>
            <w:r>
              <w:rPr>
                <w:rFonts w:hint="eastAsia"/>
                <w:color w:val="000000" w:themeColor="text1"/>
                <w:szCs w:val="18"/>
                <w14:textFill>
                  <w14:solidFill>
                    <w14:schemeClr w14:val="tx1"/>
                  </w14:solidFill>
                </w14:textFill>
              </w:rPr>
              <w:t>投标保证金金额：</w:t>
            </w:r>
            <w:r>
              <w:rPr>
                <w:rFonts w:hint="eastAsia"/>
                <w:color w:val="000000" w:themeColor="text1"/>
                <w:szCs w:val="18"/>
                <w:u w:val="single"/>
                <w14:textFill>
                  <w14:solidFill>
                    <w14:schemeClr w14:val="tx1"/>
                  </w14:solidFill>
                </w14:textFill>
              </w:rPr>
              <w:t xml:space="preserve"> 50 </w:t>
            </w:r>
            <w:r>
              <w:rPr>
                <w:rFonts w:hint="eastAsia"/>
                <w:color w:val="000000" w:themeColor="text1"/>
                <w:szCs w:val="18"/>
                <w14:textFill>
                  <w14:solidFill>
                    <w14:schemeClr w14:val="tx1"/>
                  </w14:solidFill>
                </w14:textFill>
              </w:rPr>
              <w:t>万元</w:t>
            </w:r>
            <w:r>
              <w:rPr>
                <w:rFonts w:hint="eastAsia"/>
                <w:color w:val="000000" w:themeColor="text1"/>
                <w:szCs w:val="18"/>
                <w:lang w:eastAsia="zh-CN"/>
                <w14:textFill>
                  <w14:solidFill>
                    <w14:schemeClr w14:val="tx1"/>
                  </w14:solidFill>
                </w14:textFill>
              </w:rPr>
              <w:t>，</w:t>
            </w:r>
            <w:r>
              <w:rPr>
                <w:rFonts w:hint="eastAsia"/>
                <w:color w:val="000000" w:themeColor="text1"/>
                <w:szCs w:val="18"/>
                <w:lang w:val="en-US" w:eastAsia="zh-CN"/>
                <w14:textFill>
                  <w14:solidFill>
                    <w14:schemeClr w14:val="tx1"/>
                  </w14:solidFill>
                </w14:textFill>
              </w:rPr>
              <w:t>缴纳时间：在投标截止时间之前。</w:t>
            </w:r>
          </w:p>
          <w:p>
            <w:pPr>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投标保证金可采用现金、支票、投标保证保险、投标保函（银行或专业担保公司出具）的形式，须在递交投标文件截止时间前完成缴纳。</w:t>
            </w:r>
          </w:p>
          <w:p>
            <w:pPr>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 </w:t>
            </w:r>
          </w:p>
          <w:p>
            <w:pPr>
              <w:spacing w:line="320" w:lineRule="exact"/>
              <w:ind w:left="630" w:hanging="630" w:hanging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收款单位：广州公共资源交易中心；</w:t>
            </w:r>
          </w:p>
          <w:p>
            <w:pPr>
              <w:spacing w:line="320" w:lineRule="exact"/>
              <w:ind w:left="630" w:hanging="630" w:hangingChars="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开户银行：中国建设银行广州天润路支行；</w:t>
            </w:r>
          </w:p>
          <w:p>
            <w:pPr>
              <w:spacing w:line="320" w:lineRule="exact"/>
              <w:ind w:left="630" w:hanging="630" w:hangingChars="3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银行账号：44001583404059333333。</w:t>
            </w:r>
          </w:p>
          <w:p>
            <w:pPr>
              <w:spacing w:line="276" w:lineRule="auto"/>
              <w:ind w:firstLine="420" w:firstLineChars="200"/>
              <w:rPr>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2.如采用投标保函或投标保证保险的形式提交的，在开标前不得强制要求投标人提交纸质原件，由中标候选人在中标候选人公示前提交并在网上公示，但投标人应在投标文件中提交投标保函或投标保证保险扫描件并加盖投标人电子印章。如投标人选择在开标前提交纸质原件的，可在投标截止时间前单独密封递交至开标室（密封袋上应写明“[工程名称]投标保证金凭证原件”，时间及地点同递交投标文件备用</w:t>
            </w:r>
            <w:r>
              <w:rPr>
                <w:rFonts w:hint="eastAsia"/>
                <w:color w:val="000000" w:themeColor="text1"/>
                <w:lang w:val="en-US" w:eastAsia="zh-CN"/>
                <w14:textFill>
                  <w14:solidFill>
                    <w14:schemeClr w14:val="tx1"/>
                  </w14:solidFill>
                </w14:textFill>
              </w:rPr>
              <w:t>U</w:t>
            </w:r>
            <w:r>
              <w:rPr>
                <w:rFonts w:hint="eastAsia"/>
                <w:color w:val="000000" w:themeColor="text1"/>
                <w14:textFill>
                  <w14:solidFill>
                    <w14:schemeClr w14:val="tx1"/>
                  </w14:solidFill>
                </w14:textFill>
              </w:rPr>
              <w:t>盘的时间及地点一致）</w:t>
            </w:r>
            <w:r>
              <w:rPr>
                <w:rFonts w:hint="eastAsia"/>
                <w:color w:val="000000" w:themeColor="text1"/>
                <w:kern w:val="0"/>
                <w:szCs w:val="21"/>
                <w14:textFill>
                  <w14:solidFill>
                    <w14:schemeClr w14:val="tx1"/>
                  </w14:solidFill>
                </w14:textFill>
              </w:rPr>
              <w:t>。</w:t>
            </w:r>
          </w:p>
          <w:p>
            <w:pPr>
              <w:spacing w:line="276" w:lineRule="auto"/>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3.如采用非现金电子化形式递交投标保证金，按广州公共资源交易中心发布的《广州公共资源交易中心关于开通电子保函服务功能的通知》操作。详见：http://ggzy.gz.gov.cn/zxgg/822</w:t>
            </w:r>
          </w:p>
          <w:p>
            <w:pPr>
              <w:spacing w:line="276" w:lineRule="auto"/>
              <w:rPr>
                <w:rFonts w:hint="eastAsi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128.jhtml</w:t>
            </w:r>
            <w:r>
              <w:rPr>
                <w:rFonts w:hint="eastAsia"/>
                <w:color w:val="000000" w:themeColor="text1"/>
                <w:kern w:val="0"/>
                <w:szCs w:val="21"/>
                <w14:textFill>
                  <w14:solidFill>
                    <w14:schemeClr w14:val="tx1"/>
                  </w14:solidFill>
                </w14:textFill>
              </w:rPr>
              <w:t>。</w:t>
            </w:r>
          </w:p>
          <w:p>
            <w:pPr>
              <w:spacing w:line="276" w:lineRule="auto"/>
              <w:ind w:firstLine="420" w:firstLineChars="200"/>
            </w:pPr>
            <w:r>
              <w:rPr>
                <w:rFonts w:hint="eastAsia"/>
                <w:color w:val="000000" w:themeColor="text1"/>
                <w:kern w:val="0"/>
                <w:szCs w:val="21"/>
                <w:lang w:val="en-US" w:eastAsia="zh-CN"/>
                <w14:textFill>
                  <w14:solidFill>
                    <w14:schemeClr w14:val="tx1"/>
                  </w14:solidFill>
                </w14:textFill>
              </w:rPr>
              <w:t>4.</w:t>
            </w:r>
            <w:r>
              <w:rPr>
                <w:rFonts w:hint="eastAsia"/>
                <w:color w:val="000000" w:themeColor="text1"/>
                <w:kern w:val="0"/>
                <w:szCs w:val="21"/>
                <w14:textFill>
                  <w14:solidFill>
                    <w14:schemeClr w14:val="tx1"/>
                  </w14:solidFill>
                </w14:textFill>
              </w:rPr>
              <w:t>联合体投标的，由联合体牵头人</w:t>
            </w:r>
            <w:r>
              <w:rPr>
                <w:rFonts w:hint="eastAsia"/>
                <w:color w:val="000000" w:themeColor="text1"/>
                <w:kern w:val="0"/>
                <w:szCs w:val="21"/>
                <w:lang w:val="en-US" w:eastAsia="zh-CN"/>
                <w14:textFill>
                  <w14:solidFill>
                    <w14:schemeClr w14:val="tx1"/>
                  </w14:solidFill>
                </w14:textFill>
              </w:rPr>
              <w:t>缴纳</w:t>
            </w:r>
            <w:r>
              <w:rPr>
                <w:rFonts w:hint="eastAsia"/>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41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lang w:bidi="ar"/>
              </w:rPr>
            </w:pPr>
            <w:r>
              <w:rPr>
                <w:rFonts w:hint="eastAsia"/>
                <w:szCs w:val="21"/>
                <w:lang w:bidi="ar"/>
              </w:rPr>
              <w:t>资格审查资料</w:t>
            </w:r>
          </w:p>
        </w:tc>
        <w:tc>
          <w:tcPr>
            <w:tcW w:w="6122" w:type="dxa"/>
            <w:tcBorders>
              <w:top w:val="single" w:color="auto" w:sz="4" w:space="0"/>
              <w:left w:val="single" w:color="auto" w:sz="4" w:space="0"/>
              <w:bottom w:val="single" w:color="auto" w:sz="4" w:space="0"/>
              <w:right w:val="single" w:color="auto" w:sz="4" w:space="0"/>
            </w:tcBorders>
            <w:vAlign w:val="center"/>
          </w:tcPr>
          <w:p>
            <w:pPr>
              <w:pStyle w:val="17"/>
              <w:ind w:firstLine="420" w:firstLineChars="200"/>
              <w:rPr>
                <w:rFonts w:hAnsi="宋体" w:cs="宋体"/>
              </w:rPr>
            </w:pPr>
            <w:r>
              <w:rPr>
                <w:rFonts w:hint="eastAsia" w:hAnsi="宋体" w:cs="宋体"/>
              </w:rPr>
              <w:t>本项目采用资格后审，由评标委员会负责对投标人的资格进行审查，评标时只对通过资格审查的投标人进行下一阶段的评审。</w:t>
            </w:r>
          </w:p>
          <w:p>
            <w:pPr>
              <w:pStyle w:val="17"/>
              <w:ind w:firstLine="420" w:firstLineChars="200"/>
              <w:rPr>
                <w:rFonts w:hAnsi="宋体" w:cs="宋体"/>
              </w:rPr>
            </w:pPr>
            <w:r>
              <w:rPr>
                <w:rFonts w:hint="eastAsia" w:hAnsi="宋体" w:cs="宋体"/>
              </w:rPr>
              <w:t>3.5.1施工单位《营业执照》副本复印件。</w:t>
            </w:r>
          </w:p>
          <w:p>
            <w:pPr>
              <w:pStyle w:val="17"/>
              <w:ind w:firstLine="420" w:firstLineChars="200"/>
              <w:rPr>
                <w:rFonts w:hAnsi="宋体" w:cs="宋体"/>
              </w:rPr>
            </w:pPr>
            <w:r>
              <w:rPr>
                <w:rFonts w:hint="eastAsia" w:hAnsi="宋体" w:cs="宋体"/>
              </w:rPr>
              <w:t>3.5.2施工单位《资质证书》复印件、《安全生产许可证》副本复印件。</w:t>
            </w:r>
          </w:p>
          <w:p>
            <w:pPr>
              <w:pStyle w:val="17"/>
              <w:ind w:firstLine="420" w:firstLineChars="200"/>
              <w:rPr>
                <w:rFonts w:hAnsi="宋体" w:cs="宋体"/>
              </w:rPr>
            </w:pPr>
            <w:r>
              <w:rPr>
                <w:rFonts w:hint="eastAsia" w:hAnsi="宋体" w:cs="宋体"/>
              </w:rPr>
              <w:t>3.5.3拟派本项目的施工项目负责人的《建造师注册执业证书》复印件或有效网页打印件，《安全生产考核合格证》（B类）复印件或广东省建设工程质量安全监督检测总站的“建筑施工企业安全生产管理人员考核信息系统”网页打印件，有效身份证复印件。注册建造师不得同时在两个及两个以上的建设工程项目上担任施工单位项目负责人的公司承诺书。</w:t>
            </w:r>
          </w:p>
          <w:p>
            <w:pPr>
              <w:pStyle w:val="17"/>
              <w:ind w:firstLine="420" w:firstLineChars="200"/>
              <w:rPr>
                <w:rFonts w:hAnsi="宋体" w:cs="宋体"/>
              </w:rPr>
            </w:pPr>
            <w:r>
              <w:rPr>
                <w:rFonts w:hint="eastAsia" w:hAnsi="宋体" w:cs="宋体"/>
              </w:rPr>
              <w:t>3.5.</w:t>
            </w:r>
            <w:r>
              <w:rPr>
                <w:rFonts w:hAnsi="宋体" w:cs="宋体"/>
              </w:rPr>
              <w:t>4</w:t>
            </w:r>
            <w:r>
              <w:rPr>
                <w:rFonts w:hint="eastAsia" w:hAnsi="宋体" w:cs="宋体"/>
              </w:rPr>
              <w:t>拟</w:t>
            </w:r>
            <w:r>
              <w:rPr>
                <w:rFonts w:hint="eastAsia" w:hAnsi="宋体"/>
              </w:rPr>
              <w:t>派本项目专职安全员至少1人的安全生产考核合格证（C类）或建筑施工企业专职安全生产管理人员安全生产考核合格证书（C3类）复印件或提供广东省建筑施工企业管理人员安全生产考核信息系统安全生产管理人</w:t>
            </w:r>
            <w:r>
              <w:rPr>
                <w:rFonts w:hint="eastAsia" w:hAnsi="宋体" w:cs="宋体"/>
              </w:rPr>
              <w:t>员证书信息的打印页、有效身份证复印件。</w:t>
            </w:r>
          </w:p>
          <w:p>
            <w:pPr>
              <w:pStyle w:val="17"/>
              <w:ind w:firstLine="420" w:firstLineChars="200"/>
              <w:rPr>
                <w:rFonts w:hAnsi="宋体" w:cs="宋体"/>
              </w:rPr>
            </w:pPr>
            <w:r>
              <w:rPr>
                <w:rFonts w:hint="eastAsia" w:hAnsi="宋体" w:cs="宋体"/>
              </w:rPr>
              <w:t>3.5.</w:t>
            </w:r>
            <w:r>
              <w:rPr>
                <w:rFonts w:hAnsi="宋体" w:cs="宋体"/>
              </w:rPr>
              <w:t>5</w:t>
            </w:r>
            <w:r>
              <w:rPr>
                <w:rFonts w:hint="eastAsia" w:hAnsi="宋体" w:cs="宋体"/>
              </w:rPr>
              <w:t>须提交拟派本项目的项目负责人及专职安全人员从</w:t>
            </w:r>
            <w:r>
              <w:rPr>
                <w:rFonts w:hint="eastAsia"/>
                <w:color w:val="000000" w:themeColor="text1"/>
                <w14:textFill>
                  <w14:solidFill>
                    <w14:schemeClr w14:val="tx1"/>
                  </w14:solidFill>
                </w14:textFill>
              </w:rPr>
              <w:t>2023年</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月至2023年</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月</w:t>
            </w:r>
            <w:r>
              <w:rPr>
                <w:rFonts w:hint="eastAsia" w:hAnsi="宋体"/>
              </w:rPr>
              <w:t>连续三个月</w:t>
            </w:r>
            <w:r>
              <w:rPr>
                <w:rFonts w:hint="eastAsia" w:hAnsi="宋体" w:cs="宋体"/>
              </w:rPr>
              <w:t>在本公司缴交的社保证明复印件</w:t>
            </w:r>
            <w:r>
              <w:rPr>
                <w:rFonts w:hint="eastAsia" w:hAnsi="宋体" w:cs="宋体"/>
                <w:lang w:eastAsia="zh-CN"/>
              </w:rPr>
              <w:t>（</w:t>
            </w:r>
            <w:r>
              <w:rPr>
                <w:rFonts w:hint="eastAsia"/>
                <w:color w:val="000000" w:themeColor="text1"/>
                <w:szCs w:val="21"/>
                <w:lang w:eastAsia="zh-CN"/>
                <w14:textFill>
                  <w14:solidFill>
                    <w14:schemeClr w14:val="tx1"/>
                  </w14:solidFill>
                </w14:textFill>
              </w:rPr>
              <w:t>分公司缴纳的社保予以认定，须提供购买社保的证明材料复印件</w:t>
            </w:r>
            <w:r>
              <w:rPr>
                <w:rFonts w:hint="eastAsia" w:hAnsi="宋体" w:cs="宋体"/>
                <w:lang w:eastAsia="zh-CN"/>
              </w:rPr>
              <w:t>）</w:t>
            </w:r>
            <w:r>
              <w:rPr>
                <w:rFonts w:hint="eastAsia" w:hAnsi="宋体" w:cs="宋体"/>
              </w:rPr>
              <w:t>（必须是有社保业务部门印章（或电子章）的社保证明原件的复印件），必须提供社保部门的查询网址，查询密码自备</w:t>
            </w:r>
            <w:r>
              <w:rPr>
                <w:rFonts w:hint="eastAsia" w:hAnsi="宋体"/>
              </w:rPr>
              <w:t>（如拟派本工程项目管理人员已办理退休手续，则无需提供社保证明，但需提供退休证明相关材料）</w:t>
            </w:r>
            <w:r>
              <w:rPr>
                <w:rFonts w:hint="eastAsia" w:hAnsi="宋体" w:cs="宋体"/>
              </w:rPr>
              <w:t>。</w:t>
            </w:r>
          </w:p>
          <w:p>
            <w:pPr>
              <w:pStyle w:val="17"/>
              <w:ind w:firstLine="420" w:firstLineChars="200"/>
              <w:rPr>
                <w:rFonts w:hAnsi="宋体" w:cs="宋体"/>
              </w:rPr>
            </w:pPr>
            <w:r>
              <w:rPr>
                <w:rFonts w:hint="eastAsia" w:hAnsi="宋体" w:cs="宋体"/>
              </w:rPr>
              <w:t>3.5.</w:t>
            </w:r>
            <w:r>
              <w:rPr>
                <w:rFonts w:hAnsi="宋体" w:cs="宋体"/>
              </w:rPr>
              <w:t>6</w:t>
            </w:r>
            <w:r>
              <w:rPr>
                <w:rFonts w:hint="eastAsia" w:hAnsi="宋体" w:cs="宋体"/>
              </w:rPr>
              <w:t>投标保证金的《汇款凭证》（汇款凭证必须注明投标人基本账户、招标人指定账户信息、本工程名称（如名称过长可简写）、保证金金额）、投标人银行基本账户《开户许可证》复印件，或者《银行保函》原件及复印件或者保证保险原件及复印件。</w:t>
            </w:r>
          </w:p>
          <w:p>
            <w:pPr>
              <w:pStyle w:val="17"/>
              <w:ind w:firstLine="420" w:firstLineChars="200"/>
              <w:rPr>
                <w:rFonts w:hAnsi="宋体" w:cs="宋体"/>
              </w:rPr>
            </w:pPr>
            <w:r>
              <w:rPr>
                <w:rFonts w:hint="eastAsia" w:hAnsi="宋体" w:cs="宋体"/>
              </w:rPr>
              <w:t>中国人民银行广州分行发布了《关于广东省取消企业银行账户许可的公告》，公告要求自2020年4月28日起，企业申请变更取消许可前开立的基本存款账户、临时存款账户名称、法定代表人或单位负责人的，应当交回原开户许可证。如若有投标人在报名投标期间将原企业银行基本账户《开户许可证》交回给银行的，可不用提交投标人银行基本账户《开户许可证》复印件，但投标人须提交《基本存款账户信息》复印件或网页打印件（基本存款账户信息里必须包含有账户号码和基本存款账户编号）。</w:t>
            </w:r>
          </w:p>
          <w:p>
            <w:pPr>
              <w:pStyle w:val="17"/>
              <w:ind w:firstLine="420" w:firstLineChars="200"/>
              <w:rPr>
                <w:rFonts w:hAnsi="宋体" w:cs="宋体"/>
              </w:rPr>
            </w:pPr>
            <w:r>
              <w:rPr>
                <w:rFonts w:hint="eastAsia" w:hAnsi="宋体" w:cs="宋体"/>
              </w:rPr>
              <w:t>3.5.</w:t>
            </w:r>
            <w:r>
              <w:rPr>
                <w:rFonts w:hAnsi="宋体" w:cs="宋体"/>
              </w:rPr>
              <w:t>7</w:t>
            </w:r>
            <w:r>
              <w:rPr>
                <w:rFonts w:hint="eastAsia" w:hAnsi="宋体" w:cs="宋体"/>
              </w:rPr>
              <w:t>根据《广东省住房和城乡建设厅关于取消省外建筑企业和人员进粤信息备案有关工作的通知》粤建市〔2015〕52号规定，广东省省外企业须提供在“进粤企业和人员诚信信息登记平台”挂网的企业和人员信息网页打印件（如联合体投标的，联合体各成员均需提供）。</w:t>
            </w:r>
          </w:p>
          <w:p>
            <w:pPr>
              <w:pStyle w:val="17"/>
              <w:ind w:firstLine="420" w:firstLineChars="200"/>
              <w:rPr>
                <w:rFonts w:hAnsi="宋体" w:cs="宋体"/>
              </w:rPr>
            </w:pPr>
            <w:r>
              <w:rPr>
                <w:rFonts w:hint="eastAsia" w:hAnsi="宋体" w:cs="宋体"/>
              </w:rPr>
              <w:t>3.5.</w:t>
            </w:r>
            <w:r>
              <w:rPr>
                <w:rFonts w:hAnsi="宋体" w:cs="宋体"/>
              </w:rPr>
              <w:t>8</w:t>
            </w:r>
            <w:r>
              <w:rPr>
                <w:rFonts w:hint="eastAsia" w:hAnsi="宋体" w:cs="宋体"/>
              </w:rPr>
              <w:t>（联合体牵头人）法定代表人身份证明书和（联合体牵头人）法定代表人的有效身份证复印件（参加整个招标过程的若是法人授权委托的代理人则还需提交法人授权委托书及委托代理人出具从</w:t>
            </w:r>
            <w:r>
              <w:rPr>
                <w:rFonts w:hint="eastAsia"/>
                <w:color w:val="000000" w:themeColor="text1"/>
                <w14:textFill>
                  <w14:solidFill>
                    <w14:schemeClr w14:val="tx1"/>
                  </w14:solidFill>
                </w14:textFill>
              </w:rPr>
              <w:t>2023年</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月至2023年</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月</w:t>
            </w:r>
            <w:r>
              <w:rPr>
                <w:rFonts w:hint="eastAsia" w:hAnsi="宋体"/>
              </w:rPr>
              <w:t>连续三个月</w:t>
            </w:r>
            <w:r>
              <w:rPr>
                <w:rFonts w:hint="eastAsia" w:hAnsi="宋体" w:cs="宋体"/>
              </w:rPr>
              <w:t>在本公司缴交的社保证明</w:t>
            </w:r>
            <w:r>
              <w:rPr>
                <w:rFonts w:hint="eastAsia" w:hAnsi="宋体" w:cs="宋体"/>
                <w:lang w:eastAsia="zh-CN"/>
              </w:rPr>
              <w:t>（</w:t>
            </w:r>
            <w:r>
              <w:rPr>
                <w:rFonts w:hint="eastAsia"/>
                <w:color w:val="000000" w:themeColor="text1"/>
                <w:szCs w:val="21"/>
                <w:lang w:eastAsia="zh-CN"/>
                <w14:textFill>
                  <w14:solidFill>
                    <w14:schemeClr w14:val="tx1"/>
                  </w14:solidFill>
                </w14:textFill>
              </w:rPr>
              <w:t>分公司缴纳的社保予以认定，须提供购买社保的证明材料复印件</w:t>
            </w:r>
            <w:r>
              <w:rPr>
                <w:rFonts w:hint="eastAsia" w:hAnsi="宋体" w:cs="宋体"/>
                <w:lang w:eastAsia="zh-CN"/>
              </w:rPr>
              <w:t>）</w:t>
            </w:r>
            <w:r>
              <w:rPr>
                <w:rFonts w:hint="eastAsia" w:hAnsi="宋体" w:cs="宋体"/>
              </w:rPr>
              <w:t>）（如法定代表人或拟派本工程授权委托的代理人已办理退休手续，则无需提供社保证明，但需提供退休证明相关材料）。</w:t>
            </w:r>
          </w:p>
          <w:p>
            <w:pPr>
              <w:pStyle w:val="17"/>
              <w:ind w:firstLine="420" w:firstLineChars="200"/>
              <w:rPr>
                <w:rFonts w:hAnsi="宋体" w:cs="宋体"/>
              </w:rPr>
            </w:pPr>
            <w:r>
              <w:rPr>
                <w:rFonts w:hint="eastAsia" w:hAnsi="宋体" w:cs="宋体"/>
              </w:rPr>
              <w:t>3.5.</w:t>
            </w:r>
            <w:r>
              <w:rPr>
                <w:rFonts w:hAnsi="宋体" w:cs="宋体"/>
              </w:rPr>
              <w:t>9</w:t>
            </w:r>
            <w:r>
              <w:rPr>
                <w:rFonts w:hint="eastAsia" w:hAnsi="宋体" w:cs="宋体"/>
              </w:rPr>
              <w:t>联合体协议书，（若有）。</w:t>
            </w:r>
          </w:p>
          <w:p>
            <w:pPr>
              <w:pStyle w:val="17"/>
              <w:ind w:firstLine="420" w:firstLineChars="200"/>
              <w:rPr>
                <w:rFonts w:hAnsi="宋体" w:cs="宋体"/>
              </w:rPr>
            </w:pPr>
            <w:r>
              <w:rPr>
                <w:rFonts w:hint="eastAsia" w:hAnsi="宋体" w:cs="宋体"/>
              </w:rPr>
              <w:t>注明：（1）资格评审资料对应复印件、网页打印件、法定代表人身份证明书和授权委托书按投标文件的编制要求编制。</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3.6</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lang w:val="en-US" w:eastAsia="zh-CN" w:bidi="ar"/>
              </w:rPr>
              <w:t>签字或盖章要求</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eastAsia="宋体"/>
                <w:lang w:eastAsia="zh-CN"/>
              </w:rPr>
            </w:pPr>
            <w:r>
              <w:rPr>
                <w:rFonts w:hint="eastAsia"/>
                <w:color w:val="000000" w:themeColor="text1"/>
                <w:lang w:val="en-US" w:eastAsia="zh-CN"/>
                <w14:textFill>
                  <w14:solidFill>
                    <w14:schemeClr w14:val="tx1"/>
                  </w14:solidFill>
                </w14:textFill>
              </w:rPr>
              <w:t>3.6.1</w:t>
            </w:r>
            <w:r>
              <w:rPr>
                <w:rFonts w:hint="eastAsia"/>
                <w:color w:val="000000" w:themeColor="text1"/>
                <w14:textFill>
                  <w14:solidFill>
                    <w14:schemeClr w14:val="tx1"/>
                  </w14:solidFill>
                </w14:textFill>
              </w:rPr>
              <w:t>投标人采用单位数字证书，按招标文件要求在相应位置加盖电子印章。投标文件中需个人签字或盖章的，应加盖个人电子印章或在线下完成后扫描上传。按照交易平台关于全流程电子化项目的相关指南进行操作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color w:val="000000" w:themeColor="text1"/>
                <w:lang w:eastAsia="zh-CN"/>
                <w14:textFill>
                  <w14:solidFill>
                    <w14:schemeClr w14:val="tx1"/>
                  </w14:solidFill>
                </w14:textFill>
              </w:rPr>
              <w:t>。</w:t>
            </w:r>
          </w:p>
          <w:p>
            <w:pPr>
              <w:ind w:firstLine="420" w:firstLineChars="200"/>
              <w:rPr>
                <w:rFonts w:hAnsi="宋体" w:cs="宋体"/>
              </w:rPr>
            </w:pPr>
            <w:r>
              <w:rPr>
                <w:rFonts w:hint="eastAsia"/>
                <w:color w:val="000000" w:themeColor="text1"/>
                <w:lang w:val="en-US" w:eastAsia="zh-CN"/>
                <w14:textFill>
                  <w14:solidFill>
                    <w14:schemeClr w14:val="tx1"/>
                  </w14:solidFill>
                </w14:textFill>
              </w:rPr>
              <w:t>3.6.3</w:t>
            </w:r>
            <w:r>
              <w:rPr>
                <w:rFonts w:hint="eastAsia"/>
                <w:color w:val="000000" w:themeColor="text1"/>
                <w14:textFill>
                  <w14:solidFill>
                    <w14:schemeClr w14:val="tx1"/>
                  </w14:solidFill>
                </w14:textFill>
              </w:rPr>
              <w:t>联合体投标时，除《联合体协议书》必须联合体各方分别按要求进行签字、盖章外，投标文件封面及其他内容及落款中的“投标人”应填写联合体各方的单位全称【格式表示为：（主）XXXX公司（成）XXXX公司】，可由联合体牵头人签字、盖章即可</w:t>
            </w:r>
            <w:r>
              <w:t>。</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rPr>
              <w:t>投  标</w:t>
            </w:r>
          </w:p>
        </w:tc>
      </w:tr>
      <w:tr>
        <w:tblPrEx>
          <w:tblCellMar>
            <w:top w:w="0" w:type="dxa"/>
            <w:left w:w="108" w:type="dxa"/>
            <w:bottom w:w="0" w:type="dxa"/>
            <w:right w:w="108" w:type="dxa"/>
          </w:tblCellMar>
        </w:tblPrEx>
        <w:trPr>
          <w:trHeight w:val="3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lang w:bidi="ar"/>
              </w:rPr>
            </w:pPr>
            <w:r>
              <w:rPr>
                <w:rFonts w:hint="eastAsia"/>
                <w:szCs w:val="21"/>
                <w:lang w:bidi="ar"/>
              </w:rPr>
              <w:t>投标文件的加密和标记</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00" w:firstLineChars="200"/>
            </w:pPr>
            <w:r>
              <w:rPr>
                <w:rFonts w:hint="eastAsia"/>
                <w:color w:val="000000" w:themeColor="text1"/>
                <w:kern w:val="0"/>
                <w:sz w:val="20"/>
                <w:szCs w:val="20"/>
                <w:lang w:bidi="ar"/>
                <w14:textFill>
                  <w14:solidFill>
                    <w14:schemeClr w14:val="tx1"/>
                  </w14:solidFill>
                </w14:textFill>
              </w:rPr>
              <w:t xml:space="preserve">投标人应当按照招标文件和电子招标投标交易平台的要求加密投标文件，具体操作详见《房屋建筑和市政基础设施工程全流程电子化项目专章》。 </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投标文件的递交</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投标人应在截止时间前通过电子招标投标交易平台递交电子投标文件。</w:t>
            </w:r>
          </w:p>
        </w:tc>
      </w:tr>
      <w:tr>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default"/>
                <w:szCs w:val="21"/>
                <w:lang w:val="en-US"/>
              </w:rPr>
            </w:pPr>
            <w:r>
              <w:rPr>
                <w:rFonts w:hint="eastAsia"/>
                <w:lang w:val="en-US" w:eastAsia="zh-CN"/>
              </w:rPr>
              <w:t>投标文件的修改与撤回</w:t>
            </w:r>
          </w:p>
        </w:tc>
        <w:tc>
          <w:tcPr>
            <w:tcW w:w="6122" w:type="dxa"/>
            <w:tcBorders>
              <w:top w:val="single" w:color="auto" w:sz="4" w:space="0"/>
              <w:left w:val="single" w:color="auto" w:sz="4" w:space="0"/>
              <w:bottom w:val="single" w:color="auto" w:sz="4" w:space="0"/>
              <w:right w:val="single" w:color="auto" w:sz="4" w:space="0"/>
            </w:tcBorders>
            <w:vAlign w:val="center"/>
          </w:tcPr>
          <w:p>
            <w:pPr>
              <w:spacing w:line="276"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否</w:t>
            </w:r>
          </w:p>
          <w:p>
            <w:pPr>
              <w:pStyle w:val="31"/>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是：4.3.1在投标人须知一览表第5.1项规定的投标截止时间前，投标人可以修改或撤回已递交的投标文件，但应以书面形式通知招标人。</w:t>
            </w:r>
          </w:p>
          <w:p>
            <w:pPr>
              <w:pStyle w:val="31"/>
              <w:ind w:left="0" w:leftChars="0" w:firstLine="420" w:firstLineChars="200"/>
              <w:rPr>
                <w:rFonts w:hint="eastAsia" w:eastAsia="宋体"/>
                <w:lang w:val="en-US" w:eastAsia="zh-CN"/>
              </w:rPr>
            </w:pPr>
            <w:r>
              <w:rPr>
                <w:rFonts w:hint="eastAsia"/>
                <w:color w:val="000000" w:themeColor="text1"/>
                <w:lang w:val="en-US" w:eastAsia="zh-CN"/>
                <w14:textFill>
                  <w14:solidFill>
                    <w14:schemeClr w14:val="tx1"/>
                  </w14:solidFill>
                </w14:textFill>
              </w:rPr>
              <w:t>4.3.2投标人修改或撤回已递交投标文件的通知，应按照本章第3.6项的要求加盖电子印章。电子招标投标交易平台收到通知后，即时向投标人发出确认回执通知。</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开  标</w:t>
            </w:r>
          </w:p>
        </w:tc>
      </w:tr>
      <w:tr>
        <w:tblPrEx>
          <w:tblCellMar>
            <w:top w:w="0" w:type="dxa"/>
            <w:left w:w="108" w:type="dxa"/>
            <w:bottom w:w="0" w:type="dxa"/>
            <w:right w:w="108" w:type="dxa"/>
          </w:tblCellMar>
        </w:tblPrEx>
        <w:trPr>
          <w:trHeight w:val="74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开标时间和地点</w:t>
            </w:r>
          </w:p>
        </w:tc>
        <w:tc>
          <w:tcPr>
            <w:tcW w:w="6122" w:type="dxa"/>
            <w:tcBorders>
              <w:top w:val="single" w:color="auto" w:sz="4" w:space="0"/>
              <w:left w:val="single" w:color="auto" w:sz="4" w:space="0"/>
              <w:bottom w:val="single" w:color="auto" w:sz="4" w:space="0"/>
              <w:right w:val="single" w:color="auto" w:sz="4" w:space="0"/>
            </w:tcBorders>
            <w:vAlign w:val="center"/>
          </w:tcPr>
          <w:p>
            <w:r>
              <w:t>开标时间</w:t>
            </w:r>
            <w:r>
              <w:rPr>
                <w:rFonts w:hint="eastAsia"/>
              </w:rPr>
              <w:t>：</w:t>
            </w:r>
            <w:r>
              <w:t>同投标截止时间</w:t>
            </w:r>
            <w:r>
              <w:rPr>
                <w:rFonts w:hint="eastAsia"/>
              </w:rPr>
              <w:t>。</w:t>
            </w:r>
          </w:p>
          <w:p>
            <w:r>
              <w:t>开标地点</w:t>
            </w:r>
            <w:r>
              <w:rPr>
                <w:rFonts w:hint="eastAsia"/>
              </w:rPr>
              <w:t>：在电子招标投标交易平台进行网上开标。</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开标程序</w:t>
            </w:r>
          </w:p>
        </w:tc>
        <w:tc>
          <w:tcPr>
            <w:tcW w:w="6122" w:type="dxa"/>
            <w:tcBorders>
              <w:top w:val="single" w:color="auto" w:sz="4" w:space="0"/>
              <w:left w:val="single" w:color="auto" w:sz="4" w:space="0"/>
              <w:bottom w:val="single" w:color="auto" w:sz="4" w:space="0"/>
              <w:right w:val="single" w:color="auto" w:sz="4" w:space="0"/>
            </w:tcBorders>
            <w:vAlign w:val="center"/>
          </w:tcPr>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主持人按下列程序进行开标：</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（1）宣布开标纪律；</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（2）公布在投标截止时间前递交投标文件的投标人名称；</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pPr>
              <w:pStyle w:val="31"/>
              <w:rPr>
                <w:rFonts w:hint="eastAsia"/>
              </w:rPr>
            </w:pPr>
            <w:r>
              <w:rPr>
                <w:rFonts w:hint="eastAsia"/>
              </w:rPr>
              <w:t>（4）解密完成后，公布：a投标人名称；b投标文件递交情况；c投标文件解密情况；d投标担保递交情况；e投标报价；f工期；</w:t>
            </w:r>
            <w:r>
              <w:rPr>
                <w:rFonts w:hint="eastAsia"/>
                <w:lang w:val="en-US" w:eastAsia="zh-CN"/>
              </w:rPr>
              <w:t>g</w:t>
            </w:r>
            <w:r>
              <w:rPr>
                <w:rFonts w:hint="eastAsia"/>
              </w:rPr>
              <w:t>投标人的加密打包投标文件电脑机器特征码等主要内容，并记录在案。未在规定时间内解密的投标文件不参与开标、评标；</w:t>
            </w:r>
          </w:p>
          <w:p>
            <w:pPr>
              <w:pStyle w:val="31"/>
              <w:rPr>
                <w:rFonts w:hint="eastAsia"/>
              </w:rPr>
            </w:pPr>
            <w:r>
              <w:rPr>
                <w:rFonts w:hint="eastAsia"/>
              </w:rPr>
              <w:t>（5）截标后，开标开始时间因故推迟的，相关评标信息仍以原定的开标开始时间的信息为准；</w:t>
            </w:r>
          </w:p>
          <w:p>
            <w:pPr>
              <w:pStyle w:val="31"/>
              <w:rPr>
                <w:rFonts w:hint="eastAsia"/>
                <w:color w:val="auto"/>
              </w:rPr>
            </w:pPr>
            <w:r>
              <w:rPr>
                <w:rFonts w:hint="eastAsia"/>
              </w:rPr>
              <w:t>（6）备用</w:t>
            </w:r>
            <w:r>
              <w:rPr>
                <w:rFonts w:hint="eastAsia"/>
                <w:lang w:val="en-US" w:eastAsia="zh-CN"/>
              </w:rPr>
              <w:t>U</w:t>
            </w:r>
            <w:r>
              <w:rPr>
                <w:rFonts w:hint="eastAsia"/>
              </w:rPr>
              <w:t>盘的读取按</w:t>
            </w:r>
            <w:r>
              <w:rPr>
                <w:rFonts w:hint="eastAsia"/>
                <w:color w:val="auto"/>
              </w:rPr>
              <w:t>“本须知第</w:t>
            </w:r>
            <w:r>
              <w:rPr>
                <w:rFonts w:hint="eastAsia"/>
                <w:color w:val="auto"/>
                <w:lang w:val="en-US" w:eastAsia="zh-CN"/>
              </w:rPr>
              <w:t>9.1</w:t>
            </w:r>
            <w:r>
              <w:rPr>
                <w:rFonts w:hint="eastAsia"/>
                <w:color w:val="auto"/>
              </w:rPr>
              <w:t>条电子招标投标”第 6点的规定执行；</w:t>
            </w:r>
          </w:p>
          <w:p>
            <w:pPr>
              <w:pStyle w:val="31"/>
              <w:rPr>
                <w:rFonts w:hint="eastAsia"/>
              </w:rPr>
            </w:pPr>
            <w:r>
              <w:rPr>
                <w:rFonts w:hint="eastAsia"/>
              </w:rPr>
              <w:t>（7）开标方式采用电子开标，投标人可在现场参加开标。参加在线开标的投标人登录交易平台实时查看开标、唱标情况。交易平台生成开标记录并向社会公众公布；</w:t>
            </w:r>
          </w:p>
          <w:p>
            <w:pPr>
              <w:pStyle w:val="31"/>
              <w:rPr>
                <w:rFonts w:hint="eastAsia"/>
              </w:rPr>
            </w:pPr>
            <w:r>
              <w:rPr>
                <w:rFonts w:hint="eastAsia"/>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31"/>
              <w:rPr>
                <w:rFonts w:hint="eastAsia"/>
              </w:rPr>
            </w:pPr>
            <w:r>
              <w:rPr>
                <w:rFonts w:hint="eastAsia"/>
              </w:rPr>
              <w:t>（9）投标人未参加开标或在规定的时间内未提出异议的，视为对开标无异议；</w:t>
            </w:r>
          </w:p>
          <w:p>
            <w:pPr>
              <w:pStyle w:val="31"/>
              <w:rPr>
                <w:rFonts w:hint="eastAsia"/>
              </w:rPr>
            </w:pPr>
            <w:r>
              <w:rPr>
                <w:rFonts w:hint="eastAsia"/>
              </w:rPr>
              <w:t>（10）开标时，两个（含两个）以上的投标人加密打包投标文件电脑机器特征码一致的，不参与下一程序，并由评标委员会否决其投标；</w:t>
            </w:r>
          </w:p>
          <w:p>
            <w:pPr>
              <w:pStyle w:val="31"/>
            </w:pPr>
            <w:r>
              <w:rPr>
                <w:rFonts w:hint="eastAsia"/>
              </w:rPr>
              <w:t>（1</w:t>
            </w:r>
            <w:r>
              <w:rPr>
                <w:rFonts w:hint="eastAsia"/>
                <w:lang w:val="en-US" w:eastAsia="zh-CN"/>
              </w:rPr>
              <w:t>1</w:t>
            </w:r>
            <w:r>
              <w:rPr>
                <w:rFonts w:hint="eastAsia"/>
              </w:rPr>
              <w:t>）投标人代表、招标人代表、监标人、记录人等有关人员在开标记录上签字确认；若有关人员不签字的，不影响开标程序；</w:t>
            </w:r>
          </w:p>
          <w:p>
            <w:pPr>
              <w:ind w:firstLine="420" w:firstLineChars="200"/>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）开标结束。</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开标异议</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投标人对开标有异议的，应当在开标现场提出，招标人当场作出答复，并制作记录。</w:t>
            </w:r>
          </w:p>
        </w:tc>
      </w:tr>
      <w:tr>
        <w:tblPrEx>
          <w:tblCellMar>
            <w:top w:w="0" w:type="dxa"/>
            <w:left w:w="108" w:type="dxa"/>
            <w:bottom w:w="0" w:type="dxa"/>
            <w:right w:w="108" w:type="dxa"/>
          </w:tblCellMar>
        </w:tblPrEx>
        <w:trPr>
          <w:trHeight w:val="436"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b/>
                <w:bCs/>
              </w:rPr>
              <w:t xml:space="preserve">评 标 </w:t>
            </w:r>
          </w:p>
        </w:tc>
      </w:tr>
      <w:tr>
        <w:tblPrEx>
          <w:tblCellMar>
            <w:top w:w="0" w:type="dxa"/>
            <w:left w:w="108" w:type="dxa"/>
            <w:bottom w:w="0" w:type="dxa"/>
            <w:right w:w="108" w:type="dxa"/>
          </w:tblCellMar>
        </w:tblPrEx>
        <w:trPr>
          <w:trHeight w:val="315"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评标委员会</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6.1.1 评标由招标人依法组建的评标委员会负责。评标委员会成员人数以及技术、经济等方面专家的确定方式见如下：</w:t>
            </w:r>
          </w:p>
          <w:p>
            <w:pPr>
              <w:ind w:firstLine="420" w:firstLineChars="200"/>
            </w:pPr>
            <w:r>
              <w:rPr>
                <w:rFonts w:hint="eastAsia"/>
              </w:rPr>
              <w:t>（1）</w:t>
            </w:r>
            <w:r>
              <w:t>评标委员会</w:t>
            </w:r>
            <w:r>
              <w:rPr>
                <w:rFonts w:hint="eastAsia"/>
              </w:rPr>
              <w:t>构成：由</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名专家组成；</w:t>
            </w:r>
          </w:p>
          <w:p>
            <w:pPr>
              <w:ind w:firstLine="420" w:firstLineChars="200"/>
            </w:pPr>
            <w:r>
              <w:rPr>
                <w:rFonts w:hint="eastAsia"/>
              </w:rPr>
              <w:t>（2）其中招标人代表</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人，评标专家</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人；</w:t>
            </w:r>
          </w:p>
          <w:p>
            <w:pPr>
              <w:ind w:firstLine="420" w:firstLineChars="200"/>
            </w:pPr>
            <w:r>
              <w:rPr>
                <w:rFonts w:hint="eastAsia"/>
              </w:rPr>
              <w:t>（3）评标专家确定方式：在广东省综合评标评审专家库随机抽取。</w:t>
            </w:r>
          </w:p>
          <w:p>
            <w:pPr>
              <w:ind w:firstLine="420" w:firstLineChars="200"/>
            </w:pPr>
            <w:r>
              <w:rPr>
                <w:rFonts w:hint="eastAsia"/>
              </w:rPr>
              <w:t>6.1.2 评标委员会成员有下列情形之一的，应当回避：</w:t>
            </w:r>
          </w:p>
          <w:p>
            <w:pPr>
              <w:ind w:firstLine="420" w:firstLineChars="200"/>
            </w:pPr>
            <w:r>
              <w:rPr>
                <w:rFonts w:hint="eastAsia"/>
              </w:rPr>
              <w:t>（1）投标人或投标人主要负责人的近亲属；</w:t>
            </w:r>
          </w:p>
          <w:p>
            <w:pPr>
              <w:ind w:firstLine="420" w:firstLineChars="200"/>
            </w:pPr>
            <w:r>
              <w:rPr>
                <w:rFonts w:hint="eastAsia"/>
              </w:rPr>
              <w:t>（2）项目主管部门或者行政监督部门的人员；</w:t>
            </w:r>
          </w:p>
          <w:p>
            <w:pPr>
              <w:ind w:firstLine="420" w:firstLineChars="200"/>
            </w:pPr>
            <w:r>
              <w:rPr>
                <w:rFonts w:hint="eastAsia"/>
              </w:rPr>
              <w:t>（3）与投标人有经济利益关系；</w:t>
            </w:r>
          </w:p>
          <w:p>
            <w:pPr>
              <w:ind w:firstLine="420" w:firstLineChars="200"/>
            </w:pPr>
            <w:r>
              <w:rPr>
                <w:rFonts w:hint="eastAsia"/>
              </w:rPr>
              <w:t>（4）曾因在招标、评标以及其他与招标投标有关活动中从事违法行为而受过行政处罚或刑事处罚的；</w:t>
            </w:r>
          </w:p>
          <w:p>
            <w:pPr>
              <w:ind w:firstLine="420" w:firstLineChars="200"/>
              <w:rPr>
                <w:szCs w:val="21"/>
              </w:rPr>
            </w:pPr>
            <w:r>
              <w:rPr>
                <w:rFonts w:hint="eastAsia"/>
              </w:rPr>
              <w:t>（5）与投标人有其他利害关系。</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评标原则</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评标活动遵循公平、公正、科学和择优的原则。</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评标</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szCs w:val="21"/>
              </w:rPr>
              <w:t>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b/>
                <w:bCs/>
              </w:rPr>
              <w:t>合同授予</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定标方式</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招标人依据评标办法确定的中标候选人确定中标人。</w:t>
            </w:r>
          </w:p>
        </w:tc>
      </w:tr>
      <w:tr>
        <w:tblPrEx>
          <w:tblCellMar>
            <w:top w:w="0" w:type="dxa"/>
            <w:left w:w="108" w:type="dxa"/>
            <w:bottom w:w="0" w:type="dxa"/>
            <w:right w:w="108" w:type="dxa"/>
          </w:tblCellMar>
        </w:tblPrEx>
        <w:trPr>
          <w:trHeight w:val="3753"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中标候选人公示</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7.2.1招标人在广东省招标投标监管网和广州公共资源交易中心网站公示中标候选人。</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7.2.2评标完成后次日公示中标候选人，中标候选人公示期为3日。公示期间无异议、无投诉，或经查实有异议和投诉的内容不能改变中标结果的，在中标候选人公示结束后招标人确定第一中标候选人为中标人。</w:t>
            </w:r>
          </w:p>
          <w:p>
            <w:pPr>
              <w:ind w:firstLine="420" w:firstLineChars="200"/>
            </w:pPr>
            <w:r>
              <w:rPr>
                <w:rFonts w:hint="eastAsia"/>
                <w:color w:val="000000" w:themeColor="text1"/>
                <w14:textFill>
                  <w14:solidFill>
                    <w14:schemeClr w14:val="tx1"/>
                  </w14:solidFill>
                </w14:textFill>
              </w:rPr>
              <w:t>7.2.3第一中标候选人放弃中标、因不可抗力不能履行合同、不按招标文件要求提交履约保证金，或者被查实存在影响中标结果的违法行为等情形，不符合中标条件的，招标人可以依法重新招标。招标人也可以按照评标委员会提出的中标候选人名单排序依次确定其他中标候选人为中标人。依次确定其他中标候选人与招标人预期差距较大，招标人将重新招标</w:t>
            </w:r>
            <w:r>
              <w:rPr>
                <w:rFonts w:hint="eastAsia"/>
              </w:rPr>
              <w:t>。</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7.3</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中标通知</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rPr>
              <w:t>在本章第 3.3 款规定的投标有效期内。中标通知书以广州公共资源交易中心统一格式为准。</w:t>
            </w:r>
          </w:p>
        </w:tc>
      </w:tr>
      <w:tr>
        <w:tblPrEx>
          <w:tblCellMar>
            <w:top w:w="0" w:type="dxa"/>
            <w:left w:w="108" w:type="dxa"/>
            <w:bottom w:w="0" w:type="dxa"/>
            <w:right w:w="108" w:type="dxa"/>
          </w:tblCellMar>
        </w:tblPrEx>
        <w:trPr>
          <w:trHeight w:val="24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7.4</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szCs w:val="21"/>
              </w:rPr>
              <w:t>履约担保</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7.4.1履约保证金按以下规定提交：</w:t>
            </w:r>
          </w:p>
          <w:p>
            <w:pPr>
              <w:spacing w:line="276" w:lineRule="auto"/>
              <w:ind w:firstLine="420" w:firstLineChars="200"/>
            </w:pPr>
            <w:r>
              <w:rPr>
                <w:rFonts w:hint="eastAsia"/>
              </w:rPr>
              <w:t>（1）履约保证金金额：中标合同金额的5%。</w:t>
            </w:r>
          </w:p>
          <w:p>
            <w:pPr>
              <w:spacing w:line="276" w:lineRule="auto"/>
              <w:ind w:firstLine="420" w:firstLineChars="200"/>
            </w:pPr>
            <w:r>
              <w:rPr>
                <w:rFonts w:hint="eastAsia"/>
              </w:rPr>
              <w:t>（2）履约保证金提交方式：履约担保、银行保函、保证保险</w:t>
            </w:r>
            <w:r>
              <w:rPr>
                <w:rFonts w:hint="eastAsia"/>
                <w:lang w:eastAsia="zh-CN"/>
              </w:rPr>
              <w:t>或银行转账</w:t>
            </w:r>
            <w:r>
              <w:rPr>
                <w:rFonts w:hint="eastAsia"/>
              </w:rPr>
              <w:t>（转账的由中标人的基本账户汇入</w:t>
            </w:r>
            <w:r>
              <w:rPr>
                <w:rFonts w:hint="eastAsia"/>
                <w:szCs w:val="21"/>
              </w:rPr>
              <w:t>建设单位</w:t>
            </w:r>
            <w:r>
              <w:rPr>
                <w:rFonts w:hint="eastAsia"/>
              </w:rPr>
              <w:t>指定账户）。</w:t>
            </w:r>
          </w:p>
          <w:p>
            <w:pPr>
              <w:spacing w:line="276" w:lineRule="auto"/>
              <w:ind w:firstLine="420" w:firstLineChars="200"/>
            </w:pPr>
            <w:r>
              <w:rPr>
                <w:rFonts w:hint="eastAsia"/>
              </w:rPr>
              <w:t>（3）履约保证金提交时间：中标人须在签订施工合同之日起</w:t>
            </w:r>
            <w:r>
              <w:rPr>
                <w:rFonts w:hint="eastAsia"/>
                <w:lang w:val="en-US" w:eastAsia="zh-CN"/>
              </w:rPr>
              <w:t>30</w:t>
            </w:r>
            <w:r>
              <w:rPr>
                <w:rFonts w:hint="eastAsia"/>
              </w:rPr>
              <w:t>个工作日内提交履约保证金（如中标人未能按时提交履约保证金，则视为放弃中标资格，已签订的施工合同自动解除）。</w:t>
            </w:r>
          </w:p>
          <w:p>
            <w:pPr>
              <w:spacing w:line="276" w:lineRule="auto"/>
              <w:ind w:firstLine="420" w:firstLineChars="200"/>
            </w:pPr>
            <w:r>
              <w:rPr>
                <w:rFonts w:hint="eastAsia"/>
              </w:rPr>
              <w:t>（4）履约保证金的退还：工程竣工验收合格并交付使用后10天（日历天）内无息退还。</w:t>
            </w:r>
          </w:p>
          <w:p>
            <w:pPr>
              <w:ind w:firstLine="422" w:firstLineChars="200"/>
            </w:pPr>
            <w:r>
              <w:rPr>
                <w:rFonts w:hint="eastAsia"/>
                <w:b/>
                <w:bCs/>
              </w:rPr>
              <w:t>注明：在合同履行期间，出现有扣罚履约保证金的，相应扣罚部分不予退回。</w:t>
            </w:r>
          </w:p>
          <w:p>
            <w:pPr>
              <w:ind w:firstLine="420" w:firstLineChars="200"/>
              <w:rPr>
                <w:szCs w:val="21"/>
              </w:rPr>
            </w:pPr>
            <w:r>
              <w:rPr>
                <w:rFonts w:hint="eastAsia"/>
              </w:rPr>
              <w:t>7.4.2 中标人不能按本章第7.4.1项要求提交履约保证金的，视为放弃中标，其投标保证金不予退还，给招标人造成的损失超过投标保证金数额的，中标人还应当对超过部分予以赔偿。</w:t>
            </w:r>
          </w:p>
        </w:tc>
      </w:tr>
      <w:tr>
        <w:tblPrEx>
          <w:tblCellMar>
            <w:top w:w="0" w:type="dxa"/>
            <w:left w:w="108" w:type="dxa"/>
            <w:bottom w:w="0" w:type="dxa"/>
            <w:right w:w="108" w:type="dxa"/>
          </w:tblCellMar>
        </w:tblPrEx>
        <w:trPr>
          <w:trHeight w:val="38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7.5</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投标人须知</w:t>
            </w:r>
          </w:p>
        </w:tc>
        <w:tc>
          <w:tcPr>
            <w:tcW w:w="6122" w:type="dxa"/>
            <w:tcBorders>
              <w:top w:val="single" w:color="auto" w:sz="4" w:space="0"/>
              <w:left w:val="single" w:color="auto" w:sz="4" w:space="0"/>
              <w:bottom w:val="single" w:color="auto" w:sz="4" w:space="0"/>
              <w:right w:val="single" w:color="auto" w:sz="4" w:space="0"/>
            </w:tcBorders>
            <w:vAlign w:val="center"/>
          </w:tcPr>
          <w:p>
            <w:pPr>
              <w:pStyle w:val="31"/>
              <w:spacing w:line="240" w:lineRule="auto"/>
              <w:ind w:firstLine="420" w:firstLineChars="200"/>
            </w:pPr>
            <w:r>
              <w:rPr>
                <w:rFonts w:hint="eastAsia"/>
              </w:rPr>
              <w:t>7.5.1招标人发现中标人有下列行为之一的，该中标无效。无论进展到何种阶段，招标人将不退还其提交的投标保证金，并报河源市相关部门依法依规处理：</w:t>
            </w:r>
          </w:p>
          <w:p>
            <w:pPr>
              <w:pStyle w:val="31"/>
              <w:spacing w:line="240" w:lineRule="auto"/>
              <w:ind w:left="0" w:leftChars="0" w:firstLine="210" w:firstLineChars="100"/>
            </w:pPr>
            <w:r>
              <w:rPr>
                <w:rFonts w:hint="eastAsia"/>
              </w:rPr>
              <w:t>（1）中标人与其它投标人串通进行投标的；</w:t>
            </w:r>
          </w:p>
          <w:p>
            <w:pPr>
              <w:pStyle w:val="31"/>
              <w:spacing w:line="240" w:lineRule="auto"/>
              <w:ind w:left="0" w:leftChars="0" w:firstLine="210" w:firstLineChars="100"/>
            </w:pPr>
            <w:r>
              <w:rPr>
                <w:rFonts w:hint="eastAsia"/>
              </w:rPr>
              <w:t>（2）中标人拒绝执行招标文件的要求和其投标文件的承诺的；</w:t>
            </w:r>
          </w:p>
          <w:p>
            <w:pPr>
              <w:pStyle w:val="31"/>
              <w:spacing w:line="240" w:lineRule="auto"/>
              <w:ind w:firstLine="210" w:firstLineChars="100"/>
            </w:pPr>
            <w:r>
              <w:rPr>
                <w:rFonts w:hint="eastAsia"/>
              </w:rPr>
              <w:t>（3）中标人以他人名义进行投标的；</w:t>
            </w:r>
          </w:p>
          <w:p>
            <w:pPr>
              <w:pStyle w:val="31"/>
              <w:spacing w:line="240" w:lineRule="auto"/>
              <w:ind w:firstLine="210" w:firstLineChars="100"/>
            </w:pPr>
            <w:r>
              <w:rPr>
                <w:rFonts w:hint="eastAsia"/>
              </w:rPr>
              <w:t>（4）投标人弄虚作假骗取中标的；</w:t>
            </w:r>
          </w:p>
          <w:p>
            <w:pPr>
              <w:pStyle w:val="31"/>
              <w:spacing w:line="240" w:lineRule="auto"/>
              <w:ind w:firstLine="210" w:firstLineChars="100"/>
            </w:pPr>
            <w:r>
              <w:rPr>
                <w:rFonts w:hint="eastAsia"/>
              </w:rPr>
              <w:t>（5）法律、法规规定的其他损害招标单位利益和社会公共利益的；</w:t>
            </w:r>
          </w:p>
          <w:p>
            <w:pPr>
              <w:pStyle w:val="31"/>
              <w:spacing w:line="240" w:lineRule="auto"/>
              <w:ind w:firstLine="210" w:firstLineChars="100"/>
            </w:pPr>
            <w:r>
              <w:rPr>
                <w:rFonts w:hint="eastAsia"/>
              </w:rPr>
              <w:t>（6）没有按规定提交履约保证金的</w:t>
            </w:r>
          </w:p>
          <w:p>
            <w:pPr>
              <w:pStyle w:val="31"/>
              <w:spacing w:line="240" w:lineRule="auto"/>
              <w:ind w:firstLineChars="200"/>
            </w:pPr>
            <w:r>
              <w:rPr>
                <w:rFonts w:hint="eastAsia"/>
                <w:szCs w:val="21"/>
              </w:rPr>
              <w:t>7.5.2中标人在签订合同后30个工作日内未按规定提交履约保证金的，视为放弃中标，招标人取消其中标资格，投标保证金不予退还。给招标人造成的损失超过投标保证金数额的，应当对超过部分予以赔偿。</w:t>
            </w:r>
          </w:p>
        </w:tc>
      </w:tr>
      <w:tr>
        <w:tblPrEx>
          <w:tblCellMar>
            <w:top w:w="0" w:type="dxa"/>
            <w:left w:w="108" w:type="dxa"/>
            <w:bottom w:w="0" w:type="dxa"/>
            <w:right w:w="108" w:type="dxa"/>
          </w:tblCellMar>
        </w:tblPrEx>
        <w:trPr>
          <w:trHeight w:val="251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7.6</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rPr>
              <w:t>签订合同</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7.6.1 建设单位和中标人应当自中标通知书发出之日起30天内，根据招标文件和中标人的投标文件订立书面合同。中标人无正当理由拒签合同的，建设单位取消其中标资格，其投标保证金不予退还；给建设单位造成的损失超过投标保证金数额的，中标人还应当对超过部分予以赔偿。</w:t>
            </w:r>
          </w:p>
          <w:p>
            <w:pPr>
              <w:ind w:firstLine="420" w:firstLineChars="200"/>
            </w:pPr>
            <w:r>
              <w:rPr>
                <w:rFonts w:hint="eastAsia"/>
              </w:rPr>
              <w:t>7.6.2 发出中标通知书后，招标人无正当理由拒签合同的，招标人向中标人退还投标保证金；给中标人造成损失的，还应当赔偿损失。</w:t>
            </w:r>
          </w:p>
        </w:tc>
      </w:tr>
      <w:tr>
        <w:tblPrEx>
          <w:tblCellMar>
            <w:top w:w="0" w:type="dxa"/>
            <w:left w:w="108" w:type="dxa"/>
            <w:bottom w:w="0" w:type="dxa"/>
            <w:right w:w="108" w:type="dxa"/>
          </w:tblCellMar>
        </w:tblPrEx>
        <w:trPr>
          <w:trHeight w:val="69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w:t>
            </w:r>
            <w:r>
              <w:rPr>
                <w:szCs w:val="21"/>
              </w:rPr>
              <w:t>.7</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color w:val="000000" w:themeColor="text1"/>
                <w14:textFill>
                  <w14:solidFill>
                    <w14:schemeClr w14:val="tx1"/>
                  </w14:solidFill>
                </w14:textFill>
              </w:rPr>
              <w:t>务工人员工资支付方式</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396" w:firstLineChars="200"/>
            </w:pPr>
            <w:r>
              <w:rPr>
                <w:color w:val="000000" w:themeColor="text1"/>
                <w:spacing w:val="-6"/>
                <w14:textFill>
                  <w14:solidFill>
                    <w14:schemeClr w14:val="tx1"/>
                  </w14:solidFill>
                </w14:textFill>
              </w:rPr>
              <w:t>务工人员工资支付方式按</w:t>
            </w:r>
            <w:r>
              <w:rPr>
                <w:rFonts w:hint="eastAsia"/>
                <w:color w:val="000000" w:themeColor="text1"/>
                <w:spacing w:val="-6"/>
                <w14:textFill>
                  <w14:solidFill>
                    <w14:schemeClr w14:val="tx1"/>
                  </w14:solidFill>
                </w14:textFill>
              </w:rPr>
              <w:t>《保障农民工工资支付条例 》文件执行</w:t>
            </w:r>
            <w:r>
              <w:rPr>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251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w:t>
            </w:r>
            <w:r>
              <w:rPr>
                <w:szCs w:val="21"/>
              </w:rPr>
              <w:t>.8</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pPr>
            <w:r>
              <w:rPr>
                <w:color w:val="000000" w:themeColor="text1"/>
                <w14:textFill>
                  <w14:solidFill>
                    <w14:schemeClr w14:val="tx1"/>
                  </w14:solidFill>
                </w14:textFill>
              </w:rPr>
              <w:t>工人工资专用账户及保证金</w:t>
            </w:r>
          </w:p>
        </w:tc>
        <w:tc>
          <w:tcPr>
            <w:tcW w:w="6122" w:type="dxa"/>
            <w:tcBorders>
              <w:top w:val="single" w:color="auto" w:sz="4" w:space="0"/>
              <w:left w:val="single" w:color="auto" w:sz="4" w:space="0"/>
              <w:bottom w:val="single" w:color="auto" w:sz="4" w:space="0"/>
              <w:right w:val="single" w:color="auto" w:sz="4" w:space="0"/>
            </w:tcBorders>
            <w:vAlign w:val="center"/>
          </w:tcPr>
          <w:p>
            <w:pPr>
              <w:pStyle w:val="72"/>
              <w:numPr>
                <w:ilvl w:val="255"/>
                <w:numId w:val="0"/>
              </w:numPr>
              <w:tabs>
                <w:tab w:val="left" w:pos="638"/>
              </w:tabs>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中标人应严格按照《河源市住房和城乡建设局关于进一步加强房</w:t>
            </w:r>
            <w:r>
              <w:rPr>
                <w:color w:val="000000" w:themeColor="text1"/>
                <w:spacing w:val="2"/>
                <w14:textFill>
                  <w14:solidFill>
                    <w14:schemeClr w14:val="tx1"/>
                  </w14:solidFill>
                </w14:textFill>
              </w:rPr>
              <w:t>屋市政工程农民工工资支付管理的通知》</w:t>
            </w:r>
            <w:r>
              <w:rPr>
                <w:color w:val="000000" w:themeColor="text1"/>
                <w:spacing w:val="4"/>
                <w14:textFill>
                  <w14:solidFill>
                    <w14:schemeClr w14:val="tx1"/>
                  </w14:solidFill>
                </w14:textFill>
              </w:rPr>
              <w:t>（河住建通</w:t>
            </w:r>
            <w:r>
              <w:rPr>
                <w:color w:val="000000" w:themeColor="text1"/>
                <w14:textFill>
                  <w14:solidFill>
                    <w14:schemeClr w14:val="tx1"/>
                  </w14:solidFill>
                </w14:textFill>
              </w:rPr>
              <w:t>﹝2021﹞11</w:t>
            </w:r>
            <w:r>
              <w:rPr>
                <w:color w:val="000000" w:themeColor="text1"/>
                <w:spacing w:val="-28"/>
                <w14:textFill>
                  <w14:solidFill>
                    <w14:schemeClr w14:val="tx1"/>
                  </w14:solidFill>
                </w14:textFill>
              </w:rPr>
              <w:t xml:space="preserve"> 号</w:t>
            </w:r>
            <w:r>
              <w:rPr>
                <w:color w:val="000000" w:themeColor="text1"/>
                <w14:textFill>
                  <w14:solidFill>
                    <w14:schemeClr w14:val="tx1"/>
                  </w14:solidFill>
                </w14:textFill>
              </w:rPr>
              <w:t>）的要求设立工人工资专用账户，确保按时足额支付工人工资。</w:t>
            </w:r>
          </w:p>
          <w:p>
            <w:pPr>
              <w:ind w:firstLine="420" w:firstLineChars="200"/>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中标人应严格按照</w:t>
            </w:r>
            <w:r>
              <w:rPr>
                <w:rFonts w:hint="eastAsia"/>
                <w:color w:val="000000" w:themeColor="text1"/>
                <w14:textFill>
                  <w14:solidFill>
                    <w14:schemeClr w14:val="tx1"/>
                  </w14:solidFill>
                </w14:textFill>
              </w:rPr>
              <w:t>《连平县政府投资项目管理办法》（连府〔</w:t>
            </w:r>
            <w:r>
              <w:rPr>
                <w:color w:val="000000" w:themeColor="text1"/>
                <w14:textFill>
                  <w14:solidFill>
                    <w14:schemeClr w14:val="tx1"/>
                  </w14:solidFill>
                </w14:textFill>
              </w:rPr>
              <w:t>2021〕5号</w:t>
            </w:r>
            <w:r>
              <w:rPr>
                <w:rFonts w:hint="eastAsia"/>
                <w:color w:val="000000" w:themeColor="text1"/>
                <w14:textFill>
                  <w14:solidFill>
                    <w14:schemeClr w14:val="tx1"/>
                  </w14:solidFill>
                </w14:textFill>
              </w:rPr>
              <w:t>）及《河源市人力资源和社会保障局等</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个部门关于贯彻落实〈河源市建设领域工人工资支付保证金管理办法〉 推行银行保函和保证保险制度的实施意见》（河人社规﹝2020﹞3 号） 的要求缴存和管理工人工资保证金。</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szCs w:val="21"/>
              </w:rPr>
              <w:t>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b/>
                <w:bCs/>
              </w:rPr>
              <w:t>纪律和监督</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8.1.1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纪律要求</w:t>
            </w:r>
          </w:p>
        </w:tc>
        <w:tc>
          <w:tcPr>
            <w:tcW w:w="6122" w:type="dxa"/>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1、对招标人的纪律要求，招标人不得泄漏招标投标活动中应当保密的情况和资料，不得与投标人串通损害国家利益、社会公共利益或者他人合法权益。</w:t>
            </w:r>
          </w:p>
          <w:p>
            <w:pPr>
              <w:ind w:firstLine="420" w:firstLineChars="200"/>
            </w:pPr>
            <w:r>
              <w:rPr>
                <w:rFonts w:hint="eastAsia"/>
              </w:rPr>
              <w:t>2、对投标人的纪律要求</w:t>
            </w:r>
            <w:r>
              <w:rPr>
                <w:rFonts w:hint="eastAsia"/>
                <w:lang w:eastAsia="zh-CN"/>
              </w:rPr>
              <w:t>，</w:t>
            </w: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ind w:firstLine="420" w:firstLineChars="200"/>
            </w:pPr>
            <w:r>
              <w:rPr>
                <w:rFonts w:hint="eastAsia"/>
              </w:rPr>
              <w:t>3、对评标委员会成员的纪律要求</w:t>
            </w:r>
            <w:r>
              <w:rPr>
                <w:rFonts w:hint="eastAsia"/>
                <w:lang w:eastAsia="zh-CN"/>
              </w:rPr>
              <w:t>，</w:t>
            </w:r>
            <w:r>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ind w:firstLine="420" w:firstLineChars="200"/>
            </w:pPr>
            <w:r>
              <w:rPr>
                <w:rFonts w:hint="eastAsia"/>
              </w:rPr>
              <w:t>4、对与评标活动有关的工作人员的纪律要求，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cs="Times New Roman"/>
                <w:szCs w:val="21"/>
              </w:rPr>
            </w:pPr>
            <w:r>
              <w:rPr>
                <w:rFonts w:hint="eastAsia"/>
                <w:szCs w:val="21"/>
              </w:rPr>
              <w:t>8.2.1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rPr>
            </w:pPr>
            <w:r>
              <w:rPr>
                <w:rFonts w:hint="eastAsia"/>
                <w:szCs w:val="21"/>
              </w:rPr>
              <w:t>异议及投诉处理</w:t>
            </w:r>
          </w:p>
        </w:tc>
        <w:tc>
          <w:tcPr>
            <w:tcW w:w="6122" w:type="dxa"/>
            <w:tcBorders>
              <w:top w:val="single" w:color="auto" w:sz="4" w:space="0"/>
              <w:left w:val="single" w:color="auto" w:sz="4" w:space="0"/>
              <w:bottom w:val="single" w:color="auto" w:sz="4" w:space="0"/>
              <w:right w:val="single" w:color="auto" w:sz="4" w:space="0"/>
            </w:tcBorders>
            <w:vAlign w:val="center"/>
          </w:tcPr>
          <w:p>
            <w:pPr>
              <w:numPr>
                <w:ilvl w:val="255"/>
                <w:numId w:val="0"/>
              </w:numPr>
              <w:ind w:firstLine="420" w:firstLineChars="200"/>
            </w:pPr>
            <w:r>
              <w:rPr>
                <w:rFonts w:hint="eastAsia"/>
                <w:color w:val="000000" w:themeColor="text1"/>
                <w14:textFill>
                  <w14:solidFill>
                    <w14:schemeClr w14:val="tx1"/>
                  </w14:solidFill>
                </w14:textFill>
              </w:rPr>
              <w:t>投标人和其他利害关系人认为本次招标活动违反法律、法规和规章规定的，有权向有关行政监督部门投诉</w:t>
            </w:r>
            <w:r>
              <w:rPr>
                <w:rFonts w:hint="eastAsia"/>
                <w:szCs w:val="21"/>
              </w:rPr>
              <w:t>。</w:t>
            </w:r>
          </w:p>
        </w:tc>
      </w:tr>
      <w:tr>
        <w:tblPrEx>
          <w:tblCellMar>
            <w:top w:w="0" w:type="dxa"/>
            <w:left w:w="108" w:type="dxa"/>
            <w:bottom w:w="0" w:type="dxa"/>
            <w:right w:w="108" w:type="dxa"/>
          </w:tblCellMar>
        </w:tblPrEx>
        <w:trPr>
          <w:trHeight w:val="482"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jc w:val="center"/>
              <w:rPr>
                <w:b/>
                <w:szCs w:val="21"/>
              </w:rPr>
            </w:pPr>
            <w:r>
              <w:rPr>
                <w:rFonts w:hint="eastAsia"/>
                <w:b/>
                <w:szCs w:val="21"/>
              </w:rPr>
              <w:t>需要</w:t>
            </w:r>
            <w:r>
              <w:rPr>
                <w:b/>
                <w:szCs w:val="21"/>
              </w:rPr>
              <w:t>补充</w:t>
            </w:r>
            <w:r>
              <w:rPr>
                <w:rFonts w:hint="eastAsia"/>
                <w:b/>
                <w:szCs w:val="21"/>
              </w:rPr>
              <w:t>的其他</w:t>
            </w:r>
            <w:r>
              <w:rPr>
                <w:b/>
                <w:szCs w:val="21"/>
              </w:rPr>
              <w:t>内容</w:t>
            </w:r>
          </w:p>
        </w:tc>
      </w:tr>
      <w:tr>
        <w:tblPrEx>
          <w:tblCellMar>
            <w:top w:w="0" w:type="dxa"/>
            <w:left w:w="108" w:type="dxa"/>
            <w:bottom w:w="0" w:type="dxa"/>
            <w:right w:w="108" w:type="dxa"/>
          </w:tblCellMar>
        </w:tblPrEx>
        <w:trPr>
          <w:trHeight w:val="18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rPr>
              <w:t>是否采用电子招标投标</w:t>
            </w:r>
          </w:p>
        </w:tc>
        <w:tc>
          <w:tcPr>
            <w:tcW w:w="6122" w:type="dxa"/>
            <w:tcBorders>
              <w:top w:val="single" w:color="auto" w:sz="4"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否</w:t>
            </w:r>
          </w:p>
          <w:p>
            <w:pPr>
              <w:pStyle w:val="31"/>
              <w:ind w:firstLine="0"/>
              <w:rPr>
                <w:rFonts w:hint="eastAsia" w:ascii="宋体" w:hAnsi="宋体" w:eastAsia="宋体" w:cs="宋体"/>
                <w:kern w:val="2"/>
                <w:sz w:val="21"/>
                <w:szCs w:val="21"/>
                <w:lang w:val="en-US" w:eastAsia="zh-CN" w:bidi="ar-SA"/>
              </w:rPr>
            </w:pPr>
            <w:r>
              <w:rPr>
                <w:rFonts w:hint="eastAsia"/>
                <w:b/>
                <w:bCs/>
                <w:color w:val="000000" w:themeColor="text1"/>
                <w:lang w:eastAsia="zh-CN"/>
                <w14:textFill>
                  <w14:solidFill>
                    <w14:schemeClr w14:val="tx1"/>
                  </w14:solidFill>
                </w14:textFill>
              </w:rPr>
              <w:t>☑</w:t>
            </w:r>
            <w:r>
              <w:rPr>
                <w:rFonts w:hint="eastAsia"/>
                <w:b/>
                <w:bCs/>
                <w:color w:val="000000" w:themeColor="text1"/>
                <w14:textFill>
                  <w14:solidFill>
                    <w14:schemeClr w14:val="tx1"/>
                  </w14:solidFill>
                </w14:textFill>
              </w:rPr>
              <w:t>是，具体</w:t>
            </w:r>
            <w:r>
              <w:rPr>
                <w:rFonts w:hint="eastAsia" w:ascii="宋体" w:hAnsi="宋体" w:eastAsia="宋体" w:cs="宋体"/>
                <w:b/>
                <w:bCs/>
                <w:kern w:val="2"/>
                <w:sz w:val="21"/>
                <w:szCs w:val="21"/>
                <w:lang w:val="en-US" w:eastAsia="zh-CN" w:bidi="ar-SA"/>
              </w:rPr>
              <w:t>要求：</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2、投标文件的修改与撤回：投标人修改或撤回已递交的投标文件，需在交易平台发出撤回通知，并按要求加盖电子印章。电子招标投标交易平台收到通知后，即时向投标人发出确认回执通知。</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eastAsia="宋体" w:cs="宋体"/>
                <w:b/>
                <w:bCs/>
                <w:kern w:val="2"/>
                <w:sz w:val="21"/>
                <w:szCs w:val="21"/>
                <w:lang w:val="en-US" w:eastAsia="zh-CN" w:bidi="ar-SA"/>
              </w:rPr>
              <w:t>（重要风险提示）</w:t>
            </w:r>
            <w:r>
              <w:rPr>
                <w:rFonts w:hint="eastAsia" w:ascii="宋体" w:hAnsi="宋体" w:eastAsia="宋体" w:cs="宋体"/>
                <w:kern w:val="2"/>
                <w:sz w:val="21"/>
                <w:szCs w:val="21"/>
                <w:lang w:val="en-US" w:eastAsia="zh-CN" w:bidi="ar-SA"/>
              </w:rPr>
              <w:t>备用</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盘。投标人可使用投标文件制作工具生成非加密的电子投标文件载入</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盘，在规定的时间、地点提交备用。递交的投标文件</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盘(备用)不得加密。</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盘（备用投标文件）无法读取或导入的，则视为未提交投标文件</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盘(备用)。如果投标人没有按规定通过交易平台网上递交电子投标文件的，不再读取提交的</w:t>
            </w:r>
            <w:r>
              <w:rPr>
                <w:rFonts w:hint="eastAsia" w:cs="宋体"/>
                <w:kern w:val="2"/>
                <w:sz w:val="21"/>
                <w:szCs w:val="21"/>
                <w:lang w:val="en-US" w:eastAsia="zh-CN" w:bidi="ar-SA"/>
              </w:rPr>
              <w:t>U</w:t>
            </w:r>
            <w:r>
              <w:rPr>
                <w:rFonts w:hint="eastAsia" w:ascii="宋体" w:hAnsi="宋体" w:eastAsia="宋体" w:cs="宋体"/>
                <w:kern w:val="2"/>
                <w:sz w:val="21"/>
                <w:szCs w:val="21"/>
                <w:lang w:val="en-US" w:eastAsia="zh-CN" w:bidi="ar-SA"/>
              </w:rPr>
              <w:t>盘。</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①投标文件电子投标文件（含</w:t>
            </w:r>
            <w:r>
              <w:rPr>
                <w:rFonts w:hint="eastAsia" w:cs="宋体"/>
                <w:kern w:val="2"/>
                <w:sz w:val="21"/>
                <w:szCs w:val="21"/>
                <w:lang w:val="en-US" w:eastAsia="zh-CN" w:bidi="ar-SA"/>
              </w:rPr>
              <w:t>3.1</w:t>
            </w:r>
            <w:r>
              <w:rPr>
                <w:rFonts w:hint="eastAsia"/>
                <w:szCs w:val="21"/>
                <w:lang w:bidi="ar"/>
              </w:rPr>
              <w:t>投标文件的组成</w:t>
            </w:r>
            <w:r>
              <w:rPr>
                <w:rFonts w:hint="eastAsia"/>
                <w:szCs w:val="21"/>
                <w:lang w:val="en-US" w:eastAsia="zh-CN" w:bidi="ar"/>
              </w:rPr>
              <w:t>所包含的内容</w:t>
            </w:r>
            <w:r>
              <w:rPr>
                <w:rFonts w:hint="eastAsia" w:ascii="宋体" w:hAnsi="宋体" w:eastAsia="宋体" w:cs="宋体"/>
                <w:kern w:val="2"/>
                <w:sz w:val="21"/>
                <w:szCs w:val="21"/>
                <w:lang w:val="en-US" w:eastAsia="zh-CN" w:bidi="ar-SA"/>
              </w:rPr>
              <w:t>）：刻</w:t>
            </w:r>
            <w:r>
              <w:rPr>
                <w:rFonts w:hint="eastAsia" w:cs="宋体"/>
                <w:kern w:val="2"/>
                <w:sz w:val="21"/>
                <w:szCs w:val="21"/>
                <w:lang w:val="en-US" w:eastAsia="zh-CN" w:bidi="ar-SA"/>
              </w:rPr>
              <w:t>导入</w:t>
            </w:r>
            <w:r>
              <w:rPr>
                <w:rFonts w:hint="eastAsia" w:ascii="宋体" w:hAnsi="宋体" w:eastAsia="宋体" w:cs="宋体"/>
                <w:kern w:val="2"/>
                <w:sz w:val="21"/>
                <w:szCs w:val="21"/>
                <w:lang w:val="en-US" w:eastAsia="zh-CN" w:bidi="ar-SA"/>
              </w:rPr>
              <w:t>U 盘</w:t>
            </w:r>
            <w:r>
              <w:rPr>
                <w:rFonts w:hint="eastAsia" w:cs="宋体"/>
                <w:kern w:val="2"/>
                <w:sz w:val="21"/>
                <w:szCs w:val="21"/>
                <w:lang w:val="en-US" w:eastAsia="zh-CN" w:bidi="ar-SA"/>
              </w:rPr>
              <w:t>3</w:t>
            </w:r>
            <w:r>
              <w:rPr>
                <w:rFonts w:hint="eastAsia" w:ascii="宋体" w:hAnsi="宋体" w:eastAsia="宋体" w:cs="宋体"/>
                <w:kern w:val="2"/>
                <w:sz w:val="21"/>
                <w:szCs w:val="21"/>
                <w:lang w:val="en-US" w:eastAsia="zh-CN" w:bidi="ar-SA"/>
              </w:rPr>
              <w:t>份装入一个密封袋中，并在封口处加盖投标人单位公章，密封袋上写明投标文件电子投标文件、项目名称和投标人名称。</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4、投标文件的递交：见招标公告。</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5、投标文件加密要求：</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①网上递交的电子投标文件须进行加密。具体操作详见交易平台相关操作指南。</w:t>
            </w:r>
          </w:p>
          <w:p>
            <w:pPr>
              <w:pStyle w:val="31"/>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②未按要求加密的投标文件，招标人将予以拒收。</w:t>
            </w:r>
          </w:p>
          <w:p>
            <w:pPr>
              <w:pStyle w:val="31"/>
              <w:numPr>
                <w:ilvl w:val="0"/>
                <w:numId w:val="3"/>
              </w:num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投标文件解密失败的补救方案：</w:t>
            </w:r>
          </w:p>
          <w:p>
            <w:pPr>
              <w:pStyle w:val="31"/>
              <w:numPr>
                <w:ilvl w:val="0"/>
                <w:numId w:val="0"/>
              </w:numPr>
              <w:ind w:firstLine="420" w:firstLineChars="200"/>
              <w:rPr>
                <w:rFonts w:hint="eastAsia"/>
                <w:b/>
                <w:bCs/>
                <w:color w:val="000000" w:themeColor="text1"/>
                <w14:textFill>
                  <w14:solidFill>
                    <w14:schemeClr w14:val="tx1"/>
                  </w14:solidFill>
                </w14:textFill>
              </w:rPr>
            </w:pPr>
            <w:r>
              <w:rPr>
                <w:rFonts w:hint="eastAsia" w:ascii="宋体" w:hAnsi="宋体" w:eastAsia="宋体" w:cs="宋体"/>
                <w:kern w:val="2"/>
                <w:sz w:val="21"/>
                <w:szCs w:val="21"/>
                <w:lang w:val="en-US" w:eastAsia="zh-CN" w:bidi="ar-SA"/>
              </w:rPr>
              <w:t>在规定时间内，因投标人之外原因(指网络瘫痪、服务器损坏、交易系统故障短期无法恢复)导致的电子投标文件解密失败，在开标现场读取U 盘内容，继续开标程序。若出现招标人无法正常解密或导入开标系统的情况，在开标现场读取已成功解密、以及因投标人之外的原因导致电子投标文件解密失败的投标人递交的电子U 盘内容。出现上述情况的，评标委员会对其投标文件的评审以U 盘内容为准。因投标人之外原因解密失败且未递交电子U 盘的，视为撤回投标文件。除发生上述情况外，开标评标均以投标人通过交易平台网上递交的电子投标文件为准。</w:t>
            </w:r>
          </w:p>
        </w:tc>
      </w:tr>
      <w:tr>
        <w:tblPrEx>
          <w:tblCellMar>
            <w:top w:w="0" w:type="dxa"/>
            <w:left w:w="108" w:type="dxa"/>
            <w:bottom w:w="0" w:type="dxa"/>
            <w:right w:w="108" w:type="dxa"/>
          </w:tblCellMar>
        </w:tblPrEx>
        <w:trPr>
          <w:trHeight w:val="28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kern w:val="0"/>
                <w:szCs w:val="21"/>
              </w:rPr>
              <w:t>9.2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建设工程质量检测管理办法：</w:t>
            </w:r>
          </w:p>
          <w:p>
            <w:pPr>
              <w:ind w:firstLine="420" w:firstLineChars="200"/>
              <w:rPr>
                <w:szCs w:val="21"/>
              </w:rPr>
            </w:pPr>
            <w:r>
              <w:rPr>
                <w:rFonts w:hint="eastAsia"/>
                <w:szCs w:val="21"/>
              </w:rPr>
              <w:t>根据《建设工程质量检测管理办法》（建设部令第141号）第十二条规定，建设工程质量、安全检测业务应由建设单位依法委托，不列入本次招标范围。招标文件中与此条不一致的，以此条为准。</w:t>
            </w:r>
          </w:p>
        </w:tc>
      </w:tr>
      <w:tr>
        <w:tblPrEx>
          <w:tblCellMar>
            <w:top w:w="0" w:type="dxa"/>
            <w:left w:w="108" w:type="dxa"/>
            <w:bottom w:w="0" w:type="dxa"/>
            <w:right w:w="108" w:type="dxa"/>
          </w:tblCellMar>
        </w:tblPrEx>
        <w:trPr>
          <w:trHeight w:val="155"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9.3</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 xml:space="preserve">   施工保修期限：本项目工程质量保修期限原则上为自竣工验收之日起24个月，如甲方需提前使用，则工程质量保修期按实际使用日期之日起24个月。</w:t>
            </w:r>
          </w:p>
        </w:tc>
      </w:tr>
      <w:tr>
        <w:tblPrEx>
          <w:tblCellMar>
            <w:top w:w="0" w:type="dxa"/>
            <w:left w:w="108" w:type="dxa"/>
            <w:bottom w:w="0" w:type="dxa"/>
            <w:right w:w="108" w:type="dxa"/>
          </w:tblCellMar>
        </w:tblPrEx>
        <w:trPr>
          <w:trHeight w:val="53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9.4</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rPr>
              <w:t>确定中标候选人后，中标候选人的投标文件（施工组织设计方案除外）电子版将在</w:t>
            </w:r>
            <w:r>
              <w:rPr>
                <w:rFonts w:hint="eastAsia"/>
                <w:szCs w:val="21"/>
              </w:rPr>
              <w:t>东省招标投标监管网和</w:t>
            </w:r>
            <w:r>
              <w:rPr>
                <w:rFonts w:hint="eastAsia"/>
              </w:rPr>
              <w:t>广东省公共资源交易平台网站</w:t>
            </w:r>
            <w:r>
              <w:rPr>
                <w:rFonts w:hint="eastAsia"/>
                <w:szCs w:val="21"/>
              </w:rPr>
              <w:t>公示，公示期为3日。</w:t>
            </w:r>
          </w:p>
        </w:tc>
      </w:tr>
      <w:tr>
        <w:tblPrEx>
          <w:tblCellMar>
            <w:top w:w="0" w:type="dxa"/>
            <w:left w:w="108" w:type="dxa"/>
            <w:bottom w:w="0" w:type="dxa"/>
            <w:right w:w="108" w:type="dxa"/>
          </w:tblCellMar>
        </w:tblPrEx>
        <w:trPr>
          <w:trHeight w:val="1144"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9.5</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szCs w:val="21"/>
              </w:rPr>
              <w:t>（1）承包方式：包工、包料、包施工、包设备、包工期、包质量、包造价控制、包安全、包文明施工、包项目管理、包验收移交、包竣工资料收集整理、包保修。甲方负责进行本项目报审工作，乙方有义务协助。</w:t>
            </w:r>
          </w:p>
          <w:p>
            <w:pPr>
              <w:ind w:firstLine="420" w:firstLineChars="200"/>
              <w:rPr>
                <w:szCs w:val="21"/>
              </w:rPr>
            </w:pPr>
            <w:r>
              <w:rPr>
                <w:rFonts w:hint="eastAsia"/>
                <w:szCs w:val="21"/>
              </w:rPr>
              <w:t>（2）结算方式具体按合同条款规定。</w:t>
            </w:r>
          </w:p>
        </w:tc>
      </w:tr>
      <w:tr>
        <w:tblPrEx>
          <w:tblCellMar>
            <w:top w:w="0" w:type="dxa"/>
            <w:left w:w="108" w:type="dxa"/>
            <w:bottom w:w="0" w:type="dxa"/>
            <w:right w:w="108" w:type="dxa"/>
          </w:tblCellMar>
        </w:tblPrEx>
        <w:trPr>
          <w:trHeight w:val="39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9.6</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rPr>
              <w:t>投标文件一经递交，视为对本项目的招标文件无异议并全面接受。</w:t>
            </w:r>
          </w:p>
        </w:tc>
      </w:tr>
      <w:tr>
        <w:tblPrEx>
          <w:tblCellMar>
            <w:top w:w="0" w:type="dxa"/>
            <w:left w:w="108" w:type="dxa"/>
            <w:bottom w:w="0" w:type="dxa"/>
            <w:right w:w="108" w:type="dxa"/>
          </w:tblCellMar>
        </w:tblPrEx>
        <w:trPr>
          <w:trHeight w:val="26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szCs w:val="21"/>
              </w:rPr>
              <w:t>9.</w:t>
            </w:r>
            <w:r>
              <w:rPr>
                <w:rFonts w:hint="eastAsia"/>
                <w:szCs w:val="21"/>
              </w:rPr>
              <w:t>7</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szCs w:val="21"/>
              </w:rPr>
              <w:t>根据相关规定本项目如需办理规划许可证的，投标人需根据相关文件协助建设单位办理。</w:t>
            </w:r>
          </w:p>
        </w:tc>
      </w:tr>
      <w:tr>
        <w:tblPrEx>
          <w:tblCellMar>
            <w:top w:w="0" w:type="dxa"/>
            <w:left w:w="108" w:type="dxa"/>
            <w:bottom w:w="0" w:type="dxa"/>
            <w:right w:w="108" w:type="dxa"/>
          </w:tblCellMar>
        </w:tblPrEx>
        <w:trPr>
          <w:trHeight w:val="19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9.8</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szCs w:val="21"/>
              </w:rPr>
              <w:t>本工程整个招标过程的一切事宜，包括招标人发出的《招标文件的澄清</w:t>
            </w:r>
            <w:r>
              <w:rPr>
                <w:rFonts w:hint="eastAsia"/>
                <w:szCs w:val="21"/>
                <w:lang w:eastAsia="zh-CN"/>
              </w:rPr>
              <w:t>》《</w:t>
            </w:r>
            <w:r>
              <w:rPr>
                <w:rFonts w:hint="eastAsia"/>
                <w:szCs w:val="21"/>
              </w:rPr>
              <w:t>招标文件答疑</w:t>
            </w:r>
            <w:r>
              <w:rPr>
                <w:rFonts w:hint="eastAsia"/>
                <w:szCs w:val="21"/>
                <w:lang w:eastAsia="zh-CN"/>
              </w:rPr>
              <w:t>》《</w:t>
            </w:r>
            <w:r>
              <w:rPr>
                <w:rFonts w:hint="eastAsia"/>
                <w:szCs w:val="21"/>
              </w:rPr>
              <w:t>补充通知书》等补充文件均在广东省招标投标监管网和</w:t>
            </w:r>
            <w:r>
              <w:rPr>
                <w:rFonts w:hint="eastAsia" w:ascii="宋体" w:hAnsi="宋体" w:cs="宋体"/>
                <w:color w:val="000000" w:themeColor="text1"/>
                <w:szCs w:val="21"/>
                <w:lang w:eastAsia="zh-CN"/>
                <w14:textFill>
                  <w14:solidFill>
                    <w14:schemeClr w14:val="tx1"/>
                  </w14:solidFill>
                </w14:textFill>
              </w:rPr>
              <w:t>广州公共资源交易中心网（网址：http://www.gzggzy.cn/）</w:t>
            </w:r>
            <w:r>
              <w:rPr>
                <w:rFonts w:hint="eastAsia"/>
                <w:szCs w:val="21"/>
              </w:rPr>
              <w:t>公布，请各投标人在整个招标过程中留意该网站信息，若因投标人未能及时浏览网上公布的信息而造成的损失概由投标人自己负责。</w:t>
            </w:r>
          </w:p>
        </w:tc>
      </w:tr>
      <w:tr>
        <w:tblPrEx>
          <w:tblCellMar>
            <w:top w:w="0" w:type="dxa"/>
            <w:left w:w="108" w:type="dxa"/>
            <w:bottom w:w="0" w:type="dxa"/>
            <w:right w:w="108" w:type="dxa"/>
          </w:tblCellMar>
        </w:tblPrEx>
        <w:trPr>
          <w:trHeight w:val="9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9.9</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rPr>
              <w:t>本工程的所有招标投标活动（包括投标、开标、评标和定标等）均在广州市公共资源交易中心内进行，接受有关部门的监督。</w:t>
            </w:r>
          </w:p>
        </w:tc>
      </w:tr>
      <w:tr>
        <w:tblPrEx>
          <w:tblCellMar>
            <w:top w:w="0" w:type="dxa"/>
            <w:left w:w="108" w:type="dxa"/>
            <w:bottom w:w="0" w:type="dxa"/>
            <w:right w:w="108" w:type="dxa"/>
          </w:tblCellMar>
        </w:tblPrEx>
        <w:trPr>
          <w:trHeight w:val="93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szCs w:val="21"/>
              </w:rPr>
              <w:t>9.10</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szCs w:val="21"/>
              </w:rPr>
            </w:pPr>
            <w:r>
              <w:rPr>
                <w:rFonts w:hint="eastAsia"/>
              </w:rPr>
              <w:t>本次招标代理服务费由中标人支付。招标代理服务费由中标人在领取中标通知书前向招标代理机构支付，招标代理服务费依据《国家发展改革委关于进一步放开建设项目专业服务价格的通知》</w:t>
            </w:r>
            <w:r>
              <w:rPr>
                <w:rFonts w:hint="eastAsia"/>
                <w:lang w:eastAsia="zh-CN"/>
              </w:rPr>
              <w:t>（</w:t>
            </w:r>
            <w:r>
              <w:rPr>
                <w:rFonts w:hint="eastAsia"/>
              </w:rPr>
              <w:t>发改价格 (2015) 299号</w:t>
            </w:r>
            <w:r>
              <w:rPr>
                <w:rFonts w:hint="eastAsia"/>
                <w:lang w:eastAsia="zh-CN"/>
              </w:rPr>
              <w:t>）</w:t>
            </w:r>
            <w:r>
              <w:rPr>
                <w:rFonts w:hint="eastAsia"/>
              </w:rPr>
              <w:t>计算。</w:t>
            </w:r>
          </w:p>
        </w:tc>
      </w:tr>
      <w:tr>
        <w:tblPrEx>
          <w:tblCellMar>
            <w:top w:w="0" w:type="dxa"/>
            <w:left w:w="108" w:type="dxa"/>
            <w:bottom w:w="0" w:type="dxa"/>
            <w:right w:w="108" w:type="dxa"/>
          </w:tblCellMar>
        </w:tblPrEx>
        <w:trPr>
          <w:trHeight w:val="152"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szCs w:val="21"/>
                <w:lang w:val="en-US" w:eastAsia="zh-CN"/>
              </w:rPr>
            </w:pPr>
            <w:bookmarkStart w:id="163" w:name="_Toc5446"/>
            <w:bookmarkStart w:id="164" w:name="_Toc3709"/>
            <w:bookmarkStart w:id="165" w:name="_Toc13302"/>
            <w:bookmarkStart w:id="166" w:name="_Toc10878"/>
            <w:bookmarkStart w:id="167" w:name="_Toc3876"/>
            <w:bookmarkStart w:id="168" w:name="_Toc152042375"/>
            <w:bookmarkStart w:id="169" w:name="_Toc19587"/>
            <w:bookmarkStart w:id="170" w:name="_Toc27063"/>
            <w:bookmarkStart w:id="171" w:name="_Toc144974565"/>
            <w:bookmarkStart w:id="172" w:name="_Toc16889"/>
            <w:bookmarkStart w:id="173" w:name="_Toc7692"/>
            <w:bookmarkStart w:id="174" w:name="_Toc247514022"/>
            <w:bookmarkStart w:id="175" w:name="_Toc247527623"/>
            <w:bookmarkStart w:id="176" w:name="_Toc8349"/>
            <w:bookmarkStart w:id="177" w:name="_Toc152045598"/>
            <w:bookmarkStart w:id="178" w:name="_Toc1760"/>
            <w:bookmarkStart w:id="179" w:name="_Toc459914438"/>
            <w:bookmarkStart w:id="180" w:name="_Toc26227"/>
            <w:bookmarkStart w:id="181" w:name="_Toc14902"/>
            <w:bookmarkStart w:id="182" w:name="_Toc14086"/>
            <w:bookmarkStart w:id="183" w:name="_Toc32252"/>
            <w:bookmarkStart w:id="184" w:name="_Toc15858"/>
            <w:r>
              <w:rPr>
                <w:rFonts w:hint="eastAsia"/>
                <w:szCs w:val="21"/>
                <w:lang w:val="en-US" w:eastAsia="zh-CN"/>
              </w:rPr>
              <w:t>9.11</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rPr>
            </w:pPr>
            <w:r>
              <w:rPr>
                <w:rFonts w:hint="eastAsia"/>
              </w:rPr>
              <w:t>中标人代缴广州公共资源交易中心交易服务费，由广州公共资源交易中心向中标人开具发票。</w:t>
            </w:r>
          </w:p>
        </w:tc>
      </w:tr>
      <w:tr>
        <w:tblPrEx>
          <w:tblCellMar>
            <w:top w:w="0" w:type="dxa"/>
            <w:left w:w="108" w:type="dxa"/>
            <w:bottom w:w="0" w:type="dxa"/>
            <w:right w:w="108" w:type="dxa"/>
          </w:tblCellMar>
        </w:tblPrEx>
        <w:trPr>
          <w:trHeight w:val="939"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szCs w:val="21"/>
                <w:lang w:val="en-US" w:eastAsia="zh-CN"/>
              </w:rPr>
            </w:pPr>
            <w:r>
              <w:rPr>
                <w:rFonts w:hint="eastAsia"/>
                <w:szCs w:val="21"/>
                <w:lang w:val="en-US" w:eastAsia="zh-CN"/>
              </w:rPr>
              <w:t>9.12</w:t>
            </w:r>
          </w:p>
        </w:tc>
        <w:tc>
          <w:tcPr>
            <w:tcW w:w="8382"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rPr>
            </w:pPr>
            <w:r>
              <w:rPr>
                <w:rFonts w:hint="eastAsia"/>
              </w:rPr>
              <w:t>中标人需向招标人提交纸质版投标文件。中标通知书发出之日起</w:t>
            </w:r>
            <w:r>
              <w:rPr>
                <w:rFonts w:hint="eastAsia"/>
                <w:lang w:val="en-US" w:eastAsia="zh-CN"/>
              </w:rPr>
              <w:t>10</w:t>
            </w:r>
            <w:r>
              <w:rPr>
                <w:rFonts w:hint="eastAsia"/>
              </w:rPr>
              <w:t>天内，中标人需将在广州公共资源交易中心网站下载的投标文件打印装订，一正四副（加盖中标人公章），相关费用由中标人支付。打印的投标文件需与中标人在广州公共资源交易中心网站提交的投标文件一致。</w:t>
            </w:r>
          </w:p>
        </w:tc>
      </w:tr>
      <w:bookmarkEnd w:id="34"/>
      <w:bookmarkEnd w:id="35"/>
      <w:bookmarkEnd w:id="3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58"/>
      <w:bookmarkEnd w:id="159"/>
      <w:bookmarkEnd w:id="160"/>
      <w:bookmarkEnd w:id="161"/>
      <w:bookmarkEnd w:id="162"/>
    </w:tbl>
    <w:p/>
    <w:p>
      <w:pPr>
        <w:pStyle w:val="31"/>
      </w:pPr>
      <w:r>
        <w:br w:type="page"/>
      </w:r>
    </w:p>
    <w:p>
      <w:pPr>
        <w:widowControl/>
        <w:spacing w:line="460" w:lineRule="exact"/>
        <w:jc w:val="left"/>
        <w:rPr>
          <w:color w:val="000000" w:themeColor="text1"/>
          <w14:textFill>
            <w14:solidFill>
              <w14:schemeClr w14:val="tx1"/>
            </w14:solidFill>
          </w14:textFill>
        </w:rPr>
      </w:pPr>
      <w:r>
        <w:rPr>
          <w:rFonts w:ascii="黑体" w:eastAsia="黑体" w:cs="黑体"/>
          <w:b/>
          <w:color w:val="000000" w:themeColor="text1"/>
          <w:kern w:val="0"/>
          <w:sz w:val="28"/>
          <w:szCs w:val="28"/>
          <w:lang w:bidi="ar"/>
          <w14:textFill>
            <w14:solidFill>
              <w14:schemeClr w14:val="tx1"/>
            </w14:solidFill>
          </w14:textFill>
        </w:rPr>
        <w:t xml:space="preserve">1. 总则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1.1 项目概况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1.1.1 本项目业主单位：见投标人须知一览表。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1.1.2 本招标项目招标人：见投标人须知一览表。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1.1.3 本招标项目招标代理机构：见投标人须知一览表。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1.1.4 本招标项目名称：见投标人须知一览表。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1.1.5 本招标项目建设地点：见投标人须知一览表。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1.2 资金来源和落实情况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1.2.1 本招标项目的资金来源及出资比例：见投标人须知一览表。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1.2.2 本招标项目的资金落实情况：见投标人须知一览表。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1.3 招标范围、计划工期、质量要求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1.3.1 本次招标范围：见投标人须知一览表。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1.3.2 本招标项目的计划工期：见投标人须知一览表。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1.3.3 本招标项目的质量要求：见投标人须知一览表。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1.4 投标人资格要求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1.4.1 投标人应具备承担本项目的资格要求</w:t>
      </w:r>
      <w:r>
        <w:rPr>
          <w:rFonts w:hint="eastAsia"/>
          <w:color w:val="000000" w:themeColor="text1"/>
          <w:kern w:val="0"/>
          <w:sz w:val="20"/>
          <w:szCs w:val="20"/>
          <w:lang w:eastAsia="zh-CN" w:bidi="ar"/>
          <w14:textFill>
            <w14:solidFill>
              <w14:schemeClr w14:val="tx1"/>
            </w14:solidFill>
          </w14:textFill>
        </w:rPr>
        <w:t>（</w:t>
      </w:r>
      <w:r>
        <w:rPr>
          <w:rFonts w:hint="eastAsia"/>
          <w:color w:val="000000" w:themeColor="text1"/>
          <w:kern w:val="0"/>
          <w:sz w:val="20"/>
          <w:szCs w:val="20"/>
          <w:lang w:val="en-US" w:eastAsia="zh-CN" w:bidi="ar"/>
          <w14:textFill>
            <w14:solidFill>
              <w14:schemeClr w14:val="tx1"/>
            </w14:solidFill>
          </w14:textFill>
        </w:rPr>
        <w:t>详见招标公告要求</w:t>
      </w:r>
      <w:r>
        <w:rPr>
          <w:rFonts w:hint="eastAsia"/>
          <w:color w:val="000000" w:themeColor="text1"/>
          <w:kern w:val="0"/>
          <w:sz w:val="20"/>
          <w:szCs w:val="20"/>
          <w:lang w:eastAsia="zh-CN"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 xml:space="preserve">。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1.4.2 投标人须知一览表规定接受联合体投标的，除应符合本章第1.4.1项和投标人须知一览表的要求外，还应遵守以下规定：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（1）联合体各方应按招标文件提供的格式签订联合体协议书，明确联合体牵头人和各方权利义务；</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（2）由同一专业的单位组成的联合体，按照资质等级较低的单位确定资质等级；</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（3）联合体各方不得再以自己名义单独或参加其他联合体在本项目中投标。</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1.4.3投标人不得存在下列情形之一，否则取消其投标资格：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（1）为招标人不具有独立法人资格的附属机构（单位）；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（2）为本招标项目前期准备提供设计或咨询服务的；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（3）为本招标项目的监理人；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（4）为本招标项目的代建人；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（5）为本招标项目提供招标代理服务的；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（6）与本招标项目的监理人或代建人或招标代理机构同为一个法定代表人的；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（7）与本招标项目的监理人或代建人或招标代理机构相互控股或参股的；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（8）与本招标项目的监理人或代建人或招标代理机构相互任职或工作的；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（9）被责令停业的；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（10）被暂停或取消投标资格的；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（11）财产被接管或冻结的；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（12）在最近三年内有骗取中标或严重违约或重大工程质量问题的；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（13）单位负责人为同一人或者存在控股、管理关系的不同单位，不得同时参加本招标项目投标。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1.5 费用承担 </w:t>
      </w:r>
    </w:p>
    <w:p>
      <w:pPr>
        <w:widowControl/>
        <w:spacing w:line="460" w:lineRule="exact"/>
        <w:ind w:firstLine="400" w:firstLineChars="200"/>
        <w:jc w:val="left"/>
        <w:rPr>
          <w:rFonts w:hint="eastAsia"/>
          <w:color w:val="000000" w:themeColor="text1"/>
          <w:kern w:val="0"/>
          <w:sz w:val="20"/>
          <w:szCs w:val="20"/>
          <w:lang w:bidi="ar"/>
          <w14:textFill>
            <w14:solidFill>
              <w14:schemeClr w14:val="tx1"/>
            </w14:solidFill>
          </w14:textFill>
        </w:rPr>
      </w:pPr>
      <w:r>
        <w:rPr>
          <w:rFonts w:hint="eastAsia"/>
          <w:color w:val="000000" w:themeColor="text1"/>
          <w:kern w:val="0"/>
          <w:sz w:val="20"/>
          <w:szCs w:val="20"/>
          <w:lang w:val="en-US" w:eastAsia="zh-CN" w:bidi="ar"/>
          <w14:textFill>
            <w14:solidFill>
              <w14:schemeClr w14:val="tx1"/>
            </w14:solidFill>
          </w14:textFill>
        </w:rPr>
        <w:t xml:space="preserve">1.5.1 </w:t>
      </w:r>
      <w:r>
        <w:rPr>
          <w:rFonts w:hint="eastAsia"/>
          <w:color w:val="000000" w:themeColor="text1"/>
          <w:kern w:val="0"/>
          <w:sz w:val="20"/>
          <w:szCs w:val="20"/>
          <w:lang w:bidi="ar"/>
          <w14:textFill>
            <w14:solidFill>
              <w14:schemeClr w14:val="tx1"/>
            </w14:solidFill>
          </w14:textFill>
        </w:rPr>
        <w:t xml:space="preserve">投标人准备和参加投标活动发生的费用自理。 </w:t>
      </w:r>
    </w:p>
    <w:p>
      <w:pPr>
        <w:widowControl/>
        <w:spacing w:line="460" w:lineRule="exact"/>
        <w:ind w:firstLine="420" w:firstLineChars="200"/>
        <w:jc w:val="left"/>
      </w:pPr>
      <w:r>
        <w:rPr>
          <w:rFonts w:hint="eastAsia"/>
          <w:lang w:val="en-US" w:eastAsia="zh-CN"/>
        </w:rPr>
        <w:t xml:space="preserve">1.5.2 </w:t>
      </w:r>
      <w:r>
        <w:rPr>
          <w:rFonts w:hint="eastAsia"/>
        </w:rPr>
        <w:t>中标人应根据有关规定，向广州公共资源交易中心交纳交易服务费。</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1.6 保密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参与招标投标活动的各方应对招标文件和投标文件中的商业和技术等秘密保密，违者应对由此造成的后果承担法律责任。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1.7 语言文字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招标投标文件使用的语言文字为中文。专用术语使用外文的，应附有中文注释。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1.8 计量单位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所有计量均采用中华人民共和国法定计量单位。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1.9 踏勘现场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1.9.1 按投标人须知一览表规定不组织踏勘现场。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1.9.2 投标人自行踏勘现场发生的费用自理。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1.9.3 投标人自行负责在踏勘现场中所发生的人员伤亡和财产损失。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1.10 投标预备会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不组织。 </w:t>
      </w:r>
    </w:p>
    <w:p>
      <w:pPr>
        <w:widowControl/>
        <w:spacing w:line="460" w:lineRule="exact"/>
        <w:jc w:val="left"/>
        <w:rPr>
          <w:rFonts w:ascii="黑体" w:eastAsia="黑体" w:cs="黑体"/>
          <w:b/>
          <w:color w:val="000000" w:themeColor="text1"/>
          <w:kern w:val="0"/>
          <w:sz w:val="24"/>
          <w:lang w:bidi="ar"/>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1.11分包</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允许。</w:t>
      </w:r>
    </w:p>
    <w:p>
      <w:pPr>
        <w:widowControl/>
        <w:spacing w:line="460" w:lineRule="exact"/>
        <w:jc w:val="left"/>
        <w:rPr>
          <w:rFonts w:ascii="黑体" w:eastAsia="黑体" w:cs="黑体"/>
          <w:b/>
          <w:color w:val="000000" w:themeColor="text1"/>
          <w:kern w:val="0"/>
          <w:sz w:val="24"/>
          <w:lang w:bidi="ar"/>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1.12偏离</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不允许投标文件偏离招标文件的要求。</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2. 招标文件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2.1 招标文件的组成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2.1.1 本招标文件包括：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（1）招标公告；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（2）投标人须知；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（3）评标办法；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（4）合同条款及格式；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（5）工程量清单及图纸电子版（投标人可自行在广州公共资源交易中心网下载）；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（6）技术标准和要求；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（7）投标文件格式；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（8）投标人须知一览表规定的其他材料。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2.1.2 根据本章第 2.2 款和第 2.3 款对招标文件所作的澄清、修改，构成招标文件的组成部分。当招标文件的澄清、修改等在同一内容的表述不一致时，以最后发出的为准。</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2.2 招标文件的澄清 </w:t>
      </w:r>
    </w:p>
    <w:p>
      <w:pPr>
        <w:widowControl/>
        <w:spacing w:line="460" w:lineRule="exact"/>
        <w:ind w:firstLine="400" w:firstLineChars="200"/>
        <w:jc w:val="left"/>
        <w:rPr>
          <w:color w:val="000000" w:themeColor="text1"/>
          <w:u w:val="none"/>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2.2.1 投标人应仔细阅读和检查招标文件的全部内容。如发现缺页或附件不全，应及时向招标人提出，以便</w:t>
      </w:r>
      <w:r>
        <w:rPr>
          <w:rFonts w:hint="eastAsia"/>
          <w:color w:val="000000" w:themeColor="text1"/>
          <w:kern w:val="0"/>
          <w:sz w:val="20"/>
          <w:szCs w:val="20"/>
          <w:u w:val="none"/>
          <w:lang w:bidi="ar"/>
          <w14:textFill>
            <w14:solidFill>
              <w14:schemeClr w14:val="tx1"/>
            </w14:solidFill>
          </w14:textFill>
        </w:rPr>
        <w:t xml:space="preserve">补齐。如有疑问，可在规定的时间内通过广州公共资源交易中心网站进入提问区域将问题提交给招标人或招标代理人。 </w:t>
      </w:r>
    </w:p>
    <w:p>
      <w:pPr>
        <w:widowControl/>
        <w:spacing w:line="460" w:lineRule="exact"/>
        <w:ind w:firstLine="400" w:firstLineChars="200"/>
        <w:jc w:val="left"/>
        <w:rPr>
          <w:color w:val="000000" w:themeColor="text1"/>
          <w:u w:val="none"/>
          <w14:textFill>
            <w14:solidFill>
              <w14:schemeClr w14:val="tx1"/>
            </w14:solidFill>
          </w14:textFill>
        </w:rPr>
      </w:pPr>
      <w:r>
        <w:rPr>
          <w:rFonts w:hint="eastAsia"/>
          <w:color w:val="000000" w:themeColor="text1"/>
          <w:kern w:val="0"/>
          <w:sz w:val="20"/>
          <w:szCs w:val="20"/>
          <w:u w:val="none"/>
          <w:lang w:bidi="ar"/>
          <w14:textFill>
            <w14:solidFill>
              <w14:schemeClr w14:val="tx1"/>
            </w14:solidFill>
          </w14:textFill>
        </w:rPr>
        <w:t xml:space="preserve">2.2.2 招标人应在投标截止时间 15 日前解答投标人对招标文件提出的疑问，形成答疑纪要，并在交易中心网站“项目答疑纪要”专区发布。 </w:t>
      </w:r>
    </w:p>
    <w:p>
      <w:pPr>
        <w:widowControl/>
        <w:spacing w:line="460" w:lineRule="exact"/>
        <w:ind w:firstLine="400" w:firstLineChars="200"/>
        <w:jc w:val="left"/>
        <w:rPr>
          <w:rFonts w:hint="eastAsia" w:eastAsia="宋体"/>
          <w:color w:val="000000" w:themeColor="text1"/>
          <w:kern w:val="0"/>
          <w:sz w:val="20"/>
          <w:szCs w:val="20"/>
          <w:u w:val="none"/>
          <w:lang w:eastAsia="zh-CN" w:bidi="ar"/>
          <w14:textFill>
            <w14:solidFill>
              <w14:schemeClr w14:val="tx1"/>
            </w14:solidFill>
          </w14:textFill>
        </w:rPr>
      </w:pPr>
      <w:r>
        <w:rPr>
          <w:rFonts w:hint="eastAsia"/>
          <w:color w:val="000000" w:themeColor="text1"/>
          <w:kern w:val="0"/>
          <w:sz w:val="20"/>
          <w:szCs w:val="20"/>
          <w:u w:val="none"/>
          <w:lang w:bidi="ar"/>
          <w14:textFill>
            <w14:solidFill>
              <w14:schemeClr w14:val="tx1"/>
            </w14:solidFill>
          </w14:textFill>
        </w:rPr>
        <w:t>2.2.3 招标文件澄清文件在招标公告发布的同一媒介上发布之日起，视为投标人已收到该澄清。投标人未及时关注招标人在网站上发布的澄清文件造成的损失，由投标人自行负责</w:t>
      </w:r>
      <w:r>
        <w:rPr>
          <w:rFonts w:hint="eastAsia"/>
          <w:color w:val="000000" w:themeColor="text1"/>
          <w:kern w:val="0"/>
          <w:sz w:val="20"/>
          <w:szCs w:val="20"/>
          <w:u w:val="none"/>
          <w:lang w:eastAsia="zh-CN" w:bidi="ar"/>
          <w14:textFill>
            <w14:solidFill>
              <w14:schemeClr w14:val="tx1"/>
            </w14:solidFill>
          </w14:textFill>
        </w:rPr>
        <w:t>。</w:t>
      </w:r>
    </w:p>
    <w:p>
      <w:pPr>
        <w:widowControl/>
        <w:spacing w:line="460" w:lineRule="exact"/>
        <w:ind w:firstLine="400" w:firstLineChars="200"/>
        <w:jc w:val="left"/>
        <w:rPr>
          <w:color w:val="000000" w:themeColor="text1"/>
          <w:u w:val="none"/>
          <w14:textFill>
            <w14:solidFill>
              <w14:schemeClr w14:val="tx1"/>
            </w14:solidFill>
          </w14:textFill>
        </w:rPr>
      </w:pPr>
      <w:r>
        <w:rPr>
          <w:rFonts w:hint="eastAsia"/>
          <w:color w:val="000000" w:themeColor="text1"/>
          <w:kern w:val="0"/>
          <w:sz w:val="20"/>
          <w:szCs w:val="20"/>
          <w:u w:val="none"/>
          <w:lang w:val="en-US" w:eastAsia="zh-CN" w:bidi="ar"/>
          <w14:textFill>
            <w14:solidFill>
              <w14:schemeClr w14:val="tx1"/>
            </w14:solidFill>
          </w14:textFill>
        </w:rPr>
        <w:t>2.2.4招标答疑纪要为招标文件的一部分。投标人可在广州公共资源交易中心网站浏览、下载招标答疑纪要</w:t>
      </w:r>
      <w:r>
        <w:rPr>
          <w:rFonts w:hint="eastAsia"/>
          <w:color w:val="000000" w:themeColor="text1"/>
          <w:kern w:val="0"/>
          <w:sz w:val="20"/>
          <w:szCs w:val="20"/>
          <w:u w:val="none"/>
          <w:lang w:bidi="ar"/>
          <w14:textFill>
            <w14:solidFill>
              <w14:schemeClr w14:val="tx1"/>
            </w14:solidFill>
          </w14:textFill>
        </w:rPr>
        <w:t xml:space="preserve">。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2.3 招标文件的修改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2.3.1 </w:t>
      </w:r>
      <w:r>
        <w:rPr>
          <w:rFonts w:hint="eastAsia"/>
          <w:color w:val="000000" w:themeColor="text1"/>
          <w:kern w:val="0"/>
          <w:sz w:val="20"/>
          <w:szCs w:val="20"/>
          <w:u w:val="none"/>
          <w:lang w:bidi="ar"/>
          <w14:textFill>
            <w14:solidFill>
              <w14:schemeClr w14:val="tx1"/>
            </w14:solidFill>
          </w14:textFill>
        </w:rPr>
        <w:t>招标文件发出后,在提交投标文件截止时间 15 日前，招标人可对招标文件进行必要的澄清或修改。</w:t>
      </w:r>
      <w:r>
        <w:rPr>
          <w:rFonts w:hint="eastAsia"/>
          <w:color w:val="000000" w:themeColor="text1"/>
          <w:kern w:val="0"/>
          <w:sz w:val="20"/>
          <w:szCs w:val="20"/>
          <w:lang w:bidi="ar"/>
          <w14:textFill>
            <w14:solidFill>
              <w14:schemeClr w14:val="tx1"/>
            </w14:solidFill>
          </w14:textFill>
        </w:rPr>
        <w:t xml:space="preserve"> </w:t>
      </w:r>
    </w:p>
    <w:p>
      <w:pPr>
        <w:widowControl/>
        <w:spacing w:line="460" w:lineRule="exact"/>
        <w:ind w:firstLine="400" w:firstLineChars="200"/>
        <w:jc w:val="left"/>
        <w:rPr>
          <w:rFonts w:hint="eastAsia"/>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2.3.2 招标文件修改文件在招标公告发布的同一媒介上发布之日起，视为投标人已收到该修改。投标人未及时关注招标人在网站上发布的修改文件造成的损失，由投标人自行负责</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val="en-US" w:eastAsia="zh-CN" w:bidi="ar"/>
          <w14:textFill>
            <w14:solidFill>
              <w14:schemeClr w14:val="tx1"/>
            </w14:solidFill>
          </w14:textFill>
        </w:rPr>
        <w:t>2.3.3</w:t>
      </w:r>
      <w:r>
        <w:rPr>
          <w:rFonts w:hint="eastAsia"/>
          <w:color w:val="000000" w:themeColor="text1"/>
          <w:kern w:val="0"/>
          <w:sz w:val="20"/>
          <w:szCs w:val="20"/>
          <w:lang w:bidi="ar"/>
          <w14:textFill>
            <w14:solidFill>
              <w14:schemeClr w14:val="tx1"/>
            </w14:solidFill>
          </w14:textFill>
        </w:rPr>
        <w:t xml:space="preserve">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3. 投标文件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3.1 投标文件的组成 </w:t>
      </w:r>
    </w:p>
    <w:p>
      <w:pPr>
        <w:widowControl/>
        <w:spacing w:line="460" w:lineRule="exact"/>
        <w:ind w:firstLine="200" w:firstLineChars="1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投标文件应包括下列内容：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（1）投标函及投标函附录；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w:t>
      </w:r>
      <w:r>
        <w:rPr>
          <w:rFonts w:hint="eastAsia"/>
          <w:color w:val="000000" w:themeColor="text1"/>
          <w14:textFill>
            <w14:solidFill>
              <w14:schemeClr w14:val="tx1"/>
            </w14:solidFill>
          </w14:textFill>
        </w:rPr>
        <w:t>法</w:t>
      </w:r>
      <w:r>
        <w:rPr>
          <w:rFonts w:hint="eastAsia"/>
          <w:color w:val="000000" w:themeColor="text1"/>
          <w:kern w:val="0"/>
          <w:sz w:val="20"/>
          <w:szCs w:val="20"/>
          <w:lang w:bidi="ar"/>
          <w14:textFill>
            <w14:solidFill>
              <w14:schemeClr w14:val="tx1"/>
            </w14:solidFill>
          </w14:textFill>
        </w:rPr>
        <w:t>定代表人身份证明或附有法定代表人身份证明的授权委托书；</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（3）联合体协议书；</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（4）投标保证金；</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（5）项目管理机构；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（6）资格审查资料；</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（7）投标人须知一览表规定的其他资料；</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（8）施工组织设计方案。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3.2 投标报价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3.2.1 投标人应在《投标函》中报下浮率，投标文件中不需要附“工程量清单”。有效投标报价下浮率的范围为大于或等于0.000%（以百分比为单位，精确到小数点后三位），不在此范围的投标报价均为无效投标报价。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3.2.2 招标人设定的最高投标限价按连平县财政投资评审中心审定的预算价下浮0.000%，投标人的投标报价不得高于最高投标限价，为最高限价。对投标报价明显低于成本价的，须对报价合理性及成本构成作书面说明（如报价成本分析等），如投标人不能合理说明或者不能提供相关证明材料的，由评标委员会认定为明显低于成本价竞标处理。</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3.2.3 投标报价（总价）已包含人工费、材料费、机械费、安全生产、文明施工费用、措施费、雨季施工、夜间施工、各专业工程进场施工配合费、错峰施工和因赶工期等所采取相应措施的费用、规定由施工方负责的保险费及税费等一切费用。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3.3 投标有效期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3.3.1 投标人须知一览表有规定，投标有效期为</w:t>
      </w:r>
      <w:r>
        <w:rPr>
          <w:rFonts w:hint="eastAsia"/>
          <w:color w:val="000000" w:themeColor="text1"/>
          <w:kern w:val="0"/>
          <w:sz w:val="20"/>
          <w:szCs w:val="20"/>
          <w:lang w:val="en-US" w:eastAsia="zh-CN" w:bidi="ar"/>
          <w14:textFill>
            <w14:solidFill>
              <w14:schemeClr w14:val="tx1"/>
            </w14:solidFill>
          </w14:textFill>
        </w:rPr>
        <w:t>90</w:t>
      </w:r>
      <w:r>
        <w:rPr>
          <w:rFonts w:hint="eastAsia"/>
          <w:color w:val="000000" w:themeColor="text1"/>
          <w:kern w:val="0"/>
          <w:sz w:val="20"/>
          <w:szCs w:val="20"/>
          <w:lang w:bidi="ar"/>
          <w14:textFill>
            <w14:solidFill>
              <w14:schemeClr w14:val="tx1"/>
            </w14:solidFill>
          </w14:textFill>
        </w:rPr>
        <w:t xml:space="preserve">日历天，从投标文件递交截止时间起计算。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3.3.2 在投标有效期内，投标人撤销或修改其投标文件的，应承担招标文件和法律规定的责任。</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3.3.3 出现特殊情况需要延长投标有效期的，招标人将在招标公告发布的同一媒介通知所有投标人延长投标有效期。投标人同意延长的，应相应延长其投标保证金的有效期，但不得要求或被允许修改或撤销其投标文件；投标人拒绝延长的，其投标失效，但投标人有权收回其投标保证金。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3.4 投标保证金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3.4.1 投标人应按投标人须知一览表的规定递交投标保证金，并作为其投标文件的组成部分。联合体投标的，其投标保证金由联合体牵头人递交，并应符合投标人须知一览表的规定。</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3.4.2 投标人不按本章第3.4.</w:t>
      </w:r>
      <w:r>
        <w:rPr>
          <w:rFonts w:hint="eastAsia"/>
          <w:color w:val="000000" w:themeColor="text1"/>
          <w:kern w:val="0"/>
          <w:sz w:val="20"/>
          <w:szCs w:val="20"/>
          <w:lang w:val="en-US" w:eastAsia="zh-CN" w:bidi="ar"/>
          <w14:textFill>
            <w14:solidFill>
              <w14:schemeClr w14:val="tx1"/>
            </w14:solidFill>
          </w14:textFill>
        </w:rPr>
        <w:t>1</w:t>
      </w:r>
      <w:r>
        <w:rPr>
          <w:rFonts w:hint="eastAsia"/>
          <w:color w:val="000000" w:themeColor="text1"/>
          <w:kern w:val="0"/>
          <w:sz w:val="20"/>
          <w:szCs w:val="20"/>
          <w:lang w:bidi="ar"/>
          <w14:textFill>
            <w14:solidFill>
              <w14:schemeClr w14:val="tx1"/>
            </w14:solidFill>
          </w14:textFill>
        </w:rPr>
        <w:t>项要求提交投标保证金的，评标委员会将否决其投标。</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3.4.3 未中标的投标人的投标保证金在中标通知书发出后10日内无息退还，中标人的投标保证金在签订合同后5个日内无息退还。</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3.4.4 有下列情形之一的，投标保证金将不予退还：</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（1）投标人在规定的投标有效期内撤销或修改其投标文件；</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（2）中标人未在规定期限内按要求递交履约担保；</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（3）中标人未在规定期限内签署合同协议；</w:t>
      </w:r>
    </w:p>
    <w:p>
      <w:pPr>
        <w:widowControl/>
        <w:spacing w:line="460" w:lineRule="exact"/>
        <w:ind w:firstLine="400" w:firstLineChars="200"/>
        <w:jc w:val="left"/>
        <w:rPr>
          <w:rFonts w:hint="eastAsia"/>
          <w:color w:val="000000" w:themeColor="text1"/>
          <w:kern w:val="0"/>
          <w:sz w:val="20"/>
          <w:szCs w:val="20"/>
          <w:lang w:eastAsia="zh-CN"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（4）投标人在本项目投标过程中有违法违规行为的</w:t>
      </w:r>
      <w:r>
        <w:rPr>
          <w:rFonts w:hint="eastAsia"/>
          <w:color w:val="000000" w:themeColor="text1"/>
          <w:kern w:val="0"/>
          <w:sz w:val="20"/>
          <w:szCs w:val="20"/>
          <w:lang w:eastAsia="zh-CN" w:bidi="ar"/>
          <w14:textFill>
            <w14:solidFill>
              <w14:schemeClr w14:val="tx1"/>
            </w14:solidFill>
          </w14:textFill>
        </w:rPr>
        <w:t>；</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（5）存在其他违反招标文件和招标人要求的行为。</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3.5 资格审查资料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3.5.1本项目资格审查资料：见投标人须知一览表。</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注明：(1</w:t>
      </w:r>
      <w:r>
        <w:rPr>
          <w:rFonts w:hint="eastAsia"/>
          <w:color w:val="000000" w:themeColor="text1"/>
          <w:kern w:val="0"/>
          <w:sz w:val="20"/>
          <w:szCs w:val="20"/>
          <w:lang w:eastAsia="zh-CN"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 xml:space="preserve">资格评审资料对应复印件、电子证书、网页打印件、法定代表人证明书或授权委托书按投标文件的编制要求编制。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w:t>
      </w:r>
      <w:r>
        <w:rPr>
          <w:rFonts w:hint="eastAsia"/>
          <w:color w:val="000000" w:themeColor="text1"/>
          <w:kern w:val="0"/>
          <w:sz w:val="20"/>
          <w:szCs w:val="20"/>
          <w:lang w:eastAsia="zh-CN" w:bidi="ar"/>
          <w14:textFill>
            <w14:solidFill>
              <w14:schemeClr w14:val="tx1"/>
            </w14:solidFill>
          </w14:textFill>
        </w:rPr>
        <w:t>)</w:t>
      </w:r>
      <w:r>
        <w:rPr>
          <w:rFonts w:hint="eastAsia"/>
          <w:color w:val="000000" w:themeColor="text1"/>
          <w:kern w:val="0"/>
          <w:sz w:val="20"/>
          <w:szCs w:val="20"/>
          <w:lang w:bidi="ar"/>
          <w14:textFill>
            <w14:solidFill>
              <w14:schemeClr w14:val="tx1"/>
            </w14:solidFill>
          </w14:textFill>
        </w:rPr>
        <w:t xml:space="preserve">资格评审资料有下列情况之一的，资格审查不予通过：①资料不齐的；②资料不符的。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3.6 签字或盖章要求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3.6.1 投标文件应按第六章“投标文件格式”进行编写，如有必要，可以增加附页，作为投标文件的组成部分。其中，投标函附录在满足招标文件实质性要求的基础上，可以提出比招标文件要求更有利于招标人的承诺。</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3.6.2 投标文件应当对招标文件有关招标范围、投标有效期、工期、质量标准、招标人要求等实质性内容作出响应。</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3.6.3 签字或盖章要求按</w:t>
      </w:r>
      <w:r>
        <w:rPr>
          <w:rFonts w:hint="eastAsia"/>
          <w:color w:val="000000" w:themeColor="text1"/>
          <w:kern w:val="0"/>
          <w:sz w:val="20"/>
          <w:szCs w:val="20"/>
          <w:lang w:eastAsia="zh-CN" w:bidi="ar"/>
          <w14:textFill>
            <w14:solidFill>
              <w14:schemeClr w14:val="tx1"/>
            </w14:solidFill>
          </w14:textFill>
        </w:rPr>
        <w:t>投标人须知一览表</w:t>
      </w:r>
      <w:r>
        <w:rPr>
          <w:rFonts w:hint="eastAsia"/>
          <w:color w:val="000000" w:themeColor="text1"/>
          <w:kern w:val="0"/>
          <w:sz w:val="20"/>
          <w:szCs w:val="20"/>
          <w:lang w:bidi="ar"/>
          <w14:textFill>
            <w14:solidFill>
              <w14:schemeClr w14:val="tx1"/>
            </w14:solidFill>
          </w14:textFill>
        </w:rPr>
        <w:t>3.</w:t>
      </w:r>
      <w:r>
        <w:rPr>
          <w:rFonts w:hint="eastAsia"/>
          <w:color w:val="000000" w:themeColor="text1"/>
          <w:kern w:val="0"/>
          <w:sz w:val="20"/>
          <w:szCs w:val="20"/>
          <w:lang w:val="en-US" w:eastAsia="zh-CN" w:bidi="ar"/>
          <w14:textFill>
            <w14:solidFill>
              <w14:schemeClr w14:val="tx1"/>
            </w14:solidFill>
          </w14:textFill>
        </w:rPr>
        <w:t>6</w:t>
      </w:r>
      <w:r>
        <w:rPr>
          <w:rFonts w:hint="eastAsia"/>
          <w:color w:val="000000" w:themeColor="text1"/>
          <w:kern w:val="0"/>
          <w:sz w:val="20"/>
          <w:szCs w:val="20"/>
          <w:lang w:bidi="ar"/>
          <w14:textFill>
            <w14:solidFill>
              <w14:schemeClr w14:val="tx1"/>
            </w14:solidFill>
          </w14:textFill>
        </w:rPr>
        <w:t xml:space="preserve">项要求。 </w:t>
      </w:r>
    </w:p>
    <w:p>
      <w:pPr>
        <w:widowControl/>
        <w:spacing w:line="460" w:lineRule="exact"/>
        <w:ind w:firstLine="402" w:firstLineChars="200"/>
        <w:jc w:val="left"/>
        <w:rPr>
          <w:b/>
          <w:bCs/>
          <w:color w:val="000000" w:themeColor="text1"/>
          <w:kern w:val="0"/>
          <w:sz w:val="20"/>
          <w:szCs w:val="20"/>
          <w:lang w:bidi="ar"/>
          <w14:textFill>
            <w14:solidFill>
              <w14:schemeClr w14:val="tx1"/>
            </w14:solidFill>
          </w14:textFill>
        </w:rPr>
      </w:pPr>
      <w:r>
        <w:rPr>
          <w:rFonts w:hint="eastAsia"/>
          <w:b/>
          <w:bCs/>
          <w:color w:val="000000" w:themeColor="text1"/>
          <w:kern w:val="0"/>
          <w:sz w:val="20"/>
          <w:szCs w:val="20"/>
          <w:lang w:bidi="ar"/>
          <w14:textFill>
            <w14:solidFill>
              <w14:schemeClr w14:val="tx1"/>
            </w14:solidFill>
          </w14:textFill>
        </w:rPr>
        <w:t>注：联合体投标时，除《联合体投标协议书》近年发生的重大诉讼及仲裁情况声明等必须联合体各方分别按要求进行签字、盖章外，投标文件封面及其他内容及落款中的“投标人”应填写联合体各方的单位全称【格式表示为：（主）XXXX公司（成）XXXX公司】，可由联合体牵头人签字、盖章即可。</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4. 投标 </w:t>
      </w:r>
    </w:p>
    <w:p>
      <w:pPr>
        <w:widowControl/>
        <w:spacing w:line="460" w:lineRule="exact"/>
        <w:jc w:val="left"/>
        <w:rPr>
          <w:rFonts w:ascii="黑体" w:eastAsia="黑体" w:cs="黑体"/>
          <w:b/>
          <w:color w:val="000000" w:themeColor="text1"/>
          <w:kern w:val="0"/>
          <w:sz w:val="24"/>
          <w:lang w:bidi="ar"/>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4.1 投标文件的密封和标记</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4.1.1 投标人应当按照招标文件和电子招标投标交易平台的要求加密投标文件，具体操作详见《房屋建筑和市政基础设施工程全流程电子化项目专章》。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4.2 投标文件的递交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4.2.1投标人应在</w:t>
      </w:r>
      <w:r>
        <w:rPr>
          <w:rFonts w:hint="eastAsia"/>
          <w:color w:val="000000" w:themeColor="text1"/>
          <w:kern w:val="0"/>
          <w:sz w:val="20"/>
          <w:szCs w:val="20"/>
          <w:lang w:eastAsia="zh-CN" w:bidi="ar"/>
          <w14:textFill>
            <w14:solidFill>
              <w14:schemeClr w14:val="tx1"/>
            </w14:solidFill>
          </w14:textFill>
        </w:rPr>
        <w:t>投标人须知一览表</w:t>
      </w:r>
      <w:r>
        <w:rPr>
          <w:rFonts w:hint="eastAsia"/>
          <w:color w:val="000000" w:themeColor="text1"/>
          <w:kern w:val="0"/>
          <w:sz w:val="20"/>
          <w:szCs w:val="20"/>
          <w:lang w:val="en-US" w:eastAsia="zh-CN" w:bidi="ar"/>
          <w14:textFill>
            <w14:solidFill>
              <w14:schemeClr w14:val="tx1"/>
            </w14:solidFill>
          </w14:textFill>
        </w:rPr>
        <w:t>5.1</w:t>
      </w:r>
      <w:r>
        <w:rPr>
          <w:rFonts w:hint="eastAsia"/>
          <w:color w:val="000000" w:themeColor="text1"/>
          <w:kern w:val="0"/>
          <w:sz w:val="20"/>
          <w:szCs w:val="20"/>
          <w:lang w:bidi="ar"/>
          <w14:textFill>
            <w14:solidFill>
              <w14:schemeClr w14:val="tx1"/>
            </w14:solidFill>
          </w14:textFill>
        </w:rPr>
        <w:t>项规定的投标截止时间前递交投标文件。</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4.2.2 投标人递交投标文件的地点：见投标人须知一览表。</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4.2.3 除投标人须知一览表另有规定外，投标人所递交的投标文件不予退还。</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4.2.4 投标人完成电子投标文件上传后，电子招标投标交易平台即时向投标人发出递交回执通知。递交时间以递交回执通知载明的传输完成时间为准。</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4.2.5 逾期送达的投标文件，电子招标投标交易平台将予以拒收。</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4.3 投标文件的修改与撤回 </w:t>
      </w:r>
    </w:p>
    <w:p>
      <w:pPr>
        <w:widowControl/>
        <w:spacing w:line="460" w:lineRule="exact"/>
        <w:ind w:firstLine="400" w:firstLineChars="200"/>
        <w:jc w:val="left"/>
        <w:rPr>
          <w:rFonts w:hint="eastAsia"/>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4.3.1在投标人须知前附表第</w:t>
      </w:r>
      <w:r>
        <w:rPr>
          <w:rFonts w:hint="eastAsia"/>
          <w:color w:val="000000" w:themeColor="text1"/>
          <w:kern w:val="0"/>
          <w:sz w:val="20"/>
          <w:szCs w:val="20"/>
          <w:lang w:val="en-US" w:eastAsia="zh-CN" w:bidi="ar"/>
          <w14:textFill>
            <w14:solidFill>
              <w14:schemeClr w14:val="tx1"/>
            </w14:solidFill>
          </w14:textFill>
        </w:rPr>
        <w:t>5.1</w:t>
      </w:r>
      <w:r>
        <w:rPr>
          <w:rFonts w:hint="eastAsia"/>
          <w:color w:val="000000" w:themeColor="text1"/>
          <w:kern w:val="0"/>
          <w:sz w:val="20"/>
          <w:szCs w:val="20"/>
          <w:lang w:bidi="ar"/>
          <w14:textFill>
            <w14:solidFill>
              <w14:schemeClr w14:val="tx1"/>
            </w14:solidFill>
          </w14:textFill>
        </w:rPr>
        <w:t>项规定的投标截止时间前，投标人可以修改或撤回已递交的投标文件，但应以书面形式通知招标人。</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4.3.2 投标人修改或撤回已递交投标文件的通知，应按照本章第</w:t>
      </w:r>
      <w:r>
        <w:rPr>
          <w:rFonts w:hint="eastAsia"/>
          <w:color w:val="000000" w:themeColor="text1"/>
          <w:kern w:val="0"/>
          <w:sz w:val="20"/>
          <w:szCs w:val="20"/>
          <w:lang w:val="en-US" w:eastAsia="zh-CN" w:bidi="ar"/>
          <w14:textFill>
            <w14:solidFill>
              <w14:schemeClr w14:val="tx1"/>
            </w14:solidFill>
          </w14:textFill>
        </w:rPr>
        <w:t>3.6</w:t>
      </w:r>
      <w:r>
        <w:rPr>
          <w:rFonts w:hint="eastAsia"/>
          <w:color w:val="000000" w:themeColor="text1"/>
          <w:kern w:val="0"/>
          <w:sz w:val="20"/>
          <w:szCs w:val="20"/>
          <w:lang w:bidi="ar"/>
          <w14:textFill>
            <w14:solidFill>
              <w14:schemeClr w14:val="tx1"/>
            </w14:solidFill>
          </w14:textFill>
        </w:rPr>
        <w:t>项的要求加盖电子印章。电子招标投标交易平台收到通知后，即时向投标人发出确认回执通知。</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5. 开标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5.1 开标时间和地点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招标人在规定的投标截止时间（开标时间）和投标人须知一览表规定的地点公开开标。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5.2 开标程序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val="en-US" w:eastAsia="zh-CN" w:bidi="ar"/>
          <w14:textFill>
            <w14:solidFill>
              <w14:schemeClr w14:val="tx1"/>
            </w14:solidFill>
          </w14:textFill>
        </w:rPr>
        <w:t>详见投标人须知一览表</w:t>
      </w:r>
      <w:r>
        <w:rPr>
          <w:rFonts w:hint="eastAsia"/>
          <w:color w:val="000000" w:themeColor="text1"/>
          <w:kern w:val="0"/>
          <w:sz w:val="20"/>
          <w:szCs w:val="20"/>
          <w:lang w:bidi="ar"/>
          <w14:textFill>
            <w14:solidFill>
              <w14:schemeClr w14:val="tx1"/>
            </w14:solidFill>
          </w14:textFill>
        </w:rPr>
        <w:t xml:space="preserve">。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5.3 开标异议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投标人对开标有异议的，应当在开标现场提出，招标人当场作出答复，并制作记录。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6. 评标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6.1 评标委员会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6.1.1 评标由招标人依法组建的评标委员会负责。评标委员会由技术等方面的专家组成。评标委员会成员人数以及技术等方面专家的确定方式见投标人须知一览表。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6.1.2 评标委员会成员有下列情形之一的，应当回避：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（1）投标人或投标人主要负责人的近亲属；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（2）项目主管部门或者行政监督部门的人员； </w:t>
      </w:r>
    </w:p>
    <w:p>
      <w:pPr>
        <w:widowControl/>
        <w:spacing w:line="460" w:lineRule="exact"/>
        <w:ind w:firstLine="400" w:firstLineChars="200"/>
        <w:jc w:val="left"/>
        <w:rPr>
          <w:b/>
          <w:bCs/>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（3）与投标人有经济利益关系；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（4）曾因在招标、评标以及其他与招标投标有关活动中从事违法行为而受过行政处罚或刑事处罚的；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（5）与投标人有其他利害关系。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6.1.3 评标过程中，评标委员会成员有回避事由、撤离职守或者因健康等原因不能继续评标的，招标人有权更换。被更换的评标委员会成员作出的评审结论无效，由更换后的评标委员会成员重新进行评审。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6.2 评标原则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评标活动遵循公平、公正、科学和择优的原则。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6.3 评标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评标委员会按照第三章“评标办法”规定的方法、评审因素、标准和程序对投标文件进行评审。第三章“评标办法”没有规定的方法、评审因素和标准，不作为评标依据。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7. 合同授予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7.1 定标方式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评标委员会根据投标人综合得分结果，按从高至低的顺序进行排名，推荐前3名的投标人为中标候选人。招标人依据评标委员会推荐的中标候选人经公示后无异议确定中标人。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7.2 中标候选人公示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7.2.1 确定中标候选人后，中标候选人将在广东省招标投标监管网及广州公共资源交易中心网公示，公示期为</w:t>
      </w:r>
      <w:r>
        <w:rPr>
          <w:rFonts w:hint="eastAsia"/>
          <w:color w:val="000000" w:themeColor="text1"/>
          <w:kern w:val="0"/>
          <w:sz w:val="20"/>
          <w:szCs w:val="20"/>
          <w:lang w:val="en-US" w:eastAsia="zh-CN" w:bidi="ar"/>
          <w14:textFill>
            <w14:solidFill>
              <w14:schemeClr w14:val="tx1"/>
            </w14:solidFill>
          </w14:textFill>
        </w:rPr>
        <w:t>3</w:t>
      </w:r>
      <w:r>
        <w:rPr>
          <w:rFonts w:hint="eastAsia"/>
          <w:color w:val="000000" w:themeColor="text1"/>
          <w:kern w:val="0"/>
          <w:sz w:val="20"/>
          <w:szCs w:val="20"/>
          <w:lang w:bidi="ar"/>
          <w14:textFill>
            <w14:solidFill>
              <w14:schemeClr w14:val="tx1"/>
            </w14:solidFill>
          </w14:textFill>
        </w:rPr>
        <w:t xml:space="preserve">日。公示期间无异议、无投诉，或经查实有异议和投诉的内容不能改变被公示人中标结果的，招标人将依法向第一中标候选人发出中标通知书（第一中标候选人即被确定为中标人）。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7.2.2 第一中标候选人放弃中标或被取消中标资格，招标人可以确定第二中标候选人为中标人或重新组织招标；若第二中标候选人放弃中标或被取消中标资格，则招标人可以确定第三中标候选人为中标人或重新组织招标；若第三中标候选人放弃中标或被取消中标资格，招标人将依法重新组织招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7.3 中标通知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在本章第</w:t>
      </w:r>
      <w:r>
        <w:rPr>
          <w:rFonts w:hint="eastAsia"/>
          <w:color w:val="000000" w:themeColor="text1"/>
          <w:kern w:val="0"/>
          <w:sz w:val="20"/>
          <w:szCs w:val="20"/>
          <w:lang w:val="en-US" w:eastAsia="zh-CN" w:bidi="ar"/>
          <w14:textFill>
            <w14:solidFill>
              <w14:schemeClr w14:val="tx1"/>
            </w14:solidFill>
          </w14:textFill>
        </w:rPr>
        <w:t>3.3</w:t>
      </w:r>
      <w:r>
        <w:rPr>
          <w:rFonts w:hint="eastAsia"/>
          <w:color w:val="000000" w:themeColor="text1"/>
          <w:kern w:val="0"/>
          <w:sz w:val="20"/>
          <w:szCs w:val="20"/>
          <w:lang w:bidi="ar"/>
          <w14:textFill>
            <w14:solidFill>
              <w14:schemeClr w14:val="tx1"/>
            </w14:solidFill>
          </w14:textFill>
        </w:rPr>
        <w:t xml:space="preserve">款规定的投标有效期内，向中标人发出中标通知书。中标通知书格式以广州公共资源交易中心格式为准。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7.4 履约担保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7.4.1 履约保证金按投标人须知一览表7.4.1款规定提交。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7.4.2 中标人不能按本章第7.4.1项要求提交履约保证金的，视为放弃中标，其投标保证金不予退还，给招标人造成的损失超过投标保证金数额的，中标人还应当对超过部分予以赔偿。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7.5 中标人须知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7.5.1招标人发现中标人有下列行为之一的，该中标无效。无论进展到何种阶段，招标人将不退还其提交的投标保证金，并报河源市相关部门依法依规处理：</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（1）中标人与其它投标人串通进行投标的；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（2）中标人拒绝执行招标文件的要求和其投标文件的承诺的；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（3）中标人以他人名义进行投标的；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（4）投标人弄虚作假骗取中标的；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（5）法律、法规规定的其他损害招标单位利益和社会公共利益的；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（6）没有按规定提交履约保证金的。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7.5.2中标人应按照《危险性较大的分部分项工程安全管理规定》（中华人民共和国住房和城乡建设部令第 37 号）的要求，加强对房屋建筑和市政基础设施工程中危险性较大的分部分项工程安全管理，有效防范生产安全事故。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7.5.3 中标人应按照《河源市建设工程文明施工和扬尘污染防治管理实施指南》（河规建通〔2018〕77 号）的要求，在项目安装扬尘监控设备，并与河源市智慧工地平台实行对接，进一步强化房屋建筑工程文明施工和扬尘污染防治管理。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7.5.4 中标人应按照《河源市住房和城乡建设局关于进一步做好建筑工地围挡工作的通知》（河住建通〔2019〕224 号）的要求，按统一标准和规范在建筑工地设置围挡。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7.5.5 中标人应严格按照《河源市住房和城乡建设局关于进一步加强房屋市政工程农民工工资支付管理的通知》（河住建通〔2021〕11 号）的要求，一是实行分账制管理，开立工人工资支付专用账户，用于发放工人工资，并与河源市智慧工地平台实行对接；二是实行用工实名制管理，应当在项目出入口设置生物识别设备，并与河源市智慧工地平台实行对接。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7.5.6 中标人落实项目实名制及分账制、扬尘噪音检测、视频监控和车牌识别监管要求的同时，应当按照《河源市住房和城乡建设局关于启用“河源市智慧工地综合信息系统平台”的通知》（河住建通〔2019〕280 号）的要求，按平台接口标准对接河源市智慧工地综合信息系统平台。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7.5.7 中标人应当根据《河源市建筑行业信用动态管理办法》（河规建通〔2018〕309 号）要求，到“河源市建筑业信用信息平台”登记注册，实行信用信息动态监管。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7.6 签订合同 </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7.6.1 建设单位和中标人应当自中标通知书发出之日起30天内，根据招标文件和中标人的投标文件订立书面合同。中标人无正当理由拒签合同的，建设单位取消其中标资格，其投标保证金不予退还；给建设单位造成的损失超过投标保证金数额的，中标人还应当对超过部分予以赔偿。</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7.6.2 发出中标通知书后，招标人无正当理由拒签合同的，招标人向中标人退还投标保证金；给中标人造成损失的，还应当赔偿损失。  </w:t>
      </w:r>
    </w:p>
    <w:p>
      <w:pPr>
        <w:widowControl/>
        <w:spacing w:line="460" w:lineRule="exact"/>
        <w:jc w:val="left"/>
        <w:rPr>
          <w:rFonts w:ascii="黑体" w:eastAsia="黑体" w:cs="黑体"/>
          <w:b/>
          <w:color w:val="000000" w:themeColor="text1"/>
          <w:kern w:val="0"/>
          <w:sz w:val="24"/>
          <w:lang w:bidi="ar"/>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7.7务工人员工资支付方式</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7.7.1务工人员工资支付方式按《保障农民工工资支付条例 》文件执行。</w:t>
      </w:r>
    </w:p>
    <w:p>
      <w:pPr>
        <w:widowControl/>
        <w:spacing w:line="460" w:lineRule="exact"/>
        <w:jc w:val="left"/>
        <w:rPr>
          <w:rFonts w:ascii="黑体" w:eastAsia="黑体" w:cs="黑体"/>
          <w:b/>
          <w:color w:val="000000" w:themeColor="text1"/>
          <w:kern w:val="0"/>
          <w:sz w:val="24"/>
          <w:lang w:bidi="ar"/>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7.8工人工资专用账户及保证金</w:t>
      </w:r>
    </w:p>
    <w:p>
      <w:pPr>
        <w:widowControl/>
        <w:numPr>
          <w:ilvl w:val="255"/>
          <w:numId w:val="0"/>
        </w:numPr>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（1）中标人应严格按照《河源市住房和城乡建设局关于进一步加强房屋市政工程农民工工资支付管理的通知》（河住建通﹝2021﹞11 号） 的要求设立工人工资专用账户，确保按时足额支付工人工资。</w:t>
      </w:r>
    </w:p>
    <w:p>
      <w:pPr>
        <w:widowControl/>
        <w:spacing w:line="460" w:lineRule="exact"/>
        <w:ind w:firstLine="400" w:firstLineChars="200"/>
        <w:jc w:val="left"/>
        <w:rPr>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（2）中标人应严格按照《连平县政府投资项目管理办法》（连府〔</w:t>
      </w:r>
      <w:r>
        <w:rPr>
          <w:color w:val="000000" w:themeColor="text1"/>
          <w:kern w:val="0"/>
          <w:sz w:val="20"/>
          <w:szCs w:val="20"/>
          <w:lang w:bidi="ar"/>
          <w14:textFill>
            <w14:solidFill>
              <w14:schemeClr w14:val="tx1"/>
            </w14:solidFill>
          </w14:textFill>
        </w:rPr>
        <w:t>2021〕5号</w:t>
      </w:r>
      <w:r>
        <w:rPr>
          <w:rFonts w:hint="eastAsia"/>
          <w:color w:val="000000" w:themeColor="text1"/>
          <w:kern w:val="0"/>
          <w:sz w:val="20"/>
          <w:szCs w:val="20"/>
          <w:lang w:bidi="ar"/>
          <w14:textFill>
            <w14:solidFill>
              <w14:schemeClr w14:val="tx1"/>
            </w14:solidFill>
          </w14:textFill>
        </w:rPr>
        <w:t>）及《河源市人力资源和社会保障局等 5 个部门关于贯彻落实〈河源市建设领域工人工资支付保证金管理办法〉 推行银行保函和保证保险制度的实施意见》（河人社规﹝2020﹞3 号） 的要求缴存和管理工人工资保证金。</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8. 纪律和监督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8.1 对招标人的纪律要求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招标人不得泄漏招标投标活动中应当保密的情况和资料，不得与投标人串通损害国家利益、社会公共利益或者他人合法权益。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8.2 对投标人的纪律要求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投标人不得相互串通投标或者与招标人串通投标，不得向招标人或者评标委员会成员行贿谋取中标，不得以他人名义投标或者以其他方式弄虚作假骗取中标；投标人不得以任何方式干扰、影响评标工作。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8.3 对评标委员会成员的纪律要求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评标委员会成员不得收受他人的财物或者其他好处，不得向他人透漏对投标文件的评审和比较、中标候选人的推荐情况以及评标有关的其他情况。在评标活动中，评标委员会成员应当客观、 公正地履行职责，遵守职业道德，不得擅离职守，影响评标程序正常进行，不得使用第三章“评标办法”没有规定的评审因素和标准进行评标。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8.4 对与评标活动有关的工作人员的纪律要求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4"/>
          <w:lang w:bidi="ar"/>
          <w14:textFill>
            <w14:solidFill>
              <w14:schemeClr w14:val="tx1"/>
            </w14:solidFill>
          </w14:textFill>
        </w:rPr>
        <w:t xml:space="preserve">8.5 投诉 </w:t>
      </w:r>
    </w:p>
    <w:p>
      <w:pPr>
        <w:widowControl/>
        <w:spacing w:line="460" w:lineRule="exact"/>
        <w:ind w:firstLine="400" w:firstLineChars="200"/>
        <w:jc w:val="left"/>
        <w:rPr>
          <w:color w:val="000000" w:themeColor="text1"/>
          <w14:textFill>
            <w14:solidFill>
              <w14:schemeClr w14:val="tx1"/>
            </w14:solidFill>
          </w14:textFill>
        </w:rPr>
      </w:pPr>
      <w:r>
        <w:rPr>
          <w:rFonts w:hint="eastAsia"/>
          <w:color w:val="000000" w:themeColor="text1"/>
          <w:kern w:val="0"/>
          <w:sz w:val="20"/>
          <w:szCs w:val="20"/>
          <w:lang w:bidi="ar"/>
          <w14:textFill>
            <w14:solidFill>
              <w14:schemeClr w14:val="tx1"/>
            </w14:solidFill>
          </w14:textFill>
        </w:rPr>
        <w:t xml:space="preserve">投标人和其他利害关系人认为本次招标活动违反法律、法规和规章规定的，有权向有关行政监督部门投诉。 </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bidi="ar"/>
          <w14:textFill>
            <w14:solidFill>
              <w14:schemeClr w14:val="tx1"/>
            </w14:solidFill>
          </w14:textFill>
        </w:rPr>
        <w:t xml:space="preserve">9. 需要补充的其他内容 </w:t>
      </w:r>
    </w:p>
    <w:p>
      <w:pPr>
        <w:widowControl/>
        <w:spacing w:line="460" w:lineRule="exact"/>
        <w:ind w:firstLine="400" w:firstLineChars="200"/>
        <w:jc w:val="left"/>
        <w:rPr>
          <w:rFonts w:hint="eastAsia"/>
          <w:color w:val="000000" w:themeColor="text1"/>
          <w:kern w:val="0"/>
          <w:sz w:val="20"/>
          <w:szCs w:val="20"/>
          <w:lang w:bidi="ar"/>
          <w14:textFill>
            <w14:solidFill>
              <w14:schemeClr w14:val="tx1"/>
            </w14:solidFill>
          </w14:textFill>
        </w:rPr>
      </w:pPr>
      <w:r>
        <w:rPr>
          <w:rFonts w:hint="eastAsia"/>
          <w:color w:val="000000" w:themeColor="text1"/>
          <w:kern w:val="0"/>
          <w:sz w:val="20"/>
          <w:szCs w:val="20"/>
          <w:lang w:bidi="ar"/>
          <w14:textFill>
            <w14:solidFill>
              <w14:schemeClr w14:val="tx1"/>
            </w14:solidFill>
          </w14:textFill>
        </w:rPr>
        <w:t>需要补充的其他内容：见投标人须知一览表。</w:t>
      </w:r>
    </w:p>
    <w:p>
      <w:pPr>
        <w:widowControl/>
        <w:spacing w:line="460" w:lineRule="exact"/>
        <w:jc w:val="left"/>
        <w:rPr>
          <w:color w:val="000000" w:themeColor="text1"/>
          <w14:textFill>
            <w14:solidFill>
              <w14:schemeClr w14:val="tx1"/>
            </w14:solidFill>
          </w14:textFill>
        </w:rPr>
      </w:pPr>
      <w:r>
        <w:rPr>
          <w:rFonts w:hint="eastAsia" w:ascii="黑体" w:eastAsia="黑体" w:cs="黑体"/>
          <w:b/>
          <w:color w:val="000000" w:themeColor="text1"/>
          <w:kern w:val="0"/>
          <w:sz w:val="28"/>
          <w:szCs w:val="28"/>
          <w:lang w:val="en-US" w:eastAsia="zh-CN" w:bidi="ar"/>
          <w14:textFill>
            <w14:solidFill>
              <w14:schemeClr w14:val="tx1"/>
            </w14:solidFill>
          </w14:textFill>
        </w:rPr>
        <w:t>10</w:t>
      </w:r>
      <w:r>
        <w:rPr>
          <w:rFonts w:hint="eastAsia" w:ascii="黑体" w:eastAsia="黑体" w:cs="黑体"/>
          <w:b/>
          <w:color w:val="000000" w:themeColor="text1"/>
          <w:kern w:val="0"/>
          <w:sz w:val="28"/>
          <w:szCs w:val="28"/>
          <w:lang w:bidi="ar"/>
          <w14:textFill>
            <w14:solidFill>
              <w14:schemeClr w14:val="tx1"/>
            </w14:solidFill>
          </w14:textFill>
        </w:rPr>
        <w:t xml:space="preserve">. 电子招标投标 </w:t>
      </w:r>
    </w:p>
    <w:p>
      <w:pPr>
        <w:widowControl/>
        <w:spacing w:line="460" w:lineRule="exact"/>
        <w:ind w:firstLine="400" w:firstLineChars="200"/>
        <w:jc w:val="left"/>
      </w:pPr>
      <w:r>
        <w:rPr>
          <w:rFonts w:hint="eastAsia"/>
          <w:color w:val="000000" w:themeColor="text1"/>
          <w:kern w:val="0"/>
          <w:sz w:val="20"/>
          <w:szCs w:val="20"/>
          <w:lang w:val="en-US" w:eastAsia="zh-CN" w:bidi="ar"/>
          <w14:textFill>
            <w14:solidFill>
              <w14:schemeClr w14:val="tx1"/>
            </w14:solidFill>
          </w14:textFill>
        </w:rPr>
        <w:t>采用电子招标投标，对投标文件的编制、密封和标记、递交、开标、评标等具体要求，见</w:t>
      </w:r>
      <w:r>
        <w:rPr>
          <w:rFonts w:hint="eastAsia"/>
          <w:color w:val="000000" w:themeColor="text1"/>
          <w:kern w:val="0"/>
          <w:sz w:val="20"/>
          <w:szCs w:val="20"/>
          <w:lang w:bidi="ar"/>
          <w14:textFill>
            <w14:solidFill>
              <w14:schemeClr w14:val="tx1"/>
            </w14:solidFill>
          </w14:textFill>
        </w:rPr>
        <w:t>投标人须知一览表。</w:t>
      </w:r>
    </w:p>
    <w:p>
      <w:pPr>
        <w:pStyle w:val="31"/>
      </w:pPr>
    </w:p>
    <w:p/>
    <w:p/>
    <w:p/>
    <w:p/>
    <w:p/>
    <w:p>
      <w:r>
        <w:rPr>
          <w:rFonts w:hint="eastAsia"/>
        </w:rPr>
        <w:br w:type="page"/>
      </w:r>
    </w:p>
    <w:p>
      <w:pPr>
        <w:pStyle w:val="2"/>
        <w:numPr>
          <w:ilvl w:val="0"/>
          <w:numId w:val="4"/>
        </w:numPr>
        <w:spacing w:line="360" w:lineRule="auto"/>
        <w:jc w:val="center"/>
      </w:pPr>
      <w:bookmarkStart w:id="185" w:name="_Toc4873"/>
      <w:bookmarkStart w:id="186" w:name="_Toc7592"/>
      <w:bookmarkStart w:id="187" w:name="_Toc25019"/>
      <w:bookmarkStart w:id="188" w:name="_Toc6751"/>
      <w:bookmarkStart w:id="189" w:name="_Toc22068"/>
      <w:bookmarkStart w:id="190" w:name="_Toc9669"/>
      <w:bookmarkStart w:id="191" w:name="_Toc14014"/>
      <w:bookmarkStart w:id="192" w:name="_Toc4610"/>
      <w:bookmarkStart w:id="193" w:name="_Toc24211"/>
      <w:bookmarkStart w:id="194" w:name="_Toc16435"/>
      <w:bookmarkStart w:id="195" w:name="_Toc9951"/>
      <w:bookmarkStart w:id="196" w:name="_Toc26794"/>
      <w:bookmarkStart w:id="197" w:name="_Hlk85052254"/>
      <w:r>
        <w:rPr>
          <w:rFonts w:hint="eastAsia"/>
        </w:rPr>
        <w:t>评标办法</w:t>
      </w:r>
      <w:bookmarkEnd w:id="185"/>
      <w:bookmarkEnd w:id="186"/>
      <w:r>
        <w:rPr>
          <w:rFonts w:hint="eastAsia"/>
        </w:rPr>
        <w:t xml:space="preserve"> （综合评估法）</w:t>
      </w:r>
      <w:bookmarkEnd w:id="187"/>
      <w:bookmarkEnd w:id="188"/>
    </w:p>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9"/>
    <w:bookmarkEnd w:id="190"/>
    <w:bookmarkEnd w:id="191"/>
    <w:bookmarkEnd w:id="192"/>
    <w:bookmarkEnd w:id="193"/>
    <w:bookmarkEnd w:id="194"/>
    <w:bookmarkEnd w:id="195"/>
    <w:bookmarkEnd w:id="196"/>
    <w:p>
      <w:pPr>
        <w:pStyle w:val="3"/>
        <w:jc w:val="left"/>
        <w:rPr>
          <w:rFonts w:ascii="宋体" w:hAnsi="宋体" w:eastAsia="宋体"/>
        </w:rPr>
      </w:pPr>
      <w:bookmarkStart w:id="198" w:name="_Toc6121"/>
      <w:bookmarkStart w:id="199" w:name="_Toc28166"/>
      <w:bookmarkStart w:id="200" w:name="_Toc25191"/>
      <w:bookmarkStart w:id="201" w:name="_Toc22780"/>
      <w:bookmarkStart w:id="202" w:name="_Toc12339"/>
      <w:bookmarkStart w:id="203" w:name="_Toc24476"/>
      <w:bookmarkStart w:id="204" w:name="_Toc144974566"/>
      <w:bookmarkStart w:id="205" w:name="_Toc24635"/>
      <w:bookmarkStart w:id="206" w:name="_Toc247527624"/>
      <w:bookmarkStart w:id="207" w:name="_Toc30893"/>
      <w:bookmarkStart w:id="208" w:name="_Toc8865"/>
      <w:bookmarkStart w:id="209" w:name="_Toc2987"/>
      <w:bookmarkStart w:id="210" w:name="_Toc9101"/>
      <w:bookmarkStart w:id="211" w:name="_Toc4156"/>
      <w:bookmarkStart w:id="212" w:name="_Toc399"/>
      <w:bookmarkStart w:id="213" w:name="_Toc2462"/>
      <w:bookmarkStart w:id="214" w:name="_Toc8337"/>
      <w:bookmarkStart w:id="215" w:name="_Toc21895"/>
      <w:bookmarkStart w:id="216" w:name="_Toc152045599"/>
      <w:bookmarkStart w:id="217" w:name="_Toc11637"/>
      <w:bookmarkStart w:id="218" w:name="_Toc29283"/>
      <w:bookmarkStart w:id="219" w:name="_Toc247514023"/>
      <w:bookmarkStart w:id="220" w:name="_Toc13178"/>
      <w:bookmarkStart w:id="221" w:name="_Toc152042376"/>
      <w:bookmarkStart w:id="222" w:name="_Toc11724"/>
      <w:bookmarkStart w:id="223" w:name="_Toc459130038"/>
      <w:bookmarkStart w:id="224" w:name="_Toc4026"/>
      <w:bookmarkStart w:id="225" w:name="_Toc23199"/>
      <w:bookmarkStart w:id="226" w:name="_Toc21791"/>
      <w:bookmarkStart w:id="227" w:name="_Toc20460"/>
      <w:bookmarkStart w:id="228" w:name="_Toc14935"/>
      <w:bookmarkStart w:id="229" w:name="_Toc4504"/>
      <w:bookmarkStart w:id="230" w:name="_Toc17670"/>
      <w:bookmarkStart w:id="231" w:name="_Toc1999"/>
      <w:r>
        <w:rPr>
          <w:rFonts w:hint="eastAsia" w:ascii="宋体" w:hAnsi="宋体" w:eastAsia="宋体"/>
        </w:rPr>
        <w:t>评标办法前附表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Style w:val="3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6"/>
        <w:gridCol w:w="1026"/>
        <w:gridCol w:w="1525"/>
        <w:gridCol w:w="5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72" w:type="dxa"/>
            <w:gridSpan w:val="3"/>
            <w:vAlign w:val="center"/>
          </w:tcPr>
          <w:p>
            <w:pPr>
              <w:widowControl/>
              <w:jc w:val="left"/>
            </w:pPr>
            <w:r>
              <w:rPr>
                <w:rFonts w:hint="eastAsia"/>
              </w:rPr>
              <w:t>条款号</w:t>
            </w:r>
          </w:p>
        </w:tc>
        <w:tc>
          <w:tcPr>
            <w:tcW w:w="1525" w:type="dxa"/>
            <w:vAlign w:val="center"/>
          </w:tcPr>
          <w:p>
            <w:pPr>
              <w:widowControl/>
              <w:jc w:val="center"/>
            </w:pPr>
            <w:r>
              <w:rPr>
                <w:rFonts w:hint="eastAsia"/>
              </w:rPr>
              <w:t>评审因素</w:t>
            </w:r>
          </w:p>
        </w:tc>
        <w:tc>
          <w:tcPr>
            <w:tcW w:w="5500" w:type="dxa"/>
            <w:vAlign w:val="center"/>
          </w:tcPr>
          <w:p>
            <w:pPr>
              <w:widowControl/>
              <w:jc w:val="center"/>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0" w:type="dxa"/>
            <w:vMerge w:val="restart"/>
            <w:vAlign w:val="center"/>
          </w:tcPr>
          <w:p>
            <w:pPr>
              <w:widowControl/>
              <w:jc w:val="left"/>
            </w:pPr>
            <w:r>
              <w:rPr>
                <w:rFonts w:hint="eastAsia"/>
              </w:rPr>
              <w:t>2.1.1</w:t>
            </w:r>
          </w:p>
        </w:tc>
        <w:tc>
          <w:tcPr>
            <w:tcW w:w="1052" w:type="dxa"/>
            <w:gridSpan w:val="2"/>
            <w:vMerge w:val="restart"/>
            <w:vAlign w:val="center"/>
          </w:tcPr>
          <w:p>
            <w:pPr>
              <w:widowControl/>
              <w:jc w:val="center"/>
            </w:pPr>
            <w:r>
              <w:rPr>
                <w:rFonts w:hint="eastAsia"/>
              </w:rPr>
              <w:t>资格后审评审标准</w:t>
            </w:r>
          </w:p>
        </w:tc>
        <w:tc>
          <w:tcPr>
            <w:tcW w:w="1525" w:type="dxa"/>
            <w:vAlign w:val="center"/>
          </w:tcPr>
          <w:p>
            <w:pPr>
              <w:widowControl/>
              <w:jc w:val="center"/>
            </w:pPr>
            <w:r>
              <w:rPr>
                <w:rFonts w:hint="eastAsia"/>
              </w:rPr>
              <w:t>营业执照</w:t>
            </w:r>
          </w:p>
        </w:tc>
        <w:tc>
          <w:tcPr>
            <w:tcW w:w="5500" w:type="dxa"/>
            <w:vAlign w:val="center"/>
          </w:tcPr>
          <w:p>
            <w:pPr>
              <w:widowControl/>
            </w:pPr>
            <w:r>
              <w:rPr>
                <w:rFonts w:hint="eastAsia"/>
              </w:rPr>
              <w:t>符合第二章“投标人须一览表”第1.4.1项规定，证明资料符合第二章“投标人须一览表”第3.5.1项要求；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资质等级</w:t>
            </w:r>
          </w:p>
        </w:tc>
        <w:tc>
          <w:tcPr>
            <w:tcW w:w="5500" w:type="dxa"/>
            <w:vAlign w:val="center"/>
          </w:tcPr>
          <w:p>
            <w:pPr>
              <w:widowControl/>
            </w:pPr>
            <w:r>
              <w:rPr>
                <w:rFonts w:hint="eastAsia"/>
              </w:rPr>
              <w:t>符合第二章“投标人须一览表”第1.4.1项规定，证明资料符合第二章“投标人须一览表”第3.5.2项要求；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项目负责人</w:t>
            </w:r>
          </w:p>
        </w:tc>
        <w:tc>
          <w:tcPr>
            <w:tcW w:w="5500" w:type="dxa"/>
            <w:vAlign w:val="center"/>
          </w:tcPr>
          <w:p>
            <w:pPr>
              <w:widowControl/>
            </w:pPr>
            <w:r>
              <w:rPr>
                <w:rFonts w:hint="eastAsia"/>
              </w:rPr>
              <w:t>符合第二章“投标人须一览表”第1.4.1项规定，证明资料符合第二章“投标人须一览表”第3.5.</w:t>
            </w:r>
            <w:r>
              <w:t>3</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专职安全员</w:t>
            </w:r>
          </w:p>
        </w:tc>
        <w:tc>
          <w:tcPr>
            <w:tcW w:w="5500" w:type="dxa"/>
            <w:vAlign w:val="center"/>
          </w:tcPr>
          <w:p>
            <w:pPr>
              <w:widowControl/>
            </w:pPr>
            <w:r>
              <w:rPr>
                <w:rFonts w:hint="eastAsia"/>
              </w:rPr>
              <w:t>符合第二章“投标人须一览表”第1.4.1项规定，证明资料符合第二章“投标人须一览表”第3.5.</w:t>
            </w:r>
            <w:r>
              <w:t>4</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缴交社保</w:t>
            </w:r>
          </w:p>
        </w:tc>
        <w:tc>
          <w:tcPr>
            <w:tcW w:w="5500" w:type="dxa"/>
            <w:vAlign w:val="center"/>
          </w:tcPr>
          <w:p>
            <w:pPr>
              <w:widowControl/>
            </w:pPr>
            <w:r>
              <w:rPr>
                <w:rFonts w:hint="eastAsia"/>
              </w:rPr>
              <w:t>符合第二章“投标人须一览表”第1.4.1项规定，证明资料符合第二章“投标人须一览表”第3.5.</w:t>
            </w:r>
            <w:r>
              <w:t>5</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jc w:val="center"/>
            </w:pPr>
            <w:r>
              <w:rPr>
                <w:rFonts w:hint="eastAsia"/>
              </w:rPr>
              <w:t>投标保证金</w:t>
            </w:r>
          </w:p>
        </w:tc>
        <w:tc>
          <w:tcPr>
            <w:tcW w:w="5500" w:type="dxa"/>
            <w:vAlign w:val="center"/>
          </w:tcPr>
          <w:p>
            <w:r>
              <w:rPr>
                <w:rFonts w:hint="eastAsia"/>
              </w:rPr>
              <w:t>符合第二章“投标人须一览表”第3.4款规定，证明资料符合第二章“投标人须一览表”第3.5.</w:t>
            </w:r>
            <w:r>
              <w:t>6</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spacing w:line="400" w:lineRule="exact"/>
              <w:jc w:val="center"/>
            </w:pPr>
            <w:r>
              <w:rPr>
                <w:rFonts w:hint="eastAsia"/>
                <w:szCs w:val="21"/>
              </w:rPr>
              <w:t>广东省省外企业进粤登记</w:t>
            </w:r>
          </w:p>
        </w:tc>
        <w:tc>
          <w:tcPr>
            <w:tcW w:w="5500" w:type="dxa"/>
            <w:vAlign w:val="center"/>
          </w:tcPr>
          <w:p>
            <w:pPr>
              <w:widowControl/>
            </w:pPr>
            <w:r>
              <w:rPr>
                <w:rFonts w:hint="eastAsia"/>
              </w:rPr>
              <w:t>符合第二章“投标人须一览表”第1.4.1项规定，证明资料符合第二章“投标人须一览表”第3.5.</w:t>
            </w:r>
            <w:r>
              <w:t>7</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联合体协议书</w:t>
            </w:r>
          </w:p>
        </w:tc>
        <w:tc>
          <w:tcPr>
            <w:tcW w:w="5500" w:type="dxa"/>
            <w:vAlign w:val="center"/>
          </w:tcPr>
          <w:p>
            <w:pPr>
              <w:widowControl/>
            </w:pPr>
            <w:r>
              <w:rPr>
                <w:rFonts w:hint="eastAsia"/>
              </w:rPr>
              <w:t>符合第二章“投标人须一览表”第1.4.1项规定，证明资料符合第二章“投标人须一览表”第3.5.</w:t>
            </w:r>
            <w:r>
              <w:t>9</w:t>
            </w:r>
            <w:r>
              <w:rPr>
                <w:rFonts w:hint="eastAsia"/>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820" w:type="dxa"/>
            <w:vMerge w:val="restart"/>
            <w:vAlign w:val="center"/>
          </w:tcPr>
          <w:p>
            <w:pPr>
              <w:widowControl/>
              <w:jc w:val="left"/>
            </w:pPr>
            <w:r>
              <w:rPr>
                <w:rFonts w:hint="eastAsia"/>
              </w:rPr>
              <w:t>2.1.2</w:t>
            </w:r>
          </w:p>
        </w:tc>
        <w:tc>
          <w:tcPr>
            <w:tcW w:w="1052" w:type="dxa"/>
            <w:gridSpan w:val="2"/>
            <w:vMerge w:val="restart"/>
            <w:vAlign w:val="center"/>
          </w:tcPr>
          <w:p>
            <w:pPr>
              <w:widowControl/>
              <w:jc w:val="center"/>
            </w:pPr>
            <w:r>
              <w:rPr>
                <w:rFonts w:hint="eastAsia"/>
              </w:rPr>
              <w:t>形式评审标准</w:t>
            </w:r>
          </w:p>
        </w:tc>
        <w:tc>
          <w:tcPr>
            <w:tcW w:w="1525" w:type="dxa"/>
            <w:vAlign w:val="center"/>
          </w:tcPr>
          <w:p>
            <w:pPr>
              <w:widowControl/>
              <w:jc w:val="center"/>
            </w:pPr>
            <w:r>
              <w:rPr>
                <w:rFonts w:hint="eastAsia"/>
              </w:rPr>
              <w:t>投标人名称</w:t>
            </w:r>
          </w:p>
        </w:tc>
        <w:tc>
          <w:tcPr>
            <w:tcW w:w="5500" w:type="dxa"/>
            <w:vAlign w:val="center"/>
          </w:tcPr>
          <w:p>
            <w:pPr>
              <w:widowControl/>
            </w:pPr>
            <w:r>
              <w:rPr>
                <w:rFonts w:hint="eastAsia"/>
              </w:rPr>
              <w:t>与营业执照、资质证书</w:t>
            </w:r>
            <w:r>
              <w:rPr>
                <w:rFonts w:hint="eastAsia"/>
                <w:lang w:eastAsia="zh-CN"/>
              </w:rPr>
              <w:t>、</w:t>
            </w:r>
            <w:r>
              <w:rPr>
                <w:rFonts w:hint="eastAsia"/>
                <w:lang w:val="en-US" w:eastAsia="zh-CN"/>
              </w:rPr>
              <w:t>安全生产许可证</w:t>
            </w:r>
            <w:r>
              <w:rPr>
                <w:rFonts w:hint="eastAsia"/>
              </w:rPr>
              <w:t>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center"/>
            </w:pPr>
          </w:p>
        </w:tc>
        <w:tc>
          <w:tcPr>
            <w:tcW w:w="1525" w:type="dxa"/>
            <w:vAlign w:val="center"/>
          </w:tcPr>
          <w:p>
            <w:pPr>
              <w:widowControl/>
              <w:jc w:val="center"/>
            </w:pPr>
            <w:r>
              <w:rPr>
                <w:rFonts w:hint="eastAsia"/>
              </w:rPr>
              <w:t>投标函签字盖章</w:t>
            </w:r>
          </w:p>
        </w:tc>
        <w:tc>
          <w:tcPr>
            <w:tcW w:w="5500" w:type="dxa"/>
            <w:vAlign w:val="center"/>
          </w:tcPr>
          <w:p>
            <w:pPr>
              <w:widowControl/>
            </w:pPr>
            <w:r>
              <w:rPr>
                <w:rFonts w:hint="eastAsia"/>
              </w:rPr>
              <w:t>有法定代表人电子印章（或签章）或其委托代理人签字或电子印章和加盖单位公章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center"/>
            </w:pPr>
          </w:p>
        </w:tc>
        <w:tc>
          <w:tcPr>
            <w:tcW w:w="1525" w:type="dxa"/>
            <w:vAlign w:val="center"/>
          </w:tcPr>
          <w:p>
            <w:pPr>
              <w:widowControl/>
              <w:jc w:val="center"/>
            </w:pPr>
            <w:r>
              <w:rPr>
                <w:rFonts w:hint="eastAsia"/>
              </w:rPr>
              <w:t>投标文件格式</w:t>
            </w:r>
          </w:p>
        </w:tc>
        <w:tc>
          <w:tcPr>
            <w:tcW w:w="5500" w:type="dxa"/>
            <w:vAlign w:val="center"/>
          </w:tcPr>
          <w:p>
            <w:pPr>
              <w:widowControl/>
            </w:pPr>
            <w:r>
              <w:rPr>
                <w:rFonts w:hint="eastAsia"/>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center"/>
            </w:pPr>
          </w:p>
        </w:tc>
        <w:tc>
          <w:tcPr>
            <w:tcW w:w="1525" w:type="dxa"/>
            <w:vAlign w:val="center"/>
          </w:tcPr>
          <w:p>
            <w:pPr>
              <w:widowControl/>
              <w:jc w:val="center"/>
            </w:pPr>
            <w:r>
              <w:rPr>
                <w:rFonts w:hint="eastAsia"/>
              </w:rPr>
              <w:t>联合体投标</w:t>
            </w:r>
          </w:p>
        </w:tc>
        <w:tc>
          <w:tcPr>
            <w:tcW w:w="5500" w:type="dxa"/>
            <w:vAlign w:val="center"/>
          </w:tcPr>
          <w:p>
            <w:pPr>
              <w:widowControl/>
            </w:pPr>
            <w:r>
              <w:rPr>
                <w:rFonts w:hint="eastAsia"/>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center"/>
            </w:pPr>
          </w:p>
        </w:tc>
        <w:tc>
          <w:tcPr>
            <w:tcW w:w="1525" w:type="dxa"/>
            <w:vAlign w:val="center"/>
          </w:tcPr>
          <w:p>
            <w:pPr>
              <w:widowControl/>
              <w:jc w:val="center"/>
            </w:pPr>
            <w:r>
              <w:rPr>
                <w:rFonts w:hint="eastAsia"/>
              </w:rPr>
              <w:t>报价唯一</w:t>
            </w:r>
          </w:p>
        </w:tc>
        <w:tc>
          <w:tcPr>
            <w:tcW w:w="5500" w:type="dxa"/>
            <w:vAlign w:val="center"/>
          </w:tcPr>
          <w:p>
            <w:pPr>
              <w:widowControl/>
            </w:pPr>
            <w:r>
              <w:rPr>
                <w:rFonts w:hint="eastAsia"/>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820" w:type="dxa"/>
            <w:vMerge w:val="restart"/>
            <w:vAlign w:val="center"/>
          </w:tcPr>
          <w:p>
            <w:pPr>
              <w:widowControl/>
              <w:jc w:val="left"/>
            </w:pPr>
            <w:r>
              <w:rPr>
                <w:rFonts w:hint="eastAsia"/>
              </w:rPr>
              <w:t>2.1.3</w:t>
            </w:r>
          </w:p>
        </w:tc>
        <w:tc>
          <w:tcPr>
            <w:tcW w:w="1052" w:type="dxa"/>
            <w:gridSpan w:val="2"/>
            <w:vMerge w:val="restart"/>
            <w:vAlign w:val="center"/>
          </w:tcPr>
          <w:p>
            <w:pPr>
              <w:widowControl/>
              <w:jc w:val="center"/>
            </w:pPr>
          </w:p>
          <w:p>
            <w:pPr>
              <w:widowControl/>
              <w:jc w:val="center"/>
            </w:pPr>
            <w:r>
              <w:rPr>
                <w:rFonts w:hint="eastAsia"/>
              </w:rPr>
              <w:t>响应性评审标准</w:t>
            </w:r>
          </w:p>
        </w:tc>
        <w:tc>
          <w:tcPr>
            <w:tcW w:w="1525" w:type="dxa"/>
            <w:vAlign w:val="center"/>
          </w:tcPr>
          <w:p>
            <w:pPr>
              <w:widowControl/>
              <w:jc w:val="center"/>
            </w:pPr>
            <w:r>
              <w:rPr>
                <w:rFonts w:hint="eastAsia"/>
              </w:rPr>
              <w:t>投标报价</w:t>
            </w:r>
          </w:p>
        </w:tc>
        <w:tc>
          <w:tcPr>
            <w:tcW w:w="5500" w:type="dxa"/>
            <w:vAlign w:val="center"/>
          </w:tcPr>
          <w:p>
            <w:pPr>
              <w:widowControl/>
            </w:pPr>
            <w:r>
              <w:rPr>
                <w:rFonts w:hint="eastAsia"/>
              </w:rPr>
              <w:t>符合第二章“投标人须一览表”第3.2项规定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投标内容</w:t>
            </w:r>
          </w:p>
        </w:tc>
        <w:tc>
          <w:tcPr>
            <w:tcW w:w="5500" w:type="dxa"/>
            <w:vAlign w:val="center"/>
          </w:tcPr>
          <w:p>
            <w:pPr>
              <w:widowControl/>
            </w:pPr>
            <w:r>
              <w:rPr>
                <w:rFonts w:hint="eastAsia"/>
              </w:rPr>
              <w:t>符合第二章“投标人须一览表”第1.3.1项规定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工期</w:t>
            </w:r>
          </w:p>
        </w:tc>
        <w:tc>
          <w:tcPr>
            <w:tcW w:w="5500" w:type="dxa"/>
            <w:vAlign w:val="center"/>
          </w:tcPr>
          <w:p>
            <w:pPr>
              <w:widowControl/>
            </w:pPr>
            <w:r>
              <w:rPr>
                <w:rFonts w:hint="eastAsia"/>
              </w:rPr>
              <w:t>符合第二章“投标人须一览表”第1.3.2项规定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质量要求</w:t>
            </w:r>
          </w:p>
        </w:tc>
        <w:tc>
          <w:tcPr>
            <w:tcW w:w="5500" w:type="dxa"/>
            <w:vAlign w:val="center"/>
          </w:tcPr>
          <w:p>
            <w:pPr>
              <w:widowControl/>
            </w:pPr>
            <w:r>
              <w:rPr>
                <w:rFonts w:hint="eastAsia"/>
              </w:rPr>
              <w:t>符合第二章“投标人须一览表”第1.3.3项规定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投标有效期</w:t>
            </w:r>
          </w:p>
        </w:tc>
        <w:tc>
          <w:tcPr>
            <w:tcW w:w="5500" w:type="dxa"/>
            <w:vAlign w:val="center"/>
          </w:tcPr>
          <w:p>
            <w:pPr>
              <w:widowControl/>
            </w:pPr>
            <w:r>
              <w:rPr>
                <w:rFonts w:hint="eastAsia"/>
              </w:rPr>
              <w:t>符合第二章“投标人须一览表”第3.3项规定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center"/>
            </w:pPr>
            <w:r>
              <w:rPr>
                <w:rFonts w:hint="eastAsia"/>
              </w:rPr>
              <w:t>投标保证金</w:t>
            </w:r>
          </w:p>
        </w:tc>
        <w:tc>
          <w:tcPr>
            <w:tcW w:w="5500" w:type="dxa"/>
            <w:vAlign w:val="center"/>
          </w:tcPr>
          <w:p>
            <w:pPr>
              <w:widowControl/>
            </w:pPr>
            <w:r>
              <w:rPr>
                <w:rFonts w:hint="eastAsia"/>
              </w:rPr>
              <w:t>符合第二章“投标人须一览表”第3.4款规定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820" w:type="dxa"/>
            <w:vMerge w:val="continue"/>
            <w:vAlign w:val="center"/>
          </w:tcPr>
          <w:p>
            <w:pPr>
              <w:widowControl/>
              <w:jc w:val="left"/>
            </w:pPr>
          </w:p>
        </w:tc>
        <w:tc>
          <w:tcPr>
            <w:tcW w:w="1052" w:type="dxa"/>
            <w:gridSpan w:val="2"/>
            <w:vMerge w:val="continue"/>
            <w:vAlign w:val="center"/>
          </w:tcPr>
          <w:p>
            <w:pPr>
              <w:widowControl/>
              <w:jc w:val="left"/>
            </w:pPr>
          </w:p>
        </w:tc>
        <w:tc>
          <w:tcPr>
            <w:tcW w:w="1525" w:type="dxa"/>
            <w:vAlign w:val="center"/>
          </w:tcPr>
          <w:p>
            <w:pPr>
              <w:widowControl/>
              <w:jc w:val="left"/>
            </w:pPr>
            <w:r>
              <w:rPr>
                <w:rFonts w:hint="eastAsia"/>
                <w:szCs w:val="21"/>
                <w:lang w:bidi="ar"/>
              </w:rPr>
              <w:t>投标文件编制</w:t>
            </w:r>
          </w:p>
        </w:tc>
        <w:tc>
          <w:tcPr>
            <w:tcW w:w="5500" w:type="dxa"/>
            <w:vAlign w:val="center"/>
          </w:tcPr>
          <w:p>
            <w:pPr>
              <w:widowControl/>
            </w:pPr>
            <w:r>
              <w:rPr>
                <w:rFonts w:hint="eastAsia"/>
              </w:rPr>
              <w:t>符合第二章“投标人须一览表”第3.6款的规定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72" w:type="dxa"/>
            <w:gridSpan w:val="3"/>
            <w:vAlign w:val="center"/>
          </w:tcPr>
          <w:p>
            <w:pPr>
              <w:widowControl/>
              <w:jc w:val="center"/>
            </w:pPr>
            <w:r>
              <w:rPr>
                <w:rFonts w:hint="eastAsia"/>
              </w:rPr>
              <w:t>条款号</w:t>
            </w:r>
          </w:p>
        </w:tc>
        <w:tc>
          <w:tcPr>
            <w:tcW w:w="1525" w:type="dxa"/>
            <w:vAlign w:val="center"/>
          </w:tcPr>
          <w:p>
            <w:pPr>
              <w:widowControl/>
              <w:jc w:val="center"/>
            </w:pPr>
            <w:r>
              <w:rPr>
                <w:rFonts w:hint="eastAsia"/>
              </w:rPr>
              <w:t>条款内容</w:t>
            </w:r>
          </w:p>
        </w:tc>
        <w:tc>
          <w:tcPr>
            <w:tcW w:w="5500" w:type="dxa"/>
            <w:vAlign w:val="center"/>
          </w:tcPr>
          <w:p>
            <w:pPr>
              <w:widowControl/>
              <w:jc w:val="center"/>
            </w:pPr>
            <w:r>
              <w:rPr>
                <w:rFonts w:hint="eastAsi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gridSpan w:val="2"/>
            <w:vAlign w:val="center"/>
          </w:tcPr>
          <w:p>
            <w:pPr>
              <w:widowControl/>
              <w:jc w:val="center"/>
            </w:pPr>
            <w:r>
              <w:rPr>
                <w:rFonts w:hint="eastAsia"/>
              </w:rPr>
              <w:t>2.2.1</w:t>
            </w:r>
          </w:p>
        </w:tc>
        <w:tc>
          <w:tcPr>
            <w:tcW w:w="1026" w:type="dxa"/>
            <w:vAlign w:val="center"/>
          </w:tcPr>
          <w:p>
            <w:pPr>
              <w:widowControl/>
              <w:jc w:val="center"/>
            </w:pPr>
            <w:r>
              <w:rPr>
                <w:rFonts w:hint="eastAsia"/>
              </w:rPr>
              <w:t>详细评审标准</w:t>
            </w:r>
          </w:p>
        </w:tc>
        <w:tc>
          <w:tcPr>
            <w:tcW w:w="1525" w:type="dxa"/>
            <w:vAlign w:val="center"/>
          </w:tcPr>
          <w:p>
            <w:pPr>
              <w:widowControl/>
              <w:jc w:val="center"/>
            </w:pPr>
            <w:r>
              <w:rPr>
                <w:rFonts w:hint="eastAsia"/>
              </w:rPr>
              <w:t>分值构成</w:t>
            </w:r>
          </w:p>
          <w:p>
            <w:pPr>
              <w:widowControl/>
              <w:jc w:val="center"/>
            </w:pPr>
            <w:r>
              <w:rPr>
                <w:rFonts w:hint="eastAsia"/>
              </w:rPr>
              <w:t>总分100分</w:t>
            </w:r>
          </w:p>
        </w:tc>
        <w:tc>
          <w:tcPr>
            <w:tcW w:w="5500" w:type="dxa"/>
            <w:vAlign w:val="center"/>
          </w:tcPr>
          <w:p>
            <w:pPr>
              <w:pStyle w:val="28"/>
              <w:spacing w:beforeAutospacing="0" w:afterAutospacing="0" w:line="276" w:lineRule="auto"/>
              <w:rPr>
                <w:rFonts w:cstheme="minorEastAsia"/>
                <w:sz w:val="21"/>
                <w:szCs w:val="21"/>
              </w:rPr>
            </w:pPr>
            <w:bookmarkStart w:id="232" w:name="_Hlk84788985"/>
            <w:r>
              <w:rPr>
                <w:rFonts w:hint="eastAsia" w:cstheme="minorEastAsia"/>
                <w:sz w:val="21"/>
                <w:szCs w:val="21"/>
              </w:rPr>
              <w:t>投标人总分满分为 100 分；</w:t>
            </w:r>
          </w:p>
          <w:p>
            <w:pPr>
              <w:spacing w:line="288" w:lineRule="auto"/>
            </w:pPr>
            <w:r>
              <w:rPr>
                <w:rFonts w:hint="eastAsia"/>
              </w:rPr>
              <w:t>投标报价：</w:t>
            </w:r>
            <w:r>
              <w:t>60</w:t>
            </w:r>
            <w:r>
              <w:rPr>
                <w:rFonts w:hint="eastAsia"/>
              </w:rPr>
              <w:t>分；</w:t>
            </w:r>
          </w:p>
          <w:p>
            <w:pPr>
              <w:pStyle w:val="28"/>
              <w:spacing w:beforeAutospacing="0" w:afterAutospacing="0" w:line="276" w:lineRule="auto"/>
              <w:rPr>
                <w:rFonts w:cstheme="minorEastAsia"/>
                <w:sz w:val="21"/>
                <w:szCs w:val="21"/>
              </w:rPr>
            </w:pPr>
            <w:r>
              <w:rPr>
                <w:rFonts w:hint="eastAsia" w:cstheme="minorEastAsia"/>
                <w:sz w:val="21"/>
                <w:szCs w:val="21"/>
              </w:rPr>
              <w:t>商务部分：</w:t>
            </w:r>
            <w:r>
              <w:rPr>
                <w:rFonts w:cstheme="minorEastAsia"/>
                <w:sz w:val="21"/>
                <w:szCs w:val="21"/>
              </w:rPr>
              <w:t>30</w:t>
            </w:r>
            <w:r>
              <w:rPr>
                <w:rFonts w:hint="eastAsia" w:cstheme="minorEastAsia"/>
                <w:sz w:val="21"/>
                <w:szCs w:val="21"/>
              </w:rPr>
              <w:t>分；</w:t>
            </w:r>
          </w:p>
          <w:p>
            <w:pPr>
              <w:pStyle w:val="28"/>
              <w:spacing w:beforeAutospacing="0" w:afterAutospacing="0" w:line="276" w:lineRule="auto"/>
              <w:rPr>
                <w:rFonts w:cstheme="minorEastAsia"/>
                <w:sz w:val="21"/>
                <w:szCs w:val="21"/>
              </w:rPr>
            </w:pPr>
            <w:r>
              <w:rPr>
                <w:rFonts w:hint="eastAsia" w:cstheme="minorEastAsia"/>
                <w:sz w:val="21"/>
                <w:szCs w:val="21"/>
              </w:rPr>
              <w:t>施工组织设计方案：1</w:t>
            </w:r>
            <w:r>
              <w:rPr>
                <w:rFonts w:cstheme="minorEastAsia"/>
                <w:sz w:val="21"/>
                <w:szCs w:val="21"/>
              </w:rPr>
              <w:t>0</w:t>
            </w:r>
            <w:r>
              <w:rPr>
                <w:rFonts w:hint="eastAsia" w:cstheme="minorEastAsia"/>
                <w:sz w:val="21"/>
                <w:szCs w:val="21"/>
              </w:rPr>
              <w:t>分。</w:t>
            </w:r>
            <w:bookmarkEnd w:id="232"/>
          </w:p>
          <w:p>
            <w:pPr>
              <w:pStyle w:val="28"/>
              <w:spacing w:beforeAutospacing="0" w:afterAutospacing="0" w:line="276" w:lineRule="auto"/>
            </w:pPr>
            <w:r>
              <w:rPr>
                <w:rFonts w:hint="eastAsia" w:cstheme="minorEastAsia"/>
                <w:sz w:val="21"/>
                <w:szCs w:val="21"/>
              </w:rPr>
              <w:t>投标人最终得分</w:t>
            </w:r>
            <w:r>
              <w:rPr>
                <w:rFonts w:cstheme="minorEastAsia"/>
                <w:sz w:val="21"/>
                <w:szCs w:val="21"/>
              </w:rPr>
              <w:t>=投标报价得分+商务</w:t>
            </w:r>
            <w:r>
              <w:rPr>
                <w:rFonts w:hint="eastAsia" w:cstheme="minorEastAsia"/>
                <w:sz w:val="21"/>
                <w:szCs w:val="21"/>
              </w:rPr>
              <w:t>部分</w:t>
            </w:r>
            <w:r>
              <w:rPr>
                <w:rFonts w:cstheme="minorEastAsia"/>
                <w:sz w:val="21"/>
                <w:szCs w:val="21"/>
              </w:rPr>
              <w:t>得分+</w:t>
            </w:r>
            <w:r>
              <w:rPr>
                <w:rFonts w:hint="eastAsia" w:cstheme="minorEastAsia"/>
                <w:sz w:val="21"/>
                <w:szCs w:val="21"/>
              </w:rPr>
              <w:t>施工组织设计方案</w:t>
            </w:r>
            <w:r>
              <w:rPr>
                <w:rFonts w:cstheme="minorEastAsia"/>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jc w:val="center"/>
        </w:trPr>
        <w:tc>
          <w:tcPr>
            <w:tcW w:w="846" w:type="dxa"/>
            <w:gridSpan w:val="2"/>
            <w:vMerge w:val="restart"/>
            <w:vAlign w:val="center"/>
          </w:tcPr>
          <w:p>
            <w:pPr>
              <w:widowControl/>
              <w:jc w:val="center"/>
            </w:pPr>
            <w:r>
              <w:rPr>
                <w:rFonts w:hint="eastAsia"/>
              </w:rPr>
              <w:t>2.2.2</w:t>
            </w:r>
          </w:p>
          <w:p>
            <w:pPr>
              <w:pStyle w:val="31"/>
              <w:ind w:firstLine="0"/>
              <w:jc w:val="center"/>
            </w:pPr>
            <w:r>
              <w:rPr>
                <w:rFonts w:hint="eastAsia"/>
              </w:rPr>
              <w:t>(</w:t>
            </w:r>
            <w:r>
              <w:t>1</w:t>
            </w:r>
            <w:r>
              <w:rPr>
                <w:rFonts w:hint="eastAsia"/>
              </w:rPr>
              <w:t>)</w:t>
            </w:r>
          </w:p>
        </w:tc>
        <w:tc>
          <w:tcPr>
            <w:tcW w:w="1026" w:type="dxa"/>
            <w:vMerge w:val="restart"/>
            <w:vAlign w:val="center"/>
          </w:tcPr>
          <w:p>
            <w:pPr>
              <w:widowControl/>
              <w:jc w:val="center"/>
            </w:pPr>
            <w:r>
              <w:rPr>
                <w:rFonts w:hint="eastAsia"/>
              </w:rPr>
              <w:t>投标报价评分标准</w:t>
            </w:r>
          </w:p>
          <w:p>
            <w:pPr>
              <w:widowControl/>
              <w:jc w:val="center"/>
            </w:pPr>
            <w:r>
              <w:rPr>
                <w:rFonts w:hint="eastAsia"/>
              </w:rPr>
              <w:t>(</w:t>
            </w:r>
            <w:r>
              <w:t>60分</w:t>
            </w:r>
            <w:r>
              <w:rPr>
                <w:rFonts w:hint="eastAsia"/>
                <w:lang w:eastAsia="zh-CN"/>
              </w:rPr>
              <w:t>）</w:t>
            </w:r>
          </w:p>
        </w:tc>
        <w:tc>
          <w:tcPr>
            <w:tcW w:w="1525" w:type="dxa"/>
            <w:vAlign w:val="center"/>
          </w:tcPr>
          <w:p>
            <w:pPr>
              <w:widowControl/>
              <w:jc w:val="center"/>
            </w:pPr>
            <w:r>
              <w:rPr>
                <w:rFonts w:hint="eastAsia"/>
              </w:rPr>
              <w:t>评标基准价</w:t>
            </w:r>
          </w:p>
          <w:p>
            <w:pPr>
              <w:widowControl/>
              <w:jc w:val="center"/>
            </w:pPr>
            <w:r>
              <w:rPr>
                <w:rFonts w:hint="eastAsia"/>
              </w:rPr>
              <w:t>计算方法</w:t>
            </w:r>
          </w:p>
        </w:tc>
        <w:tc>
          <w:tcPr>
            <w:tcW w:w="5500" w:type="dxa"/>
            <w:vAlign w:val="center"/>
          </w:tcPr>
          <w:p>
            <w:pPr>
              <w:widowControl/>
              <w:spacing w:line="240" w:lineRule="auto"/>
              <w:rPr>
                <w:szCs w:val="21"/>
              </w:rPr>
            </w:pPr>
            <w:r>
              <w:rPr>
                <w:rFonts w:hint="eastAsia"/>
                <w:b/>
                <w:bCs/>
                <w:szCs w:val="21"/>
              </w:rPr>
              <w:t>有效报价平均值：</w:t>
            </w:r>
            <w:r>
              <w:rPr>
                <w:rFonts w:hint="eastAsia"/>
                <w:szCs w:val="21"/>
              </w:rPr>
              <w:t>在所有有效投标文件的投标报价中，去掉一个最高报价和一个最低报价后取算术平均值（有效投标人在5家以下（不含5家）时直接取算术平均值）。计算平均值时，四舍五入</w:t>
            </w:r>
            <w:r>
              <w:rPr>
                <w:rFonts w:hint="eastAsia"/>
                <w:szCs w:val="21"/>
                <w:lang w:eastAsia="zh-CN"/>
              </w:rPr>
              <w:t>，</w:t>
            </w:r>
            <w:r>
              <w:rPr>
                <w:rFonts w:hint="eastAsia"/>
                <w:szCs w:val="21"/>
              </w:rPr>
              <w:t>保留小数点后两位。</w:t>
            </w:r>
          </w:p>
          <w:p>
            <w:pPr>
              <w:widowControl/>
              <w:spacing w:line="240" w:lineRule="auto"/>
              <w:rPr>
                <w:szCs w:val="21"/>
              </w:rPr>
            </w:pPr>
            <w:r>
              <w:rPr>
                <w:rFonts w:hint="eastAsia"/>
                <w:szCs w:val="21"/>
              </w:rPr>
              <w:t>在计算有效报价平均值时，当出现低于按以上方法计算的平均值*95%的投标报价，该部分投标报价不列入计算有效报价平均值范围，须去掉该部分投标报价后再取算术平均值为有效报价平均值（只去掉一次）；未出现低于按以上方法计算的平均值*95%的投标报价的算术平均值即为有效报价平均值。</w:t>
            </w:r>
          </w:p>
          <w:p>
            <w:pPr>
              <w:widowControl/>
              <w:spacing w:line="240" w:lineRule="auto"/>
              <w:rPr>
                <w:b/>
                <w:bCs/>
                <w:szCs w:val="21"/>
              </w:rPr>
            </w:pPr>
            <w:r>
              <w:rPr>
                <w:rFonts w:hint="eastAsia"/>
                <w:b/>
                <w:bCs/>
                <w:szCs w:val="21"/>
              </w:rPr>
              <w:t>评标基准价=（最高投标限价+有效报价平均值）/</w:t>
            </w:r>
            <w:r>
              <w:rPr>
                <w:b/>
                <w:bCs/>
                <w:szCs w:val="21"/>
              </w:rPr>
              <w:t>2</w:t>
            </w:r>
          </w:p>
          <w:p>
            <w:pPr>
              <w:widowControl/>
            </w:pPr>
            <w:r>
              <w:rPr>
                <w:rFonts w:hint="eastAsia"/>
                <w:szCs w:val="21"/>
              </w:rPr>
              <w:t>计算基准价时，四舍五入</w:t>
            </w:r>
            <w:r>
              <w:rPr>
                <w:rFonts w:hint="eastAsia"/>
                <w:szCs w:val="21"/>
                <w:lang w:eastAsia="zh-CN"/>
              </w:rPr>
              <w:t>，</w:t>
            </w:r>
            <w:r>
              <w:rPr>
                <w:rFonts w:hint="eastAsia"/>
                <w:szCs w:val="21"/>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6" w:type="dxa"/>
            <w:gridSpan w:val="2"/>
            <w:vMerge w:val="continue"/>
            <w:vAlign w:val="center"/>
          </w:tcPr>
          <w:p>
            <w:pPr>
              <w:widowControl/>
              <w:jc w:val="center"/>
            </w:pPr>
          </w:p>
        </w:tc>
        <w:tc>
          <w:tcPr>
            <w:tcW w:w="1026" w:type="dxa"/>
            <w:vMerge w:val="continue"/>
            <w:vAlign w:val="center"/>
          </w:tcPr>
          <w:p>
            <w:pPr>
              <w:widowControl/>
              <w:jc w:val="center"/>
            </w:pPr>
          </w:p>
        </w:tc>
        <w:tc>
          <w:tcPr>
            <w:tcW w:w="1525" w:type="dxa"/>
            <w:vAlign w:val="center"/>
          </w:tcPr>
          <w:p>
            <w:pPr>
              <w:widowControl/>
              <w:jc w:val="left"/>
            </w:pPr>
            <w:r>
              <w:rPr>
                <w:rFonts w:hint="eastAsia"/>
              </w:rPr>
              <w:t>投标报价的偏差率计算公式</w:t>
            </w:r>
          </w:p>
        </w:tc>
        <w:tc>
          <w:tcPr>
            <w:tcW w:w="5500" w:type="dxa"/>
            <w:vAlign w:val="center"/>
          </w:tcPr>
          <w:p>
            <w:pPr>
              <w:pStyle w:val="28"/>
              <w:spacing w:beforeAutospacing="0" w:afterAutospacing="0" w:line="276" w:lineRule="auto"/>
            </w:pPr>
            <w:r>
              <w:rPr>
                <w:rFonts w:hint="eastAsia"/>
                <w:sz w:val="21"/>
                <w:szCs w:val="21"/>
              </w:rPr>
              <w:t>偏差率（</w:t>
            </w:r>
            <w:r>
              <w:rPr>
                <w:sz w:val="21"/>
                <w:szCs w:val="21"/>
              </w:rPr>
              <w:t xml:space="preserve">S1）=100% </w:t>
            </w:r>
            <w:r>
              <w:rPr>
                <w:rFonts w:hint="eastAsia"/>
                <w:sz w:val="21"/>
                <w:szCs w:val="21"/>
              </w:rPr>
              <w:t>×（投标人报价</w:t>
            </w:r>
            <w:r>
              <w:rPr>
                <w:sz w:val="21"/>
                <w:szCs w:val="21"/>
              </w:rPr>
              <w:t xml:space="preserve">−评标基准价）/评标基准价， </w:t>
            </w:r>
            <w:r>
              <w:rPr>
                <w:rFonts w:hint="eastAsia"/>
                <w:sz w:val="21"/>
                <w:szCs w:val="21"/>
              </w:rPr>
              <w:t>计算</w:t>
            </w:r>
            <w:r>
              <w:rPr>
                <w:sz w:val="21"/>
                <w:szCs w:val="21"/>
              </w:rPr>
              <w:t xml:space="preserve"> S1 </w:t>
            </w:r>
            <w:r>
              <w:rPr>
                <w:rFonts w:hint="eastAsia"/>
                <w:sz w:val="21"/>
                <w:szCs w:val="21"/>
              </w:rPr>
              <w:t>时，四舍五入</w:t>
            </w:r>
            <w:r>
              <w:rPr>
                <w:rFonts w:hint="eastAsia"/>
                <w:sz w:val="21"/>
                <w:szCs w:val="21"/>
                <w:lang w:eastAsia="zh-CN"/>
              </w:rPr>
              <w:t>，</w:t>
            </w:r>
            <w:r>
              <w:rPr>
                <w:sz w:val="21"/>
                <w:szCs w:val="21"/>
              </w:rPr>
              <w:t>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46" w:type="dxa"/>
            <w:gridSpan w:val="2"/>
            <w:vMerge w:val="continue"/>
            <w:vAlign w:val="center"/>
          </w:tcPr>
          <w:p>
            <w:pPr>
              <w:widowControl/>
              <w:jc w:val="center"/>
            </w:pPr>
          </w:p>
        </w:tc>
        <w:tc>
          <w:tcPr>
            <w:tcW w:w="1026" w:type="dxa"/>
            <w:vMerge w:val="continue"/>
            <w:vAlign w:val="center"/>
          </w:tcPr>
          <w:p>
            <w:pPr>
              <w:widowControl/>
              <w:jc w:val="center"/>
            </w:pPr>
          </w:p>
        </w:tc>
        <w:tc>
          <w:tcPr>
            <w:tcW w:w="1525" w:type="dxa"/>
            <w:vAlign w:val="center"/>
          </w:tcPr>
          <w:p>
            <w:pPr>
              <w:widowControl/>
              <w:jc w:val="center"/>
            </w:pPr>
            <w:r>
              <w:rPr>
                <w:rFonts w:hint="eastAsia"/>
              </w:rPr>
              <w:t>投标报价排名及评分标准（</w:t>
            </w:r>
            <w:r>
              <w:t>60分）</w:t>
            </w:r>
          </w:p>
        </w:tc>
        <w:tc>
          <w:tcPr>
            <w:tcW w:w="5500" w:type="dxa"/>
            <w:vAlign w:val="center"/>
          </w:tcPr>
          <w:p>
            <w:pPr>
              <w:pStyle w:val="28"/>
              <w:spacing w:beforeAutospacing="0" w:afterAutospacing="0" w:line="276" w:lineRule="auto"/>
              <w:rPr>
                <w:sz w:val="21"/>
                <w:szCs w:val="21"/>
              </w:rPr>
            </w:pPr>
            <w:r>
              <w:rPr>
                <w:rFonts w:hint="eastAsia"/>
                <w:sz w:val="21"/>
                <w:szCs w:val="21"/>
              </w:rPr>
              <w:t>（</w:t>
            </w:r>
            <w:r>
              <w:rPr>
                <w:sz w:val="21"/>
                <w:szCs w:val="21"/>
              </w:rPr>
              <w:t>1）若投标人的投标报价</w:t>
            </w:r>
            <w:r>
              <w:rPr>
                <w:rFonts w:hint="eastAsia"/>
                <w:sz w:val="21"/>
                <w:szCs w:val="21"/>
                <w:lang w:eastAsia="zh-CN"/>
              </w:rPr>
              <w:t>〉</w:t>
            </w:r>
            <w:r>
              <w:rPr>
                <w:sz w:val="21"/>
                <w:szCs w:val="21"/>
              </w:rPr>
              <w:t>评标基准价，则报价得分＝60－偏差率×60×E1；</w:t>
            </w:r>
          </w:p>
          <w:p>
            <w:pPr>
              <w:pStyle w:val="28"/>
              <w:spacing w:beforeAutospacing="0" w:afterAutospacing="0" w:line="276" w:lineRule="auto"/>
              <w:rPr>
                <w:sz w:val="21"/>
                <w:szCs w:val="21"/>
              </w:rPr>
            </w:pPr>
            <w:r>
              <w:rPr>
                <w:rFonts w:hint="eastAsia"/>
                <w:sz w:val="21"/>
                <w:szCs w:val="21"/>
              </w:rPr>
              <w:t>（</w:t>
            </w:r>
            <w:r>
              <w:rPr>
                <w:sz w:val="21"/>
                <w:szCs w:val="21"/>
              </w:rPr>
              <w:t>2）若投标人的投标报价≤评标基准价，则报价得分＝60+偏差率×60×E2。</w:t>
            </w:r>
          </w:p>
          <w:p>
            <w:pPr>
              <w:pStyle w:val="28"/>
              <w:spacing w:beforeAutospacing="0" w:afterAutospacing="0" w:line="276" w:lineRule="auto"/>
              <w:rPr>
                <w:sz w:val="21"/>
                <w:szCs w:val="21"/>
              </w:rPr>
            </w:pPr>
            <w:r>
              <w:rPr>
                <w:rFonts w:hint="eastAsia"/>
                <w:sz w:val="21"/>
                <w:szCs w:val="21"/>
              </w:rPr>
              <w:t>其中：</w:t>
            </w:r>
            <w:r>
              <w:rPr>
                <w:sz w:val="21"/>
                <w:szCs w:val="21"/>
              </w:rPr>
              <w:t>E1=1.0是投标报价每高于评标基准价一个百分点的扣分值；</w:t>
            </w:r>
          </w:p>
          <w:p>
            <w:pPr>
              <w:pStyle w:val="28"/>
              <w:spacing w:beforeAutospacing="0" w:afterAutospacing="0" w:line="276" w:lineRule="auto"/>
              <w:rPr>
                <w:sz w:val="21"/>
                <w:szCs w:val="21"/>
              </w:rPr>
            </w:pPr>
            <w:r>
              <w:rPr>
                <w:sz w:val="21"/>
                <w:szCs w:val="21"/>
              </w:rPr>
              <w:t>E2=0.5是投标报价每低于评标基准价一个百分点的扣分值。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872" w:type="dxa"/>
            <w:gridSpan w:val="3"/>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条款号</w:t>
            </w:r>
          </w:p>
        </w:tc>
        <w:tc>
          <w:tcPr>
            <w:tcW w:w="1525" w:type="dxa"/>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评分因素</w:t>
            </w:r>
          </w:p>
        </w:tc>
        <w:tc>
          <w:tcPr>
            <w:tcW w:w="5500" w:type="dxa"/>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46" w:type="dxa"/>
            <w:gridSpan w:val="2"/>
            <w:vMerge w:val="restart"/>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2.2.</w:t>
            </w:r>
            <w:r>
              <w:rPr>
                <w:rFonts w:asciiTheme="minorEastAsia" w:hAnsiTheme="minorEastAsia" w:eastAsiaTheme="minorEastAsia" w:cstheme="minorEastAsia"/>
              </w:rPr>
              <w:t>2</w:t>
            </w:r>
            <w:r>
              <w:rPr>
                <w:rFonts w:hint="eastAsia" w:asciiTheme="minorEastAsia" w:hAnsiTheme="minorEastAsia" w:eastAsiaTheme="minorEastAsia" w:cstheme="minorEastAsia"/>
              </w:rPr>
              <w:t>（</w:t>
            </w:r>
            <w:r>
              <w:rPr>
                <w:rFonts w:asciiTheme="minorEastAsia" w:hAnsiTheme="minorEastAsia" w:eastAsiaTheme="minorEastAsia" w:cstheme="minorEastAsia"/>
              </w:rPr>
              <w:t>2</w:t>
            </w:r>
            <w:r>
              <w:rPr>
                <w:rFonts w:hint="eastAsia" w:asciiTheme="minorEastAsia" w:hAnsiTheme="minorEastAsia" w:eastAsiaTheme="minorEastAsia" w:cstheme="minorEastAsia"/>
              </w:rPr>
              <w:t>）</w:t>
            </w:r>
          </w:p>
        </w:tc>
        <w:tc>
          <w:tcPr>
            <w:tcW w:w="1026" w:type="dxa"/>
            <w:vMerge w:val="restart"/>
            <w:vAlign w:val="center"/>
          </w:tcPr>
          <w:p>
            <w:pPr>
              <w:widowControl/>
              <w:ind w:left="-115" w:leftChars="-55" w:right="-76" w:rightChars="-36"/>
              <w:jc w:val="center"/>
              <w:rPr>
                <w:rFonts w:asciiTheme="minorEastAsia" w:hAnsiTheme="minorEastAsia" w:eastAsiaTheme="minorEastAsia" w:cstheme="minorEastAsia"/>
              </w:rPr>
            </w:pPr>
            <w:r>
              <w:rPr>
                <w:rFonts w:hint="eastAsia" w:asciiTheme="minorEastAsia" w:hAnsiTheme="minorEastAsia" w:eastAsiaTheme="minorEastAsia" w:cstheme="minorEastAsia"/>
              </w:rPr>
              <w:t>商务部分评分标准（</w:t>
            </w:r>
            <w:r>
              <w:rPr>
                <w:rFonts w:asciiTheme="minorEastAsia" w:hAnsiTheme="minorEastAsia" w:eastAsiaTheme="minorEastAsia" w:cstheme="minorEastAsia"/>
              </w:rPr>
              <w:t>30分）</w:t>
            </w:r>
          </w:p>
        </w:tc>
        <w:tc>
          <w:tcPr>
            <w:tcW w:w="1525" w:type="dxa"/>
            <w:vAlign w:val="center"/>
          </w:tcPr>
          <w:p>
            <w:pPr>
              <w:jc w:val="center"/>
            </w:pPr>
            <w:r>
              <w:rPr>
                <w:rFonts w:hint="eastAsia"/>
              </w:rPr>
              <w:t xml:space="preserve">项目施工管理人员配置 </w:t>
            </w:r>
            <w:r>
              <w:t xml:space="preserve"> </w:t>
            </w:r>
            <w:r>
              <w:rPr>
                <w:rFonts w:hint="eastAsia"/>
              </w:rPr>
              <w:t>（</w:t>
            </w:r>
            <w:r>
              <w:t xml:space="preserve"> 5分）</w:t>
            </w:r>
          </w:p>
          <w:p>
            <w:pPr>
              <w:pStyle w:val="31"/>
            </w:pPr>
          </w:p>
        </w:tc>
        <w:tc>
          <w:tcPr>
            <w:tcW w:w="5500" w:type="dxa"/>
            <w:vAlign w:val="center"/>
          </w:tcPr>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投标人（联合体牵头方）拟派本项目管理人员：</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1、项目负责人：拟派本工程的项目负责人同时具中级</w:t>
            </w:r>
            <w:r>
              <w:rPr>
                <w:rFonts w:hint="eastAsia" w:asciiTheme="minorEastAsia" w:hAnsiTheme="minorEastAsia" w:eastAsiaTheme="minorEastAsia" w:cstheme="minorEastAsia"/>
                <w:lang w:val="en-US" w:eastAsia="zh-CN"/>
              </w:rPr>
              <w:t>职称</w:t>
            </w:r>
            <w:r>
              <w:rPr>
                <w:rFonts w:asciiTheme="minorEastAsia" w:hAnsiTheme="minorEastAsia" w:eastAsiaTheme="minorEastAsia" w:cstheme="minorEastAsia"/>
              </w:rPr>
              <w:t>或以上工程师职称得1分，本小项最高得1分；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2、建筑施工工程师：具有建筑施工专业中级或以上工程师职称，得1分；本小项最高得1分；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3、给水排水施工工程师：具有给水排水施工专业中级或以上工程师职称，得1分；本小项最高得1分；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4、暖通与空调设备安装工程师：具有暖通与空调设备安装专业中级或以上工程师职称，得1分；本小项最高得1分；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5、配备质量员、材料员、劳务员、测量员各1名，且均需具有有效期内的从业资格证书；全部满足得1分。本小项最高得1分。</w:t>
            </w:r>
          </w:p>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注：本项最高得</w:t>
            </w:r>
            <w:r>
              <w:rPr>
                <w:rFonts w:asciiTheme="minorEastAsia" w:hAnsiTheme="minorEastAsia" w:eastAsiaTheme="minorEastAsia" w:cstheme="minorEastAsia"/>
              </w:rPr>
              <w:t>5分。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1.以上人员必须一人一岗，不得兼职。</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2.须提供相关职称证书（或从业资格证书）扫描件、有效身份证以及</w:t>
            </w:r>
            <w:r>
              <w:rPr>
                <w:rFonts w:hint="eastAsia"/>
              </w:rPr>
              <w:t>从</w:t>
            </w:r>
            <w:r>
              <w:rPr>
                <w:rFonts w:hint="eastAsia"/>
                <w:color w:val="000000" w:themeColor="text1"/>
                <w:szCs w:val="21"/>
                <w14:textFill>
                  <w14:solidFill>
                    <w14:schemeClr w14:val="tx1"/>
                  </w14:solidFill>
                </w14:textFill>
              </w:rPr>
              <w:t>2023年</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月至2023年</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月</w:t>
            </w:r>
            <w:r>
              <w:rPr>
                <w:rFonts w:hint="eastAsia"/>
              </w:rPr>
              <w:t>连续三个月以</w:t>
            </w:r>
            <w:r>
              <w:rPr>
                <w:rFonts w:asciiTheme="minorEastAsia" w:hAnsiTheme="minorEastAsia" w:eastAsiaTheme="minorEastAsia" w:cstheme="minorEastAsia"/>
              </w:rPr>
              <w:t>投标单位名义购买的社保证明材料</w:t>
            </w:r>
            <w:r>
              <w:rPr>
                <w:rFonts w:hint="eastAsia" w:hAnsi="宋体" w:cs="宋体"/>
                <w:lang w:eastAsia="zh-CN"/>
              </w:rPr>
              <w:t>（</w:t>
            </w:r>
            <w:r>
              <w:rPr>
                <w:rFonts w:hint="eastAsia"/>
                <w:color w:val="000000" w:themeColor="text1"/>
                <w:szCs w:val="21"/>
                <w:lang w:eastAsia="zh-CN"/>
                <w14:textFill>
                  <w14:solidFill>
                    <w14:schemeClr w14:val="tx1"/>
                  </w14:solidFill>
                </w14:textFill>
              </w:rPr>
              <w:t>分公司缴纳的社保予以认定，须提供购买社保的证明材料复印件</w:t>
            </w:r>
            <w:r>
              <w:rPr>
                <w:rFonts w:hint="eastAsia" w:hAnsi="宋体" w:cs="宋体"/>
                <w:lang w:eastAsia="zh-CN"/>
              </w:rPr>
              <w:t>）</w:t>
            </w:r>
            <w:r>
              <w:rPr>
                <w:rFonts w:asciiTheme="minorEastAsia" w:hAnsiTheme="minorEastAsia" w:eastAsiaTheme="minorEastAsia" w:cstheme="minorEastAsia"/>
              </w:rPr>
              <w:t>（具有社保业务部门印章）扫描件</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如拟派本项目施工管理人员已办理退休手续，则无需提供社保证明，但需提供退休证明相关材料</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，未提供不得分。</w:t>
            </w:r>
          </w:p>
          <w:p>
            <w:pPr>
              <w:widowControl/>
              <w:ind w:firstLine="420" w:firstLineChars="200"/>
              <w:jc w:val="left"/>
            </w:pPr>
            <w:r>
              <w:rPr>
                <w:rFonts w:asciiTheme="minorEastAsia" w:hAnsiTheme="minorEastAsia" w:eastAsiaTheme="minorEastAsia" w:cstheme="minorEastAsia"/>
              </w:rPr>
              <w:t>3.以上要求提供人员职称证书须提供以下其中一项有效查询途径（广东省外职称证书须提供查询网址及网上查询截图或查询电话）：A.网上查询（须提供网上查询截图及查询网址链接）；B.职称评审表（</w:t>
            </w:r>
            <w:r>
              <w:rPr>
                <w:rFonts w:hint="eastAsia" w:asciiTheme="minorEastAsia" w:hAnsiTheme="minorEastAsia" w:eastAsiaTheme="minorEastAsia" w:cstheme="minorEastAsia"/>
              </w:rPr>
              <w:t>须提供复印件）；</w:t>
            </w:r>
            <w:r>
              <w:rPr>
                <w:rFonts w:asciiTheme="minorEastAsia" w:hAnsiTheme="minorEastAsia" w:eastAsiaTheme="minorEastAsia" w:cstheme="minorEastAsia"/>
              </w:rPr>
              <w:t>C.职称评审部门证明及联系电话（须提供复印件）</w:t>
            </w:r>
            <w:r>
              <w:rPr>
                <w:rFonts w:hint="eastAsia" w:asciiTheme="minorEastAsia" w:hAnsiTheme="minorEastAsia" w:eastAsiaTheme="minorEastAsia"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6" w:type="dxa"/>
            <w:gridSpan w:val="2"/>
            <w:vMerge w:val="continue"/>
            <w:vAlign w:val="center"/>
          </w:tcPr>
          <w:p>
            <w:pPr>
              <w:widowControl/>
              <w:jc w:val="center"/>
              <w:rPr>
                <w:rFonts w:asciiTheme="minorEastAsia" w:hAnsiTheme="minorEastAsia" w:eastAsiaTheme="minorEastAsia" w:cstheme="minorEastAsia"/>
              </w:rPr>
            </w:pPr>
          </w:p>
        </w:tc>
        <w:tc>
          <w:tcPr>
            <w:tcW w:w="1026" w:type="dxa"/>
            <w:vMerge w:val="continue"/>
            <w:vAlign w:val="center"/>
          </w:tcPr>
          <w:p>
            <w:pPr>
              <w:widowControl/>
              <w:jc w:val="center"/>
              <w:rPr>
                <w:rFonts w:asciiTheme="minorEastAsia" w:hAnsiTheme="minorEastAsia" w:eastAsiaTheme="minorEastAsia" w:cstheme="minorEastAsia"/>
              </w:rPr>
            </w:pPr>
          </w:p>
        </w:tc>
        <w:tc>
          <w:tcPr>
            <w:tcW w:w="1525" w:type="dxa"/>
            <w:vAlign w:val="center"/>
          </w:tcPr>
          <w:p>
            <w:pPr>
              <w:jc w:val="center"/>
            </w:pPr>
            <w:r>
              <w:rPr>
                <w:rFonts w:hint="eastAsia"/>
              </w:rPr>
              <w:t xml:space="preserve">企业业绩 </w:t>
            </w:r>
            <w:r>
              <w:rPr>
                <w:rFonts w:hint="eastAsia"/>
                <w:lang w:val="en-US" w:eastAsia="zh-CN"/>
              </w:rPr>
              <w:t xml:space="preserve">  </w:t>
            </w:r>
            <w:r>
              <w:t xml:space="preserve"> </w:t>
            </w:r>
            <w:r>
              <w:rPr>
                <w:rFonts w:hint="eastAsia"/>
              </w:rPr>
              <w:t>（</w:t>
            </w:r>
            <w:r>
              <w:t>3分）</w:t>
            </w:r>
          </w:p>
        </w:tc>
        <w:tc>
          <w:tcPr>
            <w:tcW w:w="5500" w:type="dxa"/>
            <w:vAlign w:val="center"/>
          </w:tcPr>
          <w:p>
            <w:pPr>
              <w:widowControl/>
              <w:ind w:firstLine="0" w:firstLineChars="0"/>
              <w:jc w:val="left"/>
              <w:rPr>
                <w:rFonts w:asciiTheme="minorEastAsia" w:hAnsiTheme="minorEastAsia" w:eastAsiaTheme="minorEastAsia" w:cstheme="minorEastAsia"/>
              </w:rPr>
            </w:pPr>
            <w:r>
              <w:rPr>
                <w:rFonts w:asciiTheme="minorEastAsia" w:hAnsiTheme="minorEastAsia" w:eastAsiaTheme="minorEastAsia" w:cstheme="minorEastAsia"/>
              </w:rPr>
              <w:t>1、投标人（联合体牵头方）自20</w:t>
            </w:r>
            <w:r>
              <w:rPr>
                <w:rFonts w:hint="eastAsia" w:asciiTheme="minorEastAsia" w:hAnsiTheme="minorEastAsia" w:eastAsiaTheme="minorEastAsia" w:cstheme="minorEastAsia"/>
                <w:lang w:val="en-US" w:eastAsia="zh-CN"/>
              </w:rPr>
              <w:t>20</w:t>
            </w:r>
            <w:r>
              <w:rPr>
                <w:rFonts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asciiTheme="minorEastAsia" w:hAnsiTheme="minorEastAsia" w:eastAsiaTheme="minorEastAsia" w:cstheme="minorEastAsia"/>
              </w:rPr>
              <w:t>月1日至今，独立承建过单项合同造价在1</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00万以上建筑类工程业绩，每提供一个项目得</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分。本小项最高得</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分。</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注：本项目最高得</w:t>
            </w:r>
            <w:r>
              <w:rPr>
                <w:rFonts w:hint="eastAsia" w:asciiTheme="minorEastAsia" w:hAnsiTheme="minorEastAsia" w:eastAsiaTheme="minorEastAsia" w:cstheme="minorEastAsia"/>
                <w:lang w:val="en-US" w:eastAsia="zh-CN"/>
              </w:rPr>
              <w:t>3</w:t>
            </w:r>
            <w:r>
              <w:rPr>
                <w:rFonts w:asciiTheme="minorEastAsia" w:hAnsiTheme="minorEastAsia" w:eastAsiaTheme="minorEastAsia" w:cstheme="minorEastAsia"/>
              </w:rPr>
              <w:t>分。业绩时间以</w:t>
            </w:r>
            <w:r>
              <w:rPr>
                <w:rFonts w:asciiTheme="minorEastAsia" w:hAnsiTheme="minorEastAsia" w:eastAsiaTheme="minorEastAsia" w:cstheme="minorEastAsia"/>
                <w:b/>
                <w:bCs/>
              </w:rPr>
              <w:t>网上中标查询公示时间</w:t>
            </w:r>
            <w:r>
              <w:rPr>
                <w:rFonts w:asciiTheme="minorEastAsia" w:hAnsiTheme="minorEastAsia" w:eastAsiaTheme="minorEastAsia" w:cstheme="minorEastAsia"/>
              </w:rPr>
              <w:t>为准。业绩需提供中标公示网页截图（县级及以上公共资源交易网）及查询网址、中标通知书、合同协议书关键页扫描件、竣工验收报告书（必须有勘察、建设、设计、监理、施工单位盖章）。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46" w:type="dxa"/>
            <w:gridSpan w:val="2"/>
            <w:vMerge w:val="continue"/>
            <w:vAlign w:val="center"/>
          </w:tcPr>
          <w:p>
            <w:pPr>
              <w:widowControl/>
              <w:jc w:val="center"/>
              <w:rPr>
                <w:rFonts w:asciiTheme="minorEastAsia" w:hAnsiTheme="minorEastAsia" w:eastAsiaTheme="minorEastAsia" w:cstheme="minorEastAsia"/>
              </w:rPr>
            </w:pPr>
          </w:p>
        </w:tc>
        <w:tc>
          <w:tcPr>
            <w:tcW w:w="1026" w:type="dxa"/>
            <w:vMerge w:val="continue"/>
            <w:vAlign w:val="center"/>
          </w:tcPr>
          <w:p>
            <w:pPr>
              <w:widowControl/>
              <w:jc w:val="center"/>
              <w:rPr>
                <w:rFonts w:asciiTheme="minorEastAsia" w:hAnsiTheme="minorEastAsia" w:eastAsiaTheme="minorEastAsia" w:cstheme="minorEastAsia"/>
              </w:rPr>
            </w:pPr>
          </w:p>
        </w:tc>
        <w:tc>
          <w:tcPr>
            <w:tcW w:w="1525" w:type="dxa"/>
            <w:vMerge w:val="restart"/>
            <w:vAlign w:val="center"/>
          </w:tcPr>
          <w:p>
            <w:pPr>
              <w:widowControl/>
              <w:jc w:val="center"/>
            </w:pPr>
            <w:r>
              <w:rPr>
                <w:rFonts w:hint="eastAsia"/>
              </w:rPr>
              <w:t>企业综合实力（</w:t>
            </w:r>
            <w:r>
              <w:t>12分）</w:t>
            </w:r>
          </w:p>
        </w:tc>
        <w:tc>
          <w:tcPr>
            <w:tcW w:w="5500" w:type="dxa"/>
          </w:tcPr>
          <w:p>
            <w:pPr>
              <w:widowControl/>
              <w:ind w:firstLine="420" w:firstLineChars="200"/>
              <w:jc w:val="left"/>
            </w:pPr>
            <w:r>
              <w:rPr>
                <w:rFonts w:hint="eastAsia"/>
              </w:rPr>
              <w:t>投标人（联合体牵头方）获得过由建筑业协会或建设主管部门颁发的市级或以上“建筑业管理工作先进单位荣誉”的，得</w:t>
            </w:r>
            <w:r>
              <w:t>5分，本项最高得5分。</w:t>
            </w:r>
          </w:p>
          <w:p>
            <w:pPr>
              <w:pStyle w:val="31"/>
            </w:pPr>
            <w:r>
              <w:rPr>
                <w:rFonts w:hint="eastAsia"/>
              </w:rPr>
              <w:t>注：</w:t>
            </w:r>
            <w:r>
              <w:rPr>
                <w:rFonts w:hint="eastAsia" w:asciiTheme="minorEastAsia" w:hAnsiTheme="minorEastAsia" w:eastAsiaTheme="minorEastAsia" w:cstheme="minorEastAsia"/>
              </w:rPr>
              <w:t>本项目最高得</w:t>
            </w:r>
            <w:r>
              <w:rPr>
                <w:rFonts w:asciiTheme="minorEastAsia" w:hAnsiTheme="minorEastAsia" w:eastAsiaTheme="minorEastAsia" w:cstheme="minorEastAsia"/>
              </w:rPr>
              <w:t>5分</w:t>
            </w:r>
            <w:r>
              <w:rPr>
                <w:rFonts w:hint="eastAsia" w:asciiTheme="minorEastAsia" w:hAnsiTheme="minorEastAsia" w:eastAsiaTheme="minorEastAsia" w:cstheme="minorEastAsia"/>
              </w:rPr>
              <w:t>。</w:t>
            </w:r>
            <w:r>
              <w:rPr>
                <w:rFonts w:hint="eastAsia"/>
              </w:rPr>
              <w:t>须提供有关证明材料证书扫描件，否则不得分。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46" w:type="dxa"/>
            <w:gridSpan w:val="2"/>
            <w:vMerge w:val="continue"/>
            <w:vAlign w:val="center"/>
          </w:tcPr>
          <w:p>
            <w:pPr>
              <w:widowControl/>
              <w:jc w:val="center"/>
              <w:rPr>
                <w:rFonts w:asciiTheme="minorEastAsia" w:hAnsiTheme="minorEastAsia" w:eastAsiaTheme="minorEastAsia" w:cstheme="minorEastAsia"/>
              </w:rPr>
            </w:pPr>
          </w:p>
        </w:tc>
        <w:tc>
          <w:tcPr>
            <w:tcW w:w="1026" w:type="dxa"/>
            <w:vMerge w:val="continue"/>
            <w:vAlign w:val="center"/>
          </w:tcPr>
          <w:p>
            <w:pPr>
              <w:widowControl/>
              <w:jc w:val="center"/>
              <w:rPr>
                <w:rFonts w:asciiTheme="minorEastAsia" w:hAnsiTheme="minorEastAsia" w:eastAsiaTheme="minorEastAsia" w:cstheme="minorEastAsia"/>
              </w:rPr>
            </w:pPr>
          </w:p>
        </w:tc>
        <w:tc>
          <w:tcPr>
            <w:tcW w:w="1525" w:type="dxa"/>
            <w:vMerge w:val="continue"/>
            <w:vAlign w:val="center"/>
          </w:tcPr>
          <w:p>
            <w:pPr>
              <w:widowControl/>
              <w:jc w:val="center"/>
            </w:pPr>
          </w:p>
        </w:tc>
        <w:tc>
          <w:tcPr>
            <w:tcW w:w="5500" w:type="dxa"/>
          </w:tcPr>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投标人（联合体牵头方）自</w:t>
            </w:r>
            <w:r>
              <w:rPr>
                <w:rFonts w:asciiTheme="minorEastAsia" w:hAnsiTheme="minorEastAsia" w:eastAsiaTheme="minorEastAsia" w:cstheme="minorEastAsia"/>
              </w:rPr>
              <w:t>2020年1月1日以来获得过县级或以上税务部门颁发“企业纳税信用等级评价A级”荣誉证书：</w:t>
            </w:r>
          </w:p>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获得过</w:t>
            </w:r>
            <w:r>
              <w:rPr>
                <w:rFonts w:asciiTheme="minorEastAsia" w:hAnsiTheme="minorEastAsia" w:eastAsiaTheme="minorEastAsia" w:cstheme="minorEastAsia"/>
              </w:rPr>
              <w:t>2年的，得3分；</w:t>
            </w:r>
          </w:p>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获得过</w:t>
            </w:r>
            <w:r>
              <w:rPr>
                <w:rFonts w:asciiTheme="minorEastAsia" w:hAnsiTheme="minorEastAsia" w:eastAsiaTheme="minorEastAsia" w:cstheme="minorEastAsia"/>
              </w:rPr>
              <w:t>1年的，得1分。</w:t>
            </w:r>
          </w:p>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注：本项最高得分</w:t>
            </w:r>
            <w:r>
              <w:rPr>
                <w:rFonts w:asciiTheme="minorEastAsia" w:hAnsiTheme="minorEastAsia" w:eastAsiaTheme="minorEastAsia" w:cstheme="minorEastAsia"/>
              </w:rPr>
              <w:t>3分。须提供纳税信用A级荣誉证书复印件。A级纳税人以“国家税务总局”官网（http://hd.chinatax.gov.cn/nszx/InitCredit.html）或各省、市、县级税务局官网查询结果为准，A级纳税人只计算投标人自身（不计算投标人的分公司和子公司），提供在上述官网的查询结果网页截图或打印件。未提供或资料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46" w:type="dxa"/>
            <w:gridSpan w:val="2"/>
            <w:vMerge w:val="continue"/>
            <w:vAlign w:val="center"/>
          </w:tcPr>
          <w:p>
            <w:pPr>
              <w:widowControl/>
              <w:jc w:val="center"/>
              <w:rPr>
                <w:rFonts w:asciiTheme="minorEastAsia" w:hAnsiTheme="minorEastAsia" w:eastAsiaTheme="minorEastAsia" w:cstheme="minorEastAsia"/>
              </w:rPr>
            </w:pPr>
          </w:p>
        </w:tc>
        <w:tc>
          <w:tcPr>
            <w:tcW w:w="1026" w:type="dxa"/>
            <w:vMerge w:val="continue"/>
            <w:vAlign w:val="center"/>
          </w:tcPr>
          <w:p>
            <w:pPr>
              <w:widowControl/>
              <w:jc w:val="center"/>
              <w:rPr>
                <w:rFonts w:asciiTheme="minorEastAsia" w:hAnsiTheme="minorEastAsia" w:eastAsiaTheme="minorEastAsia" w:cstheme="minorEastAsia"/>
              </w:rPr>
            </w:pPr>
          </w:p>
        </w:tc>
        <w:tc>
          <w:tcPr>
            <w:tcW w:w="1525" w:type="dxa"/>
            <w:vMerge w:val="continue"/>
            <w:vAlign w:val="center"/>
          </w:tcPr>
          <w:p>
            <w:pPr>
              <w:widowControl/>
              <w:jc w:val="center"/>
            </w:pPr>
          </w:p>
        </w:tc>
        <w:tc>
          <w:tcPr>
            <w:tcW w:w="5500" w:type="dxa"/>
          </w:tcPr>
          <w:p>
            <w:pPr>
              <w:widowControl/>
              <w:jc w:val="left"/>
              <w:rPr>
                <w:rFonts w:asciiTheme="minorEastAsia" w:hAnsiTheme="minorEastAsia" w:eastAsiaTheme="minorEastAsia" w:cstheme="minorEastAsia"/>
              </w:rPr>
            </w:pPr>
            <w:r>
              <w:rPr>
                <w:rFonts w:asciiTheme="minorEastAsia" w:hAnsiTheme="minorEastAsia" w:eastAsiaTheme="minorEastAsia" w:cstheme="minorEastAsia"/>
              </w:rPr>
              <w:t>1、投标人（联合体牵头方）具备完善的工程施工安全标准化体系认证，达到GB/T33000-2016、JGJ59-2011、CTSSES1001-2019的要求，并获得相对应的“工程施工安全标准化体系认证证书”，得2分。本小项最高得2分。</w:t>
            </w:r>
          </w:p>
          <w:p>
            <w:pPr>
              <w:widowControl/>
              <w:jc w:val="left"/>
              <w:rPr>
                <w:rFonts w:asciiTheme="minorEastAsia" w:hAnsiTheme="minorEastAsia" w:eastAsiaTheme="minorEastAsia" w:cstheme="minorEastAsia"/>
              </w:rPr>
            </w:pPr>
            <w:r>
              <w:rPr>
                <w:rFonts w:asciiTheme="minorEastAsia" w:hAnsiTheme="minorEastAsia" w:eastAsiaTheme="minorEastAsia" w:cstheme="minorEastAsia"/>
              </w:rPr>
              <w:t>2、投标人（联合体牵头方）具备完善的工程绿色施工企业评价体系认证，达到GB/T50640-2010、CCCH1001-2020的要求，并获得相对应的“工程绿色施工企业评价体系认证证书”，得2分。本小项最高得2分。</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注：本项目最高得</w:t>
            </w:r>
            <w:r>
              <w:rPr>
                <w:rFonts w:asciiTheme="minorEastAsia" w:hAnsiTheme="minorEastAsia" w:eastAsiaTheme="minorEastAsia" w:cstheme="minorEastAsia"/>
              </w:rPr>
              <w:t>4分。证书有效性在国家认证认可监督管理委员会官网</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http://www.cnca.gov.cn/</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可查，提供相关证书复印件及认监委官网查询截图</w:t>
            </w:r>
            <w:r>
              <w:rPr>
                <w:rFonts w:hint="eastAsia" w:asciiTheme="minorEastAsia" w:hAnsiTheme="minorEastAsia" w:eastAsiaTheme="minorEastAsia"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46" w:type="dxa"/>
            <w:gridSpan w:val="2"/>
            <w:vMerge w:val="continue"/>
            <w:vAlign w:val="center"/>
          </w:tcPr>
          <w:p>
            <w:pPr>
              <w:widowControl/>
              <w:jc w:val="center"/>
              <w:rPr>
                <w:rFonts w:asciiTheme="minorEastAsia" w:hAnsiTheme="minorEastAsia" w:eastAsiaTheme="minorEastAsia" w:cstheme="minorEastAsia"/>
              </w:rPr>
            </w:pPr>
          </w:p>
        </w:tc>
        <w:tc>
          <w:tcPr>
            <w:tcW w:w="1026" w:type="dxa"/>
            <w:vMerge w:val="continue"/>
            <w:vAlign w:val="center"/>
          </w:tcPr>
          <w:p>
            <w:pPr>
              <w:widowControl/>
              <w:jc w:val="center"/>
              <w:rPr>
                <w:rFonts w:asciiTheme="minorEastAsia" w:hAnsiTheme="minorEastAsia" w:eastAsiaTheme="minorEastAsia" w:cstheme="minorEastAsia"/>
              </w:rPr>
            </w:pPr>
          </w:p>
        </w:tc>
        <w:tc>
          <w:tcPr>
            <w:tcW w:w="1525" w:type="dxa"/>
            <w:vAlign w:val="center"/>
          </w:tcPr>
          <w:p>
            <w:pPr>
              <w:jc w:val="center"/>
            </w:pPr>
            <w:r>
              <w:rPr>
                <w:rFonts w:hint="eastAsia"/>
              </w:rPr>
              <w:t xml:space="preserve">企业诚信 </w:t>
            </w:r>
            <w:r>
              <w:t xml:space="preserve"> </w:t>
            </w:r>
            <w:r>
              <w:rPr>
                <w:rFonts w:hint="eastAsia"/>
              </w:rPr>
              <w:t>（</w:t>
            </w:r>
            <w:r>
              <w:t>10分）</w:t>
            </w:r>
          </w:p>
        </w:tc>
        <w:tc>
          <w:tcPr>
            <w:tcW w:w="5500" w:type="dxa"/>
            <w:vAlign w:val="center"/>
          </w:tcPr>
          <w:p>
            <w:pPr>
              <w:widowControl/>
              <w:ind w:firstLine="210" w:firstLineChars="100"/>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投标人（联合体牵头方）在“河源市建筑业信用信息平台”的企业信用评价诚信总分：</w:t>
            </w:r>
          </w:p>
          <w:p>
            <w:pPr>
              <w:widowControl/>
              <w:jc w:val="left"/>
              <w:rPr>
                <w:rFonts w:asciiTheme="minorEastAsia" w:hAnsiTheme="minorEastAsia" w:eastAsiaTheme="minorEastAsia" w:cstheme="minorEastAsia"/>
              </w:rPr>
            </w:pPr>
            <w:r>
              <w:rPr>
                <w:rFonts w:asciiTheme="minorEastAsia" w:hAnsiTheme="minorEastAsia" w:eastAsiaTheme="minorEastAsia" w:cstheme="minorEastAsia"/>
              </w:rPr>
              <w:t>201分</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含</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以上的，得10分；</w:t>
            </w:r>
          </w:p>
          <w:p>
            <w:pPr>
              <w:widowControl/>
              <w:jc w:val="left"/>
              <w:rPr>
                <w:rFonts w:asciiTheme="minorEastAsia" w:hAnsiTheme="minorEastAsia" w:eastAsiaTheme="minorEastAsia" w:cstheme="minorEastAsia"/>
              </w:rPr>
            </w:pPr>
            <w:r>
              <w:rPr>
                <w:rFonts w:asciiTheme="minorEastAsia" w:hAnsiTheme="minorEastAsia" w:eastAsiaTheme="minorEastAsia" w:cstheme="minorEastAsia"/>
              </w:rPr>
              <w:t>151分--200分的，得5分；</w:t>
            </w:r>
          </w:p>
          <w:p>
            <w:pPr>
              <w:widowControl/>
              <w:jc w:val="left"/>
              <w:rPr>
                <w:rFonts w:asciiTheme="minorEastAsia" w:hAnsiTheme="minorEastAsia" w:eastAsiaTheme="minorEastAsia" w:cstheme="minorEastAsia"/>
              </w:rPr>
            </w:pPr>
            <w:r>
              <w:rPr>
                <w:rFonts w:asciiTheme="minorEastAsia" w:hAnsiTheme="minorEastAsia" w:eastAsiaTheme="minorEastAsia" w:cstheme="minorEastAsia"/>
              </w:rPr>
              <w:t>101分--150分的得1分。</w:t>
            </w:r>
          </w:p>
          <w:p>
            <w:pPr>
              <w:widowControl/>
              <w:jc w:val="left"/>
              <w:rPr>
                <w:rFonts w:asciiTheme="minorEastAsia" w:hAnsiTheme="minorEastAsia" w:eastAsiaTheme="minorEastAsia" w:cstheme="minorEastAsia"/>
              </w:rPr>
            </w:pPr>
            <w:r>
              <w:rPr>
                <w:rStyle w:val="82"/>
                <w:rFonts w:hint="eastAsia" w:ascii="宋体" w:hAnsi="宋体" w:eastAsia="宋体" w:cs="宋体"/>
                <w:color w:val="000000" w:themeColor="text1"/>
                <w:sz w:val="21"/>
                <w:szCs w:val="21"/>
                <w14:textFill>
                  <w14:solidFill>
                    <w14:schemeClr w14:val="tx1"/>
                  </w14:solidFill>
                </w14:textFill>
              </w:rPr>
              <w:t>注</w:t>
            </w:r>
            <w:r>
              <w:rPr>
                <w:rStyle w:val="82"/>
                <w:rFonts w:hint="eastAsia" w:cs="宋体"/>
                <w:color w:val="000000" w:themeColor="text1"/>
                <w:sz w:val="21"/>
                <w:szCs w:val="21"/>
                <w14:textFill>
                  <w14:solidFill>
                    <w14:schemeClr w14:val="tx1"/>
                  </w14:solidFill>
                </w14:textFill>
              </w:rPr>
              <w:t>：</w:t>
            </w:r>
            <w:r>
              <w:rPr>
                <w:rStyle w:val="82"/>
                <w:rFonts w:hint="eastAsia" w:ascii="宋体" w:hAnsi="宋体" w:eastAsia="宋体" w:cs="宋体"/>
                <w:color w:val="000000" w:themeColor="text1"/>
                <w:sz w:val="21"/>
                <w:szCs w:val="21"/>
                <w14:textFill>
                  <w14:solidFill>
                    <w14:schemeClr w14:val="tx1"/>
                  </w14:solidFill>
                </w14:textFill>
              </w:rPr>
              <w:t>本项最高得 10分，</w:t>
            </w:r>
            <w:r>
              <w:rPr>
                <w:rFonts w:hint="eastAsia"/>
                <w:color w:val="000000" w:themeColor="text1"/>
                <w14:textFill>
                  <w14:solidFill>
                    <w14:schemeClr w14:val="tx1"/>
                  </w14:solidFill>
                </w14:textFill>
              </w:rPr>
              <w:t>投标人的企业信用评价</w:t>
            </w:r>
            <w:r>
              <w:rPr>
                <w:rFonts w:hint="eastAsia"/>
                <w:color w:val="000000" w:themeColor="text1"/>
                <w:lang w:val="en-US" w:eastAsia="zh-CN"/>
                <w14:textFill>
                  <w14:solidFill>
                    <w14:schemeClr w14:val="tx1"/>
                  </w14:solidFill>
                </w14:textFill>
              </w:rPr>
              <w:t>评分</w:t>
            </w:r>
            <w:r>
              <w:rPr>
                <w:rFonts w:hint="eastAsia"/>
                <w:color w:val="000000" w:themeColor="text1"/>
                <w14:textFill>
                  <w14:solidFill>
                    <w14:schemeClr w14:val="tx1"/>
                  </w14:solidFill>
                </w14:textFill>
              </w:rPr>
              <w:t>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河源市建筑业信用信息平台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在截止报名当天的</w:t>
            </w:r>
            <w:r>
              <w:rPr>
                <w:rFonts w:hint="eastAsia"/>
                <w:color w:val="000000" w:themeColor="text1"/>
                <w:lang w:val="en-US" w:eastAsia="zh-CN"/>
                <w14:textFill>
                  <w14:solidFill>
                    <w14:schemeClr w14:val="tx1"/>
                  </w14:solidFill>
                </w14:textFill>
              </w:rPr>
              <w:t>评分</w:t>
            </w:r>
            <w:r>
              <w:rPr>
                <w:rFonts w:hint="eastAsia"/>
                <w:color w:val="000000" w:themeColor="text1"/>
                <w14:textFill>
                  <w14:solidFill>
                    <w14:schemeClr w14:val="tx1"/>
                  </w14:solidFill>
                </w14:textFill>
              </w:rPr>
              <w:t>分数为准，须提供网页查询截图及截图时间证明材料，不提供不得分。具体的投标人信用评价</w:t>
            </w:r>
            <w:r>
              <w:rPr>
                <w:rFonts w:hint="eastAsia"/>
                <w:color w:val="000000" w:themeColor="text1"/>
                <w:lang w:val="en-US" w:eastAsia="zh-CN"/>
                <w14:textFill>
                  <w14:solidFill>
                    <w14:schemeClr w14:val="tx1"/>
                  </w14:solidFill>
                </w14:textFill>
              </w:rPr>
              <w:t>评分</w:t>
            </w:r>
            <w:r>
              <w:rPr>
                <w:rFonts w:hint="eastAsia"/>
                <w:color w:val="000000" w:themeColor="text1"/>
                <w14:textFill>
                  <w14:solidFill>
                    <w14:schemeClr w14:val="tx1"/>
                  </w14:solidFill>
                </w14:textFill>
              </w:rPr>
              <w:t>及诚信得分以河源市公共资源网上交易平台在“河源市建筑业信用信息平台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获取的数据为准。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5" w:hRule="atLeast"/>
          <w:jc w:val="center"/>
        </w:trPr>
        <w:tc>
          <w:tcPr>
            <w:tcW w:w="846" w:type="dxa"/>
            <w:gridSpan w:val="2"/>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2.2.</w:t>
            </w:r>
            <w:r>
              <w:rPr>
                <w:rFonts w:asciiTheme="minorEastAsia" w:hAnsiTheme="minorEastAsia" w:eastAsiaTheme="minorEastAsia" w:cstheme="minorEastAsia"/>
              </w:rPr>
              <w:t>2</w:t>
            </w:r>
            <w:r>
              <w:rPr>
                <w:rFonts w:hint="eastAsia" w:asciiTheme="minorEastAsia" w:hAnsiTheme="minorEastAsia" w:eastAsiaTheme="minorEastAsia" w:cstheme="minorEastAsia"/>
              </w:rPr>
              <w:t>（</w:t>
            </w:r>
            <w:r>
              <w:rPr>
                <w:rFonts w:asciiTheme="minorEastAsia" w:hAnsiTheme="minorEastAsia" w:eastAsiaTheme="minorEastAsia" w:cstheme="minorEastAsia"/>
              </w:rPr>
              <w:t>3</w:t>
            </w:r>
            <w:r>
              <w:rPr>
                <w:rFonts w:hint="eastAsia" w:asciiTheme="minorEastAsia" w:hAnsiTheme="minorEastAsia" w:eastAsiaTheme="minorEastAsia" w:cstheme="minorEastAsia"/>
              </w:rPr>
              <w:t>）</w:t>
            </w:r>
          </w:p>
        </w:tc>
        <w:tc>
          <w:tcPr>
            <w:tcW w:w="1026" w:type="dxa"/>
            <w:vAlign w:val="center"/>
          </w:tcPr>
          <w:p>
            <w:pPr>
              <w:widowControl/>
              <w:ind w:left="-113" w:leftChars="-54" w:right="-76" w:rightChars="-36"/>
              <w:jc w:val="center"/>
              <w:rPr>
                <w:rFonts w:asciiTheme="minorEastAsia" w:hAnsiTheme="minorEastAsia" w:eastAsiaTheme="minorEastAsia" w:cstheme="minorEastAsia"/>
              </w:rPr>
            </w:pPr>
            <w:r>
              <w:rPr>
                <w:rFonts w:hint="eastAsia" w:asciiTheme="minorEastAsia" w:hAnsiTheme="minorEastAsia" w:eastAsiaTheme="minorEastAsia" w:cstheme="minorEastAsia"/>
              </w:rPr>
              <w:t>施工部分评分标准</w:t>
            </w:r>
          </w:p>
          <w:p>
            <w:pPr>
              <w:widowControl/>
              <w:ind w:left="-113" w:leftChars="-54" w:right="-76" w:rightChars="-36"/>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10</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lang w:eastAsia="zh-CN"/>
              </w:rPr>
              <w:t>）</w:t>
            </w:r>
          </w:p>
        </w:tc>
        <w:tc>
          <w:tcPr>
            <w:tcW w:w="1525" w:type="dxa"/>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施工组织设计方案部分</w:t>
            </w:r>
          </w:p>
        </w:tc>
        <w:tc>
          <w:tcPr>
            <w:tcW w:w="5500" w:type="dxa"/>
            <w:vAlign w:val="center"/>
          </w:tcPr>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1.各主要分部施工方法符合项目实际，须有详尽的施</w:t>
            </w:r>
            <w:r>
              <w:rPr>
                <w:rFonts w:hint="eastAsia" w:asciiTheme="minorEastAsia" w:hAnsiTheme="minorEastAsia" w:eastAsiaTheme="minorEastAsia" w:cstheme="minorEastAsia"/>
              </w:rPr>
              <w:t>工技术方案，工艺先进、方法科学合理、可行，能指导具体施工并确保安全。</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2.投入的施工材料有详细的组织计划且计划周密，数</w:t>
            </w:r>
            <w:r>
              <w:rPr>
                <w:rFonts w:hint="eastAsia" w:asciiTheme="minorEastAsia" w:hAnsiTheme="minorEastAsia" w:eastAsiaTheme="minorEastAsia" w:cstheme="minorEastAsia"/>
              </w:rPr>
              <w:t>量、选型配置、进场时间安排合理，满足施工需要。</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3.投入的施工机械、设备、机具有详细的组织计划且</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计划周密，设备数量、选型配置、进场时间安排合理，满足施工需要。</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4.各主要施工工序应有详细周密的劳动力安排计划，</w:t>
            </w:r>
            <w:r>
              <w:rPr>
                <w:rFonts w:hint="eastAsia" w:asciiTheme="minorEastAsia" w:hAnsiTheme="minorEastAsia" w:eastAsiaTheme="minorEastAsia" w:cstheme="minorEastAsia"/>
              </w:rPr>
              <w:t>有各工种劳动力安排计划，劳动力投入合理，满足施工需要。</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5.应有专门的质量技术管理班子和制度，且人员配备</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合理，制度健全。主要工序应有质量技术保证措施和手段，自控体系完整，能有效保证技术质量，达到承诺的质量标准。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6.应有专门的安全管理人员和制度，且人员配备合</w:t>
            </w:r>
            <w:r>
              <w:rPr>
                <w:rFonts w:hint="eastAsia" w:asciiTheme="minorEastAsia" w:hAnsiTheme="minorEastAsia" w:eastAsiaTheme="minorEastAsia" w:cstheme="minorEastAsia"/>
              </w:rPr>
              <w:t>理，制度健全，各道工序安全技术措施针对性强，符合实际且满足有关安全技术标准要求。现场防火、应急救援、社会治安安全措施得力。</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7.在施工工艺、施工方法、材料选用、劳动力安排、</w:t>
            </w:r>
            <w:r>
              <w:rPr>
                <w:rFonts w:hint="eastAsia" w:asciiTheme="minorEastAsia" w:hAnsiTheme="minorEastAsia" w:eastAsiaTheme="minorEastAsia" w:cstheme="minorEastAsia"/>
              </w:rPr>
              <w:t>技术等方面有保证工期的具体措施且措施得当。有控制工期的施工进度计划。应有施工总进度表或施工网络图，各项计划图表编制完善，安排科学合理，符合本项目施工实际要求。</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8.针对本工程项目特点，应有现场文明施工、环境保</w:t>
            </w:r>
            <w:r>
              <w:rPr>
                <w:rFonts w:hint="eastAsia" w:asciiTheme="minorEastAsia" w:hAnsiTheme="minorEastAsia" w:eastAsiaTheme="minorEastAsia" w:cstheme="minorEastAsia"/>
              </w:rPr>
              <w:t>护措施，且措施内容应达到相关安全生产检查合格标准及相关法规要求。各项措施周全、具体、有效。有具体实现现场文明施工目标的承诺。</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9.针对本工程的特点，阐述本工程的重点和难点，解</w:t>
            </w:r>
            <w:r>
              <w:rPr>
                <w:rFonts w:hint="eastAsia" w:asciiTheme="minorEastAsia" w:hAnsiTheme="minorEastAsia" w:eastAsiaTheme="minorEastAsia" w:cstheme="minorEastAsia"/>
              </w:rPr>
              <w:t>决重点和难点问题的方法是否合理。</w:t>
            </w:r>
          </w:p>
          <w:p>
            <w:pPr>
              <w:widowControl/>
              <w:ind w:firstLine="420" w:firstLineChars="200"/>
              <w:jc w:val="left"/>
              <w:rPr>
                <w:rFonts w:asciiTheme="minorEastAsia" w:hAnsiTheme="minorEastAsia" w:eastAsiaTheme="minorEastAsia" w:cstheme="minorEastAsia"/>
              </w:rPr>
            </w:pPr>
            <w:r>
              <w:rPr>
                <w:rFonts w:asciiTheme="minorEastAsia" w:hAnsiTheme="minorEastAsia" w:eastAsiaTheme="minorEastAsia" w:cstheme="minorEastAsia"/>
              </w:rPr>
              <w:t>10.应有施工总平面布置图，安排科学合理，符合本</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项目施工实际要求。</w:t>
            </w:r>
          </w:p>
          <w:p>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以上所有评审要点综合比较评分：评审要点齐全但不被评定为不响应的，起评分7分，视施工组织设计优劣程度按良好的加0.1-1.5分；按优的加1.6-3.0分，未提供不得分。</w:t>
            </w:r>
          </w:p>
        </w:tc>
      </w:tr>
    </w:tbl>
    <w:p>
      <w:pPr>
        <w:pStyle w:val="3"/>
        <w:spacing w:line="360" w:lineRule="auto"/>
        <w:rPr>
          <w:rFonts w:hint="eastAsia" w:ascii="宋体" w:hAnsi="宋体" w:eastAsia="宋体"/>
        </w:rPr>
        <w:sectPr>
          <w:headerReference r:id="rId6" w:type="default"/>
          <w:footerReference r:id="rId7" w:type="default"/>
          <w:pgSz w:w="11906" w:h="16838"/>
          <w:pgMar w:top="1440" w:right="1803" w:bottom="1440" w:left="1803" w:header="851" w:footer="992" w:gutter="0"/>
          <w:cols w:space="0" w:num="1"/>
          <w:docGrid w:type="lines" w:linePitch="319" w:charSpace="0"/>
        </w:sectPr>
      </w:pPr>
      <w:bookmarkStart w:id="233" w:name="_Toc27348"/>
      <w:bookmarkStart w:id="234" w:name="_Toc30171"/>
      <w:bookmarkStart w:id="235" w:name="_Toc22444"/>
      <w:bookmarkStart w:id="236" w:name="_Toc31373"/>
      <w:bookmarkStart w:id="237" w:name="_Toc27242"/>
      <w:bookmarkStart w:id="238" w:name="_Toc19906"/>
      <w:bookmarkStart w:id="239" w:name="_Toc28845"/>
      <w:bookmarkStart w:id="240" w:name="_Toc9299"/>
      <w:bookmarkStart w:id="241" w:name="_Toc25451"/>
      <w:bookmarkStart w:id="242" w:name="_Toc22061"/>
      <w:bookmarkStart w:id="243" w:name="_Toc25106"/>
      <w:bookmarkStart w:id="244" w:name="_Toc13484"/>
      <w:bookmarkStart w:id="245" w:name="_Toc8192"/>
      <w:bookmarkStart w:id="246" w:name="_Toc19800"/>
      <w:bookmarkStart w:id="247" w:name="_Toc9476"/>
      <w:bookmarkStart w:id="248" w:name="_Toc30192"/>
      <w:bookmarkStart w:id="249" w:name="_Toc1945"/>
      <w:bookmarkStart w:id="250" w:name="_Toc11364"/>
      <w:bookmarkStart w:id="251" w:name="_Toc3062"/>
      <w:bookmarkStart w:id="252" w:name="_Toc25417"/>
      <w:bookmarkStart w:id="253" w:name="_Toc10327"/>
      <w:bookmarkStart w:id="254" w:name="_Toc2883"/>
      <w:bookmarkStart w:id="255" w:name="_Toc13232"/>
      <w:bookmarkStart w:id="256" w:name="_Toc32489"/>
    </w:p>
    <w:p>
      <w:pPr>
        <w:pStyle w:val="3"/>
        <w:spacing w:line="360" w:lineRule="auto"/>
        <w:rPr>
          <w:rFonts w:ascii="宋体" w:hAnsi="宋体" w:eastAsia="宋体"/>
        </w:rPr>
      </w:pPr>
      <w:bookmarkStart w:id="257" w:name="_Toc23551"/>
      <w:r>
        <w:rPr>
          <w:rFonts w:hint="eastAsia" w:ascii="宋体" w:hAnsi="宋体" w:eastAsia="宋体"/>
        </w:rPr>
        <w:t>1. 评标方法</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7"/>
    </w:p>
    <w:p>
      <w:pPr>
        <w:spacing w:line="360" w:lineRule="auto"/>
        <w:ind w:firstLine="420" w:firstLineChars="200"/>
      </w:pPr>
      <w:r>
        <w:rPr>
          <w:rFonts w:hint="eastAsia"/>
        </w:rPr>
        <w:t>本次评标采用综合评</w:t>
      </w:r>
      <w:r>
        <w:rPr>
          <w:rFonts w:hint="eastAsia"/>
          <w:szCs w:val="21"/>
        </w:rPr>
        <w:t>估</w:t>
      </w:r>
      <w:r>
        <w:rPr>
          <w:rFonts w:hint="eastAsia"/>
        </w:rPr>
        <w:t>法。评标委员会对满足招标文件实质性要求的投标文件，按照招标文件第三章评标办法第2.2款规定的评分标准进行打分，并按得分由高到低顺序推荐3名中标候选人，但投标报价低于其成本的除外。综合评分相等时，则投标报价得分高者排名在前；若投标报价也相同时，则由评委根据技术评审情况通过记名投票表决（不得弃权），以“少数服从多数”的原则确定排序。</w:t>
      </w:r>
    </w:p>
    <w:p>
      <w:pPr>
        <w:pStyle w:val="3"/>
        <w:spacing w:line="360" w:lineRule="auto"/>
        <w:rPr>
          <w:rFonts w:ascii="宋体" w:hAnsi="宋体" w:eastAsia="宋体"/>
        </w:rPr>
      </w:pPr>
      <w:bookmarkStart w:id="258" w:name="_Toc22544"/>
      <w:bookmarkStart w:id="259" w:name="_Toc110"/>
      <w:bookmarkStart w:id="260" w:name="_Toc24563"/>
      <w:bookmarkStart w:id="261" w:name="_Toc17971"/>
      <w:bookmarkStart w:id="262" w:name="_Toc22611"/>
      <w:bookmarkStart w:id="263" w:name="_Toc21241"/>
      <w:bookmarkStart w:id="264" w:name="_Toc23180"/>
      <w:bookmarkStart w:id="265" w:name="_Toc28966"/>
      <w:bookmarkStart w:id="266" w:name="_Toc3344"/>
      <w:bookmarkStart w:id="267" w:name="_Toc11208"/>
      <w:bookmarkStart w:id="268" w:name="_Toc26948"/>
      <w:bookmarkStart w:id="269" w:name="_Toc3067"/>
      <w:bookmarkStart w:id="270" w:name="_Toc27384"/>
      <w:bookmarkStart w:id="271" w:name="_Toc19425"/>
      <w:bookmarkStart w:id="272" w:name="_Toc32470"/>
      <w:bookmarkStart w:id="273" w:name="_Toc24350"/>
      <w:bookmarkStart w:id="274" w:name="_Toc4480"/>
      <w:bookmarkStart w:id="275" w:name="_Toc24785"/>
      <w:bookmarkStart w:id="276" w:name="_Toc14325"/>
      <w:bookmarkStart w:id="277" w:name="_Toc25702"/>
      <w:bookmarkStart w:id="278" w:name="_Toc21497"/>
      <w:bookmarkStart w:id="279" w:name="_Toc21434"/>
      <w:bookmarkStart w:id="280" w:name="_Toc9606"/>
      <w:r>
        <w:rPr>
          <w:rFonts w:hint="eastAsia" w:ascii="宋体" w:hAnsi="宋体" w:eastAsia="宋体"/>
        </w:rPr>
        <w:t>2. 评审标准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4"/>
        <w:spacing w:line="360" w:lineRule="auto"/>
      </w:pPr>
      <w:bookmarkStart w:id="281" w:name="_Toc5707"/>
      <w:bookmarkStart w:id="282" w:name="_Toc25626"/>
      <w:bookmarkStart w:id="283" w:name="_Toc11263"/>
      <w:bookmarkStart w:id="284" w:name="_Toc29377"/>
      <w:bookmarkStart w:id="285" w:name="_Toc27920"/>
      <w:bookmarkStart w:id="286" w:name="_Toc20971"/>
      <w:bookmarkStart w:id="287" w:name="_Toc9905"/>
      <w:bookmarkStart w:id="288" w:name="_Toc17542"/>
      <w:bookmarkStart w:id="289" w:name="_Toc20243"/>
      <w:bookmarkStart w:id="290" w:name="_Toc1580"/>
      <w:bookmarkStart w:id="291" w:name="_Toc27708"/>
      <w:bookmarkStart w:id="292" w:name="_Toc30333"/>
      <w:bookmarkStart w:id="293" w:name="_Toc892"/>
      <w:bookmarkStart w:id="294" w:name="_Toc29231"/>
      <w:bookmarkStart w:id="295" w:name="_Toc22800"/>
      <w:bookmarkStart w:id="296" w:name="_Toc24660"/>
      <w:bookmarkStart w:id="297" w:name="_Toc30476"/>
      <w:bookmarkStart w:id="298" w:name="_Toc26028"/>
      <w:bookmarkStart w:id="299" w:name="_Toc29213"/>
      <w:bookmarkStart w:id="300" w:name="_Toc9086"/>
      <w:bookmarkStart w:id="301" w:name="_Toc4579"/>
      <w:bookmarkStart w:id="302" w:name="_Toc17031"/>
      <w:bookmarkStart w:id="303" w:name="_Toc26450"/>
      <w:r>
        <w:rPr>
          <w:rFonts w:hint="eastAsia"/>
        </w:rPr>
        <w:t>2.1 初步评审标准</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360" w:lineRule="auto"/>
        <w:ind w:firstLine="420" w:firstLineChars="200"/>
      </w:pPr>
      <w:r>
        <w:rPr>
          <w:rFonts w:hint="eastAsia"/>
        </w:rPr>
        <w:t>2.1.1 形式评审标准：见评标办法前附表。</w:t>
      </w:r>
    </w:p>
    <w:p>
      <w:pPr>
        <w:spacing w:line="360" w:lineRule="auto"/>
        <w:ind w:firstLine="420" w:firstLineChars="200"/>
      </w:pPr>
      <w:r>
        <w:rPr>
          <w:rFonts w:hint="eastAsia"/>
        </w:rPr>
        <w:t>2.1.2 资格评审标准：见评标办法前附表。</w:t>
      </w:r>
    </w:p>
    <w:p>
      <w:pPr>
        <w:spacing w:line="360" w:lineRule="auto"/>
        <w:ind w:firstLine="420" w:firstLineChars="200"/>
      </w:pPr>
      <w:r>
        <w:rPr>
          <w:rFonts w:hint="eastAsia"/>
        </w:rPr>
        <w:t>2.1.3 响应性评审标准：见评标办法前附表。</w:t>
      </w:r>
    </w:p>
    <w:p>
      <w:pPr>
        <w:pStyle w:val="4"/>
        <w:spacing w:line="360" w:lineRule="auto"/>
      </w:pPr>
      <w:bookmarkStart w:id="304" w:name="_Toc5742"/>
      <w:bookmarkStart w:id="305" w:name="_Toc15726"/>
      <w:bookmarkStart w:id="306" w:name="_Toc20224"/>
      <w:bookmarkStart w:id="307" w:name="_Toc24111"/>
      <w:bookmarkStart w:id="308" w:name="_Toc3942"/>
      <w:bookmarkStart w:id="309" w:name="_Toc14695"/>
      <w:bookmarkStart w:id="310" w:name="_Toc18828"/>
      <w:bookmarkStart w:id="311" w:name="_Toc29613"/>
      <w:bookmarkStart w:id="312" w:name="_Toc3909"/>
      <w:bookmarkStart w:id="313" w:name="_Toc25919"/>
      <w:bookmarkStart w:id="314" w:name="_Toc725"/>
      <w:bookmarkStart w:id="315" w:name="_Toc7634"/>
      <w:bookmarkStart w:id="316" w:name="_Toc15295"/>
      <w:bookmarkStart w:id="317" w:name="_Toc15177"/>
      <w:bookmarkStart w:id="318" w:name="_Toc22679"/>
      <w:bookmarkStart w:id="319" w:name="_Toc18334"/>
      <w:bookmarkStart w:id="320" w:name="_Toc4536"/>
      <w:bookmarkStart w:id="321" w:name="_Toc20997"/>
      <w:bookmarkStart w:id="322" w:name="_Toc26558"/>
      <w:bookmarkStart w:id="323" w:name="_Toc25588"/>
      <w:bookmarkStart w:id="324" w:name="_Toc4489"/>
      <w:bookmarkStart w:id="325" w:name="_Toc25413"/>
      <w:bookmarkStart w:id="326" w:name="_Toc15178"/>
      <w:r>
        <w:rPr>
          <w:rFonts w:hint="eastAsia"/>
        </w:rPr>
        <w:t>2.2 分值构成与评分标准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360" w:lineRule="auto"/>
        <w:ind w:firstLine="420" w:firstLineChars="200"/>
        <w:rPr>
          <w:rFonts w:asciiTheme="minorEastAsia" w:hAnsiTheme="minorEastAsia" w:eastAsiaTheme="minorEastAsia" w:cstheme="minorEastAsia"/>
        </w:rPr>
      </w:pPr>
      <w:bookmarkStart w:id="327" w:name="_Toc10450"/>
      <w:bookmarkStart w:id="328" w:name="_Toc17421"/>
      <w:bookmarkStart w:id="329" w:name="_Toc16730"/>
      <w:bookmarkStart w:id="330" w:name="_Toc600"/>
      <w:bookmarkStart w:id="331" w:name="_Toc24328"/>
      <w:bookmarkStart w:id="332" w:name="_Toc8519"/>
      <w:bookmarkStart w:id="333" w:name="_Toc27368"/>
      <w:bookmarkStart w:id="334" w:name="_Toc10401"/>
      <w:bookmarkStart w:id="335" w:name="_Toc27456"/>
      <w:bookmarkStart w:id="336" w:name="_Toc22686"/>
      <w:r>
        <w:rPr>
          <w:rFonts w:hint="eastAsia" w:asciiTheme="minorEastAsia" w:hAnsiTheme="minorEastAsia" w:eastAsiaTheme="minorEastAsia" w:cstheme="minorEastAsia"/>
        </w:rPr>
        <w:t>2.2.1 分值构成</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1）投标报价得分A：见评标办法前附表；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2）商务部分B：见评标办法前附表。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3）技术部分C</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见评标办法前附表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2.2.2评分标准</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1）投标报价得分A：见评标办法前附表；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2）商务部分B：见评标办法前附表。</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asciiTheme="minorEastAsia" w:hAnsiTheme="minorEastAsia" w:eastAsiaTheme="minorEastAsia" w:cstheme="minorEastAsia"/>
        </w:rPr>
        <w:t>3）技术部分C</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见评标办法前附表</w:t>
      </w:r>
      <w:r>
        <w:rPr>
          <w:rFonts w:hint="eastAsia" w:asciiTheme="minorEastAsia" w:hAnsiTheme="minorEastAsia" w:eastAsiaTheme="minorEastAsia" w:cstheme="minorEastAsia"/>
        </w:rPr>
        <w:t>；</w:t>
      </w:r>
    </w:p>
    <w:p>
      <w:pPr>
        <w:pStyle w:val="3"/>
        <w:spacing w:line="360" w:lineRule="auto"/>
        <w:rPr>
          <w:rFonts w:ascii="宋体" w:hAnsi="宋体" w:eastAsia="宋体"/>
        </w:rPr>
      </w:pPr>
      <w:bookmarkStart w:id="337" w:name="_Toc21155"/>
      <w:bookmarkStart w:id="338" w:name="_Toc1564"/>
      <w:bookmarkStart w:id="339" w:name="_Toc14743"/>
      <w:bookmarkStart w:id="340" w:name="_Toc7419"/>
      <w:bookmarkStart w:id="341" w:name="_Toc1632"/>
      <w:bookmarkStart w:id="342" w:name="_Toc10561"/>
      <w:bookmarkStart w:id="343" w:name="_Toc18480"/>
      <w:bookmarkStart w:id="344" w:name="_Toc2444"/>
      <w:bookmarkStart w:id="345" w:name="_Toc11250"/>
      <w:bookmarkStart w:id="346" w:name="_Toc14933"/>
      <w:bookmarkStart w:id="347" w:name="_Toc21565"/>
      <w:bookmarkStart w:id="348" w:name="_Toc22296"/>
      <w:r>
        <w:rPr>
          <w:rFonts w:hint="eastAsia" w:ascii="宋体" w:hAnsi="宋体" w:eastAsia="宋体"/>
        </w:rPr>
        <w:t>3. 评标程序</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Style w:val="4"/>
        <w:spacing w:line="360" w:lineRule="auto"/>
      </w:pPr>
      <w:bookmarkStart w:id="349" w:name="_Toc3225"/>
      <w:bookmarkStart w:id="350" w:name="_Toc16194"/>
      <w:bookmarkStart w:id="351" w:name="_Toc21698"/>
      <w:bookmarkStart w:id="352" w:name="_Toc19537"/>
      <w:bookmarkStart w:id="353" w:name="_Toc29447"/>
      <w:bookmarkStart w:id="354" w:name="_Toc20513"/>
      <w:bookmarkStart w:id="355" w:name="_Toc1926"/>
      <w:bookmarkStart w:id="356" w:name="_Toc20924"/>
      <w:bookmarkStart w:id="357" w:name="_Toc6926"/>
      <w:bookmarkStart w:id="358" w:name="_Toc29397"/>
      <w:bookmarkStart w:id="359" w:name="_Toc17547"/>
      <w:bookmarkStart w:id="360" w:name="_Toc5925"/>
      <w:bookmarkStart w:id="361" w:name="_Toc12922"/>
      <w:bookmarkStart w:id="362" w:name="_Toc18040"/>
      <w:bookmarkStart w:id="363" w:name="_Toc8148"/>
      <w:bookmarkStart w:id="364" w:name="_Toc16311"/>
      <w:bookmarkStart w:id="365" w:name="_Toc26497"/>
      <w:bookmarkStart w:id="366" w:name="_Toc25552"/>
      <w:bookmarkStart w:id="367" w:name="_Toc29154"/>
      <w:bookmarkStart w:id="368" w:name="_Toc32223"/>
      <w:bookmarkStart w:id="369" w:name="_Toc1353"/>
      <w:bookmarkStart w:id="370" w:name="_Toc7891"/>
      <w:bookmarkStart w:id="371" w:name="_Toc2190"/>
      <w:r>
        <w:rPr>
          <w:rFonts w:hint="eastAsia"/>
        </w:rPr>
        <w:t>3.1 初步评审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360" w:lineRule="auto"/>
        <w:ind w:firstLine="420" w:firstLineChars="200"/>
      </w:pPr>
      <w:r>
        <w:rPr>
          <w:rFonts w:hint="eastAsia"/>
        </w:rPr>
        <w:t>3.1.1评标委员会依据本章第2.1款规定的标准对投标文件进行初步评审。有一项不符合评审标准的，评标委员会应当否决其投标。</w:t>
      </w:r>
    </w:p>
    <w:p>
      <w:pPr>
        <w:spacing w:line="360" w:lineRule="auto"/>
        <w:ind w:firstLine="420" w:firstLineChars="200"/>
      </w:pPr>
      <w:r>
        <w:rPr>
          <w:rFonts w:hint="eastAsia"/>
        </w:rPr>
        <w:t>3.1.2 投标人有以下情形之一的，评标委员会应当否决其投标：</w:t>
      </w:r>
    </w:p>
    <w:p>
      <w:pPr>
        <w:spacing w:line="360" w:lineRule="auto"/>
        <w:ind w:firstLine="420" w:firstLineChars="200"/>
      </w:pPr>
      <w:r>
        <w:rPr>
          <w:rFonts w:hint="eastAsia"/>
        </w:rPr>
        <w:t>（1）第二章“投标人须知”第1.4.3项规定的任何一种情形的；</w:t>
      </w:r>
    </w:p>
    <w:p>
      <w:pPr>
        <w:spacing w:line="360" w:lineRule="auto"/>
        <w:ind w:firstLine="420" w:firstLineChars="200"/>
      </w:pPr>
      <w:r>
        <w:rPr>
          <w:rFonts w:hint="eastAsia"/>
        </w:rPr>
        <w:t>（2）串通投标或弄虚作假或有其他违法行为的；</w:t>
      </w:r>
    </w:p>
    <w:p>
      <w:pPr>
        <w:spacing w:line="360" w:lineRule="auto"/>
        <w:ind w:firstLine="420" w:firstLineChars="200"/>
      </w:pPr>
      <w:r>
        <w:rPr>
          <w:rFonts w:hint="eastAsia"/>
        </w:rPr>
        <w:t>（3）不按评标委员会要求澄清、说明或补正的。</w:t>
      </w:r>
    </w:p>
    <w:p>
      <w:pPr>
        <w:spacing w:line="360" w:lineRule="auto"/>
        <w:ind w:firstLine="420" w:firstLineChars="200"/>
      </w:pPr>
      <w:r>
        <w:rPr>
          <w:rFonts w:hint="eastAsia"/>
        </w:rPr>
        <w:t>3.1.3 投标报价有算术错误的，评标委员会按以下原则对投标报价进行修正，修正的价格经投标人书面确认后具有约束力。投标人不接受修正价格的，评标委员会应当否决其投标。</w:t>
      </w:r>
    </w:p>
    <w:p>
      <w:pPr>
        <w:spacing w:line="360" w:lineRule="auto"/>
        <w:ind w:firstLine="420" w:firstLineChars="200"/>
      </w:pPr>
      <w:r>
        <w:rPr>
          <w:rFonts w:hint="eastAsia"/>
        </w:rPr>
        <w:t>（1）投标文件中的大写金额与小写金额不一致的，以大写金额为准；</w:t>
      </w:r>
    </w:p>
    <w:p>
      <w:pPr>
        <w:spacing w:line="360" w:lineRule="auto"/>
        <w:ind w:firstLine="420" w:firstLineChars="200"/>
      </w:pPr>
      <w:r>
        <w:rPr>
          <w:rFonts w:hint="eastAsia"/>
        </w:rPr>
        <w:t>（2）总价金额与依据单价计算出的结果不一致的，以单价金额为准修正总价，但单价金额小数点有明显错误的除外。</w:t>
      </w:r>
    </w:p>
    <w:p>
      <w:pPr>
        <w:pStyle w:val="4"/>
        <w:spacing w:line="360" w:lineRule="auto"/>
      </w:pPr>
      <w:bookmarkStart w:id="372" w:name="_Toc5253"/>
      <w:bookmarkStart w:id="373" w:name="_Toc23466"/>
      <w:bookmarkStart w:id="374" w:name="_Toc128"/>
      <w:bookmarkStart w:id="375" w:name="_Toc2519"/>
      <w:bookmarkStart w:id="376" w:name="_Toc27200"/>
      <w:bookmarkStart w:id="377" w:name="_Toc13177"/>
      <w:bookmarkStart w:id="378" w:name="_Toc26786"/>
      <w:bookmarkStart w:id="379" w:name="_Toc9855"/>
      <w:bookmarkStart w:id="380" w:name="_Toc20001"/>
      <w:bookmarkStart w:id="381" w:name="_Toc4619"/>
      <w:bookmarkStart w:id="382" w:name="_Toc10341"/>
      <w:bookmarkStart w:id="383" w:name="_Toc29120"/>
      <w:bookmarkStart w:id="384" w:name="_Toc552"/>
      <w:bookmarkStart w:id="385" w:name="_Toc11278"/>
      <w:bookmarkStart w:id="386" w:name="_Toc8189"/>
      <w:bookmarkStart w:id="387" w:name="_Toc12254"/>
      <w:bookmarkStart w:id="388" w:name="_Toc18212"/>
      <w:bookmarkStart w:id="389" w:name="_Toc32102"/>
      <w:bookmarkStart w:id="390" w:name="_Toc30367"/>
      <w:bookmarkStart w:id="391" w:name="_Toc25095"/>
      <w:bookmarkStart w:id="392" w:name="_Toc4971"/>
      <w:bookmarkStart w:id="393" w:name="_Toc30049"/>
      <w:r>
        <w:rPr>
          <w:rFonts w:hint="eastAsia"/>
        </w:rPr>
        <w:t>3.2 详细评审</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360" w:lineRule="auto"/>
        <w:ind w:firstLine="420" w:firstLineChars="200"/>
      </w:pPr>
      <w:r>
        <w:rPr>
          <w:rFonts w:hint="eastAsia"/>
        </w:rPr>
        <w:t>3.2.1 评标委员会按本章第2.2款规定的量化因素和分值进行打分，并计算出综合评估得分。评标办法前附表对投标人建议书中的设计文件评审有特殊规定的，从其规定。</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（1）按本章第2.2.</w:t>
      </w:r>
      <w:r>
        <w:rPr>
          <w:rFonts w:asciiTheme="minorEastAsia" w:hAnsiTheme="minorEastAsia" w:eastAsiaTheme="minorEastAsia" w:cstheme="minorEastAsia"/>
        </w:rPr>
        <w:t>2</w:t>
      </w:r>
      <w:r>
        <w:rPr>
          <w:rFonts w:hint="eastAsia" w:asciiTheme="minorEastAsia" w:hAnsiTheme="minorEastAsia" w:eastAsiaTheme="minorEastAsia" w:cstheme="minorEastAsia"/>
        </w:rPr>
        <w:t>（1）目规定的评审因素和分值计算出得分A；</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（2）按本章第2.2.</w:t>
      </w:r>
      <w:r>
        <w:rPr>
          <w:rFonts w:asciiTheme="minorEastAsia" w:hAnsiTheme="minorEastAsia" w:eastAsiaTheme="minorEastAsia" w:cstheme="minorEastAsia"/>
        </w:rPr>
        <w:t>2</w:t>
      </w:r>
      <w:r>
        <w:rPr>
          <w:rFonts w:hint="eastAsia" w:asciiTheme="minorEastAsia" w:hAnsiTheme="minorEastAsia" w:eastAsiaTheme="minorEastAsia" w:cstheme="minorEastAsia"/>
        </w:rPr>
        <w:t>（2）目规定的评审因素和分值计算出得分B；</w:t>
      </w:r>
    </w:p>
    <w:p>
      <w:pPr>
        <w:pStyle w:val="31"/>
      </w:pPr>
      <w:r>
        <w:rPr>
          <w:rFonts w:hint="eastAsia"/>
        </w:rPr>
        <w:t>（</w:t>
      </w:r>
      <w:r>
        <w:t>3）按本章第2.2.2（3）目规定的评审因素和分值对技术部分评审出得分，所有</w:t>
      </w:r>
      <w:r>
        <w:rPr>
          <w:rFonts w:hint="eastAsia"/>
        </w:rPr>
        <w:t>评委的评分总分取算术平均值为</w:t>
      </w:r>
      <w:r>
        <w:t>C。</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3.2.2 评分分值计算保留小数点后两位，小数点后第三位“四舍五入”。</w:t>
      </w:r>
    </w:p>
    <w:p>
      <w:pPr>
        <w:spacing w:line="360" w:lineRule="auto"/>
        <w:ind w:firstLine="420" w:firstLineChars="200"/>
      </w:pPr>
      <w:r>
        <w:rPr>
          <w:rFonts w:hint="eastAsia" w:asciiTheme="minorEastAsia" w:hAnsiTheme="minorEastAsia" w:eastAsiaTheme="minorEastAsia" w:cstheme="minorEastAsia"/>
        </w:rPr>
        <w:t xml:space="preserve">3.2.3 </w:t>
      </w:r>
      <w:bookmarkStart w:id="394" w:name="_Hlk84789050"/>
      <w:r>
        <w:rPr>
          <w:rFonts w:hint="eastAsia" w:asciiTheme="minorEastAsia" w:hAnsiTheme="minorEastAsia" w:eastAsiaTheme="minorEastAsia" w:cstheme="minorEastAsia"/>
        </w:rPr>
        <w:t>投标人得分=</w:t>
      </w:r>
      <w:r>
        <w:t xml:space="preserve"> </w:t>
      </w:r>
      <w:r>
        <w:rPr>
          <w:u w:val="single"/>
        </w:rPr>
        <w:t>A+B+C</w:t>
      </w:r>
      <w:r>
        <w:rPr>
          <w:rFonts w:hint="eastAsia"/>
        </w:rPr>
        <w:t>。</w:t>
      </w:r>
      <w:bookmarkEnd w:id="394"/>
    </w:p>
    <w:p>
      <w:pPr>
        <w:spacing w:line="360" w:lineRule="auto"/>
        <w:ind w:firstLine="420" w:firstLineChars="200"/>
      </w:pPr>
      <w:r>
        <w:rPr>
          <w:rFonts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spacing w:line="360" w:lineRule="auto"/>
      </w:pPr>
      <w:bookmarkStart w:id="395" w:name="_Toc5281"/>
      <w:bookmarkStart w:id="396" w:name="_Toc7972"/>
      <w:bookmarkStart w:id="397" w:name="_Toc31904"/>
      <w:bookmarkStart w:id="398" w:name="_Toc8952"/>
      <w:bookmarkStart w:id="399" w:name="_Toc8005"/>
      <w:bookmarkStart w:id="400" w:name="_Toc13708"/>
      <w:bookmarkStart w:id="401" w:name="_Toc14092"/>
      <w:bookmarkStart w:id="402" w:name="_Toc12019"/>
      <w:bookmarkStart w:id="403" w:name="_Toc32046"/>
      <w:bookmarkStart w:id="404" w:name="_Toc23672"/>
      <w:bookmarkStart w:id="405" w:name="_Toc12115"/>
      <w:bookmarkStart w:id="406" w:name="_Toc25857"/>
      <w:bookmarkStart w:id="407" w:name="_Toc21585"/>
      <w:bookmarkStart w:id="408" w:name="_Toc23609"/>
      <w:bookmarkStart w:id="409" w:name="_Toc7325"/>
      <w:bookmarkStart w:id="410" w:name="_Toc239"/>
      <w:bookmarkStart w:id="411" w:name="_Toc8757"/>
      <w:bookmarkStart w:id="412" w:name="_Toc23611"/>
      <w:bookmarkStart w:id="413" w:name="_Toc23007"/>
      <w:bookmarkStart w:id="414" w:name="_Toc6198"/>
      <w:bookmarkStart w:id="415" w:name="_Toc25403"/>
      <w:bookmarkStart w:id="416" w:name="_Toc20009"/>
      <w:bookmarkStart w:id="417" w:name="_Toc25979"/>
      <w:r>
        <w:rPr>
          <w:rFonts w:hint="eastAsia"/>
        </w:rPr>
        <w:t>3.3 投标文件的澄清和补正</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spacing w:line="360" w:lineRule="auto"/>
        <w:ind w:firstLine="420" w:firstLineChars="200"/>
      </w:pPr>
      <w:r>
        <w:rPr>
          <w:rFonts w:hint="eastAsia"/>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pPr>
      <w:r>
        <w:rPr>
          <w:rFonts w:hint="eastAsia"/>
        </w:rPr>
        <w:t>3.3.2 澄清、说明和补正不得改变投标文件的实质性内容。投标人的书面澄清、说明和补正属于投标文件的组成部分。</w:t>
      </w:r>
    </w:p>
    <w:p>
      <w:pPr>
        <w:spacing w:line="360" w:lineRule="auto"/>
        <w:ind w:firstLine="420" w:firstLineChars="200"/>
      </w:pPr>
      <w:r>
        <w:rPr>
          <w:rFonts w:hint="eastAsia"/>
        </w:rPr>
        <w:t>3.3.3 评标委员会对投标人提交的澄清、说明或补正有疑问的，可以要求投标人进一步澄清、说明或补正，直至满足评标委员会的要求。</w:t>
      </w:r>
    </w:p>
    <w:p>
      <w:pPr>
        <w:pStyle w:val="4"/>
        <w:spacing w:line="360" w:lineRule="auto"/>
      </w:pPr>
      <w:bookmarkStart w:id="418" w:name="_Toc8385"/>
      <w:bookmarkStart w:id="419" w:name="_Toc20383"/>
      <w:bookmarkStart w:id="420" w:name="_Toc9772"/>
      <w:bookmarkStart w:id="421" w:name="_Toc26783"/>
      <w:bookmarkStart w:id="422" w:name="_Toc18274"/>
      <w:bookmarkStart w:id="423" w:name="_Toc32599"/>
      <w:bookmarkStart w:id="424" w:name="_Toc12538"/>
      <w:bookmarkStart w:id="425" w:name="_Toc17564"/>
      <w:bookmarkStart w:id="426" w:name="_Toc19181"/>
      <w:bookmarkStart w:id="427" w:name="_Toc15667"/>
      <w:bookmarkStart w:id="428" w:name="_Toc27996"/>
      <w:bookmarkStart w:id="429" w:name="_Toc23496"/>
      <w:bookmarkStart w:id="430" w:name="_Toc12219"/>
      <w:bookmarkStart w:id="431" w:name="_Toc755"/>
      <w:bookmarkStart w:id="432" w:name="_Toc9059"/>
      <w:bookmarkStart w:id="433" w:name="_Toc26826"/>
      <w:bookmarkStart w:id="434" w:name="_Toc22190"/>
      <w:bookmarkStart w:id="435" w:name="_Toc2510"/>
      <w:bookmarkStart w:id="436" w:name="_Toc16984"/>
      <w:bookmarkStart w:id="437" w:name="_Toc31540"/>
      <w:bookmarkStart w:id="438" w:name="_Toc12926"/>
      <w:bookmarkStart w:id="439" w:name="_Toc3080"/>
      <w:bookmarkStart w:id="440" w:name="_Toc31965"/>
      <w:r>
        <w:rPr>
          <w:rFonts w:hint="eastAsia"/>
        </w:rPr>
        <w:t>3.4 评标结果</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360" w:lineRule="auto"/>
        <w:ind w:firstLine="420" w:firstLineChars="200"/>
      </w:pPr>
      <w:r>
        <w:rPr>
          <w:rFonts w:hint="eastAsia"/>
        </w:rPr>
        <w:t>3.4.1 除第二章“投标人须知”前附表授权直接确定中标人外，评标委员会按照得分由高到低的顺序推荐中标候选人。</w:t>
      </w:r>
    </w:p>
    <w:p>
      <w:pPr>
        <w:spacing w:line="360" w:lineRule="auto"/>
        <w:ind w:firstLine="420" w:firstLineChars="200"/>
      </w:pPr>
      <w:r>
        <w:rPr>
          <w:rFonts w:hint="eastAsia"/>
        </w:rPr>
        <w:t>3.4.2 评标委员会完成评标后，应当向招标人提交评标报告。</w:t>
      </w:r>
      <w:bookmarkEnd w:id="255"/>
      <w:bookmarkEnd w:id="256"/>
      <w:bookmarkStart w:id="441" w:name="_Toc459914451"/>
      <w:bookmarkStart w:id="442" w:name="_Toc144974577"/>
      <w:bookmarkStart w:id="443" w:name="_Toc247527634"/>
      <w:bookmarkStart w:id="444" w:name="_Toc152045609"/>
      <w:bookmarkStart w:id="445" w:name="_Toc247514033"/>
      <w:bookmarkStart w:id="446" w:name="_Toc152042387"/>
    </w:p>
    <w:p>
      <w:pPr>
        <w:pStyle w:val="2"/>
        <w:spacing w:line="360" w:lineRule="auto"/>
        <w:jc w:val="center"/>
      </w:pPr>
      <w:bookmarkStart w:id="447" w:name="_Toc15886"/>
      <w:bookmarkStart w:id="448" w:name="_Toc3901"/>
      <w:bookmarkStart w:id="449" w:name="_Toc31115"/>
      <w:bookmarkStart w:id="450" w:name="_Toc4457"/>
      <w:r>
        <w:rPr>
          <w:rFonts w:hint="eastAsia"/>
        </w:rPr>
        <w:br w:type="page"/>
      </w:r>
      <w:bookmarkEnd w:id="197"/>
      <w:bookmarkStart w:id="451" w:name="_Toc7553"/>
      <w:bookmarkStart w:id="452" w:name="_Toc8773"/>
      <w:bookmarkStart w:id="453" w:name="_Toc22578"/>
      <w:bookmarkStart w:id="454" w:name="_Toc32207"/>
      <w:bookmarkStart w:id="455" w:name="_Toc551"/>
      <w:bookmarkStart w:id="456" w:name="_Toc25452"/>
      <w:bookmarkStart w:id="457" w:name="_Toc12340"/>
      <w:bookmarkStart w:id="458" w:name="_Toc41"/>
      <w:bookmarkStart w:id="459" w:name="_Toc13773"/>
      <w:bookmarkStart w:id="460" w:name="_Toc31856"/>
      <w:bookmarkStart w:id="461" w:name="_Toc2435"/>
      <w:bookmarkStart w:id="462" w:name="_Toc20688"/>
      <w:bookmarkStart w:id="463" w:name="_Toc19912"/>
      <w:bookmarkStart w:id="464" w:name="_Toc646"/>
      <w:bookmarkStart w:id="465" w:name="_Toc11524"/>
      <w:bookmarkStart w:id="466" w:name="_Toc30375"/>
      <w:bookmarkStart w:id="467" w:name="_Toc992"/>
      <w:bookmarkStart w:id="468" w:name="_Toc13276"/>
      <w:bookmarkStart w:id="469" w:name="_Toc7894"/>
      <w:bookmarkStart w:id="470" w:name="_Toc19498"/>
      <w:bookmarkStart w:id="471" w:name="_Toc18403"/>
      <w:bookmarkStart w:id="472" w:name="_Toc26220"/>
      <w:bookmarkStart w:id="473" w:name="_Toc19145"/>
      <w:bookmarkStart w:id="474" w:name="_Toc25453"/>
      <w:r>
        <w:rPr>
          <w:rFonts w:hint="eastAsia"/>
        </w:rPr>
        <w:t>第四章 合同主要条款</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101"/>
        <w:spacing w:line="360" w:lineRule="auto"/>
        <w:rPr>
          <w:b/>
          <w:bCs/>
        </w:rPr>
      </w:pPr>
      <w:r>
        <w:rPr>
          <w:rFonts w:hint="eastAsia"/>
          <w:b/>
          <w:bCs/>
        </w:rPr>
        <w:t>1</w:t>
      </w:r>
      <w:r>
        <w:rPr>
          <w:b/>
          <w:bCs/>
        </w:rPr>
        <w:t>.</w:t>
      </w:r>
      <w:r>
        <w:rPr>
          <w:rFonts w:hint="eastAsia"/>
          <w:b/>
          <w:bCs/>
        </w:rPr>
        <w:t>工期</w:t>
      </w:r>
    </w:p>
    <w:p>
      <w:pPr>
        <w:pStyle w:val="101"/>
        <w:spacing w:line="360" w:lineRule="auto"/>
        <w:rPr>
          <w:b/>
          <w:bCs/>
        </w:rPr>
      </w:pPr>
      <w:r>
        <w:rPr>
          <w:b/>
          <w:bCs/>
        </w:rPr>
        <w:t>1.1</w:t>
      </w:r>
      <w:r>
        <w:rPr>
          <w:rFonts w:hint="eastAsia"/>
          <w:b/>
          <w:bCs/>
        </w:rPr>
        <w:t>工期要求</w:t>
      </w:r>
      <w:r>
        <w:rPr>
          <w:b/>
          <w:bCs/>
        </w:rPr>
        <w:t xml:space="preserve"> </w:t>
      </w:r>
    </w:p>
    <w:p>
      <w:pPr>
        <w:pStyle w:val="101"/>
        <w:spacing w:line="360" w:lineRule="auto"/>
        <w:ind w:firstLine="660" w:firstLineChars="300"/>
        <w:rPr>
          <w:sz w:val="22"/>
          <w:szCs w:val="22"/>
        </w:rPr>
      </w:pPr>
      <w:r>
        <w:rPr>
          <w:rFonts w:hint="eastAsia"/>
          <w:sz w:val="22"/>
          <w:szCs w:val="22"/>
        </w:rPr>
        <w:t>总工期为</w:t>
      </w:r>
      <w:r>
        <w:rPr>
          <w:rFonts w:hint="eastAsia"/>
          <w:sz w:val="22"/>
          <w:szCs w:val="22"/>
          <w:u w:val="single"/>
        </w:rPr>
        <w:t xml:space="preserve"> </w:t>
      </w:r>
      <w:r>
        <w:rPr>
          <w:rFonts w:hint="eastAsia"/>
          <w:sz w:val="22"/>
          <w:szCs w:val="22"/>
          <w:u w:val="single"/>
          <w:lang w:val="en-US" w:eastAsia="zh-CN"/>
        </w:rPr>
        <w:t>120</w:t>
      </w:r>
      <w:r>
        <w:rPr>
          <w:sz w:val="22"/>
          <w:szCs w:val="22"/>
          <w:u w:val="single"/>
        </w:rPr>
        <w:t xml:space="preserve"> </w:t>
      </w:r>
      <w:r>
        <w:rPr>
          <w:rFonts w:hint="eastAsia"/>
          <w:sz w:val="22"/>
          <w:szCs w:val="22"/>
        </w:rPr>
        <w:t>日历天，具体开工时</w:t>
      </w:r>
      <w:r>
        <w:rPr>
          <w:sz w:val="22"/>
          <w:szCs w:val="22"/>
        </w:rPr>
        <w:t xml:space="preserve"> </w:t>
      </w:r>
      <w:r>
        <w:rPr>
          <w:rFonts w:hint="eastAsia"/>
          <w:sz w:val="22"/>
          <w:szCs w:val="22"/>
        </w:rPr>
        <w:t>间以招标人发出的开工令时间为准。</w:t>
      </w:r>
      <w:r>
        <w:rPr>
          <w:sz w:val="22"/>
          <w:szCs w:val="22"/>
        </w:rPr>
        <w:t xml:space="preserve"> </w:t>
      </w:r>
    </w:p>
    <w:p>
      <w:pPr>
        <w:pStyle w:val="101"/>
        <w:spacing w:line="360" w:lineRule="auto"/>
        <w:rPr>
          <w:b/>
          <w:bCs/>
        </w:rPr>
      </w:pPr>
      <w:r>
        <w:rPr>
          <w:b/>
          <w:bCs/>
        </w:rPr>
        <w:t>1.2</w:t>
      </w:r>
      <w:r>
        <w:rPr>
          <w:rFonts w:hint="eastAsia"/>
          <w:b/>
          <w:bCs/>
        </w:rPr>
        <w:t>进度计划</w:t>
      </w:r>
      <w:r>
        <w:rPr>
          <w:b/>
          <w:bCs/>
        </w:rPr>
        <w:t xml:space="preserve"> </w:t>
      </w:r>
    </w:p>
    <w:p>
      <w:pPr>
        <w:pStyle w:val="101"/>
        <w:spacing w:line="360" w:lineRule="auto"/>
        <w:ind w:firstLine="660" w:firstLineChars="300"/>
        <w:rPr>
          <w:sz w:val="22"/>
          <w:szCs w:val="22"/>
        </w:rPr>
      </w:pPr>
      <w:r>
        <w:rPr>
          <w:rFonts w:hint="eastAsia"/>
          <w:sz w:val="22"/>
          <w:szCs w:val="22"/>
        </w:rPr>
        <w:t>承包人向监理人提交进度计划的时间：签订合同后</w:t>
      </w:r>
      <w:r>
        <w:rPr>
          <w:sz w:val="22"/>
          <w:szCs w:val="22"/>
        </w:rPr>
        <w:t>7</w:t>
      </w:r>
      <w:r>
        <w:rPr>
          <w:rFonts w:hint="eastAsia"/>
          <w:sz w:val="22"/>
          <w:szCs w:val="22"/>
        </w:rPr>
        <w:t>天内。</w:t>
      </w:r>
      <w:r>
        <w:rPr>
          <w:sz w:val="22"/>
          <w:szCs w:val="22"/>
        </w:rPr>
        <w:t xml:space="preserve"> </w:t>
      </w:r>
    </w:p>
    <w:p>
      <w:pPr>
        <w:pStyle w:val="101"/>
        <w:spacing w:line="360" w:lineRule="auto"/>
        <w:rPr>
          <w:b/>
          <w:bCs/>
        </w:rPr>
      </w:pPr>
      <w:r>
        <w:rPr>
          <w:b/>
          <w:bCs/>
        </w:rPr>
        <w:t>1.3</w:t>
      </w:r>
      <w:r>
        <w:rPr>
          <w:rFonts w:hint="eastAsia"/>
          <w:b/>
          <w:bCs/>
        </w:rPr>
        <w:t>发包人引起的工期延误</w:t>
      </w:r>
      <w:r>
        <w:rPr>
          <w:b/>
          <w:bCs/>
        </w:rPr>
        <w:t xml:space="preserve"> </w:t>
      </w:r>
    </w:p>
    <w:p>
      <w:pPr>
        <w:pStyle w:val="101"/>
        <w:spacing w:line="360" w:lineRule="auto"/>
        <w:ind w:firstLine="660" w:firstLineChars="300"/>
        <w:rPr>
          <w:sz w:val="22"/>
          <w:szCs w:val="22"/>
        </w:rPr>
      </w:pPr>
      <w:r>
        <w:rPr>
          <w:rFonts w:hint="eastAsia"/>
          <w:sz w:val="22"/>
          <w:szCs w:val="22"/>
        </w:rPr>
        <w:t>在履行合同过程中，由于发包人的原因造成工期延误的，承包人有权要求发包人延长工期，但发包人不增加由此产生的任何费用。</w:t>
      </w:r>
      <w:r>
        <w:rPr>
          <w:sz w:val="22"/>
          <w:szCs w:val="22"/>
        </w:rPr>
        <w:t xml:space="preserve"> </w:t>
      </w:r>
    </w:p>
    <w:p>
      <w:pPr>
        <w:pStyle w:val="101"/>
        <w:spacing w:line="360" w:lineRule="auto"/>
        <w:rPr>
          <w:b/>
          <w:bCs/>
        </w:rPr>
      </w:pPr>
      <w:r>
        <w:rPr>
          <w:b/>
          <w:bCs/>
        </w:rPr>
        <w:t>1.4</w:t>
      </w:r>
      <w:r>
        <w:rPr>
          <w:rFonts w:hint="eastAsia"/>
          <w:b/>
          <w:bCs/>
        </w:rPr>
        <w:t>异常恶劣的气候条件</w:t>
      </w:r>
      <w:r>
        <w:rPr>
          <w:b/>
          <w:bCs/>
        </w:rPr>
        <w:t xml:space="preserve"> </w:t>
      </w:r>
    </w:p>
    <w:p>
      <w:pPr>
        <w:pStyle w:val="101"/>
        <w:spacing w:line="360" w:lineRule="auto"/>
        <w:ind w:firstLine="660" w:firstLineChars="300"/>
        <w:rPr>
          <w:sz w:val="22"/>
          <w:szCs w:val="22"/>
        </w:rPr>
      </w:pPr>
      <w:r>
        <w:rPr>
          <w:rFonts w:hint="eastAsia"/>
          <w:sz w:val="22"/>
          <w:szCs w:val="22"/>
        </w:rPr>
        <w:t>出现异常恶</w:t>
      </w:r>
      <w:r>
        <w:rPr>
          <w:sz w:val="22"/>
          <w:szCs w:val="22"/>
        </w:rPr>
        <w:t xml:space="preserve"> </w:t>
      </w:r>
      <w:r>
        <w:rPr>
          <w:rFonts w:hint="eastAsia"/>
          <w:sz w:val="22"/>
          <w:szCs w:val="22"/>
        </w:rPr>
        <w:t>劣气候（台风、水灾、暴</w:t>
      </w:r>
      <w:r>
        <w:rPr>
          <w:sz w:val="22"/>
          <w:szCs w:val="22"/>
        </w:rPr>
        <w:t xml:space="preserve"> </w:t>
      </w:r>
      <w:r>
        <w:rPr>
          <w:rFonts w:hint="eastAsia"/>
          <w:sz w:val="22"/>
          <w:szCs w:val="22"/>
        </w:rPr>
        <w:t>雨、地震、自然原因发生的火灾）等不可抗力事件导致工期延误的，承包人有权要求发包人延长工期。</w:t>
      </w:r>
      <w:r>
        <w:rPr>
          <w:sz w:val="22"/>
          <w:szCs w:val="22"/>
        </w:rPr>
        <w:t xml:space="preserve"> </w:t>
      </w:r>
    </w:p>
    <w:p>
      <w:pPr>
        <w:pStyle w:val="101"/>
        <w:spacing w:line="360" w:lineRule="auto"/>
        <w:rPr>
          <w:b/>
          <w:bCs/>
        </w:rPr>
      </w:pPr>
      <w:r>
        <w:rPr>
          <w:b/>
          <w:bCs/>
        </w:rPr>
        <w:t>1.5</w:t>
      </w:r>
      <w:r>
        <w:rPr>
          <w:rFonts w:hint="eastAsia"/>
          <w:b/>
          <w:bCs/>
        </w:rPr>
        <w:t>承包人引起的工期延误</w:t>
      </w:r>
      <w:r>
        <w:rPr>
          <w:b/>
          <w:bCs/>
        </w:rPr>
        <w:t xml:space="preserve"> </w:t>
      </w:r>
    </w:p>
    <w:p>
      <w:pPr>
        <w:pStyle w:val="101"/>
        <w:spacing w:line="360" w:lineRule="auto"/>
        <w:ind w:firstLine="660" w:firstLineChars="300"/>
        <w:rPr>
          <w:sz w:val="22"/>
          <w:szCs w:val="22"/>
        </w:rPr>
      </w:pPr>
      <w:r>
        <w:rPr>
          <w:rFonts w:hint="eastAsia"/>
          <w:sz w:val="22"/>
          <w:szCs w:val="22"/>
        </w:rPr>
        <w:t>由于承包人</w:t>
      </w:r>
      <w:r>
        <w:rPr>
          <w:sz w:val="22"/>
          <w:szCs w:val="22"/>
        </w:rPr>
        <w:t xml:space="preserve"> </w:t>
      </w:r>
      <w:r>
        <w:rPr>
          <w:rFonts w:hint="eastAsia"/>
          <w:sz w:val="22"/>
          <w:szCs w:val="22"/>
        </w:rPr>
        <w:t>原因造成工期延误，承包人应按照约定的逾期竣工违约金计算方法，支付逾期竣工违约金。承包人支付逾期竣工违约金，不免除承包人完成工程及修补缺陷的义务。</w:t>
      </w:r>
      <w:r>
        <w:rPr>
          <w:sz w:val="22"/>
          <w:szCs w:val="22"/>
        </w:rPr>
        <w:t xml:space="preserve"> </w:t>
      </w:r>
    </w:p>
    <w:p>
      <w:pPr>
        <w:pStyle w:val="101"/>
        <w:spacing w:line="360" w:lineRule="auto"/>
        <w:ind w:firstLine="660" w:firstLineChars="300"/>
        <w:rPr>
          <w:sz w:val="22"/>
          <w:szCs w:val="22"/>
        </w:rPr>
      </w:pPr>
      <w:r>
        <w:rPr>
          <w:rFonts w:hint="eastAsia"/>
          <w:sz w:val="22"/>
          <w:szCs w:val="22"/>
        </w:rPr>
        <w:t>逾期竣工违约金计算方法和最高限额：承包人若延迟竣工的每延迟</w:t>
      </w:r>
      <w:r>
        <w:rPr>
          <w:sz w:val="22"/>
          <w:szCs w:val="22"/>
        </w:rPr>
        <w:t>1</w:t>
      </w:r>
      <w:r>
        <w:rPr>
          <w:rFonts w:hint="eastAsia"/>
          <w:sz w:val="22"/>
          <w:szCs w:val="22"/>
        </w:rPr>
        <w:t>天赔偿</w:t>
      </w:r>
      <w:r>
        <w:rPr>
          <w:sz w:val="22"/>
          <w:szCs w:val="22"/>
        </w:rPr>
        <w:t>1000.00</w:t>
      </w:r>
      <w:r>
        <w:rPr>
          <w:rFonts w:hint="eastAsia"/>
          <w:sz w:val="22"/>
          <w:szCs w:val="22"/>
        </w:rPr>
        <w:t>元。逾期超过</w:t>
      </w:r>
      <w:r>
        <w:rPr>
          <w:sz w:val="22"/>
          <w:szCs w:val="22"/>
        </w:rPr>
        <w:t>45</w:t>
      </w:r>
      <w:r>
        <w:rPr>
          <w:rFonts w:hint="eastAsia"/>
          <w:sz w:val="22"/>
          <w:szCs w:val="22"/>
        </w:rPr>
        <w:t>日的，发包人有权要求承包人继续施工并承担违约金或单方解除合同，因此造成的发包人损失由承包人承担。</w:t>
      </w:r>
      <w:r>
        <w:rPr>
          <w:sz w:val="22"/>
          <w:szCs w:val="22"/>
        </w:rPr>
        <w:t xml:space="preserve"> </w:t>
      </w:r>
    </w:p>
    <w:p>
      <w:pPr>
        <w:pStyle w:val="101"/>
        <w:spacing w:line="360" w:lineRule="auto"/>
        <w:rPr>
          <w:b/>
          <w:bCs/>
          <w:sz w:val="28"/>
          <w:szCs w:val="28"/>
        </w:rPr>
      </w:pPr>
      <w:r>
        <w:rPr>
          <w:b/>
          <w:bCs/>
          <w:sz w:val="28"/>
          <w:szCs w:val="28"/>
        </w:rPr>
        <w:t>2.</w:t>
      </w:r>
      <w:r>
        <w:rPr>
          <w:rFonts w:hint="eastAsia"/>
          <w:b/>
          <w:bCs/>
          <w:sz w:val="28"/>
          <w:szCs w:val="28"/>
        </w:rPr>
        <w:t>承包方式</w:t>
      </w:r>
      <w:r>
        <w:rPr>
          <w:b/>
          <w:bCs/>
          <w:sz w:val="28"/>
          <w:szCs w:val="28"/>
        </w:rPr>
        <w:t xml:space="preserve"> </w:t>
      </w:r>
    </w:p>
    <w:p>
      <w:pPr>
        <w:pStyle w:val="101"/>
        <w:spacing w:line="360" w:lineRule="auto"/>
        <w:ind w:firstLine="660" w:firstLineChars="300"/>
        <w:rPr>
          <w:sz w:val="22"/>
          <w:szCs w:val="22"/>
        </w:rPr>
      </w:pPr>
      <w:r>
        <w:rPr>
          <w:rFonts w:hint="eastAsia"/>
          <w:sz w:val="22"/>
          <w:szCs w:val="22"/>
        </w:rPr>
        <w:t>本工程实行施工总承包，包工</w:t>
      </w:r>
      <w:r>
        <w:rPr>
          <w:sz w:val="22"/>
          <w:szCs w:val="22"/>
        </w:rPr>
        <w:t xml:space="preserve"> </w:t>
      </w:r>
      <w:r>
        <w:rPr>
          <w:rFonts w:hint="eastAsia"/>
          <w:sz w:val="22"/>
          <w:szCs w:val="22"/>
        </w:rPr>
        <w:t>包料、包施工机械、包完成施工采取的相关措施及措施费，包夜间施工、错峰施工和因赶工期等所采取相应措施的费用，包完成施工规定由施工方负责的规费、保险费及税收等一切费用，包环境保护、按施工工期完成施工、按工程质量要求完成施工。</w:t>
      </w:r>
      <w:r>
        <w:rPr>
          <w:sz w:val="22"/>
          <w:szCs w:val="22"/>
        </w:rPr>
        <w:t xml:space="preserve"> </w:t>
      </w:r>
    </w:p>
    <w:p>
      <w:pPr>
        <w:pStyle w:val="101"/>
        <w:spacing w:line="360" w:lineRule="auto"/>
        <w:rPr>
          <w:b/>
          <w:bCs/>
          <w:sz w:val="28"/>
          <w:szCs w:val="28"/>
        </w:rPr>
      </w:pPr>
      <w:r>
        <w:rPr>
          <w:b/>
          <w:bCs/>
          <w:sz w:val="28"/>
          <w:szCs w:val="28"/>
        </w:rPr>
        <w:t>3.</w:t>
      </w:r>
      <w:r>
        <w:rPr>
          <w:rFonts w:hint="eastAsia"/>
          <w:b/>
          <w:bCs/>
          <w:sz w:val="28"/>
          <w:szCs w:val="28"/>
        </w:rPr>
        <w:t>工程质量</w:t>
      </w:r>
      <w:r>
        <w:rPr>
          <w:b/>
          <w:bCs/>
          <w:sz w:val="28"/>
          <w:szCs w:val="28"/>
        </w:rPr>
        <w:t xml:space="preserve"> </w:t>
      </w:r>
    </w:p>
    <w:p>
      <w:pPr>
        <w:pStyle w:val="101"/>
        <w:spacing w:line="360" w:lineRule="auto"/>
      </w:pPr>
      <w:r>
        <w:rPr>
          <w:b/>
          <w:bCs/>
        </w:rPr>
        <w:t xml:space="preserve">3.1 </w:t>
      </w:r>
      <w:r>
        <w:rPr>
          <w:rFonts w:hint="eastAsia"/>
          <w:b/>
          <w:bCs/>
        </w:rPr>
        <w:t>工程质量要求</w:t>
      </w:r>
      <w:r>
        <w:t xml:space="preserve"> </w:t>
      </w:r>
    </w:p>
    <w:p>
      <w:pPr>
        <w:autoSpaceDE w:val="0"/>
        <w:autoSpaceDN w:val="0"/>
        <w:adjustRightInd w:val="0"/>
        <w:spacing w:line="360" w:lineRule="auto"/>
        <w:ind w:firstLine="660" w:firstLineChars="300"/>
        <w:jc w:val="left"/>
        <w:rPr>
          <w:rFonts w:hAnsi="Times New Roman"/>
          <w:kern w:val="0"/>
          <w:sz w:val="22"/>
          <w:szCs w:val="22"/>
        </w:rPr>
      </w:pPr>
      <w:r>
        <w:rPr>
          <w:sz w:val="22"/>
          <w:szCs w:val="22"/>
        </w:rPr>
        <w:t>3.1.1</w:t>
      </w:r>
      <w:r>
        <w:rPr>
          <w:rFonts w:hint="eastAsia"/>
          <w:sz w:val="22"/>
          <w:szCs w:val="22"/>
        </w:rPr>
        <w:t>施工单位必须严格按照施工图设计文件、国家颁布的现行施工规范、安全操</w:t>
      </w:r>
      <w:r>
        <w:rPr>
          <w:rFonts w:hint="eastAsia" w:hAnsi="Times New Roman"/>
          <w:kern w:val="0"/>
          <w:sz w:val="22"/>
          <w:szCs w:val="22"/>
        </w:rPr>
        <w:t>作规程和文明施工、《河源市房屋建筑工程常见质量问题治理实施办法》（河规建通</w:t>
      </w:r>
    </w:p>
    <w:p>
      <w:pPr>
        <w:autoSpaceDE w:val="0"/>
        <w:autoSpaceDN w:val="0"/>
        <w:adjustRightInd w:val="0"/>
        <w:spacing w:line="360" w:lineRule="auto"/>
        <w:jc w:val="left"/>
        <w:rPr>
          <w:rFonts w:hAnsi="Times New Roman"/>
          <w:kern w:val="0"/>
          <w:sz w:val="22"/>
          <w:szCs w:val="22"/>
        </w:rPr>
      </w:pPr>
      <w:r>
        <w:rPr>
          <w:rFonts w:hint="eastAsia" w:hAnsi="Times New Roman"/>
          <w:kern w:val="0"/>
          <w:sz w:val="22"/>
          <w:szCs w:val="22"/>
        </w:rPr>
        <w:t>（</w:t>
      </w:r>
      <w:r>
        <w:rPr>
          <w:rFonts w:hAnsi="Times New Roman"/>
          <w:kern w:val="0"/>
          <w:sz w:val="22"/>
          <w:szCs w:val="22"/>
        </w:rPr>
        <w:t>2017</w:t>
      </w:r>
      <w:r>
        <w:rPr>
          <w:rFonts w:hint="eastAsia" w:hAnsi="Times New Roman"/>
          <w:kern w:val="0"/>
          <w:sz w:val="22"/>
          <w:szCs w:val="22"/>
        </w:rPr>
        <w:t>）</w:t>
      </w:r>
      <w:r>
        <w:rPr>
          <w:rFonts w:hAnsi="Times New Roman"/>
          <w:kern w:val="0"/>
          <w:sz w:val="22"/>
          <w:szCs w:val="22"/>
        </w:rPr>
        <w:t xml:space="preserve">40 </w:t>
      </w:r>
      <w:r>
        <w:rPr>
          <w:rFonts w:hint="eastAsia" w:hAnsi="Times New Roman"/>
          <w:kern w:val="0"/>
          <w:sz w:val="22"/>
          <w:szCs w:val="22"/>
        </w:rPr>
        <w:t>号）、《关于印发河源市建设工程文明施工和扬尘污染防治管理实施指南的通知》（河规建通〔</w:t>
      </w:r>
      <w:r>
        <w:rPr>
          <w:rFonts w:hAnsi="Times New Roman"/>
          <w:kern w:val="0"/>
          <w:sz w:val="22"/>
          <w:szCs w:val="22"/>
        </w:rPr>
        <w:t>2018</w:t>
      </w:r>
      <w:r>
        <w:rPr>
          <w:rFonts w:hint="eastAsia" w:hAnsi="Times New Roman"/>
          <w:kern w:val="0"/>
          <w:sz w:val="22"/>
          <w:szCs w:val="22"/>
        </w:rPr>
        <w:t>〕</w:t>
      </w:r>
      <w:r>
        <w:rPr>
          <w:rFonts w:hAnsi="Times New Roman"/>
          <w:kern w:val="0"/>
          <w:sz w:val="22"/>
          <w:szCs w:val="22"/>
        </w:rPr>
        <w:t xml:space="preserve">77 </w:t>
      </w:r>
      <w:r>
        <w:rPr>
          <w:rFonts w:hint="eastAsia" w:hAnsi="Times New Roman"/>
          <w:kern w:val="0"/>
          <w:sz w:val="22"/>
          <w:szCs w:val="22"/>
        </w:rPr>
        <w:t>号）等规定施工，做好常见质量问题治理专项方案，对作业班组进行技术交底，开展质量样板引路。保证工程质量、施工安全和文明施工，并接受相关部门的监督指导和检查。</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3.1.2 </w:t>
      </w:r>
      <w:r>
        <w:rPr>
          <w:rFonts w:hint="eastAsia" w:hAnsi="Times New Roman"/>
          <w:kern w:val="0"/>
          <w:sz w:val="22"/>
          <w:szCs w:val="22"/>
        </w:rPr>
        <w:t>工程质量要求：工程质量按国家有关规定达到验收合格。</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4.</w:t>
      </w:r>
      <w:r>
        <w:rPr>
          <w:rFonts w:hint="eastAsia" w:hAnsi="Times New Roman"/>
          <w:b/>
          <w:bCs/>
          <w:kern w:val="0"/>
          <w:sz w:val="28"/>
          <w:szCs w:val="28"/>
        </w:rPr>
        <w:t>工程材料</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4.1 </w:t>
      </w:r>
      <w:r>
        <w:rPr>
          <w:rFonts w:hint="eastAsia" w:hAnsi="Times New Roman"/>
          <w:b/>
          <w:bCs/>
          <w:kern w:val="0"/>
          <w:sz w:val="24"/>
        </w:rPr>
        <w:t>对使用材料的要求</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4.1.1 </w:t>
      </w:r>
      <w:r>
        <w:rPr>
          <w:rFonts w:hint="eastAsia" w:hAnsi="Times New Roman"/>
          <w:kern w:val="0"/>
          <w:sz w:val="22"/>
          <w:szCs w:val="22"/>
        </w:rPr>
        <w:t>施工单位进场使用的材料、预制件必须符合设计及国家标准，有出厂合格证明、有试验报告、有法定检测部门的检验报告等资料，并应提供一份副本给招标人。材料使用前必须经招标人（或监理人）检验或试验，严禁使用不合格材料和产品。如一方对材料或产品的质量有异议，应进行二次检验，如检验合格，检验费用由持有异议的一方负责，否则由采购方承担。</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5.</w:t>
      </w:r>
      <w:r>
        <w:rPr>
          <w:rFonts w:hint="eastAsia" w:hAnsi="Times New Roman"/>
          <w:b/>
          <w:bCs/>
          <w:kern w:val="0"/>
          <w:sz w:val="28"/>
          <w:szCs w:val="28"/>
        </w:rPr>
        <w:t>工程节能要求</w:t>
      </w:r>
    </w:p>
    <w:p>
      <w:pPr>
        <w:autoSpaceDE w:val="0"/>
        <w:autoSpaceDN w:val="0"/>
        <w:adjustRightInd w:val="0"/>
        <w:spacing w:line="360" w:lineRule="auto"/>
        <w:ind w:firstLine="440" w:firstLineChars="200"/>
        <w:jc w:val="left"/>
        <w:rPr>
          <w:rFonts w:hAnsi="Times New Roman"/>
          <w:kern w:val="0"/>
          <w:sz w:val="22"/>
          <w:szCs w:val="22"/>
        </w:rPr>
      </w:pPr>
      <w:r>
        <w:rPr>
          <w:rFonts w:hint="eastAsia" w:hAnsi="Times New Roman"/>
          <w:kern w:val="0"/>
          <w:sz w:val="22"/>
          <w:szCs w:val="22"/>
        </w:rPr>
        <w:t>工程节能要求：达到国家建筑节能施工验收规范要求。</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6.</w:t>
      </w:r>
      <w:r>
        <w:rPr>
          <w:rFonts w:hint="eastAsia" w:hAnsi="Times New Roman"/>
          <w:b/>
          <w:bCs/>
          <w:kern w:val="0"/>
          <w:sz w:val="28"/>
          <w:szCs w:val="28"/>
        </w:rPr>
        <w:t>计量与支付</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6.1 </w:t>
      </w:r>
      <w:r>
        <w:rPr>
          <w:rFonts w:hint="eastAsia" w:hAnsi="Times New Roman"/>
          <w:b/>
          <w:bCs/>
          <w:kern w:val="0"/>
          <w:sz w:val="24"/>
        </w:rPr>
        <w:t>预付款</w:t>
      </w:r>
    </w:p>
    <w:p>
      <w:pPr>
        <w:autoSpaceDE w:val="0"/>
        <w:autoSpaceDN w:val="0"/>
        <w:adjustRightInd w:val="0"/>
        <w:spacing w:line="360" w:lineRule="auto"/>
        <w:ind w:firstLine="440" w:firstLineChars="200"/>
        <w:jc w:val="left"/>
        <w:rPr>
          <w:rFonts w:hAnsi="Times New Roman"/>
          <w:kern w:val="0"/>
          <w:sz w:val="22"/>
          <w:szCs w:val="22"/>
        </w:rPr>
      </w:pPr>
      <w:r>
        <w:rPr>
          <w:rFonts w:hint="eastAsia" w:hAnsi="Times New Roman"/>
          <w:kern w:val="0"/>
          <w:sz w:val="22"/>
          <w:szCs w:val="22"/>
        </w:rPr>
        <w:t>在签订施工合同并正式进场后</w:t>
      </w:r>
      <w:r>
        <w:rPr>
          <w:rFonts w:hAnsi="Times New Roman"/>
          <w:kern w:val="0"/>
          <w:sz w:val="22"/>
          <w:szCs w:val="22"/>
        </w:rPr>
        <w:t>5</w:t>
      </w:r>
      <w:r>
        <w:rPr>
          <w:rFonts w:hint="eastAsia" w:hAnsi="Times New Roman"/>
          <w:kern w:val="0"/>
          <w:sz w:val="22"/>
          <w:szCs w:val="22"/>
        </w:rPr>
        <w:t>天内可申请拨付中标价的</w:t>
      </w:r>
      <w:r>
        <w:rPr>
          <w:rFonts w:hAnsi="Times New Roman"/>
          <w:kern w:val="0"/>
          <w:sz w:val="22"/>
          <w:szCs w:val="22"/>
        </w:rPr>
        <w:t>30%</w:t>
      </w:r>
      <w:r>
        <w:rPr>
          <w:rFonts w:hint="eastAsia" w:hAnsi="Times New Roman"/>
          <w:kern w:val="0"/>
          <w:sz w:val="22"/>
          <w:szCs w:val="22"/>
        </w:rPr>
        <w:t>作为工程预付款</w:t>
      </w:r>
      <w:r>
        <w:rPr>
          <w:rFonts w:hint="eastAsia" w:hAnsi="Times New Roman"/>
          <w:kern w:val="0"/>
          <w:sz w:val="22"/>
          <w:szCs w:val="22"/>
          <w:lang w:eastAsia="zh-CN"/>
        </w:rPr>
        <w:t>，</w:t>
      </w:r>
    </w:p>
    <w:p>
      <w:pPr>
        <w:autoSpaceDE w:val="0"/>
        <w:autoSpaceDN w:val="0"/>
        <w:adjustRightInd w:val="0"/>
        <w:spacing w:line="360" w:lineRule="auto"/>
        <w:jc w:val="left"/>
        <w:rPr>
          <w:rFonts w:hAnsi="Times New Roman"/>
          <w:kern w:val="0"/>
          <w:sz w:val="22"/>
          <w:szCs w:val="22"/>
        </w:rPr>
      </w:pPr>
      <w:r>
        <w:rPr>
          <w:rFonts w:hint="eastAsia" w:hAnsi="Times New Roman"/>
          <w:kern w:val="0"/>
          <w:sz w:val="22"/>
          <w:szCs w:val="22"/>
        </w:rPr>
        <w:t>预付款在工程进度款付至</w:t>
      </w:r>
      <w:r>
        <w:rPr>
          <w:rFonts w:hAnsi="Times New Roman"/>
          <w:kern w:val="0"/>
          <w:sz w:val="22"/>
          <w:szCs w:val="22"/>
        </w:rPr>
        <w:t>50%</w:t>
      </w:r>
      <w:r>
        <w:rPr>
          <w:rFonts w:hint="eastAsia" w:hAnsi="Times New Roman"/>
          <w:kern w:val="0"/>
          <w:sz w:val="22"/>
          <w:szCs w:val="22"/>
        </w:rPr>
        <w:t>后一次性从进度款中扣回。</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6.2 </w:t>
      </w:r>
      <w:r>
        <w:rPr>
          <w:rFonts w:hint="eastAsia" w:hAnsi="Times New Roman"/>
          <w:b/>
          <w:bCs/>
          <w:kern w:val="0"/>
          <w:sz w:val="24"/>
        </w:rPr>
        <w:t>工程进度款：</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6.2.1 </w:t>
      </w:r>
      <w:r>
        <w:rPr>
          <w:rFonts w:hint="eastAsia" w:hAnsi="Times New Roman"/>
          <w:kern w:val="0"/>
          <w:sz w:val="22"/>
          <w:szCs w:val="22"/>
        </w:rPr>
        <w:t>工程进度款按施工进度支付，但最高不能超过施工合同资金总额的</w:t>
      </w:r>
      <w:r>
        <w:rPr>
          <w:rFonts w:hAnsi="Times New Roman"/>
          <w:kern w:val="0"/>
          <w:sz w:val="22"/>
          <w:szCs w:val="22"/>
        </w:rPr>
        <w:t>80%</w:t>
      </w:r>
      <w:r>
        <w:rPr>
          <w:rFonts w:hint="eastAsia" w:hAnsi="Times New Roman"/>
          <w:kern w:val="0"/>
          <w:sz w:val="22"/>
          <w:szCs w:val="22"/>
        </w:rPr>
        <w:t>。</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6.2.2 </w:t>
      </w:r>
      <w:r>
        <w:rPr>
          <w:rFonts w:hint="eastAsia" w:hAnsi="Times New Roman"/>
          <w:kern w:val="0"/>
          <w:sz w:val="22"/>
          <w:szCs w:val="22"/>
        </w:rPr>
        <w:t>待工程验收并经连平县财政投资评审中心对工程竣工结算审核确认后，付至工程总结算价的</w:t>
      </w:r>
      <w:r>
        <w:rPr>
          <w:rFonts w:hAnsi="Times New Roman"/>
          <w:kern w:val="0"/>
          <w:sz w:val="22"/>
          <w:szCs w:val="22"/>
        </w:rPr>
        <w:t>97%</w:t>
      </w:r>
      <w:r>
        <w:rPr>
          <w:rFonts w:hint="eastAsia" w:hAnsi="Times New Roman"/>
          <w:kern w:val="0"/>
          <w:sz w:val="22"/>
          <w:szCs w:val="22"/>
        </w:rPr>
        <w:t>，余款</w:t>
      </w:r>
      <w:r>
        <w:rPr>
          <w:rFonts w:hAnsi="Times New Roman"/>
          <w:kern w:val="0"/>
          <w:sz w:val="22"/>
          <w:szCs w:val="22"/>
        </w:rPr>
        <w:t>3%</w:t>
      </w:r>
      <w:r>
        <w:rPr>
          <w:rFonts w:hint="eastAsia" w:hAnsi="Times New Roman"/>
          <w:kern w:val="0"/>
          <w:sz w:val="22"/>
          <w:szCs w:val="22"/>
        </w:rPr>
        <w:t>作为工程质量保证金。</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6.2.3 </w:t>
      </w:r>
      <w:r>
        <w:rPr>
          <w:rFonts w:hint="eastAsia" w:hAnsi="Times New Roman"/>
          <w:kern w:val="0"/>
          <w:sz w:val="22"/>
          <w:szCs w:val="22"/>
        </w:rPr>
        <w:t>安全生产和文明施工费用单独支付，分期分阶段对安全生产和文明施工进行验收，验收合格后才支付相应的安全生产和文明施工费用。</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6.3 </w:t>
      </w:r>
      <w:r>
        <w:rPr>
          <w:rFonts w:hint="eastAsia" w:hAnsi="Times New Roman"/>
          <w:b/>
          <w:bCs/>
          <w:kern w:val="0"/>
          <w:sz w:val="24"/>
        </w:rPr>
        <w:t>质量保证金</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6.3.1 </w:t>
      </w:r>
      <w:r>
        <w:rPr>
          <w:rFonts w:hint="eastAsia" w:hAnsi="Times New Roman"/>
          <w:kern w:val="0"/>
          <w:sz w:val="22"/>
          <w:szCs w:val="22"/>
        </w:rPr>
        <w:t>工程质量保证金的金额为工程总结算价的</w:t>
      </w:r>
      <w:r>
        <w:rPr>
          <w:rFonts w:hAnsi="Times New Roman"/>
          <w:kern w:val="0"/>
          <w:sz w:val="22"/>
          <w:szCs w:val="22"/>
        </w:rPr>
        <w:t>3%</w:t>
      </w:r>
      <w:r>
        <w:rPr>
          <w:rFonts w:hint="eastAsia" w:hAnsi="Times New Roman"/>
          <w:kern w:val="0"/>
          <w:sz w:val="22"/>
          <w:szCs w:val="22"/>
        </w:rPr>
        <w:t>，工程质量保证金在缺陷责任期（缺陷责任期为</w:t>
      </w:r>
      <w:r>
        <w:rPr>
          <w:rFonts w:hint="eastAsia" w:hAnsi="Times New Roman"/>
          <w:kern w:val="0"/>
          <w:sz w:val="22"/>
          <w:szCs w:val="22"/>
          <w:u w:val="single"/>
          <w:lang w:val="en-US" w:eastAsia="zh-CN"/>
        </w:rPr>
        <w:t xml:space="preserve"> </w:t>
      </w:r>
      <w:r>
        <w:rPr>
          <w:rFonts w:hAnsi="Times New Roman"/>
          <w:kern w:val="0"/>
          <w:sz w:val="22"/>
          <w:szCs w:val="22"/>
          <w:u w:val="single"/>
        </w:rPr>
        <w:t xml:space="preserve">1 </w:t>
      </w:r>
      <w:r>
        <w:rPr>
          <w:rFonts w:hint="eastAsia" w:hAnsi="Times New Roman"/>
          <w:kern w:val="0"/>
          <w:sz w:val="22"/>
          <w:szCs w:val="22"/>
        </w:rPr>
        <w:t>年）满后的</w:t>
      </w:r>
      <w:r>
        <w:rPr>
          <w:rFonts w:hint="eastAsia" w:hAnsi="Times New Roman"/>
          <w:kern w:val="0"/>
          <w:sz w:val="22"/>
          <w:szCs w:val="22"/>
          <w:u w:val="single"/>
          <w:lang w:val="en-US" w:eastAsia="zh-CN"/>
        </w:rPr>
        <w:t xml:space="preserve"> </w:t>
      </w:r>
      <w:r>
        <w:rPr>
          <w:rFonts w:hAnsi="Times New Roman"/>
          <w:kern w:val="0"/>
          <w:sz w:val="22"/>
          <w:szCs w:val="22"/>
          <w:u w:val="single"/>
        </w:rPr>
        <w:t xml:space="preserve">30 </w:t>
      </w:r>
      <w:r>
        <w:rPr>
          <w:rFonts w:hint="eastAsia" w:hAnsi="Times New Roman"/>
          <w:kern w:val="0"/>
          <w:sz w:val="22"/>
          <w:szCs w:val="22"/>
        </w:rPr>
        <w:t>天（日历天）内付清，不计利息。</w:t>
      </w:r>
    </w:p>
    <w:p>
      <w:pPr>
        <w:autoSpaceDE w:val="0"/>
        <w:autoSpaceDN w:val="0"/>
        <w:adjustRightInd w:val="0"/>
        <w:spacing w:line="360" w:lineRule="auto"/>
        <w:jc w:val="left"/>
        <w:rPr>
          <w:rFonts w:hAnsi="Times New Roman"/>
          <w:kern w:val="0"/>
          <w:sz w:val="22"/>
          <w:szCs w:val="22"/>
        </w:rPr>
      </w:pPr>
      <w:r>
        <w:rPr>
          <w:rFonts w:hint="eastAsia" w:hAnsi="Times New Roman"/>
          <w:kern w:val="0"/>
          <w:sz w:val="22"/>
          <w:szCs w:val="22"/>
        </w:rPr>
        <w:t>说明：工程质量保证金或以银行保函、保证保险方式替代。</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6.3.2 </w:t>
      </w:r>
      <w:r>
        <w:rPr>
          <w:rFonts w:hint="eastAsia" w:hAnsi="Times New Roman"/>
          <w:kern w:val="0"/>
          <w:sz w:val="22"/>
          <w:szCs w:val="22"/>
        </w:rPr>
        <w:t>缺陷责任期从工程通过竣工验收合格之日起计。由于中标人原因导致工程无法按规定期限进行竣工验收的，缺陷责任期从实际通过竣工验收合格之日起计。由于发包人原因导致工程无法按规定期限进行竣工验收的，在中标人提交竣工验收报告</w:t>
      </w:r>
      <w:r>
        <w:rPr>
          <w:rFonts w:hAnsi="Times New Roman"/>
          <w:kern w:val="0"/>
          <w:sz w:val="22"/>
          <w:szCs w:val="22"/>
        </w:rPr>
        <w:t xml:space="preserve">90 </w:t>
      </w:r>
      <w:r>
        <w:rPr>
          <w:rFonts w:hint="eastAsia" w:hAnsi="Times New Roman"/>
          <w:kern w:val="0"/>
          <w:sz w:val="22"/>
          <w:szCs w:val="22"/>
        </w:rPr>
        <w:t>天后，工程自动进入缺陷责任期。</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6.3.3 </w:t>
      </w:r>
      <w:r>
        <w:rPr>
          <w:rFonts w:hint="eastAsia" w:hAnsi="Times New Roman"/>
          <w:kern w:val="0"/>
          <w:sz w:val="22"/>
          <w:szCs w:val="22"/>
        </w:rPr>
        <w:t>缺陷责任期内，由中标人原因造成的缺陷，中标人应负责维修，并承担鉴定及维修费用。如中标人不维修也不承担费用，发包人可按合同约定从保证金或银行保函中扣除，费用超出保证金额的，发包人可按合同约定向中标人进行索赔。中标人维修并承担相应费用后，不免除对工程的损失赔偿责任。由他人原因造成的缺陷，发包人负责组织维修，中标人不承担费用，且发包人不得从保证金中扣除费用。</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6.3.4 </w:t>
      </w:r>
      <w:r>
        <w:rPr>
          <w:rFonts w:hint="eastAsia" w:hAnsi="Times New Roman"/>
          <w:kern w:val="0"/>
          <w:sz w:val="22"/>
          <w:szCs w:val="22"/>
        </w:rPr>
        <w:t>发包人和中标人对保证金预留、返还以及工程维修质量、费用有争议的，按承包合同约定的争议和纠纷解决程序处理。</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6.4 </w:t>
      </w:r>
      <w:r>
        <w:rPr>
          <w:rFonts w:hint="eastAsia" w:hAnsi="Times New Roman"/>
          <w:b/>
          <w:bCs/>
          <w:kern w:val="0"/>
          <w:sz w:val="24"/>
        </w:rPr>
        <w:t>分账制管理、实名制管理、扬尘管理、工人工资专用账户和工资支付及保证金管理</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6.4.1 </w:t>
      </w:r>
      <w:r>
        <w:rPr>
          <w:rFonts w:hint="eastAsia" w:hAnsi="Times New Roman"/>
          <w:kern w:val="0"/>
          <w:sz w:val="22"/>
          <w:szCs w:val="22"/>
        </w:rPr>
        <w:t>中标人应严格按照《广东省建设工程领域工人工资支付专用账户管理办法》</w:t>
      </w:r>
      <w:r>
        <w:rPr>
          <w:rFonts w:hint="eastAsia" w:hAnsi="Times New Roman"/>
          <w:kern w:val="0"/>
          <w:sz w:val="22"/>
          <w:szCs w:val="22"/>
          <w:lang w:eastAsia="zh-CN"/>
        </w:rPr>
        <w:t>（</w:t>
      </w:r>
      <w:r>
        <w:rPr>
          <w:rFonts w:hint="eastAsia" w:hAnsi="Times New Roman"/>
          <w:kern w:val="0"/>
          <w:sz w:val="22"/>
          <w:szCs w:val="22"/>
        </w:rPr>
        <w:t>粤人社规﹝</w:t>
      </w:r>
      <w:r>
        <w:rPr>
          <w:rFonts w:hAnsi="Times New Roman"/>
          <w:kern w:val="0"/>
          <w:sz w:val="22"/>
          <w:szCs w:val="22"/>
        </w:rPr>
        <w:t>2018</w:t>
      </w:r>
      <w:r>
        <w:rPr>
          <w:rFonts w:hint="eastAsia" w:hAnsi="Times New Roman"/>
          <w:kern w:val="0"/>
          <w:sz w:val="22"/>
          <w:szCs w:val="22"/>
        </w:rPr>
        <w:t>﹞</w:t>
      </w:r>
      <w:r>
        <w:rPr>
          <w:rFonts w:hAnsi="Times New Roman"/>
          <w:kern w:val="0"/>
          <w:sz w:val="22"/>
          <w:szCs w:val="22"/>
        </w:rPr>
        <w:t xml:space="preserve">14 </w:t>
      </w:r>
      <w:r>
        <w:rPr>
          <w:rFonts w:hint="eastAsia" w:hAnsi="Times New Roman"/>
          <w:kern w:val="0"/>
          <w:sz w:val="22"/>
          <w:szCs w:val="22"/>
        </w:rPr>
        <w:t>号文</w:t>
      </w:r>
      <w:r>
        <w:rPr>
          <w:rFonts w:hint="eastAsia" w:hAnsi="Times New Roman"/>
          <w:kern w:val="0"/>
          <w:sz w:val="22"/>
          <w:szCs w:val="22"/>
          <w:lang w:eastAsia="zh-CN"/>
        </w:rPr>
        <w:t>）</w:t>
      </w:r>
      <w:r>
        <w:rPr>
          <w:rFonts w:hint="eastAsia" w:hAnsi="Times New Roman"/>
          <w:kern w:val="0"/>
          <w:sz w:val="22"/>
          <w:szCs w:val="22"/>
        </w:rPr>
        <w:t>的要求管理工人工资专用账户。</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6.4.2 </w:t>
      </w:r>
      <w:r>
        <w:rPr>
          <w:rFonts w:hint="eastAsia" w:hAnsi="Times New Roman"/>
          <w:kern w:val="0"/>
          <w:sz w:val="22"/>
          <w:szCs w:val="22"/>
        </w:rPr>
        <w:t>中标人应严格按照《河源市建设领域工人工资支付保证金管理办法》</w:t>
      </w:r>
      <w:r>
        <w:rPr>
          <w:rFonts w:hint="eastAsia" w:hAnsi="Times New Roman"/>
          <w:kern w:val="0"/>
          <w:sz w:val="22"/>
          <w:szCs w:val="22"/>
          <w:lang w:eastAsia="zh-CN"/>
        </w:rPr>
        <w:t>（</w:t>
      </w:r>
      <w:r>
        <w:rPr>
          <w:rFonts w:hint="eastAsia" w:hAnsi="Times New Roman"/>
          <w:kern w:val="0"/>
          <w:sz w:val="22"/>
          <w:szCs w:val="22"/>
        </w:rPr>
        <w:t>河府办﹝</w:t>
      </w:r>
      <w:r>
        <w:rPr>
          <w:rFonts w:hAnsi="Times New Roman"/>
          <w:kern w:val="0"/>
          <w:sz w:val="22"/>
          <w:szCs w:val="22"/>
        </w:rPr>
        <w:t>2017</w:t>
      </w:r>
      <w:r>
        <w:rPr>
          <w:rFonts w:hint="eastAsia" w:hAnsi="Times New Roman"/>
          <w:kern w:val="0"/>
          <w:sz w:val="22"/>
          <w:szCs w:val="22"/>
        </w:rPr>
        <w:t>﹞</w:t>
      </w:r>
      <w:r>
        <w:rPr>
          <w:rFonts w:hAnsi="Times New Roman"/>
          <w:kern w:val="0"/>
          <w:sz w:val="22"/>
          <w:szCs w:val="22"/>
        </w:rPr>
        <w:t xml:space="preserve">54 </w:t>
      </w:r>
      <w:r>
        <w:rPr>
          <w:rFonts w:hint="eastAsia" w:hAnsi="Times New Roman"/>
          <w:kern w:val="0"/>
          <w:sz w:val="22"/>
          <w:szCs w:val="22"/>
        </w:rPr>
        <w:t>号文</w:t>
      </w:r>
      <w:r>
        <w:rPr>
          <w:rFonts w:hint="eastAsia" w:hAnsi="Times New Roman"/>
          <w:kern w:val="0"/>
          <w:sz w:val="22"/>
          <w:szCs w:val="22"/>
          <w:lang w:eastAsia="zh-CN"/>
        </w:rPr>
        <w:t>）</w:t>
      </w:r>
      <w:r>
        <w:rPr>
          <w:rFonts w:hint="eastAsia" w:hAnsi="Times New Roman"/>
          <w:kern w:val="0"/>
          <w:sz w:val="22"/>
          <w:szCs w:val="22"/>
        </w:rPr>
        <w:t>的要求缴存和管理工人工资保证金。</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6.4.3 </w:t>
      </w:r>
      <w:r>
        <w:rPr>
          <w:rFonts w:hint="eastAsia" w:hAnsi="Times New Roman"/>
          <w:kern w:val="0"/>
          <w:sz w:val="22"/>
          <w:szCs w:val="22"/>
        </w:rPr>
        <w:t>中标人应严格按照住房和城乡建设部、</w:t>
      </w:r>
      <w:r>
        <w:rPr>
          <w:rFonts w:hint="eastAsia" w:hAnsi="Times New Roman"/>
          <w:kern w:val="0"/>
          <w:sz w:val="22"/>
          <w:szCs w:val="22"/>
          <w:lang w:eastAsia="zh-CN"/>
        </w:rPr>
        <w:t>人力资源和社会保障部</w:t>
      </w:r>
      <w:r>
        <w:rPr>
          <w:rFonts w:hint="eastAsia" w:hAnsi="Times New Roman"/>
          <w:kern w:val="0"/>
          <w:sz w:val="22"/>
          <w:szCs w:val="22"/>
        </w:rPr>
        <w:t>制定的《建筑工人实名制管理办法</w:t>
      </w:r>
      <w:r>
        <w:rPr>
          <w:rFonts w:hint="eastAsia" w:hAnsi="Times New Roman"/>
          <w:kern w:val="0"/>
          <w:sz w:val="22"/>
          <w:szCs w:val="22"/>
          <w:lang w:eastAsia="zh-CN"/>
        </w:rPr>
        <w:t>（</w:t>
      </w:r>
      <w:r>
        <w:rPr>
          <w:rFonts w:hint="eastAsia" w:hAnsi="Times New Roman"/>
          <w:kern w:val="0"/>
          <w:sz w:val="22"/>
          <w:szCs w:val="22"/>
        </w:rPr>
        <w:t>试行</w:t>
      </w:r>
      <w:r>
        <w:rPr>
          <w:rFonts w:hint="eastAsia" w:hAnsi="Times New Roman"/>
          <w:kern w:val="0"/>
          <w:sz w:val="22"/>
          <w:szCs w:val="22"/>
          <w:lang w:eastAsia="zh-CN"/>
        </w:rPr>
        <w:t>）</w:t>
      </w:r>
      <w:r>
        <w:rPr>
          <w:rFonts w:hint="eastAsia" w:hAnsi="Times New Roman"/>
          <w:kern w:val="0"/>
          <w:sz w:val="22"/>
          <w:szCs w:val="22"/>
        </w:rPr>
        <w:t>》的要求对建筑工人实行实名制管理。各级住房和城乡建设部门、人力资源社会保障部门对建筑工人实名制管理落实情况进行管理、监督及检查。</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6.4.4 </w:t>
      </w:r>
      <w:r>
        <w:rPr>
          <w:rFonts w:hint="eastAsia" w:hAnsi="Times New Roman"/>
          <w:kern w:val="0"/>
          <w:sz w:val="22"/>
          <w:szCs w:val="22"/>
        </w:rPr>
        <w:t>中标人应严格按照《广东省住房和城乡建设厅关于房屋建筑和市政基础设施工程用工实名管理暂行办法》（粤建规范</w:t>
      </w:r>
      <w:r>
        <w:rPr>
          <w:rFonts w:hAnsi="Times New Roman"/>
          <w:kern w:val="0"/>
          <w:sz w:val="22"/>
          <w:szCs w:val="22"/>
        </w:rPr>
        <w:t xml:space="preserve">[2018]1 </w:t>
      </w:r>
      <w:r>
        <w:rPr>
          <w:rFonts w:hint="eastAsia" w:hAnsi="Times New Roman"/>
          <w:kern w:val="0"/>
          <w:sz w:val="22"/>
          <w:szCs w:val="22"/>
        </w:rPr>
        <w:t>号）的要求在建设过程中实行用工实名制管理。</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6.4.5 </w:t>
      </w:r>
      <w:r>
        <w:rPr>
          <w:rFonts w:hint="eastAsia" w:hAnsi="Times New Roman"/>
          <w:kern w:val="0"/>
          <w:sz w:val="22"/>
          <w:szCs w:val="22"/>
        </w:rPr>
        <w:t>中标人应严格按照《保障农民工工资支付条例》及《河源市住房和城乡建设局关于进一步加强房屋市政工程农民工工资支付管理的通知》（河住建通〔</w:t>
      </w:r>
      <w:r>
        <w:rPr>
          <w:rFonts w:hAnsi="Times New Roman"/>
          <w:kern w:val="0"/>
          <w:sz w:val="22"/>
          <w:szCs w:val="22"/>
        </w:rPr>
        <w:t>2021〕11 号）</w:t>
      </w:r>
      <w:r>
        <w:rPr>
          <w:rFonts w:hint="eastAsia" w:hAnsi="Times New Roman"/>
          <w:kern w:val="0"/>
          <w:sz w:val="22"/>
          <w:szCs w:val="22"/>
        </w:rPr>
        <w:t>的要求缴存和管理工人工资保证金，工人工资保证金可采用金融机构担保和购买工人工资保证金保险等形式。</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6.4.6 </w:t>
      </w:r>
      <w:r>
        <w:rPr>
          <w:rFonts w:hint="eastAsia" w:hAnsi="Times New Roman"/>
          <w:kern w:val="0"/>
          <w:sz w:val="22"/>
          <w:szCs w:val="22"/>
        </w:rPr>
        <w:t>中标人严格根据有关规定落实分账制管理，工人工资支付与工程款支付应当实行分账管理，施工单位应当根据《河源市住房和城乡建设局关于启用“河源市智慧工地综合信息系统平台”的通知》（河住建通</w:t>
      </w:r>
      <w:r>
        <w:rPr>
          <w:rFonts w:hAnsi="Times New Roman"/>
          <w:kern w:val="0"/>
          <w:sz w:val="22"/>
          <w:szCs w:val="22"/>
        </w:rPr>
        <w:t xml:space="preserve">[2019]282 </w:t>
      </w:r>
      <w:r>
        <w:rPr>
          <w:rFonts w:hint="eastAsia" w:hAnsi="Times New Roman"/>
          <w:kern w:val="0"/>
          <w:sz w:val="22"/>
          <w:szCs w:val="22"/>
        </w:rPr>
        <w:t>号）要求，到规定的商业银行开设工人工资专用账户，建设单位应当在合同设置合理的拨付比例，按时足额将工程款中的工资款项拨入中标人设立的工人工资支付专用账户，用户发放作业工人工资，并与河源市智慧工地平台实行对接。</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6.4.7 </w:t>
      </w:r>
      <w:r>
        <w:rPr>
          <w:rFonts w:hint="eastAsia" w:hAnsi="Times New Roman"/>
          <w:kern w:val="0"/>
          <w:sz w:val="22"/>
          <w:szCs w:val="22"/>
        </w:rPr>
        <w:t>中标人应当根据规定落实实名制管理，应当在施工区域安装人脸识别设备等门禁设施，并连接河源市房屋市政工程智慧工地平台，并与河源市智慧工地平台实行对接；建立门卫值守制度和进入工地登记管理制度，用于施工现场人员的日常考勤和工作情况记录。</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6.4.8 </w:t>
      </w:r>
      <w:r>
        <w:rPr>
          <w:rFonts w:hint="eastAsia" w:hAnsi="Times New Roman"/>
          <w:kern w:val="0"/>
          <w:sz w:val="22"/>
          <w:szCs w:val="22"/>
        </w:rPr>
        <w:t>中标人应当根据《河源市建设工程文明施工和扬尘污染防治管理实施指南》（河规建通</w:t>
      </w:r>
      <w:r>
        <w:rPr>
          <w:rFonts w:hAnsi="Times New Roman"/>
          <w:kern w:val="0"/>
          <w:sz w:val="22"/>
          <w:szCs w:val="22"/>
        </w:rPr>
        <w:t xml:space="preserve">[2018]77 </w:t>
      </w:r>
      <w:r>
        <w:rPr>
          <w:rFonts w:hint="eastAsia" w:hAnsi="Times New Roman"/>
          <w:kern w:val="0"/>
          <w:sz w:val="22"/>
          <w:szCs w:val="22"/>
        </w:rPr>
        <w:t>号）的要求，在项目安装扬尘监控设备，并与河源市智慧工地平台实行对接，进一步强化房屋建筑工程文明施工和扬尘污染防治管理。</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6.4.9 </w:t>
      </w:r>
      <w:r>
        <w:rPr>
          <w:rFonts w:hint="eastAsia" w:hAnsi="Times New Roman"/>
          <w:kern w:val="0"/>
          <w:sz w:val="22"/>
          <w:szCs w:val="22"/>
        </w:rPr>
        <w:t>中标人应当根据《河源市住房和城乡建设局关于启用“河源市智慧工地综合信息系统平台”的通知》（河住建通</w:t>
      </w:r>
      <w:r>
        <w:rPr>
          <w:rFonts w:hAnsi="Times New Roman"/>
          <w:kern w:val="0"/>
          <w:sz w:val="22"/>
          <w:szCs w:val="22"/>
        </w:rPr>
        <w:t xml:space="preserve">[2019]280 </w:t>
      </w:r>
      <w:r>
        <w:rPr>
          <w:rFonts w:hint="eastAsia" w:hAnsi="Times New Roman"/>
          <w:kern w:val="0"/>
          <w:sz w:val="22"/>
          <w:szCs w:val="22"/>
        </w:rPr>
        <w:t>号）的要求，将本项目的实名制及分账制、扬尘噪音检测、视频监控和车牌识别监管等系统，按平台接口标准对接河源市智慧工地综合信息系统平台。</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6,4,10 </w:t>
      </w:r>
      <w:r>
        <w:rPr>
          <w:rFonts w:hint="eastAsia" w:hAnsi="Times New Roman"/>
          <w:kern w:val="0"/>
          <w:sz w:val="22"/>
          <w:szCs w:val="22"/>
        </w:rPr>
        <w:t>因中标人拖欠工人工资导致发包人被追索的，发包人因此造成的损失由中</w:t>
      </w:r>
    </w:p>
    <w:p>
      <w:pPr>
        <w:autoSpaceDE w:val="0"/>
        <w:autoSpaceDN w:val="0"/>
        <w:adjustRightInd w:val="0"/>
        <w:spacing w:line="360" w:lineRule="auto"/>
        <w:jc w:val="left"/>
        <w:rPr>
          <w:rFonts w:hAnsi="Times New Roman"/>
          <w:kern w:val="0"/>
          <w:sz w:val="22"/>
          <w:szCs w:val="22"/>
        </w:rPr>
      </w:pPr>
      <w:r>
        <w:rPr>
          <w:rFonts w:hint="eastAsia" w:hAnsi="Times New Roman"/>
          <w:kern w:val="0"/>
          <w:sz w:val="22"/>
          <w:szCs w:val="22"/>
        </w:rPr>
        <w:t>标人承担（包括但不限于诉讼费、律师费、执行费等）。</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6.5 </w:t>
      </w:r>
      <w:r>
        <w:rPr>
          <w:rFonts w:hint="eastAsia" w:hAnsi="Times New Roman"/>
          <w:b/>
          <w:bCs/>
          <w:kern w:val="0"/>
          <w:sz w:val="24"/>
        </w:rPr>
        <w:t>工程结算</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6.5.1 </w:t>
      </w:r>
      <w:r>
        <w:rPr>
          <w:rFonts w:hint="eastAsia" w:hAnsi="Times New Roman"/>
          <w:kern w:val="0"/>
          <w:sz w:val="22"/>
          <w:szCs w:val="22"/>
        </w:rPr>
        <w:t>按中标价总承包（中标价为招标文件中所提供的工程量清单中的工程内容总承包，人工、材料价涨落的按</w:t>
      </w:r>
      <w:r>
        <w:rPr>
          <w:rFonts w:hAnsi="Times New Roman"/>
          <w:kern w:val="0"/>
          <w:sz w:val="22"/>
          <w:szCs w:val="22"/>
        </w:rPr>
        <w:t xml:space="preserve">6.5.6 </w:t>
      </w:r>
      <w:r>
        <w:rPr>
          <w:rFonts w:hint="eastAsia" w:hAnsi="Times New Roman"/>
          <w:kern w:val="0"/>
          <w:sz w:val="22"/>
          <w:szCs w:val="22"/>
        </w:rPr>
        <w:t>款调整）。</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6.5.2 </w:t>
      </w:r>
      <w:r>
        <w:rPr>
          <w:rFonts w:hint="eastAsia" w:hAnsi="Times New Roman"/>
          <w:kern w:val="0"/>
          <w:sz w:val="22"/>
          <w:szCs w:val="22"/>
        </w:rPr>
        <w:t>工程量清单的项目按各项中标清单单价×实际完成的工程量进行结算。</w:t>
      </w:r>
    </w:p>
    <w:p>
      <w:pPr>
        <w:autoSpaceDE w:val="0"/>
        <w:autoSpaceDN w:val="0"/>
        <w:adjustRightInd w:val="0"/>
        <w:spacing w:line="360" w:lineRule="auto"/>
        <w:ind w:firstLine="440" w:firstLineChars="200"/>
        <w:jc w:val="left"/>
        <w:rPr>
          <w:rFonts w:hAnsi="Times New Roman"/>
          <w:kern w:val="0"/>
          <w:sz w:val="22"/>
          <w:szCs w:val="22"/>
        </w:rPr>
      </w:pPr>
      <w:r>
        <w:rPr>
          <w:rFonts w:hint="eastAsia" w:hAnsi="Times New Roman"/>
          <w:kern w:val="0"/>
          <w:sz w:val="22"/>
          <w:szCs w:val="22"/>
        </w:rPr>
        <w:t>注：中标清单单价</w:t>
      </w:r>
      <w:r>
        <w:rPr>
          <w:rFonts w:hAnsi="Times New Roman"/>
          <w:kern w:val="0"/>
          <w:sz w:val="22"/>
          <w:szCs w:val="22"/>
        </w:rPr>
        <w:t>=</w:t>
      </w:r>
      <w:r>
        <w:rPr>
          <w:rFonts w:hint="eastAsia" w:hAnsi="Times New Roman"/>
          <w:kern w:val="0"/>
          <w:sz w:val="22"/>
          <w:szCs w:val="22"/>
        </w:rPr>
        <w:t>经连平县财政投资评审中心审定预算综合单价×（</w:t>
      </w:r>
      <w:r>
        <w:rPr>
          <w:rFonts w:hAnsi="Times New Roman"/>
          <w:kern w:val="0"/>
          <w:sz w:val="22"/>
          <w:szCs w:val="22"/>
        </w:rPr>
        <w:t>1-</w:t>
      </w:r>
      <w:r>
        <w:rPr>
          <w:rFonts w:hint="eastAsia" w:hAnsi="Times New Roman"/>
          <w:kern w:val="0"/>
          <w:sz w:val="22"/>
          <w:szCs w:val="22"/>
        </w:rPr>
        <w:t>中标下浮</w:t>
      </w:r>
    </w:p>
    <w:p>
      <w:pPr>
        <w:autoSpaceDE w:val="0"/>
        <w:autoSpaceDN w:val="0"/>
        <w:adjustRightInd w:val="0"/>
        <w:spacing w:line="360" w:lineRule="auto"/>
        <w:jc w:val="left"/>
        <w:rPr>
          <w:rFonts w:hAnsi="Times New Roman"/>
          <w:kern w:val="0"/>
          <w:sz w:val="22"/>
          <w:szCs w:val="22"/>
        </w:rPr>
      </w:pPr>
      <w:r>
        <w:rPr>
          <w:rFonts w:hint="eastAsia" w:hAnsi="Times New Roman"/>
          <w:kern w:val="0"/>
          <w:sz w:val="22"/>
          <w:szCs w:val="22"/>
        </w:rPr>
        <w:t>率），绿色施工安全防护措施和暂列金额不作为竞争性费用，计算中标清单单价时不得再下浮。工程总结算价最终经连平县财政投资评审中心审定结算价为准。</w:t>
      </w:r>
    </w:p>
    <w:p>
      <w:pPr>
        <w:autoSpaceDE w:val="0"/>
        <w:autoSpaceDN w:val="0"/>
        <w:adjustRightInd w:val="0"/>
        <w:spacing w:line="360" w:lineRule="auto"/>
        <w:ind w:firstLine="440" w:firstLineChars="200"/>
        <w:jc w:val="left"/>
        <w:rPr>
          <w:rFonts w:hAnsi="Times New Roman"/>
          <w:kern w:val="0"/>
          <w:sz w:val="18"/>
          <w:szCs w:val="18"/>
        </w:rPr>
      </w:pPr>
      <w:r>
        <w:rPr>
          <w:rFonts w:hAnsi="Times New Roman"/>
          <w:kern w:val="0"/>
          <w:sz w:val="22"/>
          <w:szCs w:val="22"/>
        </w:rPr>
        <w:t xml:space="preserve">6.5.3 </w:t>
      </w:r>
      <w:r>
        <w:rPr>
          <w:rFonts w:hint="eastAsia" w:hAnsi="Times New Roman"/>
          <w:kern w:val="0"/>
          <w:sz w:val="22"/>
          <w:szCs w:val="22"/>
        </w:rPr>
        <w:t>工程量清单没有包含的项目（错项、漏项、变更等）根据签证套用</w:t>
      </w:r>
      <w:r>
        <w:rPr>
          <w:rFonts w:hAnsi="Times New Roman"/>
          <w:kern w:val="0"/>
          <w:sz w:val="22"/>
          <w:szCs w:val="22"/>
        </w:rPr>
        <w:t xml:space="preserve">2018 </w:t>
      </w:r>
      <w:r>
        <w:rPr>
          <w:rFonts w:hint="eastAsia" w:hAnsi="Times New Roman"/>
          <w:kern w:val="0"/>
          <w:sz w:val="22"/>
          <w:szCs w:val="22"/>
        </w:rPr>
        <w:t>年《广东省建筑与装饰工程综合定额</w:t>
      </w:r>
      <w:r>
        <w:rPr>
          <w:rFonts w:hint="eastAsia" w:hAnsi="Times New Roman"/>
          <w:kern w:val="0"/>
          <w:sz w:val="22"/>
          <w:szCs w:val="22"/>
          <w:lang w:eastAsia="zh-CN"/>
        </w:rPr>
        <w:t>》《</w:t>
      </w:r>
      <w:r>
        <w:rPr>
          <w:rFonts w:hint="eastAsia" w:hAnsi="Times New Roman"/>
          <w:kern w:val="0"/>
          <w:sz w:val="22"/>
          <w:szCs w:val="22"/>
        </w:rPr>
        <w:t>广东省通用安装工程综合定额</w:t>
      </w:r>
      <w:r>
        <w:rPr>
          <w:rFonts w:hint="eastAsia" w:hAnsi="Times New Roman"/>
          <w:kern w:val="0"/>
          <w:sz w:val="22"/>
          <w:szCs w:val="22"/>
          <w:lang w:eastAsia="zh-CN"/>
        </w:rPr>
        <w:t>》《</w:t>
      </w:r>
      <w:r>
        <w:rPr>
          <w:rFonts w:hint="eastAsia" w:hAnsi="Times New Roman"/>
          <w:kern w:val="0"/>
          <w:sz w:val="22"/>
          <w:szCs w:val="22"/>
        </w:rPr>
        <w:t>广东省市政工程综合定额</w:t>
      </w:r>
      <w:r>
        <w:rPr>
          <w:rFonts w:hint="eastAsia" w:hAnsi="Times New Roman"/>
          <w:kern w:val="0"/>
          <w:sz w:val="22"/>
          <w:szCs w:val="22"/>
          <w:lang w:eastAsia="zh-CN"/>
        </w:rPr>
        <w:t>》《</w:t>
      </w:r>
      <w:r>
        <w:rPr>
          <w:rFonts w:hint="eastAsia" w:hAnsi="Times New Roman"/>
          <w:kern w:val="0"/>
          <w:sz w:val="22"/>
          <w:szCs w:val="22"/>
        </w:rPr>
        <w:t>广东省园林绿化工程综合定额》和国家有关规定及连平县住房和城乡建设局公布的相应时期材料信息价</w:t>
      </w:r>
      <w:r>
        <w:rPr>
          <w:rFonts w:hint="eastAsia" w:hAnsi="Times New Roman"/>
          <w:kern w:val="0"/>
          <w:sz w:val="22"/>
          <w:szCs w:val="22"/>
          <w:lang w:eastAsia="zh-CN"/>
        </w:rPr>
        <w:t>（</w:t>
      </w:r>
      <w:r>
        <w:rPr>
          <w:rFonts w:hint="eastAsia" w:hAnsi="Times New Roman"/>
          <w:kern w:val="0"/>
          <w:sz w:val="22"/>
          <w:szCs w:val="22"/>
        </w:rPr>
        <w:t>信息价里没有的材料价格按《连平县政府投资项目管理办法》规定确认</w:t>
      </w:r>
      <w:r>
        <w:rPr>
          <w:rFonts w:hint="eastAsia" w:hAnsi="Times New Roman"/>
          <w:kern w:val="0"/>
          <w:sz w:val="22"/>
          <w:szCs w:val="22"/>
          <w:lang w:eastAsia="zh-CN"/>
        </w:rPr>
        <w:t>）</w:t>
      </w:r>
      <w:r>
        <w:rPr>
          <w:rFonts w:hint="eastAsia" w:hAnsi="Times New Roman"/>
          <w:kern w:val="0"/>
          <w:sz w:val="22"/>
          <w:szCs w:val="22"/>
        </w:rPr>
        <w:t>×中标总价与连平县财政投资评审中心审定的预算总价的比值进行结算，并以连平县财政投资评审中心评审为准。</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6.5.4 </w:t>
      </w:r>
      <w:r>
        <w:rPr>
          <w:rFonts w:hint="eastAsia" w:hAnsi="Times New Roman"/>
          <w:kern w:val="0"/>
          <w:sz w:val="22"/>
          <w:szCs w:val="22"/>
        </w:rPr>
        <w:t>安全生产、文明施工费用不再下浮，招标范围内的工程的安全生产、文明施工费用不予调整，招标范围外的工程的安全生产、文明施工措施费按规定计算。中标人应当根据不同阶段并且在各阶段之前按安全生产文明施工的要求采取相应的措施，经招标人同意后实施，验收合格后拨付安全生产文明施工措施费；如中标人在施工过程中未按有关规定达到安全生产和文明施工要求的，则从中扣除该费用。</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6.5.5 </w:t>
      </w:r>
      <w:r>
        <w:rPr>
          <w:rFonts w:hint="eastAsia" w:hAnsi="Times New Roman"/>
          <w:kern w:val="0"/>
          <w:sz w:val="22"/>
          <w:szCs w:val="22"/>
        </w:rPr>
        <w:t>中标价已包含施工机械进退场及安拆费、雨季施工、夜间施工、错峰施工和因赶工期所采取相应措施的费用。</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6.5.6 </w:t>
      </w:r>
      <w:r>
        <w:rPr>
          <w:rFonts w:hint="eastAsia" w:hAnsi="Times New Roman"/>
          <w:kern w:val="0"/>
          <w:sz w:val="22"/>
          <w:szCs w:val="22"/>
        </w:rPr>
        <w:t>施工合同履行期间的人工、材料价涨落的调整：①人工价格按照</w:t>
      </w:r>
      <w:r>
        <w:rPr>
          <w:rFonts w:hint="eastAsia" w:hAnsi="Times New Roman"/>
          <w:kern w:val="0"/>
          <w:sz w:val="22"/>
          <w:szCs w:val="22"/>
          <w:lang w:eastAsia="zh-CN"/>
        </w:rPr>
        <w:t>连平县住房和城乡建设局</w:t>
      </w:r>
      <w:r>
        <w:rPr>
          <w:rFonts w:hint="eastAsia" w:hAnsi="Times New Roman"/>
          <w:kern w:val="0"/>
          <w:sz w:val="22"/>
          <w:szCs w:val="22"/>
        </w:rPr>
        <w:t>在施工合同履行期间发布的动态人工系数进行调整。②只对钢筋、钢材、水泥、砂、石、混凝土、管材、砌体、柴汽油的主要材料价格在施工合同履行期间，当</w:t>
      </w:r>
      <w:r>
        <w:rPr>
          <w:rFonts w:hint="eastAsia" w:hAnsi="Times New Roman"/>
          <w:kern w:val="0"/>
          <w:sz w:val="22"/>
          <w:szCs w:val="22"/>
          <w:lang w:eastAsia="zh-CN"/>
        </w:rPr>
        <w:t>连平县住房和城乡建设局</w:t>
      </w:r>
      <w:r>
        <w:rPr>
          <w:rFonts w:hint="eastAsia" w:hAnsi="Times New Roman"/>
          <w:kern w:val="0"/>
          <w:sz w:val="22"/>
          <w:szCs w:val="22"/>
        </w:rPr>
        <w:t>发布的以上材料价格涨落超过合同工程基准期的价格（连平县财政投资评审中心出具该项目工程造价预算清单的时间的工程所在地及连平县住房和城乡建设局公布的相应时期材料信息价</w:t>
      </w:r>
      <w:r>
        <w:rPr>
          <w:rFonts w:hAnsi="Times New Roman"/>
          <w:kern w:val="0"/>
          <w:sz w:val="22"/>
          <w:szCs w:val="22"/>
        </w:rPr>
        <w:t>5%</w:t>
      </w:r>
      <w:r>
        <w:rPr>
          <w:rFonts w:hint="eastAsia" w:hAnsi="Times New Roman"/>
          <w:kern w:val="0"/>
          <w:sz w:val="22"/>
          <w:szCs w:val="22"/>
        </w:rPr>
        <w:t>时给予调整，调整时只增减</w:t>
      </w:r>
      <w:r>
        <w:rPr>
          <w:rFonts w:hAnsi="Times New Roman"/>
          <w:kern w:val="0"/>
          <w:sz w:val="22"/>
          <w:szCs w:val="22"/>
        </w:rPr>
        <w:t>5%</w:t>
      </w:r>
      <w:r>
        <w:rPr>
          <w:rFonts w:hint="eastAsia" w:hAnsi="Times New Roman"/>
          <w:kern w:val="0"/>
          <w:sz w:val="22"/>
          <w:szCs w:val="22"/>
        </w:rPr>
        <w:t>以外部分的价差。上涨或下跌在</w:t>
      </w:r>
      <w:r>
        <w:rPr>
          <w:rFonts w:hAnsi="Times New Roman"/>
          <w:kern w:val="0"/>
          <w:sz w:val="22"/>
          <w:szCs w:val="22"/>
        </w:rPr>
        <w:t>5%</w:t>
      </w:r>
      <w:r>
        <w:rPr>
          <w:rFonts w:hint="eastAsia" w:hAnsi="Times New Roman"/>
          <w:kern w:val="0"/>
          <w:sz w:val="22"/>
          <w:szCs w:val="22"/>
        </w:rPr>
        <w:t>（含</w:t>
      </w:r>
      <w:r>
        <w:rPr>
          <w:rFonts w:hAnsi="Times New Roman"/>
          <w:kern w:val="0"/>
          <w:sz w:val="22"/>
          <w:szCs w:val="22"/>
        </w:rPr>
        <w:t>5%</w:t>
      </w:r>
      <w:r>
        <w:rPr>
          <w:rFonts w:hint="eastAsia" w:hAnsi="Times New Roman"/>
          <w:kern w:val="0"/>
          <w:sz w:val="22"/>
          <w:szCs w:val="22"/>
        </w:rPr>
        <w:t>）以内的不予调整。③因承包人原因造成超出合同约定工期外所完成工程的人工、材料价涨落不予调整。</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6.5.7 </w:t>
      </w:r>
      <w:r>
        <w:rPr>
          <w:rFonts w:hint="eastAsia" w:hAnsi="Times New Roman"/>
          <w:kern w:val="0"/>
          <w:sz w:val="22"/>
          <w:szCs w:val="22"/>
        </w:rPr>
        <w:t>工程变更程序按《连平县政府投资项目管理办法》（连府〔2021〕5号）规定执行。</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6.5.8 </w:t>
      </w:r>
      <w:r>
        <w:rPr>
          <w:rFonts w:hint="eastAsia" w:hAnsi="Times New Roman"/>
          <w:kern w:val="0"/>
          <w:sz w:val="22"/>
          <w:szCs w:val="22"/>
        </w:rPr>
        <w:t>工程竣工结算程序按《连平县政府投资项目管理办法》第七章、第八章规定执行。</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7.</w:t>
      </w:r>
      <w:r>
        <w:rPr>
          <w:rFonts w:hint="eastAsia" w:hAnsi="Times New Roman"/>
          <w:b/>
          <w:bCs/>
          <w:kern w:val="0"/>
          <w:sz w:val="28"/>
          <w:szCs w:val="28"/>
        </w:rPr>
        <w:t>保修责任</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7.1 </w:t>
      </w:r>
      <w:r>
        <w:rPr>
          <w:rFonts w:hint="eastAsia" w:hAnsi="Times New Roman"/>
          <w:b/>
          <w:bCs/>
          <w:kern w:val="0"/>
          <w:sz w:val="24"/>
        </w:rPr>
        <w:t>工程质量保修范围</w:t>
      </w:r>
    </w:p>
    <w:p>
      <w:pPr>
        <w:autoSpaceDE w:val="0"/>
        <w:autoSpaceDN w:val="0"/>
        <w:adjustRightInd w:val="0"/>
        <w:spacing w:line="360" w:lineRule="auto"/>
        <w:ind w:firstLine="440" w:firstLineChars="200"/>
        <w:jc w:val="left"/>
        <w:rPr>
          <w:rFonts w:hAnsi="Times New Roman"/>
          <w:kern w:val="0"/>
          <w:sz w:val="22"/>
          <w:szCs w:val="22"/>
        </w:rPr>
      </w:pPr>
      <w:r>
        <w:rPr>
          <w:rFonts w:hint="eastAsia" w:hAnsi="Times New Roman"/>
          <w:kern w:val="0"/>
          <w:sz w:val="22"/>
          <w:szCs w:val="22"/>
        </w:rPr>
        <w:t>包括承包人承包的本工程所有工程内容。</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7.2 </w:t>
      </w:r>
      <w:r>
        <w:rPr>
          <w:rFonts w:hint="eastAsia" w:hAnsi="Times New Roman"/>
          <w:b/>
          <w:bCs/>
          <w:kern w:val="0"/>
          <w:sz w:val="24"/>
        </w:rPr>
        <w:t>工程质量保修期限和责任</w:t>
      </w:r>
    </w:p>
    <w:p>
      <w:pPr>
        <w:autoSpaceDE w:val="0"/>
        <w:autoSpaceDN w:val="0"/>
        <w:adjustRightInd w:val="0"/>
        <w:spacing w:line="360" w:lineRule="auto"/>
        <w:ind w:firstLine="440" w:firstLineChars="200"/>
        <w:jc w:val="left"/>
        <w:rPr>
          <w:rFonts w:hAnsi="Times New Roman"/>
          <w:kern w:val="0"/>
          <w:sz w:val="22"/>
          <w:szCs w:val="22"/>
        </w:rPr>
      </w:pPr>
      <w:r>
        <w:rPr>
          <w:rFonts w:hint="eastAsia" w:hAnsi="Times New Roman"/>
          <w:kern w:val="0"/>
          <w:sz w:val="22"/>
          <w:szCs w:val="22"/>
        </w:rPr>
        <w:t>工程质量保修期限和责任按《建设工程质量管理条例》执行。</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8.</w:t>
      </w:r>
      <w:r>
        <w:rPr>
          <w:rFonts w:hint="eastAsia" w:hAnsi="Times New Roman"/>
          <w:b/>
          <w:bCs/>
          <w:kern w:val="0"/>
          <w:sz w:val="28"/>
          <w:szCs w:val="28"/>
        </w:rPr>
        <w:t>保险</w:t>
      </w:r>
    </w:p>
    <w:p>
      <w:pPr>
        <w:autoSpaceDE w:val="0"/>
        <w:autoSpaceDN w:val="0"/>
        <w:adjustRightInd w:val="0"/>
        <w:spacing w:line="360" w:lineRule="auto"/>
        <w:jc w:val="left"/>
        <w:rPr>
          <w:rFonts w:hAnsi="Times New Roman"/>
          <w:b/>
          <w:bCs/>
          <w:kern w:val="0"/>
          <w:sz w:val="24"/>
        </w:rPr>
      </w:pPr>
      <w:r>
        <w:rPr>
          <w:rFonts w:hAnsi="Times New Roman"/>
          <w:b/>
          <w:bCs/>
          <w:kern w:val="0"/>
          <w:sz w:val="24"/>
        </w:rPr>
        <w:t xml:space="preserve">8.1 </w:t>
      </w:r>
      <w:r>
        <w:rPr>
          <w:rFonts w:hint="eastAsia" w:hAnsi="Times New Roman"/>
          <w:b/>
          <w:bCs/>
          <w:kern w:val="0"/>
          <w:sz w:val="24"/>
        </w:rPr>
        <w:t>保险范围</w:t>
      </w:r>
    </w:p>
    <w:p>
      <w:pPr>
        <w:autoSpaceDE w:val="0"/>
        <w:autoSpaceDN w:val="0"/>
        <w:adjustRightInd w:val="0"/>
        <w:spacing w:line="360" w:lineRule="auto"/>
        <w:ind w:firstLine="440" w:firstLineChars="200"/>
        <w:jc w:val="left"/>
        <w:rPr>
          <w:sz w:val="20"/>
          <w:szCs w:val="22"/>
        </w:rPr>
      </w:pPr>
      <w:r>
        <w:rPr>
          <w:rFonts w:hAnsi="Times New Roman"/>
          <w:kern w:val="0"/>
          <w:sz w:val="22"/>
          <w:szCs w:val="22"/>
        </w:rPr>
        <w:t xml:space="preserve">8.1.1 </w:t>
      </w:r>
      <w:r>
        <w:rPr>
          <w:rFonts w:hint="eastAsia" w:hAnsi="Times New Roman"/>
          <w:kern w:val="0"/>
          <w:sz w:val="22"/>
          <w:szCs w:val="22"/>
        </w:rPr>
        <w:t>在本合同工程的施工和缺陷修复过程中，承包人应对工程一切险及第三方责任险进行投保，对其人身安全、财产损失及第三方责任负责，并提供保险凭证；若不投保，则责任自负，业主不承担任何责任，并且不降低承包人应负的合同义务。</w:t>
      </w:r>
    </w:p>
    <w:p>
      <w:pPr>
        <w:autoSpaceDE w:val="0"/>
        <w:autoSpaceDN w:val="0"/>
        <w:adjustRightInd w:val="0"/>
        <w:spacing w:line="360" w:lineRule="auto"/>
        <w:ind w:firstLine="440" w:firstLineChars="200"/>
        <w:jc w:val="left"/>
        <w:rPr>
          <w:rFonts w:hAnsi="Times New Roman"/>
          <w:kern w:val="0"/>
          <w:sz w:val="22"/>
          <w:szCs w:val="22"/>
        </w:rPr>
      </w:pPr>
      <w:r>
        <w:rPr>
          <w:rFonts w:hAnsi="Times New Roman"/>
          <w:kern w:val="0"/>
          <w:sz w:val="22"/>
          <w:szCs w:val="22"/>
        </w:rPr>
        <w:t xml:space="preserve">8.1.2 </w:t>
      </w:r>
      <w:r>
        <w:rPr>
          <w:rFonts w:hint="eastAsia" w:hAnsi="Times New Roman"/>
          <w:kern w:val="0"/>
          <w:sz w:val="22"/>
          <w:szCs w:val="22"/>
        </w:rPr>
        <w:t>中标人应当根据《建筑法》要求，依法为职工参加工伤保险缴纳工伤保险费。鼓励为从事危险作业的职工办</w:t>
      </w:r>
      <w:r>
        <w:rPr>
          <w:rFonts w:hint="eastAsia" w:hAnsi="Times New Roman"/>
          <w:kern w:val="0"/>
          <w:sz w:val="22"/>
          <w:szCs w:val="22"/>
          <w:lang w:val="en-US" w:eastAsia="zh-CN"/>
        </w:rPr>
        <w:t>理</w:t>
      </w:r>
      <w:r>
        <w:rPr>
          <w:rFonts w:hint="eastAsia" w:hAnsi="Times New Roman"/>
          <w:kern w:val="0"/>
          <w:sz w:val="22"/>
          <w:szCs w:val="22"/>
        </w:rPr>
        <w:t>意外伤害保险，支付保险费。</w:t>
      </w:r>
    </w:p>
    <w:p>
      <w:pPr>
        <w:autoSpaceDE w:val="0"/>
        <w:autoSpaceDN w:val="0"/>
        <w:adjustRightInd w:val="0"/>
        <w:spacing w:line="360" w:lineRule="auto"/>
        <w:jc w:val="left"/>
        <w:rPr>
          <w:rFonts w:hAnsi="Times New Roman"/>
          <w:b/>
          <w:bCs/>
          <w:kern w:val="0"/>
          <w:sz w:val="28"/>
          <w:szCs w:val="28"/>
        </w:rPr>
      </w:pPr>
      <w:r>
        <w:rPr>
          <w:rFonts w:hAnsi="Times New Roman"/>
          <w:b/>
          <w:bCs/>
          <w:kern w:val="0"/>
          <w:sz w:val="28"/>
          <w:szCs w:val="28"/>
        </w:rPr>
        <w:t>9.</w:t>
      </w:r>
      <w:r>
        <w:rPr>
          <w:rFonts w:hint="eastAsia" w:hAnsi="Times New Roman"/>
          <w:b/>
          <w:bCs/>
          <w:kern w:val="0"/>
          <w:sz w:val="28"/>
          <w:szCs w:val="28"/>
        </w:rPr>
        <w:t>争议的解决方式</w:t>
      </w:r>
    </w:p>
    <w:p>
      <w:pPr>
        <w:autoSpaceDE w:val="0"/>
        <w:autoSpaceDN w:val="0"/>
        <w:adjustRightInd w:val="0"/>
        <w:spacing w:line="360" w:lineRule="auto"/>
        <w:ind w:firstLine="440" w:firstLineChars="200"/>
        <w:jc w:val="left"/>
      </w:pPr>
      <w:r>
        <w:rPr>
          <w:rFonts w:hint="eastAsia" w:hAnsi="Times New Roman"/>
          <w:kern w:val="0"/>
          <w:sz w:val="22"/>
          <w:szCs w:val="22"/>
        </w:rPr>
        <w:t>发包人和承包人在履行合同中发生争议的，可以友好协商解决。合同当事人友好协商解决不成，可依法向合同履行地的人民法院提起诉讼。</w:t>
      </w:r>
    </w:p>
    <w:p>
      <w:pPr>
        <w:pStyle w:val="2"/>
        <w:pageBreakBefore/>
        <w:spacing w:line="360" w:lineRule="auto"/>
        <w:jc w:val="center"/>
      </w:pPr>
      <w:bookmarkStart w:id="475" w:name="_Toc18209"/>
      <w:bookmarkStart w:id="476" w:name="_Toc9065"/>
      <w:bookmarkStart w:id="477" w:name="_Toc10259"/>
      <w:bookmarkStart w:id="478" w:name="_Toc29178"/>
      <w:bookmarkStart w:id="479" w:name="_Toc10598"/>
      <w:bookmarkStart w:id="480" w:name="_Toc24161"/>
      <w:bookmarkStart w:id="481" w:name="_Toc459914454"/>
      <w:bookmarkStart w:id="482" w:name="_Toc7745"/>
      <w:bookmarkStart w:id="483" w:name="_Toc247514232"/>
      <w:bookmarkStart w:id="484" w:name="_Toc247527819"/>
      <w:bookmarkStart w:id="485" w:name="_Toc14739"/>
      <w:bookmarkStart w:id="486" w:name="_Toc12641"/>
      <w:bookmarkStart w:id="487" w:name="_Toc13363"/>
      <w:bookmarkStart w:id="488" w:name="_Toc18496"/>
      <w:bookmarkStart w:id="489" w:name="_Toc5682"/>
      <w:bookmarkStart w:id="490" w:name="_Toc3989"/>
      <w:bookmarkStart w:id="491" w:name="_Toc390337228"/>
      <w:bookmarkStart w:id="492" w:name="_Toc24839"/>
      <w:bookmarkStart w:id="493" w:name="_Toc18970"/>
      <w:bookmarkStart w:id="494" w:name="_Toc21569"/>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bookmarkStart w:id="495" w:name="_Toc10190"/>
      <w:bookmarkStart w:id="496" w:name="_Toc23140"/>
      <w:bookmarkStart w:id="497" w:name="_Toc11256"/>
      <w:bookmarkStart w:id="498" w:name="_Toc30622"/>
      <w:bookmarkStart w:id="499" w:name="_Toc26040"/>
      <w:bookmarkStart w:id="500" w:name="_Toc24390"/>
      <w:bookmarkStart w:id="501" w:name="_Toc10932"/>
      <w:bookmarkStart w:id="502" w:name="_Toc12143"/>
      <w:bookmarkStart w:id="503" w:name="_Toc18294"/>
      <w:bookmarkStart w:id="504" w:name="_Toc16888"/>
      <w:bookmarkStart w:id="505" w:name="_Toc3348"/>
      <w:bookmarkStart w:id="506" w:name="_Toc14055"/>
      <w:r>
        <w:rPr>
          <w:rFonts w:hint="eastAsia"/>
        </w:rPr>
        <w:t>第二卷</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pPr>
    </w:p>
    <w:p>
      <w:pPr>
        <w:spacing w:line="360" w:lineRule="auto"/>
        <w:ind w:firstLine="4326" w:firstLineChars="2060"/>
        <w:rPr>
          <w:szCs w:val="21"/>
        </w:rPr>
      </w:pPr>
    </w:p>
    <w:p>
      <w:bookmarkStart w:id="507" w:name="_Toc26919"/>
      <w:bookmarkStart w:id="508" w:name="_Toc31947"/>
      <w:bookmarkStart w:id="509" w:name="_Toc21117"/>
      <w:bookmarkStart w:id="510" w:name="_Toc144974851"/>
      <w:bookmarkStart w:id="511" w:name="_Toc14669"/>
      <w:bookmarkStart w:id="512" w:name="_Toc20655"/>
      <w:bookmarkStart w:id="513" w:name="_Toc787"/>
      <w:bookmarkStart w:id="514" w:name="_Toc247527820"/>
      <w:bookmarkStart w:id="515" w:name="_Toc17329"/>
      <w:bookmarkStart w:id="516" w:name="_Toc459914455"/>
      <w:bookmarkStart w:id="517" w:name="_Toc1616"/>
      <w:bookmarkStart w:id="518" w:name="_Toc152042571"/>
      <w:bookmarkStart w:id="519" w:name="_Toc247514233"/>
      <w:bookmarkStart w:id="520" w:name="_Toc30965"/>
      <w:bookmarkStart w:id="521" w:name="_Toc19968"/>
      <w:bookmarkStart w:id="522" w:name="_Toc23316"/>
      <w:bookmarkStart w:id="523" w:name="_Toc18559"/>
      <w:bookmarkStart w:id="524" w:name="_Toc30563"/>
      <w:bookmarkStart w:id="525" w:name="_Toc22907"/>
      <w:bookmarkStart w:id="526" w:name="_Toc4781"/>
      <w:bookmarkStart w:id="527" w:name="_Toc152045782"/>
      <w:bookmarkStart w:id="528" w:name="_Toc32271"/>
      <w:r>
        <w:rPr>
          <w:rFonts w:hint="eastAsia"/>
        </w:rPr>
        <w:br w:type="page"/>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Pr>
        <w:pStyle w:val="2"/>
        <w:pageBreakBefore/>
        <w:spacing w:line="360" w:lineRule="auto"/>
        <w:jc w:val="center"/>
      </w:pPr>
      <w:bookmarkStart w:id="529" w:name="_Toc25517"/>
      <w:bookmarkStart w:id="530" w:name="_Toc22415"/>
      <w:bookmarkStart w:id="531" w:name="_Toc9374"/>
      <w:bookmarkStart w:id="532" w:name="_Toc31928"/>
      <w:bookmarkStart w:id="533" w:name="_Toc23954"/>
      <w:bookmarkStart w:id="534" w:name="_Toc23064"/>
      <w:bookmarkStart w:id="535" w:name="_Toc9923"/>
      <w:bookmarkStart w:id="536" w:name="_Toc227"/>
      <w:bookmarkStart w:id="537" w:name="_Toc18002"/>
      <w:bookmarkStart w:id="538" w:name="_Toc4179"/>
      <w:bookmarkStart w:id="539" w:name="_Toc15505"/>
      <w:bookmarkStart w:id="540" w:name="_Toc27564"/>
      <w:bookmarkStart w:id="541" w:name="_Toc12377"/>
      <w:bookmarkStart w:id="542" w:name="_Toc9369"/>
      <w:bookmarkStart w:id="543" w:name="_Toc1643"/>
      <w:bookmarkStart w:id="544" w:name="_Toc459914456"/>
      <w:bookmarkStart w:id="545" w:name="_Toc14810"/>
      <w:bookmarkStart w:id="546" w:name="_Toc11421"/>
      <w:bookmarkStart w:id="547" w:name="_Toc14322"/>
      <w:bookmarkStart w:id="548" w:name="_Toc25860"/>
      <w:bookmarkStart w:id="549" w:name="_Toc7307"/>
      <w:bookmarkStart w:id="550" w:name="_Toc23985"/>
      <w:bookmarkStart w:id="551" w:name="_Toc14801"/>
      <w:bookmarkStart w:id="552" w:name="_Toc8804"/>
      <w:bookmarkStart w:id="553" w:name="_Toc15636"/>
      <w:bookmarkStart w:id="554" w:name="_Toc32563"/>
      <w:bookmarkStart w:id="555" w:name="_Toc22948"/>
      <w:bookmarkStart w:id="556" w:name="_Toc6234"/>
      <w:bookmarkStart w:id="557" w:name="_Toc14027"/>
      <w:r>
        <w:rPr>
          <w:rFonts w:hint="eastAsia"/>
        </w:rPr>
        <w:t>第五章 招标人提供的资料</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spacing w:line="360" w:lineRule="auto"/>
        <w:jc w:val="center"/>
        <w:rPr>
          <w:sz w:val="44"/>
          <w:szCs w:val="44"/>
        </w:rPr>
      </w:pPr>
      <w:r>
        <w:rPr>
          <w:rFonts w:hint="eastAsia"/>
          <w:sz w:val="36"/>
          <w:szCs w:val="36"/>
        </w:rPr>
        <w:t>（广州公共资源网上交易平台发布）</w:t>
      </w:r>
    </w:p>
    <w:p>
      <w:pPr>
        <w:spacing w:line="360" w:lineRule="auto"/>
      </w:pPr>
      <w:bookmarkStart w:id="558" w:name="_Hlk84798844"/>
      <w:r>
        <w:rPr>
          <w:rFonts w:hint="eastAsia"/>
        </w:rPr>
        <w:t>1、具体以招标人提供的资料为准。</w:t>
      </w:r>
    </w:p>
    <w:bookmarkEnd w:id="558"/>
    <w:p>
      <w:pPr>
        <w:spacing w:line="360" w:lineRule="auto"/>
      </w:pPr>
      <w:r>
        <w:rPr>
          <w:rFonts w:hint="eastAsia"/>
        </w:rPr>
        <w:br w:type="page"/>
      </w:r>
    </w:p>
    <w:p>
      <w:pPr>
        <w:spacing w:line="360" w:lineRule="auto"/>
      </w:pPr>
    </w:p>
    <w:p>
      <w:pPr>
        <w:spacing w:line="360" w:lineRule="auto"/>
      </w:pPr>
    </w:p>
    <w:p>
      <w:pPr>
        <w:spacing w:line="360" w:lineRule="auto"/>
      </w:pPr>
    </w:p>
    <w:p>
      <w:pPr>
        <w:pStyle w:val="2"/>
        <w:spacing w:line="360" w:lineRule="auto"/>
        <w:jc w:val="center"/>
      </w:pPr>
      <w:bookmarkStart w:id="559" w:name="_Toc247514244"/>
      <w:bookmarkStart w:id="560" w:name="_Toc247527825"/>
      <w:bookmarkStart w:id="561" w:name="_Toc152042575"/>
      <w:bookmarkStart w:id="562" w:name="_Toc152045786"/>
      <w:bookmarkStart w:id="563" w:name="_Toc144974855"/>
    </w:p>
    <w:p>
      <w:pPr>
        <w:pStyle w:val="2"/>
        <w:spacing w:line="360" w:lineRule="auto"/>
        <w:jc w:val="center"/>
      </w:pPr>
    </w:p>
    <w:p>
      <w:pPr>
        <w:pStyle w:val="2"/>
        <w:spacing w:line="360" w:lineRule="auto"/>
        <w:jc w:val="center"/>
      </w:pPr>
    </w:p>
    <w:p>
      <w:pPr>
        <w:pStyle w:val="2"/>
        <w:spacing w:line="360" w:lineRule="auto"/>
        <w:jc w:val="center"/>
      </w:pPr>
      <w:bookmarkStart w:id="564" w:name="_Toc30754"/>
      <w:bookmarkStart w:id="565" w:name="_Toc12802"/>
      <w:bookmarkStart w:id="566" w:name="_Toc24857"/>
      <w:bookmarkStart w:id="567" w:name="_Toc459914457"/>
      <w:bookmarkStart w:id="568" w:name="_Toc25880"/>
      <w:bookmarkStart w:id="569" w:name="_Toc31224"/>
      <w:bookmarkStart w:id="570" w:name="_Toc27692"/>
      <w:bookmarkStart w:id="571" w:name="_Toc28043"/>
      <w:bookmarkStart w:id="572" w:name="_Toc21572"/>
      <w:bookmarkStart w:id="573" w:name="_Toc25325"/>
      <w:bookmarkStart w:id="574" w:name="_Toc8206"/>
      <w:bookmarkStart w:id="575" w:name="_Toc5642"/>
      <w:bookmarkStart w:id="576" w:name="_Toc10360"/>
      <w:bookmarkStart w:id="577" w:name="_Toc23278"/>
      <w:bookmarkStart w:id="578" w:name="_Toc8888"/>
      <w:bookmarkStart w:id="579" w:name="_Toc16989"/>
      <w:bookmarkStart w:id="580" w:name="_Toc20850"/>
      <w:bookmarkStart w:id="581" w:name="_Toc8966"/>
      <w:bookmarkStart w:id="582" w:name="_Toc16954"/>
      <w:bookmarkStart w:id="583" w:name="_Toc1383"/>
      <w:bookmarkStart w:id="584" w:name="_Toc4803"/>
      <w:bookmarkStart w:id="585" w:name="_Toc26498"/>
      <w:bookmarkStart w:id="586" w:name="_Toc28164"/>
      <w:bookmarkStart w:id="587" w:name="_Toc28298"/>
      <w:bookmarkStart w:id="588" w:name="_Toc29184"/>
      <w:bookmarkStart w:id="589" w:name="_Toc21898"/>
      <w:bookmarkStart w:id="590" w:name="_Toc2884"/>
      <w:bookmarkStart w:id="591" w:name="_Toc21865"/>
      <w:bookmarkStart w:id="592" w:name="_Toc15363"/>
      <w:r>
        <w:rPr>
          <w:rFonts w:hint="eastAsia"/>
        </w:rPr>
        <w:t>第三卷</w:t>
      </w:r>
      <w:bookmarkEnd w:id="559"/>
      <w:bookmarkEnd w:id="560"/>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spacing w:line="360" w:lineRule="auto"/>
        <w:jc w:val="center"/>
      </w:pPr>
      <w:r>
        <w:rPr>
          <w:rFonts w:hint="eastAsia"/>
          <w:b/>
          <w:bCs/>
          <w:sz w:val="32"/>
        </w:rPr>
        <w:br w:type="page"/>
      </w:r>
    </w:p>
    <w:p>
      <w:pPr>
        <w:spacing w:line="360" w:lineRule="auto"/>
        <w:jc w:val="center"/>
      </w:pPr>
    </w:p>
    <w:p>
      <w:pPr>
        <w:spacing w:line="360" w:lineRule="auto"/>
        <w:jc w:val="center"/>
      </w:pPr>
    </w:p>
    <w:p>
      <w:pPr>
        <w:pStyle w:val="2"/>
        <w:spacing w:line="360" w:lineRule="auto"/>
        <w:jc w:val="center"/>
      </w:pPr>
      <w:bookmarkStart w:id="593" w:name="_Toc247514245"/>
      <w:bookmarkStart w:id="594" w:name="_Toc247527826"/>
    </w:p>
    <w:p>
      <w:pPr>
        <w:pStyle w:val="2"/>
        <w:spacing w:line="360" w:lineRule="auto"/>
        <w:jc w:val="center"/>
      </w:pPr>
    </w:p>
    <w:p>
      <w:pPr>
        <w:pStyle w:val="2"/>
        <w:spacing w:line="360" w:lineRule="auto"/>
        <w:jc w:val="center"/>
      </w:pPr>
    </w:p>
    <w:p>
      <w:pPr>
        <w:pStyle w:val="2"/>
        <w:spacing w:line="360" w:lineRule="auto"/>
        <w:jc w:val="center"/>
      </w:pPr>
      <w:bookmarkStart w:id="595" w:name="_Toc13544"/>
      <w:bookmarkStart w:id="596" w:name="_Toc15968"/>
      <w:bookmarkStart w:id="597" w:name="_Toc24726"/>
      <w:bookmarkStart w:id="598" w:name="_Toc30035"/>
      <w:bookmarkStart w:id="599" w:name="_Toc17906"/>
      <w:bookmarkStart w:id="600" w:name="_Toc21609"/>
      <w:bookmarkStart w:id="601" w:name="_Toc3203"/>
      <w:bookmarkStart w:id="602" w:name="_Toc28937"/>
      <w:bookmarkStart w:id="603" w:name="_Toc7267"/>
      <w:bookmarkStart w:id="604" w:name="_Toc12011"/>
      <w:bookmarkStart w:id="605" w:name="_Toc11625"/>
      <w:bookmarkStart w:id="606" w:name="_Toc20742"/>
      <w:bookmarkStart w:id="607" w:name="_Toc15702"/>
      <w:bookmarkStart w:id="608" w:name="_Toc12710"/>
      <w:bookmarkStart w:id="609" w:name="_Toc10163"/>
      <w:bookmarkStart w:id="610" w:name="_Toc21090"/>
      <w:bookmarkStart w:id="611" w:name="_Toc4930"/>
      <w:bookmarkStart w:id="612" w:name="_Toc20809"/>
      <w:bookmarkStart w:id="613" w:name="_Toc10301"/>
      <w:bookmarkStart w:id="614" w:name="_Toc3819"/>
      <w:bookmarkStart w:id="615" w:name="_Toc14607"/>
      <w:bookmarkStart w:id="616" w:name="_Toc21466"/>
      <w:bookmarkStart w:id="617" w:name="_Toc25722"/>
      <w:bookmarkStart w:id="618" w:name="_Toc459914458"/>
      <w:bookmarkStart w:id="619" w:name="_Toc7047"/>
      <w:bookmarkStart w:id="620" w:name="_Toc22577"/>
      <w:bookmarkStart w:id="621" w:name="_Toc26386"/>
      <w:bookmarkStart w:id="622" w:name="_Toc20270"/>
      <w:bookmarkStart w:id="623" w:name="_Toc17289"/>
      <w:r>
        <w:rPr>
          <w:rFonts w:hint="eastAsia"/>
        </w:rPr>
        <w:t>第六章 投标文件格式</w:t>
      </w:r>
      <w:bookmarkEnd w:id="561"/>
      <w:bookmarkEnd w:id="562"/>
      <w:bookmarkEnd w:id="56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spacing w:line="360" w:lineRule="auto"/>
      </w:pPr>
    </w:p>
    <w:p>
      <w:pPr>
        <w:spacing w:line="360" w:lineRule="auto"/>
      </w:pPr>
      <w:r>
        <w:rPr>
          <w:rFonts w:hint="eastAsia"/>
        </w:rPr>
        <w:br w:type="page"/>
      </w:r>
    </w:p>
    <w:p>
      <w:pPr>
        <w:spacing w:line="360" w:lineRule="auto"/>
        <w:rPr>
          <w:sz w:val="20"/>
          <w:szCs w:val="20"/>
        </w:rPr>
      </w:pPr>
    </w:p>
    <w:p>
      <w:pPr>
        <w:spacing w:line="360" w:lineRule="auto"/>
        <w:ind w:firstLine="1680" w:firstLineChars="600"/>
        <w:rPr>
          <w:sz w:val="28"/>
          <w:szCs w:val="28"/>
          <w:u w:val="single"/>
        </w:rPr>
      </w:pPr>
    </w:p>
    <w:p>
      <w:pPr>
        <w:spacing w:line="360" w:lineRule="auto"/>
        <w:ind w:firstLine="1680" w:firstLineChars="600"/>
        <w:rPr>
          <w:sz w:val="28"/>
          <w:szCs w:val="28"/>
        </w:rPr>
      </w:pPr>
      <w:r>
        <w:rPr>
          <w:rFonts w:hint="eastAsia"/>
          <w:sz w:val="28"/>
          <w:szCs w:val="28"/>
          <w:u w:val="single"/>
        </w:rPr>
        <w:t xml:space="preserve">            （项目名称）              </w:t>
      </w:r>
    </w:p>
    <w:p>
      <w:pPr>
        <w:spacing w:line="360" w:lineRule="auto"/>
        <w:jc w:val="center"/>
        <w:rPr>
          <w:sz w:val="28"/>
          <w:szCs w:val="28"/>
        </w:rPr>
      </w:pPr>
    </w:p>
    <w:p>
      <w:pPr>
        <w:pStyle w:val="31"/>
      </w:pPr>
    </w:p>
    <w:p>
      <w:pPr>
        <w:spacing w:line="360" w:lineRule="auto"/>
        <w:rPr>
          <w:sz w:val="20"/>
          <w:szCs w:val="20"/>
        </w:rPr>
      </w:pPr>
    </w:p>
    <w:p>
      <w:pPr>
        <w:spacing w:line="360" w:lineRule="auto"/>
        <w:rPr>
          <w:sz w:val="20"/>
          <w:szCs w:val="20"/>
        </w:rPr>
      </w:pPr>
    </w:p>
    <w:p>
      <w:pPr>
        <w:spacing w:line="360" w:lineRule="auto"/>
        <w:jc w:val="center"/>
        <w:rPr>
          <w:sz w:val="96"/>
          <w:szCs w:val="96"/>
        </w:rPr>
      </w:pPr>
      <w:r>
        <w:rPr>
          <w:rFonts w:hint="eastAsia"/>
          <w:sz w:val="96"/>
          <w:szCs w:val="96"/>
        </w:rPr>
        <w:t>投  标  文  件</w:t>
      </w:r>
    </w:p>
    <w:p>
      <w:pPr>
        <w:spacing w:line="360" w:lineRule="auto"/>
        <w:jc w:val="center"/>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jc w:val="left"/>
        <w:rPr>
          <w:color w:val="auto"/>
          <w:sz w:val="28"/>
          <w:szCs w:val="28"/>
        </w:rPr>
      </w:pPr>
      <w:r>
        <w:rPr>
          <w:rFonts w:hint="eastAsia"/>
          <w:color w:val="auto"/>
          <w:sz w:val="28"/>
          <w:szCs w:val="28"/>
        </w:rPr>
        <w:t>投标人（主）：</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r>
        <w:rPr>
          <w:rFonts w:hint="eastAsia"/>
          <w:color w:val="auto"/>
          <w:sz w:val="28"/>
          <w:szCs w:val="28"/>
        </w:rPr>
        <w:t>（</w:t>
      </w:r>
      <w:r>
        <w:rPr>
          <w:rFonts w:hint="eastAsia" w:ascii="宋体" w:hAnsi="宋体" w:cs="宋体"/>
          <w:color w:val="auto"/>
          <w:sz w:val="28"/>
          <w:szCs w:val="28"/>
        </w:rPr>
        <w:t>盖单位公章</w:t>
      </w:r>
      <w:r>
        <w:rPr>
          <w:rFonts w:hint="eastAsia"/>
          <w:color w:val="auto"/>
          <w:sz w:val="28"/>
          <w:szCs w:val="28"/>
        </w:rPr>
        <w:t>）</w:t>
      </w:r>
    </w:p>
    <w:p>
      <w:pPr>
        <w:spacing w:line="360" w:lineRule="auto"/>
        <w:jc w:val="left"/>
        <w:rPr>
          <w:rFonts w:eastAsiaTheme="minorEastAsia"/>
          <w:color w:val="auto"/>
          <w:sz w:val="28"/>
          <w:szCs w:val="28"/>
          <w:u w:val="single"/>
        </w:rPr>
      </w:pPr>
      <w:r>
        <w:rPr>
          <w:rFonts w:hint="eastAsia"/>
          <w:color w:val="auto"/>
          <w:sz w:val="28"/>
          <w:szCs w:val="28"/>
        </w:rPr>
        <w:t>投标人（成）：</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p>
    <w:p>
      <w:pPr>
        <w:spacing w:line="360" w:lineRule="auto"/>
        <w:jc w:val="both"/>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w:t>
      </w:r>
      <w:r>
        <w:rPr>
          <w:rFonts w:hint="eastAsia" w:ascii="宋体" w:hAnsi="宋体" w:cs="宋体"/>
          <w:color w:val="auto"/>
          <w:sz w:val="28"/>
          <w:szCs w:val="28"/>
        </w:rPr>
        <w:t>签字</w:t>
      </w:r>
      <w:r>
        <w:rPr>
          <w:rFonts w:hint="eastAsia" w:ascii="宋体" w:hAnsi="宋体" w:cs="宋体"/>
          <w:color w:val="auto"/>
          <w:sz w:val="28"/>
          <w:szCs w:val="28"/>
          <w:lang w:val="en-US" w:eastAsia="zh-CN"/>
        </w:rPr>
        <w:t>或盖章</w:t>
      </w:r>
      <w:r>
        <w:rPr>
          <w:rFonts w:hint="eastAsia"/>
          <w:sz w:val="28"/>
          <w:szCs w:val="28"/>
        </w:rPr>
        <w:t>）</w:t>
      </w:r>
    </w:p>
    <w:p>
      <w:pPr>
        <w:spacing w:line="360" w:lineRule="auto"/>
        <w:jc w:val="center"/>
        <w:rPr>
          <w:sz w:val="20"/>
          <w:szCs w:val="20"/>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spacing w:line="360" w:lineRule="auto"/>
      </w:pPr>
      <w:r>
        <w:rPr>
          <w:rFonts w:hint="eastAsia"/>
        </w:rPr>
        <w:br w:type="page"/>
      </w:r>
    </w:p>
    <w:p>
      <w:pPr>
        <w:pStyle w:val="3"/>
        <w:spacing w:line="360" w:lineRule="auto"/>
        <w:jc w:val="center"/>
        <w:rPr>
          <w:rFonts w:ascii="宋体" w:hAnsi="宋体" w:eastAsia="宋体"/>
        </w:rPr>
      </w:pPr>
      <w:bookmarkStart w:id="624" w:name="_Toc17776"/>
      <w:bookmarkStart w:id="625" w:name="_Toc459914459"/>
      <w:bookmarkStart w:id="626" w:name="_Toc10358"/>
      <w:bookmarkStart w:id="627" w:name="_Toc22609"/>
      <w:bookmarkStart w:id="628" w:name="_Toc247514246"/>
      <w:bookmarkStart w:id="629" w:name="_Toc8087"/>
      <w:bookmarkStart w:id="630" w:name="_Toc22854"/>
      <w:bookmarkStart w:id="631" w:name="_Toc2217"/>
      <w:bookmarkStart w:id="632" w:name="_Toc25184"/>
      <w:bookmarkStart w:id="633" w:name="_Toc9230"/>
      <w:bookmarkStart w:id="634" w:name="_Toc31695"/>
      <w:bookmarkStart w:id="635" w:name="_Toc152045787"/>
      <w:bookmarkStart w:id="636" w:name="_Toc247527827"/>
      <w:bookmarkStart w:id="637" w:name="_Toc2469"/>
      <w:bookmarkStart w:id="638" w:name="_Toc28094"/>
      <w:bookmarkStart w:id="639" w:name="_Toc152042576"/>
      <w:bookmarkStart w:id="640" w:name="_Toc16119"/>
      <w:bookmarkStart w:id="641" w:name="_Toc1263"/>
      <w:bookmarkStart w:id="642" w:name="_Toc16524"/>
      <w:bookmarkStart w:id="643" w:name="_Toc23648"/>
      <w:bookmarkStart w:id="644" w:name="_Toc24561"/>
      <w:bookmarkStart w:id="645" w:name="_Toc18337"/>
      <w:bookmarkStart w:id="646" w:name="_Toc22520"/>
      <w:bookmarkStart w:id="647" w:name="_Toc24038"/>
      <w:bookmarkStart w:id="648" w:name="_Toc5658"/>
      <w:bookmarkStart w:id="649" w:name="_Toc19678"/>
      <w:bookmarkStart w:id="650" w:name="_Toc9735"/>
      <w:bookmarkStart w:id="651" w:name="_Toc25012"/>
      <w:bookmarkStart w:id="652" w:name="_Toc20015"/>
      <w:bookmarkStart w:id="653" w:name="_Toc19171"/>
      <w:bookmarkStart w:id="654" w:name="_Toc2460"/>
      <w:bookmarkStart w:id="655" w:name="_Toc12857"/>
      <w:bookmarkStart w:id="656" w:name="_Toc24047"/>
      <w:bookmarkStart w:id="657" w:name="_Toc144974856"/>
      <w:bookmarkStart w:id="658" w:name="_Toc17954"/>
      <w:bookmarkStart w:id="659" w:name="_Toc32313"/>
      <w:r>
        <w:rPr>
          <w:rFonts w:hint="eastAsia" w:ascii="宋体" w:hAnsi="宋体" w:eastAsia="宋体"/>
        </w:rPr>
        <w:t>目    录</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spacing w:line="360" w:lineRule="auto"/>
      </w:pPr>
      <w:r>
        <w:rPr>
          <w:rFonts w:hint="eastAsia"/>
        </w:rPr>
        <w:t>一、投标函及投标函附录</w:t>
      </w:r>
    </w:p>
    <w:p>
      <w:pPr>
        <w:spacing w:line="360" w:lineRule="auto"/>
      </w:pPr>
      <w:r>
        <w:rPr>
          <w:rFonts w:hint="eastAsia"/>
        </w:rPr>
        <w:t>二、法定代表人身份证明或附有法定代表人身份证明的授权委托书；</w:t>
      </w:r>
    </w:p>
    <w:p>
      <w:pPr>
        <w:spacing w:line="360" w:lineRule="auto"/>
      </w:pPr>
      <w:r>
        <w:rPr>
          <w:rFonts w:hint="eastAsia"/>
        </w:rPr>
        <w:t>三、联合体协议书</w:t>
      </w:r>
    </w:p>
    <w:p>
      <w:pPr>
        <w:spacing w:line="360" w:lineRule="auto"/>
      </w:pPr>
      <w:r>
        <w:rPr>
          <w:rFonts w:hint="eastAsia"/>
        </w:rPr>
        <w:t xml:space="preserve">四、投标保证金 </w:t>
      </w:r>
    </w:p>
    <w:p>
      <w:pPr>
        <w:spacing w:line="360" w:lineRule="auto"/>
      </w:pPr>
      <w:r>
        <w:rPr>
          <w:rFonts w:hint="eastAsia"/>
        </w:rPr>
        <w:t>五、资格审查资料</w:t>
      </w:r>
    </w:p>
    <w:p>
      <w:pPr>
        <w:spacing w:line="360" w:lineRule="auto"/>
      </w:pPr>
      <w:r>
        <w:rPr>
          <w:rFonts w:hint="eastAsia"/>
        </w:rPr>
        <w:t>六、</w:t>
      </w:r>
      <w:r>
        <w:rPr>
          <w:rFonts w:hint="eastAsia"/>
          <w:lang w:eastAsia="zh-CN"/>
        </w:rPr>
        <w:t>投标人须知一览表</w:t>
      </w:r>
      <w:r>
        <w:rPr>
          <w:rFonts w:hint="eastAsia"/>
        </w:rPr>
        <w:t>规定的其他资料</w:t>
      </w:r>
    </w:p>
    <w:p>
      <w:pPr>
        <w:spacing w:line="360" w:lineRule="auto"/>
      </w:pPr>
      <w:r>
        <w:rPr>
          <w:rFonts w:hint="eastAsia"/>
        </w:rPr>
        <w:t>七、评标办法前附表规定的其他资料</w:t>
      </w:r>
    </w:p>
    <w:p>
      <w:pPr>
        <w:spacing w:line="360" w:lineRule="auto"/>
      </w:pPr>
      <w:r>
        <w:rPr>
          <w:rFonts w:hint="eastAsia"/>
        </w:rPr>
        <w:t>八、施工组织设计方案</w:t>
      </w:r>
    </w:p>
    <w:p>
      <w:pPr>
        <w:pStyle w:val="3"/>
        <w:spacing w:line="360" w:lineRule="auto"/>
        <w:jc w:val="center"/>
        <w:rPr>
          <w:rFonts w:ascii="宋体" w:hAnsi="宋体" w:eastAsia="宋体"/>
        </w:rPr>
      </w:pPr>
      <w:r>
        <w:rPr>
          <w:rFonts w:hint="eastAsia" w:ascii="宋体" w:hAnsi="宋体" w:eastAsia="宋体"/>
        </w:rPr>
        <w:t xml:space="preserve"> </w:t>
      </w:r>
      <w:r>
        <w:rPr>
          <w:rFonts w:hint="eastAsia" w:ascii="宋体" w:hAnsi="宋体" w:eastAsia="宋体"/>
        </w:rPr>
        <w:br w:type="page"/>
      </w:r>
      <w:bookmarkStart w:id="660" w:name="_Toc13403"/>
      <w:bookmarkStart w:id="661" w:name="_Toc17326"/>
      <w:bookmarkStart w:id="662" w:name="_Toc30415"/>
      <w:bookmarkStart w:id="663" w:name="_Toc247527828"/>
      <w:bookmarkStart w:id="664" w:name="_Toc13343"/>
      <w:bookmarkStart w:id="665" w:name="_Toc10052"/>
      <w:bookmarkStart w:id="666" w:name="_Toc32051"/>
      <w:bookmarkStart w:id="667" w:name="_Toc23439"/>
      <w:bookmarkStart w:id="668" w:name="_Toc16664"/>
      <w:bookmarkStart w:id="669" w:name="_Toc25718"/>
      <w:bookmarkStart w:id="670" w:name="_Toc20461"/>
      <w:bookmarkStart w:id="671" w:name="_Toc152045788"/>
      <w:bookmarkStart w:id="672" w:name="_Toc152042577"/>
      <w:bookmarkStart w:id="673" w:name="_Toc144974857"/>
      <w:bookmarkStart w:id="674" w:name="_Toc12178"/>
      <w:bookmarkStart w:id="675" w:name="_Toc28689"/>
      <w:bookmarkStart w:id="676" w:name="_Toc459914460"/>
      <w:bookmarkStart w:id="677" w:name="_Toc32157"/>
      <w:bookmarkStart w:id="678" w:name="_Toc247514247"/>
      <w:bookmarkStart w:id="679" w:name="_Toc21749"/>
      <w:bookmarkStart w:id="680" w:name="_Toc24331"/>
      <w:bookmarkStart w:id="681" w:name="_Toc24780"/>
      <w:bookmarkStart w:id="682" w:name="_Toc25524"/>
      <w:bookmarkStart w:id="683" w:name="_Toc10776"/>
      <w:bookmarkStart w:id="684" w:name="_Toc5537"/>
    </w:p>
    <w:bookmarkEnd w:id="660"/>
    <w:bookmarkEnd w:id="661"/>
    <w:bookmarkEnd w:id="662"/>
    <w:p>
      <w:pPr>
        <w:pStyle w:val="3"/>
        <w:pageBreakBefore/>
        <w:spacing w:line="420" w:lineRule="exact"/>
        <w:jc w:val="center"/>
        <w:rPr>
          <w:rFonts w:ascii="宋体" w:hAnsi="宋体" w:eastAsia="宋体"/>
        </w:rPr>
      </w:pPr>
      <w:bookmarkStart w:id="685" w:name="_Toc19008"/>
      <w:bookmarkStart w:id="686" w:name="_Toc5361"/>
      <w:bookmarkStart w:id="687" w:name="_Toc14926"/>
      <w:bookmarkStart w:id="688" w:name="_Toc13872"/>
      <w:bookmarkStart w:id="689" w:name="_Toc28109"/>
      <w:bookmarkStart w:id="690" w:name="_Toc8812"/>
      <w:bookmarkStart w:id="691" w:name="_Toc7064"/>
      <w:bookmarkStart w:id="692" w:name="_Toc27807"/>
      <w:bookmarkStart w:id="693" w:name="_Toc8892"/>
      <w:bookmarkStart w:id="694" w:name="_Toc5797"/>
      <w:bookmarkStart w:id="695" w:name="_Toc24496"/>
      <w:bookmarkStart w:id="696" w:name="_Toc9504"/>
      <w:r>
        <w:rPr>
          <w:rFonts w:hint="eastAsia" w:ascii="宋体" w:hAnsi="宋体" w:eastAsia="宋体"/>
        </w:rPr>
        <w:t>一、</w:t>
      </w:r>
      <w:bookmarkStart w:id="697" w:name="_Hlk120564976"/>
      <w:r>
        <w:rPr>
          <w:rFonts w:hint="eastAsia" w:ascii="宋体" w:hAnsi="宋体" w:eastAsia="宋体"/>
        </w:rPr>
        <w:t>投标函</w:t>
      </w:r>
      <w:bookmarkEnd w:id="697"/>
      <w:r>
        <w:rPr>
          <w:rFonts w:hint="eastAsia" w:ascii="宋体" w:hAnsi="宋体" w:eastAsia="宋体"/>
        </w:rPr>
        <w:t>及投标函附录</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Start w:id="698" w:name="_Toc23214"/>
      <w:bookmarkStart w:id="699" w:name="_Toc27774"/>
      <w:bookmarkStart w:id="700" w:name="_Toc24876"/>
      <w:bookmarkStart w:id="701" w:name="_Toc152045789"/>
      <w:bookmarkStart w:id="702" w:name="_Toc247527829"/>
      <w:bookmarkStart w:id="703" w:name="_Toc8073"/>
      <w:bookmarkStart w:id="704" w:name="_Toc247514248"/>
      <w:bookmarkStart w:id="705" w:name="_Toc15133"/>
      <w:bookmarkStart w:id="706" w:name="_Toc21007"/>
      <w:bookmarkStart w:id="707" w:name="_Toc459914461"/>
      <w:bookmarkStart w:id="708" w:name="_Toc152042578"/>
      <w:bookmarkStart w:id="709" w:name="_Toc29129"/>
      <w:bookmarkStart w:id="710" w:name="_Toc2806"/>
      <w:bookmarkStart w:id="711" w:name="_Toc13410"/>
      <w:bookmarkStart w:id="712" w:name="_Toc144974858"/>
    </w:p>
    <w:p>
      <w:pPr>
        <w:pStyle w:val="3"/>
        <w:spacing w:line="420" w:lineRule="exact"/>
        <w:jc w:val="center"/>
        <w:rPr>
          <w:rFonts w:ascii="宋体" w:hAnsi="宋体" w:eastAsia="宋体"/>
          <w:b w:val="0"/>
          <w:bCs w:val="0"/>
          <w:sz w:val="28"/>
          <w:szCs w:val="28"/>
        </w:rPr>
      </w:pPr>
      <w:bookmarkStart w:id="713" w:name="_Toc4398"/>
      <w:bookmarkStart w:id="714" w:name="_Toc26177"/>
      <w:bookmarkStart w:id="715" w:name="_Toc1954"/>
      <w:bookmarkStart w:id="716" w:name="_Toc1597"/>
      <w:bookmarkStart w:id="717" w:name="_Toc21985"/>
      <w:bookmarkStart w:id="718" w:name="_Toc2573"/>
      <w:bookmarkStart w:id="719" w:name="_Toc10155"/>
      <w:bookmarkStart w:id="720" w:name="_Toc16687"/>
      <w:bookmarkStart w:id="721" w:name="_Toc18774"/>
      <w:bookmarkStart w:id="722" w:name="_Toc5727"/>
      <w:bookmarkStart w:id="723" w:name="_Toc22729"/>
      <w:bookmarkStart w:id="724" w:name="_Toc31944"/>
      <w:bookmarkStart w:id="725" w:name="_Toc8075"/>
      <w:bookmarkStart w:id="726" w:name="_Toc24227"/>
      <w:bookmarkStart w:id="727" w:name="_Toc18708"/>
      <w:bookmarkStart w:id="728" w:name="_Toc3253"/>
      <w:bookmarkStart w:id="729" w:name="_Toc27706"/>
      <w:bookmarkStart w:id="730" w:name="_Toc4921"/>
      <w:bookmarkStart w:id="731" w:name="_Toc5700"/>
      <w:bookmarkStart w:id="732" w:name="_Toc23198"/>
      <w:bookmarkStart w:id="733" w:name="_Toc9722"/>
      <w:r>
        <w:rPr>
          <w:rFonts w:hint="eastAsia" w:ascii="宋体" w:hAnsi="宋体" w:eastAsia="宋体"/>
          <w:b w:val="0"/>
          <w:bCs w:val="0"/>
          <w:sz w:val="28"/>
          <w:szCs w:val="28"/>
        </w:rPr>
        <w:t>（一）投标函</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420" w:lineRule="exact"/>
        <w:rPr>
          <w:szCs w:val="21"/>
        </w:rPr>
      </w:pPr>
      <w:r>
        <w:rPr>
          <w:rFonts w:hint="eastAsia"/>
          <w:szCs w:val="21"/>
          <w:u w:val="single"/>
        </w:rPr>
        <w:t xml:space="preserve">                        </w:t>
      </w:r>
      <w:r>
        <w:rPr>
          <w:rFonts w:hint="eastAsia"/>
          <w:szCs w:val="21"/>
        </w:rPr>
        <w:t>（招标人名称）：</w:t>
      </w:r>
    </w:p>
    <w:p>
      <w:pPr>
        <w:spacing w:line="420" w:lineRule="exact"/>
        <w:ind w:firstLine="420" w:firstLineChars="200"/>
        <w:rPr>
          <w:szCs w:val="21"/>
        </w:rPr>
      </w:pPr>
      <w:r>
        <w:rPr>
          <w:rFonts w:hint="eastAsia"/>
          <w:szCs w:val="21"/>
        </w:rPr>
        <w:t>1．我方已仔细研究了</w:t>
      </w:r>
      <w:r>
        <w:rPr>
          <w:rFonts w:hint="eastAsia"/>
          <w:szCs w:val="21"/>
          <w:u w:val="single"/>
        </w:rPr>
        <w:t xml:space="preserve">          （项目名称）        </w:t>
      </w:r>
      <w:r>
        <w:rPr>
          <w:rFonts w:hint="eastAsia"/>
          <w:szCs w:val="21"/>
        </w:rPr>
        <w:t>招标文件（含补遗书第</w:t>
      </w:r>
      <w:r>
        <w:rPr>
          <w:szCs w:val="21"/>
          <w:u w:val="single"/>
        </w:rPr>
        <w:t xml:space="preserve">       </w:t>
      </w:r>
      <w:r>
        <w:rPr>
          <w:szCs w:val="21"/>
        </w:rPr>
        <w:t>号至第</w:t>
      </w:r>
      <w:r>
        <w:rPr>
          <w:szCs w:val="21"/>
          <w:u w:val="single"/>
        </w:rPr>
        <w:t xml:space="preserve">   </w:t>
      </w:r>
      <w:r>
        <w:rPr>
          <w:szCs w:val="21"/>
        </w:rPr>
        <w:t>号）的全部内容，愿意以最高投标限价下浮率（大写）百分之</w:t>
      </w:r>
      <w:r>
        <w:rPr>
          <w:szCs w:val="21"/>
          <w:u w:val="single"/>
        </w:rPr>
        <w:t xml:space="preserve">      </w:t>
      </w:r>
      <w:r>
        <w:rPr>
          <w:szCs w:val="21"/>
        </w:rPr>
        <w:t>（小写：</w:t>
      </w:r>
      <w:r>
        <w:rPr>
          <w:szCs w:val="21"/>
          <w:u w:val="single"/>
        </w:rPr>
        <w:t xml:space="preserve">     </w:t>
      </w:r>
      <w:r>
        <w:rPr>
          <w:szCs w:val="21"/>
        </w:rPr>
        <w:t xml:space="preserve"> %）（以百分比为单位，精确到小数点后三位）即人民币（大写）</w:t>
      </w:r>
      <w:r>
        <w:rPr>
          <w:szCs w:val="21"/>
          <w:u w:val="single"/>
        </w:rPr>
        <w:t xml:space="preserve">               </w:t>
      </w:r>
      <w:r>
        <w:rPr>
          <w:szCs w:val="21"/>
        </w:rPr>
        <w:t xml:space="preserve"> 元（小写¥ </w:t>
      </w:r>
      <w:r>
        <w:rPr>
          <w:szCs w:val="21"/>
          <w:u w:val="single"/>
        </w:rPr>
        <w:t xml:space="preserve">          </w:t>
      </w:r>
      <w:r>
        <w:rPr>
          <w:szCs w:val="21"/>
        </w:rPr>
        <w:t>元）（精确到小数点后二位）的投标总报价</w:t>
      </w:r>
      <w:r>
        <w:rPr>
          <w:rFonts w:hint="eastAsia"/>
          <w:szCs w:val="21"/>
        </w:rPr>
        <w:t>；工期</w:t>
      </w:r>
      <w:r>
        <w:rPr>
          <w:rFonts w:hint="eastAsia"/>
          <w:szCs w:val="21"/>
          <w:u w:val="single"/>
        </w:rPr>
        <w:t xml:space="preserve">        </w:t>
      </w:r>
      <w:r>
        <w:rPr>
          <w:rFonts w:hint="eastAsia"/>
          <w:szCs w:val="21"/>
        </w:rPr>
        <w:t>日历天，从建设单位发出的进场通知书次日或通知书指定起算日起计。按合同约定进行实施和竣工承包工程，修补工程中的任何缺陷，实现工程目的。</w:t>
      </w:r>
    </w:p>
    <w:p>
      <w:pPr>
        <w:spacing w:line="420" w:lineRule="exact"/>
        <w:ind w:firstLine="420" w:firstLineChars="200"/>
        <w:rPr>
          <w:szCs w:val="21"/>
        </w:rPr>
      </w:pPr>
      <w:r>
        <w:rPr>
          <w:rFonts w:hint="eastAsia"/>
          <w:szCs w:val="21"/>
        </w:rPr>
        <w:t>2．我方承诺在招标文件规定的投标有效期内不修改、撤销投标文件。</w:t>
      </w:r>
    </w:p>
    <w:p>
      <w:pPr>
        <w:spacing w:line="420" w:lineRule="exact"/>
        <w:ind w:firstLine="420" w:firstLineChars="200"/>
        <w:rPr>
          <w:szCs w:val="21"/>
        </w:rPr>
      </w:pPr>
      <w:r>
        <w:rPr>
          <w:rFonts w:hint="eastAsia"/>
          <w:szCs w:val="21"/>
        </w:rPr>
        <w:t>3．随同本投标函提交投标保证金一份。</w:t>
      </w:r>
    </w:p>
    <w:p>
      <w:pPr>
        <w:spacing w:line="420" w:lineRule="exact"/>
        <w:ind w:firstLine="420" w:firstLineChars="200"/>
        <w:rPr>
          <w:szCs w:val="21"/>
        </w:rPr>
      </w:pPr>
      <w:r>
        <w:rPr>
          <w:rFonts w:hint="eastAsia"/>
          <w:szCs w:val="21"/>
        </w:rPr>
        <w:t>4．如我方中标：</w:t>
      </w:r>
    </w:p>
    <w:p>
      <w:pPr>
        <w:spacing w:line="420" w:lineRule="exact"/>
        <w:ind w:firstLine="420" w:firstLineChars="200"/>
        <w:rPr>
          <w:szCs w:val="21"/>
        </w:rPr>
      </w:pPr>
      <w:r>
        <w:rPr>
          <w:rFonts w:hint="eastAsia"/>
          <w:szCs w:val="21"/>
        </w:rPr>
        <w:t>（1）我方承诺在收到中标通知书后，在中标通知书规定的期限内与你方签订合同。</w:t>
      </w:r>
    </w:p>
    <w:p>
      <w:pPr>
        <w:spacing w:line="420" w:lineRule="exact"/>
        <w:ind w:firstLine="420" w:firstLineChars="200"/>
        <w:rPr>
          <w:szCs w:val="21"/>
        </w:rPr>
      </w:pPr>
      <w:r>
        <w:rPr>
          <w:rFonts w:hint="eastAsia"/>
          <w:szCs w:val="21"/>
        </w:rPr>
        <w:t>（2）随同本投标函递交的投标函附录属于合同文件的组成部分。</w:t>
      </w:r>
    </w:p>
    <w:p>
      <w:pPr>
        <w:spacing w:line="420" w:lineRule="exact"/>
        <w:ind w:firstLine="420" w:firstLineChars="200"/>
        <w:rPr>
          <w:szCs w:val="21"/>
        </w:rPr>
      </w:pPr>
      <w:r>
        <w:rPr>
          <w:rFonts w:hint="eastAsia"/>
          <w:szCs w:val="21"/>
        </w:rPr>
        <w:t>（3）我方承诺按照招标文件规定向你方递交履约担保。</w:t>
      </w:r>
    </w:p>
    <w:p>
      <w:pPr>
        <w:spacing w:line="420" w:lineRule="exact"/>
        <w:ind w:firstLine="420" w:firstLineChars="200"/>
        <w:rPr>
          <w:szCs w:val="21"/>
        </w:rPr>
      </w:pPr>
      <w:r>
        <w:rPr>
          <w:rFonts w:hint="eastAsia"/>
          <w:szCs w:val="21"/>
        </w:rPr>
        <w:t>（4）我方承诺在合同约定的期限内完成并移交全部合同工程。</w:t>
      </w:r>
    </w:p>
    <w:p>
      <w:pPr>
        <w:spacing w:line="420" w:lineRule="exact"/>
        <w:ind w:firstLine="420" w:firstLineChars="200"/>
        <w:rPr>
          <w:szCs w:val="21"/>
        </w:rPr>
      </w:pPr>
      <w:r>
        <w:rPr>
          <w:rFonts w:hint="eastAsia"/>
          <w:szCs w:val="21"/>
        </w:rPr>
        <w:t>5．</w:t>
      </w:r>
      <w:r>
        <w:rPr>
          <w:rFonts w:hint="eastAsia"/>
        </w:rPr>
        <w:t>我方在此声明，所递交的投标文件及有关资料内容完整、真实和准确，且不存在第二章“投标人须知”第1.4.3项规定的任何一种情形。</w:t>
      </w:r>
    </w:p>
    <w:p>
      <w:pPr>
        <w:spacing w:line="420" w:lineRule="exact"/>
        <w:ind w:firstLine="420" w:firstLineChars="200"/>
        <w:rPr>
          <w:szCs w:val="21"/>
        </w:rPr>
      </w:pPr>
      <w:r>
        <w:rPr>
          <w:rFonts w:hint="eastAsia"/>
          <w:szCs w:val="21"/>
        </w:rPr>
        <w:t>6．</w:t>
      </w:r>
      <w:r>
        <w:rPr>
          <w:rFonts w:hint="eastAsia"/>
          <w:szCs w:val="21"/>
          <w:u w:val="single"/>
        </w:rPr>
        <w:t xml:space="preserve">                                       </w:t>
      </w:r>
      <w:r>
        <w:rPr>
          <w:rFonts w:hint="eastAsia"/>
          <w:szCs w:val="21"/>
        </w:rPr>
        <w:t>（其他补充说明）。</w:t>
      </w:r>
    </w:p>
    <w:p>
      <w:pPr>
        <w:pStyle w:val="28"/>
      </w:pPr>
    </w:p>
    <w:p>
      <w:pPr>
        <w:spacing w:line="420" w:lineRule="exact"/>
        <w:rPr>
          <w:szCs w:val="21"/>
        </w:rPr>
      </w:pPr>
      <w:r>
        <w:rPr>
          <w:rFonts w:hint="eastAsia"/>
          <w:szCs w:val="21"/>
        </w:rPr>
        <w:t>投 标 人：</w:t>
      </w:r>
      <w:r>
        <w:rPr>
          <w:rFonts w:hint="eastAsia"/>
          <w:szCs w:val="21"/>
          <w:u w:val="single"/>
        </w:rPr>
        <w:t xml:space="preserve">                      </w:t>
      </w:r>
      <w:r>
        <w:rPr>
          <w:rFonts w:hint="eastAsia"/>
          <w:szCs w:val="21"/>
        </w:rPr>
        <w:t>（</w:t>
      </w:r>
      <w:r>
        <w:rPr>
          <w:rFonts w:hint="eastAsia"/>
          <w:szCs w:val="21"/>
          <w:lang w:eastAsia="zh-CN"/>
        </w:rPr>
        <w:t>盖单位公章</w:t>
      </w:r>
      <w:r>
        <w:rPr>
          <w:rFonts w:hint="eastAsia"/>
          <w:szCs w:val="21"/>
        </w:rPr>
        <w:t>）</w:t>
      </w:r>
    </w:p>
    <w:p>
      <w:pPr>
        <w:spacing w:line="420" w:lineRule="exact"/>
        <w:rPr>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pPr>
        <w:spacing w:line="420" w:lineRule="exact"/>
        <w:rPr>
          <w:szCs w:val="21"/>
        </w:rPr>
      </w:pPr>
      <w:r>
        <w:rPr>
          <w:rFonts w:hint="eastAsia"/>
          <w:szCs w:val="21"/>
        </w:rPr>
        <w:t>地址：</w:t>
      </w:r>
      <w:r>
        <w:rPr>
          <w:rFonts w:hint="eastAsia"/>
          <w:szCs w:val="21"/>
          <w:u w:val="single"/>
        </w:rPr>
        <w:t xml:space="preserve">                                </w:t>
      </w:r>
      <w:r>
        <w:rPr>
          <w:rFonts w:hint="eastAsia"/>
          <w:szCs w:val="21"/>
        </w:rPr>
        <w:t xml:space="preserve">       </w:t>
      </w:r>
    </w:p>
    <w:p>
      <w:pPr>
        <w:spacing w:line="420" w:lineRule="exact"/>
        <w:rPr>
          <w:szCs w:val="21"/>
        </w:rPr>
      </w:pPr>
      <w:r>
        <w:rPr>
          <w:rFonts w:hint="eastAsia"/>
          <w:szCs w:val="21"/>
        </w:rPr>
        <w:t>网址：</w:t>
      </w:r>
      <w:r>
        <w:rPr>
          <w:rFonts w:hint="eastAsia"/>
          <w:szCs w:val="21"/>
          <w:u w:val="single"/>
        </w:rPr>
        <w:t xml:space="preserve">                                </w:t>
      </w:r>
    </w:p>
    <w:p>
      <w:pPr>
        <w:spacing w:line="420" w:lineRule="exact"/>
        <w:rPr>
          <w:szCs w:val="21"/>
        </w:rPr>
      </w:pPr>
      <w:r>
        <w:rPr>
          <w:rFonts w:hint="eastAsia"/>
          <w:szCs w:val="21"/>
        </w:rPr>
        <w:t>电话：</w:t>
      </w:r>
      <w:r>
        <w:rPr>
          <w:rFonts w:hint="eastAsia"/>
          <w:szCs w:val="21"/>
          <w:u w:val="single"/>
        </w:rPr>
        <w:t xml:space="preserve">                                </w:t>
      </w:r>
      <w:r>
        <w:rPr>
          <w:rFonts w:hint="eastAsia"/>
          <w:szCs w:val="21"/>
        </w:rPr>
        <w:t xml:space="preserve">       </w:t>
      </w:r>
    </w:p>
    <w:p>
      <w:pPr>
        <w:spacing w:line="420" w:lineRule="exact"/>
        <w:rPr>
          <w:szCs w:val="21"/>
          <w:u w:val="single"/>
        </w:rPr>
      </w:pPr>
      <w:r>
        <w:rPr>
          <w:rFonts w:hint="eastAsia"/>
          <w:szCs w:val="21"/>
        </w:rPr>
        <w:t>传真：</w:t>
      </w:r>
      <w:r>
        <w:rPr>
          <w:rFonts w:hint="eastAsia"/>
          <w:szCs w:val="21"/>
          <w:u w:val="single"/>
        </w:rPr>
        <w:t xml:space="preserve">                                </w:t>
      </w:r>
    </w:p>
    <w:p>
      <w:pPr>
        <w:spacing w:line="420" w:lineRule="exact"/>
        <w:rPr>
          <w:szCs w:val="21"/>
        </w:rPr>
      </w:pPr>
      <w:r>
        <w:rPr>
          <w:rFonts w:hint="eastAsia"/>
          <w:szCs w:val="21"/>
        </w:rPr>
        <w:t>邮政编码：</w:t>
      </w:r>
      <w:r>
        <w:rPr>
          <w:rFonts w:hint="eastAsia"/>
          <w:szCs w:val="21"/>
          <w:u w:val="single"/>
        </w:rPr>
        <w:t xml:space="preserve">                            </w:t>
      </w:r>
    </w:p>
    <w:p>
      <w:pPr>
        <w:spacing w:line="420" w:lineRule="exact"/>
        <w:ind w:firstLine="4725" w:firstLineChars="225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pStyle w:val="31"/>
      </w:pPr>
    </w:p>
    <w:p>
      <w:pPr>
        <w:sectPr>
          <w:pgSz w:w="11906" w:h="16838"/>
          <w:pgMar w:top="1440" w:right="1803" w:bottom="1440" w:left="1803" w:header="851" w:footer="992" w:gutter="0"/>
          <w:cols w:space="0" w:num="1"/>
          <w:docGrid w:type="lines" w:linePitch="319" w:charSpace="0"/>
        </w:sectPr>
      </w:pPr>
      <w:bookmarkStart w:id="734" w:name="_Toc459914462"/>
      <w:bookmarkStart w:id="735" w:name="_Toc643"/>
      <w:bookmarkStart w:id="736" w:name="_Toc13404"/>
      <w:bookmarkStart w:id="737" w:name="_Toc152042579"/>
      <w:bookmarkStart w:id="738" w:name="_Toc13680"/>
      <w:bookmarkStart w:id="739" w:name="_Toc25176"/>
      <w:bookmarkStart w:id="740" w:name="_Toc247514249"/>
      <w:bookmarkStart w:id="741" w:name="_Toc5666"/>
      <w:bookmarkStart w:id="742" w:name="_Toc23284"/>
      <w:bookmarkStart w:id="743" w:name="_Toc6693"/>
      <w:bookmarkStart w:id="744" w:name="_Toc152045790"/>
      <w:bookmarkStart w:id="745" w:name="_Toc32073"/>
      <w:bookmarkStart w:id="746" w:name="_Toc2826"/>
      <w:bookmarkStart w:id="747" w:name="_Toc31615"/>
      <w:bookmarkStart w:id="748" w:name="_Toc247527830"/>
      <w:bookmarkStart w:id="749" w:name="_Toc9479"/>
      <w:bookmarkStart w:id="750" w:name="_Toc20715"/>
      <w:bookmarkStart w:id="751" w:name="_Toc21685"/>
      <w:bookmarkStart w:id="752" w:name="_Toc11959"/>
      <w:bookmarkStart w:id="753" w:name="_Toc21622"/>
      <w:bookmarkStart w:id="754" w:name="_Toc32177"/>
      <w:bookmarkStart w:id="755" w:name="_Toc144974859"/>
      <w:bookmarkStart w:id="756" w:name="_Toc8102"/>
      <w:bookmarkStart w:id="757" w:name="_Toc26380"/>
      <w:bookmarkStart w:id="758" w:name="_Toc9317"/>
      <w:bookmarkStart w:id="759" w:name="_Toc17350"/>
      <w:bookmarkStart w:id="760" w:name="_Toc12582"/>
      <w:bookmarkStart w:id="761" w:name="_Toc28246"/>
      <w:bookmarkStart w:id="762" w:name="_Toc24411"/>
      <w:bookmarkStart w:id="763" w:name="_Toc8759"/>
      <w:bookmarkStart w:id="764" w:name="_Toc11136"/>
      <w:bookmarkStart w:id="765" w:name="_Toc18674"/>
    </w:p>
    <w:p>
      <w:pPr>
        <w:pStyle w:val="4"/>
        <w:spacing w:line="360" w:lineRule="auto"/>
        <w:jc w:val="center"/>
      </w:pPr>
      <w:bookmarkStart w:id="766" w:name="_Toc16167"/>
      <w:bookmarkStart w:id="767" w:name="_Toc14161"/>
      <w:bookmarkStart w:id="768" w:name="_Toc15739"/>
      <w:bookmarkStart w:id="769" w:name="_Toc21900"/>
      <w:r>
        <w:rPr>
          <w:rFonts w:hint="eastAsia"/>
        </w:rPr>
        <w:t>（二）投标函附录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tbl>
      <w:tblPr>
        <w:tblStyle w:val="33"/>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18"/>
        <w:gridCol w:w="552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6" w:type="dxa"/>
            <w:vAlign w:val="center"/>
          </w:tcPr>
          <w:p>
            <w:pPr>
              <w:spacing w:line="400" w:lineRule="exact"/>
              <w:jc w:val="center"/>
              <w:rPr>
                <w:szCs w:val="21"/>
              </w:rPr>
            </w:pPr>
            <w:r>
              <w:rPr>
                <w:rFonts w:hint="eastAsia"/>
                <w:szCs w:val="21"/>
              </w:rPr>
              <w:t>序号</w:t>
            </w:r>
          </w:p>
        </w:tc>
        <w:tc>
          <w:tcPr>
            <w:tcW w:w="1418" w:type="dxa"/>
            <w:vAlign w:val="center"/>
          </w:tcPr>
          <w:p>
            <w:pPr>
              <w:spacing w:line="400" w:lineRule="exact"/>
              <w:jc w:val="center"/>
              <w:rPr>
                <w:szCs w:val="21"/>
              </w:rPr>
            </w:pPr>
            <w:r>
              <w:rPr>
                <w:rFonts w:hint="eastAsia"/>
                <w:szCs w:val="21"/>
              </w:rPr>
              <w:t>条款名称</w:t>
            </w:r>
          </w:p>
        </w:tc>
        <w:tc>
          <w:tcPr>
            <w:tcW w:w="5528" w:type="dxa"/>
            <w:vAlign w:val="center"/>
          </w:tcPr>
          <w:p>
            <w:pPr>
              <w:spacing w:line="400" w:lineRule="exact"/>
              <w:jc w:val="center"/>
              <w:rPr>
                <w:szCs w:val="21"/>
              </w:rPr>
            </w:pPr>
            <w:r>
              <w:rPr>
                <w:rFonts w:hint="eastAsia"/>
                <w:szCs w:val="21"/>
              </w:rPr>
              <w:t>约定内容</w:t>
            </w:r>
          </w:p>
        </w:tc>
        <w:tc>
          <w:tcPr>
            <w:tcW w:w="936" w:type="dxa"/>
            <w:vAlign w:val="center"/>
          </w:tcPr>
          <w:p>
            <w:pPr>
              <w:spacing w:line="4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vMerge w:val="restart"/>
            <w:vAlign w:val="center"/>
          </w:tcPr>
          <w:p>
            <w:pPr>
              <w:spacing w:line="400" w:lineRule="exact"/>
              <w:jc w:val="center"/>
              <w:rPr>
                <w:szCs w:val="21"/>
              </w:rPr>
            </w:pPr>
            <w:r>
              <w:rPr>
                <w:rFonts w:hint="eastAsia"/>
                <w:szCs w:val="21"/>
              </w:rPr>
              <w:t>1</w:t>
            </w:r>
          </w:p>
        </w:tc>
        <w:tc>
          <w:tcPr>
            <w:tcW w:w="1418" w:type="dxa"/>
            <w:vMerge w:val="restart"/>
            <w:vAlign w:val="center"/>
          </w:tcPr>
          <w:p>
            <w:pPr>
              <w:spacing w:line="400" w:lineRule="exact"/>
              <w:jc w:val="center"/>
              <w:rPr>
                <w:szCs w:val="21"/>
              </w:rPr>
            </w:pPr>
            <w:r>
              <w:rPr>
                <w:rFonts w:hint="eastAsia"/>
                <w:szCs w:val="21"/>
              </w:rPr>
              <w:t>项目负责人</w:t>
            </w:r>
          </w:p>
        </w:tc>
        <w:tc>
          <w:tcPr>
            <w:tcW w:w="5528" w:type="dxa"/>
            <w:vMerge w:val="restart"/>
            <w:vAlign w:val="center"/>
          </w:tcPr>
          <w:p>
            <w:pPr>
              <w:spacing w:line="400" w:lineRule="exact"/>
            </w:pPr>
            <w:r>
              <w:rPr>
                <w:rFonts w:hint="eastAsia"/>
              </w:rPr>
              <w:t>姓名：</w:t>
            </w:r>
          </w:p>
          <w:p>
            <w:pPr>
              <w:spacing w:line="400" w:lineRule="exact"/>
            </w:pPr>
            <w:r>
              <w:rPr>
                <w:rFonts w:hint="eastAsia"/>
              </w:rPr>
              <w:t>证书编号：</w:t>
            </w:r>
          </w:p>
        </w:tc>
        <w:tc>
          <w:tcPr>
            <w:tcW w:w="936" w:type="dxa"/>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16" w:type="dxa"/>
            <w:vMerge w:val="continue"/>
            <w:vAlign w:val="center"/>
          </w:tcPr>
          <w:p>
            <w:pPr>
              <w:spacing w:line="400" w:lineRule="exact"/>
              <w:jc w:val="center"/>
              <w:rPr>
                <w:szCs w:val="21"/>
              </w:rPr>
            </w:pPr>
          </w:p>
        </w:tc>
        <w:tc>
          <w:tcPr>
            <w:tcW w:w="1418" w:type="dxa"/>
            <w:vMerge w:val="continue"/>
            <w:vAlign w:val="center"/>
          </w:tcPr>
          <w:p>
            <w:pPr>
              <w:spacing w:line="400" w:lineRule="exact"/>
              <w:jc w:val="center"/>
              <w:rPr>
                <w:szCs w:val="21"/>
              </w:rPr>
            </w:pPr>
          </w:p>
        </w:tc>
        <w:tc>
          <w:tcPr>
            <w:tcW w:w="5528" w:type="dxa"/>
            <w:vMerge w:val="continue"/>
            <w:vAlign w:val="center"/>
          </w:tcPr>
          <w:p>
            <w:pPr>
              <w:spacing w:line="400" w:lineRule="exact"/>
            </w:pPr>
          </w:p>
        </w:tc>
        <w:tc>
          <w:tcPr>
            <w:tcW w:w="936" w:type="dxa"/>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16" w:type="dxa"/>
            <w:vAlign w:val="center"/>
          </w:tcPr>
          <w:p>
            <w:pPr>
              <w:spacing w:line="400" w:lineRule="exact"/>
              <w:jc w:val="center"/>
              <w:rPr>
                <w:szCs w:val="21"/>
              </w:rPr>
            </w:pPr>
            <w:r>
              <w:rPr>
                <w:rFonts w:hint="eastAsia"/>
                <w:szCs w:val="21"/>
              </w:rPr>
              <w:t>2</w:t>
            </w:r>
          </w:p>
        </w:tc>
        <w:tc>
          <w:tcPr>
            <w:tcW w:w="1418" w:type="dxa"/>
            <w:vAlign w:val="center"/>
          </w:tcPr>
          <w:p>
            <w:pPr>
              <w:spacing w:line="400" w:lineRule="exact"/>
              <w:jc w:val="center"/>
              <w:rPr>
                <w:szCs w:val="21"/>
              </w:rPr>
            </w:pPr>
            <w:r>
              <w:rPr>
                <w:rFonts w:hint="eastAsia"/>
                <w:szCs w:val="21"/>
              </w:rPr>
              <w:t>工期</w:t>
            </w:r>
          </w:p>
        </w:tc>
        <w:tc>
          <w:tcPr>
            <w:tcW w:w="5528" w:type="dxa"/>
            <w:vAlign w:val="center"/>
          </w:tcPr>
          <w:p>
            <w:pPr>
              <w:widowControl/>
              <w:adjustRightInd w:val="0"/>
              <w:snapToGrid w:val="0"/>
              <w:spacing w:line="360" w:lineRule="auto"/>
              <w:jc w:val="left"/>
              <w:rPr>
                <w:szCs w:val="21"/>
              </w:rPr>
            </w:pPr>
            <w:r>
              <w:rPr>
                <w:rFonts w:hint="eastAsia"/>
                <w:kern w:val="0"/>
                <w:szCs w:val="21"/>
              </w:rPr>
              <w:t>工期：</w:t>
            </w:r>
            <w:r>
              <w:rPr>
                <w:rFonts w:hint="eastAsia"/>
                <w:kern w:val="0"/>
                <w:szCs w:val="21"/>
                <w:u w:val="single"/>
              </w:rPr>
              <w:t xml:space="preserve">     </w:t>
            </w:r>
            <w:r>
              <w:rPr>
                <w:rFonts w:hint="eastAsia"/>
                <w:kern w:val="0"/>
                <w:szCs w:val="21"/>
              </w:rPr>
              <w:t>日历天，从</w:t>
            </w:r>
            <w:r>
              <w:rPr>
                <w:rFonts w:hint="eastAsia"/>
                <w:szCs w:val="21"/>
              </w:rPr>
              <w:t>建设单位</w:t>
            </w:r>
            <w:r>
              <w:rPr>
                <w:rFonts w:hint="eastAsia"/>
                <w:kern w:val="0"/>
                <w:szCs w:val="21"/>
              </w:rPr>
              <w:t>发出的进场通知书次日或通知书指定起算日起计。</w:t>
            </w:r>
          </w:p>
        </w:tc>
        <w:tc>
          <w:tcPr>
            <w:tcW w:w="936" w:type="dxa"/>
            <w:vAlign w:val="center"/>
          </w:tcPr>
          <w:p>
            <w:pPr>
              <w:spacing w:line="400" w:lineRule="exact"/>
              <w:ind w:firstLine="718" w:firstLineChars="342"/>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6" w:type="dxa"/>
            <w:vAlign w:val="center"/>
          </w:tcPr>
          <w:p>
            <w:pPr>
              <w:spacing w:line="400" w:lineRule="exact"/>
              <w:jc w:val="center"/>
              <w:rPr>
                <w:szCs w:val="21"/>
              </w:rPr>
            </w:pPr>
            <w:r>
              <w:rPr>
                <w:rFonts w:hint="eastAsia"/>
                <w:szCs w:val="21"/>
              </w:rPr>
              <w:t>3</w:t>
            </w:r>
          </w:p>
        </w:tc>
        <w:tc>
          <w:tcPr>
            <w:tcW w:w="1418" w:type="dxa"/>
            <w:vAlign w:val="center"/>
          </w:tcPr>
          <w:p>
            <w:pPr>
              <w:spacing w:line="400" w:lineRule="exact"/>
              <w:jc w:val="center"/>
              <w:rPr>
                <w:szCs w:val="21"/>
              </w:rPr>
            </w:pPr>
            <w:r>
              <w:rPr>
                <w:rFonts w:hint="eastAsia"/>
                <w:szCs w:val="21"/>
              </w:rPr>
              <w:t>质量要求</w:t>
            </w:r>
          </w:p>
        </w:tc>
        <w:tc>
          <w:tcPr>
            <w:tcW w:w="5528" w:type="dxa"/>
            <w:vAlign w:val="center"/>
          </w:tcPr>
          <w:p>
            <w:pPr>
              <w:spacing w:line="400" w:lineRule="exact"/>
              <w:jc w:val="left"/>
              <w:rPr>
                <w:szCs w:val="21"/>
              </w:rPr>
            </w:pPr>
            <w:r>
              <w:rPr>
                <w:rFonts w:hint="eastAsia"/>
                <w:szCs w:val="21"/>
                <w:lang w:val="zh-TW"/>
              </w:rPr>
              <w:t>符合设计图纸要求和国家、省、市相关法律法规规定要求及行业颁发的工程质量合格标准。</w:t>
            </w:r>
          </w:p>
        </w:tc>
        <w:tc>
          <w:tcPr>
            <w:tcW w:w="936" w:type="dxa"/>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16" w:type="dxa"/>
            <w:vAlign w:val="center"/>
          </w:tcPr>
          <w:p>
            <w:pPr>
              <w:spacing w:line="400" w:lineRule="exact"/>
              <w:jc w:val="center"/>
              <w:rPr>
                <w:szCs w:val="21"/>
              </w:rPr>
            </w:pPr>
            <w:r>
              <w:rPr>
                <w:rFonts w:hint="eastAsia"/>
                <w:szCs w:val="21"/>
              </w:rPr>
              <w:t>4</w:t>
            </w:r>
          </w:p>
        </w:tc>
        <w:tc>
          <w:tcPr>
            <w:tcW w:w="1418" w:type="dxa"/>
            <w:vAlign w:val="center"/>
          </w:tcPr>
          <w:p>
            <w:pPr>
              <w:spacing w:line="400" w:lineRule="exact"/>
              <w:jc w:val="center"/>
              <w:rPr>
                <w:szCs w:val="21"/>
              </w:rPr>
            </w:pPr>
            <w:r>
              <w:rPr>
                <w:rFonts w:hint="eastAsia"/>
                <w:szCs w:val="21"/>
              </w:rPr>
              <w:t>缺陷责任期</w:t>
            </w:r>
          </w:p>
        </w:tc>
        <w:tc>
          <w:tcPr>
            <w:tcW w:w="5528" w:type="dxa"/>
            <w:vAlign w:val="center"/>
          </w:tcPr>
          <w:p>
            <w:pPr>
              <w:spacing w:line="400" w:lineRule="exact"/>
              <w:jc w:val="left"/>
              <w:rPr>
                <w:szCs w:val="21"/>
              </w:rPr>
            </w:pPr>
            <w:r>
              <w:rPr>
                <w:rFonts w:hint="eastAsia"/>
                <w:szCs w:val="21"/>
              </w:rPr>
              <w:t>按照《建设工程质量保证金管理暂行办法》有关规定执行。</w:t>
            </w:r>
          </w:p>
        </w:tc>
        <w:tc>
          <w:tcPr>
            <w:tcW w:w="936" w:type="dxa"/>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16" w:type="dxa"/>
            <w:vAlign w:val="center"/>
          </w:tcPr>
          <w:p>
            <w:pPr>
              <w:spacing w:line="400" w:lineRule="exact"/>
              <w:jc w:val="center"/>
              <w:rPr>
                <w:szCs w:val="21"/>
              </w:rPr>
            </w:pPr>
            <w:r>
              <w:rPr>
                <w:rFonts w:hint="eastAsia"/>
                <w:szCs w:val="21"/>
              </w:rPr>
              <w:t>5</w:t>
            </w:r>
          </w:p>
        </w:tc>
        <w:tc>
          <w:tcPr>
            <w:tcW w:w="1418" w:type="dxa"/>
            <w:vAlign w:val="center"/>
          </w:tcPr>
          <w:p>
            <w:pPr>
              <w:spacing w:line="400" w:lineRule="exact"/>
              <w:jc w:val="center"/>
              <w:rPr>
                <w:szCs w:val="21"/>
              </w:rPr>
            </w:pPr>
            <w:r>
              <w:rPr>
                <w:rFonts w:hint="eastAsia"/>
                <w:szCs w:val="21"/>
              </w:rPr>
              <w:t>投标有效期</w:t>
            </w:r>
          </w:p>
        </w:tc>
        <w:tc>
          <w:tcPr>
            <w:tcW w:w="5528" w:type="dxa"/>
            <w:vAlign w:val="center"/>
          </w:tcPr>
          <w:p>
            <w:pPr>
              <w:spacing w:line="400" w:lineRule="exact"/>
              <w:jc w:val="left"/>
              <w:rPr>
                <w:szCs w:val="21"/>
              </w:rPr>
            </w:pPr>
            <w:r>
              <w:rPr>
                <w:rFonts w:hint="eastAsia"/>
                <w:szCs w:val="21"/>
              </w:rPr>
              <w:t>90日历天</w:t>
            </w:r>
            <w:r>
              <w:rPr>
                <w:rFonts w:hint="eastAsia"/>
              </w:rPr>
              <w:t>（从投标截止之日计起），如出现异议或投诉，则投标有效期自动延长至异议或投诉处理结束，确定中标人并发放中标通知书为止。</w:t>
            </w:r>
          </w:p>
        </w:tc>
        <w:tc>
          <w:tcPr>
            <w:tcW w:w="936" w:type="dxa"/>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6" w:type="dxa"/>
            <w:vAlign w:val="center"/>
          </w:tcPr>
          <w:p>
            <w:pPr>
              <w:spacing w:line="400" w:lineRule="exact"/>
              <w:jc w:val="center"/>
              <w:rPr>
                <w:szCs w:val="21"/>
              </w:rPr>
            </w:pPr>
            <w:r>
              <w:rPr>
                <w:szCs w:val="21"/>
              </w:rPr>
              <w:t>6</w:t>
            </w:r>
          </w:p>
        </w:tc>
        <w:tc>
          <w:tcPr>
            <w:tcW w:w="1418" w:type="dxa"/>
            <w:vAlign w:val="center"/>
          </w:tcPr>
          <w:p>
            <w:pPr>
              <w:spacing w:line="400" w:lineRule="exact"/>
              <w:jc w:val="center"/>
              <w:rPr>
                <w:szCs w:val="21"/>
              </w:rPr>
            </w:pPr>
            <w:r>
              <w:rPr>
                <w:rFonts w:hint="eastAsia"/>
                <w:szCs w:val="21"/>
              </w:rPr>
              <w:t>投标内容</w:t>
            </w:r>
          </w:p>
        </w:tc>
        <w:tc>
          <w:tcPr>
            <w:tcW w:w="5528" w:type="dxa"/>
            <w:vAlign w:val="center"/>
          </w:tcPr>
          <w:p>
            <w:pPr>
              <w:tabs>
                <w:tab w:val="left" w:pos="2520"/>
                <w:tab w:val="left" w:pos="3000"/>
                <w:tab w:val="left" w:pos="3280"/>
                <w:tab w:val="left" w:pos="6120"/>
                <w:tab w:val="left" w:pos="7540"/>
                <w:tab w:val="left" w:pos="8320"/>
              </w:tabs>
              <w:spacing w:line="360" w:lineRule="auto"/>
              <w:ind w:firstLine="420" w:firstLineChars="200"/>
              <w:rPr>
                <w:szCs w:val="21"/>
                <w:lang w:val="zh-TW"/>
              </w:rPr>
            </w:pPr>
            <w:r>
              <w:rPr>
                <w:rFonts w:hint="eastAsia" w:asciiTheme="minorEastAsia" w:hAnsiTheme="minorEastAsia" w:eastAsiaTheme="minorEastAsia" w:cstheme="minorEastAsia"/>
              </w:rPr>
              <w:t>按招标人提供的施工图设计文件所包含全部内容（具体内容以招标人提供的工程量清单为准）的施工及保修。</w:t>
            </w:r>
          </w:p>
        </w:tc>
        <w:tc>
          <w:tcPr>
            <w:tcW w:w="936" w:type="dxa"/>
            <w:vAlign w:val="center"/>
          </w:tcPr>
          <w:p>
            <w:pPr>
              <w:spacing w:line="400" w:lineRule="exact"/>
              <w:rPr>
                <w:szCs w:val="21"/>
              </w:rPr>
            </w:pPr>
          </w:p>
        </w:tc>
      </w:tr>
    </w:tbl>
    <w:p>
      <w:pPr>
        <w:pStyle w:val="3"/>
        <w:spacing w:line="360" w:lineRule="auto"/>
        <w:jc w:val="center"/>
        <w:rPr>
          <w:rFonts w:ascii="宋体" w:hAnsi="宋体" w:eastAsia="宋体"/>
        </w:rPr>
      </w:pPr>
      <w:bookmarkStart w:id="770" w:name="_Toc6246"/>
      <w:bookmarkStart w:id="771" w:name="_Toc11811"/>
      <w:bookmarkStart w:id="772" w:name="_Toc15848"/>
      <w:bookmarkStart w:id="773" w:name="_Toc9466"/>
      <w:bookmarkStart w:id="774" w:name="_Toc152045791"/>
      <w:bookmarkStart w:id="775" w:name="_Toc17054"/>
      <w:bookmarkStart w:id="776" w:name="_Toc27105"/>
      <w:bookmarkStart w:id="777" w:name="_Toc28905"/>
      <w:bookmarkStart w:id="778" w:name="_Toc9832"/>
      <w:bookmarkStart w:id="779" w:name="_Toc247514283"/>
      <w:bookmarkStart w:id="780" w:name="_Toc32379"/>
      <w:bookmarkStart w:id="781" w:name="_Toc24026"/>
      <w:bookmarkStart w:id="782" w:name="_Toc19340"/>
      <w:bookmarkStart w:id="783" w:name="_Toc459914463"/>
      <w:bookmarkStart w:id="784" w:name="_Toc26812"/>
      <w:bookmarkStart w:id="785" w:name="_Toc25627"/>
      <w:bookmarkStart w:id="786" w:name="_Toc152042580"/>
      <w:bookmarkStart w:id="787" w:name="_Toc247527831"/>
      <w:bookmarkStart w:id="788" w:name="_Toc29414"/>
      <w:bookmarkStart w:id="789" w:name="_Toc408"/>
      <w:bookmarkStart w:id="790" w:name="_Toc144974860"/>
      <w:bookmarkStart w:id="791" w:name="_Toc21882"/>
    </w:p>
    <w:p/>
    <w:p>
      <w:pPr>
        <w:widowControl/>
        <w:jc w:val="left"/>
        <w:rPr>
          <w:b/>
          <w:bCs/>
          <w:sz w:val="32"/>
          <w:szCs w:val="32"/>
        </w:rPr>
      </w:pPr>
      <w:r>
        <w:br w:type="page"/>
      </w:r>
    </w:p>
    <w:p>
      <w:pPr>
        <w:pStyle w:val="3"/>
        <w:numPr>
          <w:ilvl w:val="0"/>
          <w:numId w:val="5"/>
        </w:numPr>
        <w:spacing w:line="360" w:lineRule="auto"/>
        <w:jc w:val="center"/>
        <w:rPr>
          <w:rFonts w:ascii="宋体" w:hAnsi="宋体" w:eastAsia="宋体"/>
        </w:rPr>
      </w:pPr>
      <w:bookmarkStart w:id="792" w:name="_Toc11487"/>
      <w:bookmarkStart w:id="793" w:name="_Toc19702"/>
      <w:r>
        <w:rPr>
          <w:rFonts w:hint="eastAsia" w:ascii="宋体" w:hAnsi="宋体" w:eastAsia="宋体"/>
        </w:rPr>
        <w:t>法定代表人身份证明或附有法定代表人身份证明的授权委托书</w:t>
      </w:r>
      <w:bookmarkEnd w:id="792"/>
      <w:bookmarkEnd w:id="793"/>
    </w:p>
    <w:p>
      <w:pPr>
        <w:pStyle w:val="3"/>
        <w:spacing w:line="360" w:lineRule="auto"/>
        <w:jc w:val="center"/>
      </w:pPr>
      <w:bookmarkStart w:id="794" w:name="_Toc8450"/>
      <w:bookmarkStart w:id="795" w:name="_Toc3222"/>
      <w:bookmarkStart w:id="796" w:name="_Toc28356"/>
      <w:bookmarkStart w:id="797" w:name="_Toc28386"/>
      <w:bookmarkStart w:id="798" w:name="_Toc2413"/>
      <w:bookmarkStart w:id="799" w:name="_Toc31836"/>
      <w:bookmarkStart w:id="800" w:name="_Toc17759"/>
      <w:bookmarkStart w:id="801" w:name="_Toc28335"/>
      <w:bookmarkStart w:id="802" w:name="_Toc24502"/>
      <w:bookmarkStart w:id="803" w:name="_Toc4244"/>
      <w:bookmarkStart w:id="804" w:name="_Toc28846"/>
      <w:bookmarkStart w:id="805" w:name="_Toc21523"/>
      <w:r>
        <w:rPr>
          <w:rFonts w:hint="eastAsia"/>
        </w:rPr>
        <w:t>（一）法定代表人身份证明</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4"/>
      <w:bookmarkEnd w:id="795"/>
      <w:bookmarkEnd w:id="796"/>
      <w:bookmarkEnd w:id="797"/>
      <w:bookmarkEnd w:id="798"/>
      <w:bookmarkEnd w:id="799"/>
      <w:bookmarkEnd w:id="800"/>
      <w:bookmarkEnd w:id="801"/>
      <w:bookmarkEnd w:id="802"/>
      <w:bookmarkEnd w:id="803"/>
      <w:bookmarkEnd w:id="804"/>
      <w:bookmarkEnd w:id="805"/>
    </w:p>
    <w:p>
      <w:pPr>
        <w:spacing w:line="360" w:lineRule="auto"/>
        <w:rPr>
          <w:szCs w:val="21"/>
        </w:rPr>
      </w:pPr>
    </w:p>
    <w:p>
      <w:pPr>
        <w:spacing w:line="360" w:lineRule="auto"/>
        <w:rPr>
          <w:szCs w:val="21"/>
        </w:rPr>
      </w:pPr>
    </w:p>
    <w:p>
      <w:pPr>
        <w:spacing w:line="360" w:lineRule="auto"/>
        <w:rPr>
          <w:szCs w:val="21"/>
        </w:rPr>
      </w:pPr>
      <w:r>
        <w:rPr>
          <w:rFonts w:hint="eastAsia"/>
          <w:szCs w:val="21"/>
        </w:rPr>
        <w:t>投标人名称：</w:t>
      </w:r>
      <w:r>
        <w:rPr>
          <w:rFonts w:hint="eastAsia"/>
          <w:szCs w:val="21"/>
          <w:u w:val="single"/>
        </w:rPr>
        <w:t xml:space="preserve">                           </w:t>
      </w:r>
    </w:p>
    <w:p>
      <w:pPr>
        <w:spacing w:line="360" w:lineRule="auto"/>
        <w:rPr>
          <w:szCs w:val="21"/>
          <w:u w:val="single"/>
        </w:rPr>
      </w:pPr>
      <w:r>
        <w:rPr>
          <w:rFonts w:hint="eastAsia"/>
          <w:szCs w:val="21"/>
        </w:rPr>
        <w:t>单位性质：</w:t>
      </w:r>
      <w:r>
        <w:rPr>
          <w:rFonts w:hint="eastAsia"/>
          <w:szCs w:val="21"/>
          <w:u w:val="single"/>
        </w:rPr>
        <w:t xml:space="preserve">                             </w:t>
      </w:r>
    </w:p>
    <w:p>
      <w:pPr>
        <w:spacing w:line="360" w:lineRule="auto"/>
        <w:rPr>
          <w:szCs w:val="21"/>
        </w:rPr>
      </w:pPr>
      <w:r>
        <w:rPr>
          <w:rFonts w:hint="eastAsia"/>
          <w:szCs w:val="21"/>
        </w:rPr>
        <w:t>地址：</w:t>
      </w:r>
      <w:r>
        <w:rPr>
          <w:rFonts w:hint="eastAsia"/>
          <w:szCs w:val="21"/>
          <w:u w:val="single"/>
        </w:rPr>
        <w:t xml:space="preserve">                                 </w:t>
      </w:r>
    </w:p>
    <w:p>
      <w:pPr>
        <w:spacing w:line="360" w:lineRule="auto"/>
        <w:rPr>
          <w:szCs w:val="21"/>
        </w:rPr>
      </w:pPr>
      <w:r>
        <w:rPr>
          <w:rFonts w:hint="eastAsia"/>
          <w:szCs w:val="21"/>
        </w:rPr>
        <w:t>成立时间：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rPr>
          <w:szCs w:val="21"/>
        </w:rPr>
      </w:pPr>
      <w:r>
        <w:rPr>
          <w:rFonts w:hint="eastAsia"/>
          <w:szCs w:val="21"/>
        </w:rPr>
        <w:t>经营期限：</w:t>
      </w:r>
      <w:r>
        <w:rPr>
          <w:rFonts w:hint="eastAsia"/>
          <w:szCs w:val="21"/>
          <w:u w:val="single"/>
        </w:rPr>
        <w:t xml:space="preserve">                                         </w:t>
      </w:r>
    </w:p>
    <w:p>
      <w:pPr>
        <w:spacing w:line="360" w:lineRule="auto"/>
        <w:rPr>
          <w:szCs w:val="21"/>
          <w:u w:val="single"/>
        </w:rPr>
      </w:pPr>
      <w:r>
        <w:rPr>
          <w:rFonts w:hint="eastAsia"/>
          <w:szCs w:val="21"/>
        </w:rPr>
        <w:t>姓名：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rPr>
          <w:szCs w:val="21"/>
        </w:rPr>
      </w:pPr>
      <w:r>
        <w:rPr>
          <w:rFonts w:hint="eastAsia"/>
          <w:szCs w:val="21"/>
        </w:rPr>
        <w:t>系</w:t>
      </w:r>
      <w:r>
        <w:rPr>
          <w:rFonts w:hint="eastAsia"/>
          <w:szCs w:val="21"/>
          <w:u w:val="single"/>
        </w:rPr>
        <w:t xml:space="preserve">                                         </w:t>
      </w:r>
      <w:r>
        <w:rPr>
          <w:rFonts w:hint="eastAsia"/>
          <w:szCs w:val="21"/>
        </w:rPr>
        <w:t xml:space="preserve"> （投标人名称）的法定代表人。</w:t>
      </w:r>
    </w:p>
    <w:p>
      <w:pPr>
        <w:spacing w:line="360" w:lineRule="auto"/>
        <w:ind w:firstLine="420" w:firstLineChars="200"/>
        <w:rPr>
          <w:szCs w:val="21"/>
        </w:rPr>
      </w:pPr>
      <w:r>
        <w:rPr>
          <w:rFonts w:hint="eastAsia"/>
          <w:szCs w:val="21"/>
        </w:rPr>
        <w:t>特此证明。</w:t>
      </w:r>
    </w:p>
    <w:p>
      <w:pPr>
        <w:spacing w:line="360" w:lineRule="auto"/>
        <w:rPr>
          <w:szCs w:val="21"/>
        </w:rPr>
      </w:pPr>
    </w:p>
    <w:p>
      <w:pPr>
        <w:spacing w:line="360" w:lineRule="auto"/>
        <w:rPr>
          <w:szCs w:val="21"/>
        </w:rPr>
      </w:pPr>
      <w:r>
        <w:rPr>
          <w:rFonts w:hint="eastAsia"/>
          <w:szCs w:val="21"/>
        </w:rPr>
        <w:t>附：牵头人法定代表人身份证复印件。</w:t>
      </w:r>
    </w:p>
    <w:p>
      <w:pPr>
        <w:spacing w:line="360" w:lineRule="auto"/>
        <w:rPr>
          <w:szCs w:val="21"/>
        </w:rPr>
      </w:pPr>
    </w:p>
    <w:p>
      <w:pPr>
        <w:spacing w:line="360" w:lineRule="auto"/>
        <w:rPr>
          <w:szCs w:val="21"/>
        </w:rPr>
      </w:pPr>
      <w:r>
        <w:rPr>
          <w:rFonts w:hint="eastAsia"/>
          <w:szCs w:val="21"/>
        </w:rPr>
        <w:t xml:space="preserve">                          投标人：</w:t>
      </w:r>
      <w:r>
        <w:rPr>
          <w:rFonts w:hint="eastAsia"/>
          <w:szCs w:val="21"/>
          <w:u w:val="single"/>
        </w:rPr>
        <w:t xml:space="preserve">                 </w:t>
      </w:r>
      <w:r>
        <w:rPr>
          <w:rFonts w:hint="eastAsia"/>
          <w:szCs w:val="21"/>
        </w:rPr>
        <w:t>（</w:t>
      </w:r>
      <w:r>
        <w:rPr>
          <w:rFonts w:hint="eastAsia"/>
          <w:szCs w:val="21"/>
          <w:lang w:eastAsia="zh-CN"/>
        </w:rPr>
        <w:t>盖单位公章</w:t>
      </w:r>
      <w:r>
        <w:rPr>
          <w:rFonts w:hint="eastAsia"/>
          <w:szCs w:val="21"/>
        </w:rPr>
        <w:t>）</w:t>
      </w: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 xml:space="preserve"> 日           </w:t>
      </w:r>
    </w:p>
    <w:p>
      <w:pPr>
        <w:spacing w:line="360" w:lineRule="auto"/>
        <w:jc w:val="center"/>
        <w:rPr>
          <w:sz w:val="20"/>
          <w:szCs w:val="20"/>
        </w:rPr>
      </w:pPr>
    </w:p>
    <w:p>
      <w:pPr>
        <w:spacing w:line="360" w:lineRule="auto"/>
        <w:rPr>
          <w:szCs w:val="21"/>
        </w:rPr>
      </w:pPr>
    </w:p>
    <w:p>
      <w:pPr>
        <w:spacing w:line="360" w:lineRule="auto"/>
        <w:ind w:firstLine="422" w:firstLineChars="200"/>
        <w:rPr>
          <w:b/>
          <w:bCs/>
          <w:szCs w:val="21"/>
        </w:rPr>
      </w:pPr>
      <w:bookmarkStart w:id="806" w:name="_Toc12610"/>
      <w:bookmarkStart w:id="807" w:name="_Toc152045792"/>
      <w:bookmarkStart w:id="808" w:name="_Toc9612"/>
      <w:bookmarkStart w:id="809" w:name="_Toc5194"/>
      <w:bookmarkStart w:id="810" w:name="_Toc247514284"/>
      <w:bookmarkStart w:id="811" w:name="_Toc459914464"/>
      <w:bookmarkStart w:id="812" w:name="_Toc8638"/>
      <w:bookmarkStart w:id="813" w:name="_Toc2619"/>
      <w:bookmarkStart w:id="814" w:name="_Toc7044"/>
      <w:bookmarkStart w:id="815" w:name="_Toc144974861"/>
      <w:bookmarkStart w:id="816" w:name="_Toc32602"/>
      <w:bookmarkStart w:id="817" w:name="_Toc5991"/>
      <w:bookmarkStart w:id="818" w:name="_Toc247527832"/>
      <w:bookmarkStart w:id="819" w:name="_Toc24806"/>
      <w:bookmarkStart w:id="820" w:name="_Toc152042581"/>
      <w:r>
        <w:rPr>
          <w:rFonts w:hint="eastAsia"/>
          <w:b/>
          <w:bCs/>
          <w:szCs w:val="21"/>
        </w:rPr>
        <w:t>注：1、</w:t>
      </w:r>
      <w:r>
        <w:rPr>
          <w:rFonts w:hint="eastAsia" w:ascii="新宋体" w:hAnsi="新宋体" w:eastAsia="新宋体" w:cs="新宋体"/>
          <w:b/>
          <w:bCs/>
          <w:szCs w:val="21"/>
        </w:rPr>
        <w:t>联合体投标的，本证明书由联合体牵头人出具，投标人和法定代表人的相关信息填写的是联合体牵头人的相关信息，落款中的“投标人”应填写联合体各方的单位全称【格式表示为：</w:t>
      </w:r>
      <w:r>
        <w:rPr>
          <w:rFonts w:hint="eastAsia" w:ascii="新宋体" w:hAnsi="新宋体" w:eastAsia="新宋体" w:cs="新宋体"/>
          <w:b/>
          <w:bCs/>
          <w:szCs w:val="21"/>
          <w:lang w:eastAsia="zh-CN"/>
        </w:rPr>
        <w:t>（</w:t>
      </w:r>
      <w:r>
        <w:rPr>
          <w:rFonts w:hint="eastAsia" w:ascii="新宋体" w:hAnsi="新宋体" w:eastAsia="新宋体" w:cs="新宋体"/>
          <w:b/>
          <w:bCs/>
          <w:szCs w:val="21"/>
        </w:rPr>
        <w:t>主</w:t>
      </w:r>
      <w:r>
        <w:rPr>
          <w:rFonts w:hint="eastAsia" w:ascii="新宋体" w:hAnsi="新宋体" w:eastAsia="新宋体" w:cs="新宋体"/>
          <w:b/>
          <w:bCs/>
          <w:szCs w:val="21"/>
          <w:lang w:eastAsia="zh-CN"/>
        </w:rPr>
        <w:t>）</w:t>
      </w:r>
      <w:r>
        <w:rPr>
          <w:rFonts w:hint="eastAsia" w:ascii="新宋体" w:hAnsi="新宋体" w:eastAsia="新宋体" w:cs="新宋体"/>
          <w:b/>
          <w:bCs/>
          <w:szCs w:val="21"/>
        </w:rPr>
        <w:t>XXXX公司</w:t>
      </w:r>
      <w:r>
        <w:rPr>
          <w:rFonts w:hint="eastAsia" w:ascii="新宋体" w:hAnsi="新宋体" w:eastAsia="新宋体" w:cs="新宋体"/>
          <w:b/>
          <w:bCs/>
          <w:szCs w:val="21"/>
          <w:lang w:eastAsia="zh-CN"/>
        </w:rPr>
        <w:t>（</w:t>
      </w:r>
      <w:r>
        <w:rPr>
          <w:rFonts w:hint="eastAsia" w:ascii="新宋体" w:hAnsi="新宋体" w:eastAsia="新宋体" w:cs="新宋体"/>
          <w:b/>
          <w:bCs/>
          <w:szCs w:val="21"/>
        </w:rPr>
        <w:t>成</w:t>
      </w:r>
      <w:r>
        <w:rPr>
          <w:rFonts w:hint="eastAsia" w:ascii="新宋体" w:hAnsi="新宋体" w:eastAsia="新宋体" w:cs="新宋体"/>
          <w:b/>
          <w:bCs/>
          <w:szCs w:val="21"/>
          <w:lang w:eastAsia="zh-CN"/>
        </w:rPr>
        <w:t>）</w:t>
      </w:r>
      <w:r>
        <w:rPr>
          <w:rFonts w:hint="eastAsia" w:ascii="新宋体" w:hAnsi="新宋体" w:eastAsia="新宋体" w:cs="新宋体"/>
          <w:b/>
          <w:bCs/>
          <w:szCs w:val="21"/>
        </w:rPr>
        <w:t>XXXX公司】，由联合体牵头人签字、盖章即可</w:t>
      </w:r>
      <w:r>
        <w:rPr>
          <w:rFonts w:hint="eastAsia"/>
          <w:b/>
          <w:bCs/>
          <w:szCs w:val="21"/>
        </w:rPr>
        <w:t>。</w:t>
      </w:r>
    </w:p>
    <w:p>
      <w:pPr>
        <w:spacing w:line="360" w:lineRule="auto"/>
        <w:ind w:firstLine="422" w:firstLineChars="200"/>
        <w:rPr>
          <w:b/>
          <w:bCs/>
        </w:rPr>
      </w:pPr>
      <w:r>
        <w:rPr>
          <w:rFonts w:hint="eastAsia"/>
          <w:b/>
          <w:bCs/>
        </w:rPr>
        <w:t>2、若投标文件全部由法定代表人本人签署，则应按此格式提交法定代表人证明书。</w:t>
      </w:r>
    </w:p>
    <w:p>
      <w:pPr>
        <w:pStyle w:val="3"/>
        <w:spacing w:line="360" w:lineRule="auto"/>
        <w:jc w:val="center"/>
        <w:rPr>
          <w:rFonts w:ascii="宋体" w:hAnsi="宋体" w:eastAsia="宋体"/>
          <w:b w:val="0"/>
          <w:bCs w:val="0"/>
        </w:rPr>
      </w:pPr>
      <w:r>
        <w:rPr>
          <w:rFonts w:hint="eastAsia" w:ascii="宋体" w:hAnsi="宋体" w:eastAsia="宋体"/>
          <w:b w:val="0"/>
          <w:bCs w:val="0"/>
          <w:sz w:val="21"/>
          <w:szCs w:val="21"/>
        </w:rPr>
        <w:br w:type="page"/>
      </w:r>
      <w:bookmarkStart w:id="821" w:name="_Toc26678"/>
      <w:bookmarkStart w:id="822" w:name="_Toc30523"/>
      <w:bookmarkStart w:id="823" w:name="_Toc31946"/>
      <w:bookmarkStart w:id="824" w:name="_Toc3652"/>
      <w:bookmarkStart w:id="825" w:name="_Toc15279"/>
      <w:bookmarkStart w:id="826" w:name="_Toc968"/>
      <w:bookmarkStart w:id="827" w:name="_Toc3311"/>
      <w:bookmarkStart w:id="828" w:name="_Toc16312"/>
      <w:bookmarkStart w:id="829" w:name="_Toc28056"/>
      <w:bookmarkStart w:id="830" w:name="_Toc17122"/>
      <w:bookmarkStart w:id="831" w:name="_Toc965"/>
      <w:bookmarkStart w:id="832" w:name="_Toc20126"/>
      <w:bookmarkStart w:id="833" w:name="_Toc6423"/>
      <w:bookmarkStart w:id="834" w:name="_Toc30685"/>
      <w:bookmarkStart w:id="835" w:name="_Toc31821"/>
      <w:bookmarkStart w:id="836" w:name="_Toc16970"/>
      <w:bookmarkStart w:id="837" w:name="_Toc25358"/>
      <w:bookmarkStart w:id="838" w:name="_Toc18897"/>
      <w:bookmarkStart w:id="839" w:name="_Toc10549"/>
      <w:bookmarkStart w:id="840" w:name="_Toc8765"/>
      <w:bookmarkStart w:id="841" w:name="_Toc9897"/>
      <w:r>
        <w:rPr>
          <w:rFonts w:hint="eastAsia" w:ascii="宋体" w:hAnsi="宋体" w:eastAsia="宋体"/>
        </w:rPr>
        <w:t>（二）授权委托书</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topLinePunct/>
        <w:spacing w:line="360" w:lineRule="auto"/>
        <w:ind w:firstLine="420" w:firstLineChars="200"/>
        <w:rPr>
          <w:szCs w:val="21"/>
        </w:rPr>
      </w:pPr>
      <w:r>
        <w:rPr>
          <w:rFonts w:hint="eastAsia"/>
          <w:szCs w:val="21"/>
        </w:rPr>
        <w:t>本人</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（投标人名称）的法定代表人，现委托</w:t>
      </w:r>
      <w:r>
        <w:rPr>
          <w:rFonts w:hint="eastAsia"/>
          <w:szCs w:val="21"/>
          <w:u w:val="single"/>
        </w:rPr>
        <w:t xml:space="preserve">        </w:t>
      </w:r>
      <w:r>
        <w:rPr>
          <w:rFonts w:hint="eastAsia"/>
          <w:szCs w:val="21"/>
        </w:rPr>
        <w:t>（姓名）为我方代理人。代理人根据授权，以我方名义签署、澄清、说明、补正、递交、撤回、修改</w:t>
      </w:r>
      <w:r>
        <w:rPr>
          <w:rFonts w:hint="eastAsia"/>
          <w:szCs w:val="21"/>
          <w:u w:val="single"/>
        </w:rPr>
        <w:t xml:space="preserve">           （项目名称）      </w:t>
      </w:r>
      <w:r>
        <w:rPr>
          <w:rFonts w:hint="eastAsia"/>
          <w:szCs w:val="21"/>
        </w:rPr>
        <w:t>投标文件、签订合同和处理有关事宜，其法律后果由我方承担。</w:t>
      </w:r>
    </w:p>
    <w:p>
      <w:pPr>
        <w:spacing w:line="360" w:lineRule="auto"/>
        <w:rPr>
          <w:szCs w:val="21"/>
        </w:rPr>
      </w:pPr>
      <w:r>
        <w:rPr>
          <w:rFonts w:hint="eastAsia"/>
          <w:szCs w:val="21"/>
        </w:rPr>
        <w:t xml:space="preserve">    委托期限：</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代理人无转委托权。</w:t>
      </w:r>
    </w:p>
    <w:p>
      <w:pPr>
        <w:spacing w:line="360" w:lineRule="auto"/>
        <w:ind w:firstLine="420" w:firstLineChars="200"/>
        <w:rPr>
          <w:szCs w:val="21"/>
        </w:rPr>
      </w:pPr>
    </w:p>
    <w:p>
      <w:pPr>
        <w:spacing w:line="360" w:lineRule="auto"/>
        <w:ind w:firstLine="420" w:firstLineChars="200"/>
        <w:rPr>
          <w:szCs w:val="21"/>
        </w:rPr>
      </w:pPr>
      <w:r>
        <w:rPr>
          <w:rFonts w:hint="eastAsia"/>
          <w:szCs w:val="21"/>
        </w:rPr>
        <w:t>附：</w:t>
      </w:r>
      <w:r>
        <w:rPr>
          <w:spacing w:val="8"/>
          <w:szCs w:val="21"/>
        </w:rPr>
        <w:t>委托代理人身份证正反面复印件</w:t>
      </w:r>
    </w:p>
    <w:p>
      <w:pPr>
        <w:spacing w:line="360" w:lineRule="auto"/>
        <w:rPr>
          <w:szCs w:val="21"/>
        </w:rPr>
      </w:pPr>
    </w:p>
    <w:p>
      <w:pPr>
        <w:spacing w:line="360" w:lineRule="auto"/>
        <w:rPr>
          <w:szCs w:val="21"/>
        </w:rPr>
      </w:pPr>
      <w:r>
        <w:rPr>
          <w:rFonts w:hint="eastAsia"/>
          <w:szCs w:val="21"/>
        </w:rPr>
        <w:t>投标人：</w:t>
      </w:r>
      <w:r>
        <w:rPr>
          <w:rFonts w:hint="eastAsia"/>
          <w:szCs w:val="21"/>
          <w:u w:val="single"/>
        </w:rPr>
        <w:t xml:space="preserve">                                       </w:t>
      </w:r>
      <w:r>
        <w:rPr>
          <w:rFonts w:hint="eastAsia"/>
          <w:szCs w:val="21"/>
        </w:rPr>
        <w:t>（</w:t>
      </w:r>
      <w:r>
        <w:rPr>
          <w:rFonts w:hint="eastAsia"/>
          <w:szCs w:val="21"/>
          <w:lang w:eastAsia="zh-CN"/>
        </w:rPr>
        <w:t>盖单位公章</w:t>
      </w:r>
      <w:r>
        <w:rPr>
          <w:rFonts w:hint="eastAsia"/>
          <w:szCs w:val="21"/>
        </w:rPr>
        <w:t>）</w:t>
      </w:r>
    </w:p>
    <w:p>
      <w:pPr>
        <w:spacing w:line="360" w:lineRule="auto"/>
        <w:rPr>
          <w:szCs w:val="21"/>
        </w:rPr>
      </w:pPr>
    </w:p>
    <w:p>
      <w:pPr>
        <w:spacing w:line="360" w:lineRule="auto"/>
        <w:rPr>
          <w:szCs w:val="21"/>
        </w:rPr>
      </w:pPr>
      <w:r>
        <w:rPr>
          <w:rFonts w:hint="eastAsia"/>
          <w:szCs w:val="21"/>
        </w:rPr>
        <w:t>法定代表人：</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（签字或盖章）</w:t>
      </w:r>
    </w:p>
    <w:p>
      <w:pPr>
        <w:spacing w:line="360" w:lineRule="auto"/>
        <w:rPr>
          <w:szCs w:val="21"/>
        </w:rPr>
      </w:pPr>
    </w:p>
    <w:p>
      <w:pPr>
        <w:spacing w:line="360" w:lineRule="auto"/>
        <w:rPr>
          <w:szCs w:val="21"/>
        </w:rPr>
      </w:pPr>
      <w:r>
        <w:rPr>
          <w:rFonts w:hint="eastAsia"/>
          <w:szCs w:val="21"/>
        </w:rPr>
        <w:t>身份证号码：</w:t>
      </w:r>
      <w:r>
        <w:rPr>
          <w:rFonts w:hint="eastAsia"/>
          <w:szCs w:val="21"/>
          <w:u w:val="single"/>
        </w:rPr>
        <w:t xml:space="preserve">                                    </w:t>
      </w:r>
    </w:p>
    <w:p>
      <w:pPr>
        <w:spacing w:line="360" w:lineRule="auto"/>
        <w:rPr>
          <w:szCs w:val="21"/>
        </w:rPr>
      </w:pPr>
    </w:p>
    <w:p>
      <w:pPr>
        <w:spacing w:line="360" w:lineRule="auto"/>
        <w:rPr>
          <w:szCs w:val="21"/>
        </w:rPr>
      </w:pPr>
      <w:r>
        <w:rPr>
          <w:rFonts w:hint="eastAsia"/>
          <w:szCs w:val="21"/>
        </w:rPr>
        <w:t>委托代理人：</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 xml:space="preserve">（签字或盖章） </w:t>
      </w:r>
    </w:p>
    <w:p>
      <w:pPr>
        <w:spacing w:line="360" w:lineRule="auto"/>
        <w:rPr>
          <w:szCs w:val="21"/>
        </w:rPr>
      </w:pPr>
    </w:p>
    <w:p>
      <w:pPr>
        <w:spacing w:line="360" w:lineRule="auto"/>
        <w:rPr>
          <w:szCs w:val="21"/>
        </w:rPr>
      </w:pPr>
      <w:r>
        <w:rPr>
          <w:rFonts w:hint="eastAsia"/>
          <w:szCs w:val="21"/>
        </w:rPr>
        <w:t>身份证号码：</w:t>
      </w:r>
      <w:r>
        <w:rPr>
          <w:rFonts w:hint="eastAsia"/>
          <w:szCs w:val="21"/>
          <w:u w:val="single"/>
        </w:rPr>
        <w:t xml:space="preserve">                                  </w:t>
      </w:r>
    </w:p>
    <w:p>
      <w:pPr>
        <w:spacing w:line="360" w:lineRule="auto"/>
        <w:rPr>
          <w:szCs w:val="21"/>
        </w:rPr>
      </w:pPr>
    </w:p>
    <w:p>
      <w:pPr>
        <w:spacing w:line="360" w:lineRule="auto"/>
        <w:rPr>
          <w:szCs w:val="21"/>
        </w:rPr>
      </w:pPr>
    </w:p>
    <w:p>
      <w:pPr>
        <w:spacing w:line="360" w:lineRule="auto"/>
        <w:ind w:firstLine="1575" w:firstLineChars="75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rPr>
          <w:sz w:val="24"/>
          <w:szCs w:val="21"/>
        </w:rPr>
      </w:pPr>
    </w:p>
    <w:p>
      <w:pPr>
        <w:spacing w:line="440" w:lineRule="exact"/>
        <w:ind w:firstLine="422" w:firstLineChars="200"/>
        <w:rPr>
          <w:rFonts w:ascii="新宋体" w:hAnsi="新宋体" w:eastAsia="新宋体" w:cs="新宋体"/>
          <w:b/>
          <w:bCs/>
          <w:szCs w:val="16"/>
        </w:rPr>
      </w:pPr>
      <w:r>
        <w:rPr>
          <w:rFonts w:hint="eastAsia"/>
          <w:b/>
          <w:bCs/>
          <w:szCs w:val="16"/>
        </w:rPr>
        <w:t>注：1、</w:t>
      </w:r>
      <w:r>
        <w:rPr>
          <w:rFonts w:hint="eastAsia" w:ascii="新宋体" w:hAnsi="新宋体" w:eastAsia="新宋体" w:cs="新宋体"/>
          <w:b/>
          <w:bCs/>
          <w:szCs w:val="16"/>
        </w:rPr>
        <w:t>联合体投标的，本委托书由联合体牵头人出具，投标人和法定代表人的相关信息填写的是联合体牵头人的相关信息，落款中的“投标人”应填写联合体各方的单位全称【格式表示为：</w:t>
      </w:r>
      <w:r>
        <w:rPr>
          <w:rFonts w:hint="eastAsia" w:ascii="新宋体" w:hAnsi="新宋体" w:eastAsia="新宋体" w:cs="新宋体"/>
          <w:b/>
          <w:bCs/>
          <w:szCs w:val="16"/>
          <w:lang w:eastAsia="zh-CN"/>
        </w:rPr>
        <w:t>（</w:t>
      </w:r>
      <w:r>
        <w:rPr>
          <w:rFonts w:hint="eastAsia" w:ascii="新宋体" w:hAnsi="新宋体" w:eastAsia="新宋体" w:cs="新宋体"/>
          <w:b/>
          <w:bCs/>
          <w:szCs w:val="16"/>
        </w:rPr>
        <w:t>主</w:t>
      </w:r>
      <w:r>
        <w:rPr>
          <w:rFonts w:hint="eastAsia" w:ascii="新宋体" w:hAnsi="新宋体" w:eastAsia="新宋体" w:cs="新宋体"/>
          <w:b/>
          <w:bCs/>
          <w:szCs w:val="16"/>
          <w:lang w:eastAsia="zh-CN"/>
        </w:rPr>
        <w:t>）</w:t>
      </w:r>
      <w:r>
        <w:rPr>
          <w:rFonts w:hint="eastAsia" w:ascii="新宋体" w:hAnsi="新宋体" w:eastAsia="新宋体" w:cs="新宋体"/>
          <w:b/>
          <w:bCs/>
          <w:szCs w:val="16"/>
        </w:rPr>
        <w:t>XXXX公司</w:t>
      </w:r>
      <w:r>
        <w:rPr>
          <w:rFonts w:hint="eastAsia" w:ascii="新宋体" w:hAnsi="新宋体" w:eastAsia="新宋体" w:cs="新宋体"/>
          <w:b/>
          <w:bCs/>
          <w:szCs w:val="16"/>
          <w:lang w:eastAsia="zh-CN"/>
        </w:rPr>
        <w:t>（</w:t>
      </w:r>
      <w:r>
        <w:rPr>
          <w:rFonts w:hint="eastAsia" w:ascii="新宋体" w:hAnsi="新宋体" w:eastAsia="新宋体" w:cs="新宋体"/>
          <w:b/>
          <w:bCs/>
          <w:szCs w:val="16"/>
        </w:rPr>
        <w:t>成</w:t>
      </w:r>
      <w:r>
        <w:rPr>
          <w:rFonts w:hint="eastAsia" w:ascii="新宋体" w:hAnsi="新宋体" w:eastAsia="新宋体" w:cs="新宋体"/>
          <w:b/>
          <w:bCs/>
          <w:szCs w:val="16"/>
          <w:lang w:eastAsia="zh-CN"/>
        </w:rPr>
        <w:t>）</w:t>
      </w:r>
      <w:r>
        <w:rPr>
          <w:rFonts w:hint="eastAsia" w:ascii="新宋体" w:hAnsi="新宋体" w:eastAsia="新宋体" w:cs="新宋体"/>
          <w:b/>
          <w:bCs/>
          <w:szCs w:val="16"/>
        </w:rPr>
        <w:t>XXXX公司】，由联合体牵头人签字、盖章即可。</w:t>
      </w:r>
    </w:p>
    <w:p>
      <w:pPr>
        <w:spacing w:line="440" w:lineRule="exact"/>
        <w:ind w:firstLine="422" w:firstLineChars="200"/>
        <w:rPr>
          <w:rFonts w:ascii="新宋体" w:hAnsi="新宋体" w:eastAsia="新宋体" w:cs="新宋体"/>
          <w:b/>
          <w:bCs/>
          <w:szCs w:val="16"/>
        </w:rPr>
      </w:pPr>
      <w:r>
        <w:rPr>
          <w:rFonts w:hint="eastAsia" w:ascii="新宋体" w:hAnsi="新宋体" w:eastAsia="新宋体" w:cs="新宋体"/>
          <w:b/>
          <w:bCs/>
          <w:szCs w:val="16"/>
        </w:rPr>
        <w:t>2、若投标文件由委托代理人签署，除提交法定代表人证明书外，则投标人应按此格式提交授权委托书，并由法定代表人和委托代理人</w:t>
      </w:r>
      <w:r>
        <w:rPr>
          <w:rFonts w:hint="eastAsia"/>
          <w:b/>
          <w:bCs/>
          <w:szCs w:val="21"/>
        </w:rPr>
        <w:t xml:space="preserve">（签字或盖章） </w:t>
      </w:r>
      <w:r>
        <w:rPr>
          <w:rFonts w:hint="eastAsia" w:ascii="新宋体" w:hAnsi="新宋体" w:eastAsia="新宋体" w:cs="新宋体"/>
          <w:b/>
          <w:bCs/>
          <w:szCs w:val="16"/>
        </w:rPr>
        <w:t>。</w:t>
      </w:r>
    </w:p>
    <w:p>
      <w:pPr>
        <w:pStyle w:val="3"/>
        <w:spacing w:line="360" w:lineRule="auto"/>
        <w:jc w:val="center"/>
        <w:rPr>
          <w:rFonts w:ascii="宋体" w:hAnsi="宋体" w:eastAsia="宋体"/>
        </w:rPr>
      </w:pPr>
      <w:r>
        <w:rPr>
          <w:rFonts w:hint="eastAsia" w:ascii="宋体" w:hAnsi="宋体" w:eastAsia="宋体"/>
          <w:sz w:val="20"/>
          <w:szCs w:val="20"/>
        </w:rPr>
        <w:br w:type="page"/>
      </w:r>
      <w:bookmarkStart w:id="842" w:name="_Toc2770"/>
      <w:bookmarkStart w:id="843" w:name="_Toc12795"/>
      <w:bookmarkStart w:id="844" w:name="_Toc7148"/>
      <w:bookmarkStart w:id="845" w:name="_Toc17268"/>
      <w:bookmarkStart w:id="846" w:name="_Toc17044"/>
      <w:bookmarkStart w:id="847" w:name="_Toc28584"/>
      <w:bookmarkStart w:id="848" w:name="_Toc8605"/>
      <w:bookmarkStart w:id="849" w:name="_Toc152045793"/>
      <w:bookmarkStart w:id="850" w:name="_Toc13195"/>
      <w:bookmarkStart w:id="851" w:name="_Toc247514285"/>
      <w:bookmarkStart w:id="852" w:name="_Toc30848"/>
      <w:bookmarkStart w:id="853" w:name="_Toc24909"/>
      <w:bookmarkStart w:id="854" w:name="_Toc30552"/>
      <w:bookmarkStart w:id="855" w:name="_Toc15603"/>
      <w:bookmarkStart w:id="856" w:name="_Toc16035"/>
      <w:bookmarkStart w:id="857" w:name="_Toc21169"/>
      <w:bookmarkStart w:id="858" w:name="_Toc13015"/>
      <w:bookmarkStart w:id="859" w:name="_Toc152042582"/>
      <w:bookmarkStart w:id="860" w:name="_Toc32596"/>
      <w:bookmarkStart w:id="861" w:name="_Toc459914465"/>
      <w:bookmarkStart w:id="862" w:name="_Toc8551"/>
      <w:bookmarkStart w:id="863" w:name="_Toc7121"/>
      <w:bookmarkStart w:id="864" w:name="_Toc22473"/>
      <w:bookmarkStart w:id="865" w:name="_Toc23495"/>
      <w:bookmarkStart w:id="866" w:name="_Toc11861"/>
      <w:bookmarkStart w:id="867" w:name="_Toc499"/>
      <w:bookmarkStart w:id="868" w:name="_Toc22387"/>
      <w:bookmarkStart w:id="869" w:name="_Toc25262"/>
      <w:bookmarkStart w:id="870" w:name="_Toc247527833"/>
      <w:bookmarkStart w:id="871" w:name="_Toc300835215"/>
      <w:bookmarkStart w:id="872" w:name="_Toc4090"/>
      <w:bookmarkStart w:id="873" w:name="_Toc18861"/>
      <w:bookmarkStart w:id="874" w:name="_Toc12849"/>
      <w:bookmarkStart w:id="875" w:name="_Toc29228"/>
      <w:bookmarkStart w:id="876" w:name="_Toc296602998"/>
      <w:r>
        <w:rPr>
          <w:rFonts w:hint="eastAsia" w:ascii="宋体" w:hAnsi="宋体" w:eastAsia="宋体"/>
        </w:rPr>
        <w:t>三、联合体协议书</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widowControl/>
        <w:spacing w:line="360" w:lineRule="auto"/>
        <w:ind w:firstLine="500" w:firstLineChars="200"/>
        <w:jc w:val="left"/>
        <w:rPr>
          <w:spacing w:val="20"/>
          <w:kern w:val="0"/>
          <w:szCs w:val="21"/>
        </w:rPr>
      </w:pPr>
      <w:r>
        <w:rPr>
          <w:rFonts w:hint="eastAsia"/>
          <w:spacing w:val="20"/>
          <w:kern w:val="0"/>
          <w:szCs w:val="21"/>
          <w:u w:val="single"/>
          <w:lang w:eastAsia="zh-CN"/>
        </w:rPr>
        <w:t>（</w:t>
      </w:r>
      <w:r>
        <w:rPr>
          <w:rFonts w:hint="eastAsia"/>
          <w:spacing w:val="20"/>
          <w:kern w:val="0"/>
          <w:szCs w:val="21"/>
          <w:u w:val="single"/>
        </w:rPr>
        <w:t>所有成员单位名称</w:t>
      </w:r>
      <w:r>
        <w:rPr>
          <w:rFonts w:hint="eastAsia"/>
          <w:spacing w:val="20"/>
          <w:kern w:val="0"/>
          <w:szCs w:val="21"/>
          <w:u w:val="single"/>
          <w:lang w:eastAsia="zh-CN"/>
        </w:rPr>
        <w:t>）</w:t>
      </w:r>
      <w:r>
        <w:rPr>
          <w:rFonts w:hint="eastAsia"/>
          <w:spacing w:val="20"/>
          <w:kern w:val="0"/>
          <w:szCs w:val="21"/>
        </w:rPr>
        <w:t>自愿组成联合体，共同参加</w:t>
      </w:r>
      <w:r>
        <w:rPr>
          <w:rFonts w:hint="eastAsia"/>
          <w:b/>
          <w:bCs/>
          <w:szCs w:val="21"/>
          <w:u w:val="single"/>
        </w:rPr>
        <w:t>连平县工业园三期基础设施建设工程项目（石龙-1#厂房、园区内部市政道路及排污主管工程）</w:t>
      </w:r>
      <w:r>
        <w:rPr>
          <w:rFonts w:hint="eastAsia"/>
          <w:szCs w:val="21"/>
          <w:u w:val="single"/>
        </w:rPr>
        <w:t xml:space="preserve">    </w:t>
      </w:r>
      <w:r>
        <w:rPr>
          <w:rFonts w:hint="eastAsia"/>
          <w:spacing w:val="20"/>
          <w:kern w:val="0"/>
          <w:szCs w:val="21"/>
        </w:rPr>
        <w:t>投标。现就联合体投标事宜订立如下协议。</w:t>
      </w:r>
    </w:p>
    <w:p>
      <w:pPr>
        <w:widowControl/>
        <w:numPr>
          <w:ilvl w:val="0"/>
          <w:numId w:val="6"/>
        </w:numPr>
        <w:spacing w:line="360" w:lineRule="auto"/>
        <w:ind w:firstLine="500" w:firstLineChars="200"/>
        <w:jc w:val="left"/>
        <w:rPr>
          <w:spacing w:val="20"/>
          <w:kern w:val="0"/>
          <w:szCs w:val="21"/>
        </w:rPr>
      </w:pPr>
      <w:r>
        <w:rPr>
          <w:rFonts w:hint="eastAsia"/>
          <w:spacing w:val="20"/>
          <w:kern w:val="0"/>
          <w:szCs w:val="21"/>
          <w:u w:val="single"/>
          <w:lang w:eastAsia="zh-CN"/>
        </w:rPr>
        <w:t>（</w:t>
      </w:r>
      <w:r>
        <w:rPr>
          <w:rFonts w:hint="eastAsia"/>
          <w:spacing w:val="20"/>
          <w:kern w:val="0"/>
          <w:szCs w:val="21"/>
          <w:u w:val="single"/>
        </w:rPr>
        <w:t>某成员单位名称</w:t>
      </w:r>
      <w:r>
        <w:rPr>
          <w:rFonts w:hint="eastAsia"/>
          <w:spacing w:val="20"/>
          <w:kern w:val="0"/>
          <w:szCs w:val="21"/>
          <w:u w:val="single"/>
          <w:lang w:eastAsia="zh-CN"/>
        </w:rPr>
        <w:t>）</w:t>
      </w:r>
      <w:r>
        <w:rPr>
          <w:rFonts w:hint="eastAsia"/>
          <w:spacing w:val="20"/>
          <w:kern w:val="0"/>
          <w:szCs w:val="21"/>
          <w:u w:val="single"/>
        </w:rPr>
        <w:t xml:space="preserve">  </w:t>
      </w:r>
      <w:r>
        <w:rPr>
          <w:rFonts w:hint="eastAsia"/>
          <w:spacing w:val="20"/>
          <w:kern w:val="0"/>
          <w:szCs w:val="21"/>
        </w:rPr>
        <w:t>为联合体牵头人。</w:t>
      </w:r>
    </w:p>
    <w:p>
      <w:pPr>
        <w:widowControl/>
        <w:spacing w:line="360" w:lineRule="auto"/>
        <w:ind w:firstLine="500" w:firstLineChars="200"/>
        <w:jc w:val="left"/>
        <w:rPr>
          <w:spacing w:val="20"/>
          <w:kern w:val="0"/>
          <w:szCs w:val="21"/>
        </w:rPr>
      </w:pPr>
      <w:r>
        <w:rPr>
          <w:rFonts w:hint="eastAsia"/>
          <w:spacing w:val="20"/>
          <w:kern w:val="0"/>
          <w:szCs w:val="21"/>
        </w:rPr>
        <w:t>2、联合体牵头人合法代表联合体各成员负责本项目投标文件编制和合同谈判活动，并代表联合体提交和接收相关的资料、信息及指示，并处理与之有关的一切事务，负责合同实施阶段的主办、组织和协调工作。</w:t>
      </w:r>
    </w:p>
    <w:p>
      <w:pPr>
        <w:widowControl/>
        <w:spacing w:line="360" w:lineRule="auto"/>
        <w:ind w:firstLine="500" w:firstLineChars="200"/>
        <w:jc w:val="left"/>
        <w:rPr>
          <w:spacing w:val="20"/>
          <w:kern w:val="0"/>
          <w:szCs w:val="21"/>
        </w:rPr>
      </w:pPr>
      <w:r>
        <w:rPr>
          <w:rFonts w:hint="eastAsia"/>
          <w:spacing w:val="20"/>
          <w:kern w:val="0"/>
          <w:szCs w:val="21"/>
        </w:rPr>
        <w:t>3、联合体将严格按照招标文件的各项要求，递交投标文件，履行合同，并对外承担连带责任。</w:t>
      </w:r>
    </w:p>
    <w:p>
      <w:pPr>
        <w:widowControl/>
        <w:spacing w:line="360" w:lineRule="auto"/>
        <w:ind w:firstLine="500" w:firstLineChars="200"/>
        <w:jc w:val="left"/>
        <w:rPr>
          <w:spacing w:val="20"/>
          <w:kern w:val="0"/>
          <w:szCs w:val="21"/>
        </w:rPr>
      </w:pPr>
      <w:r>
        <w:rPr>
          <w:rFonts w:hint="eastAsia"/>
          <w:spacing w:val="20"/>
          <w:kern w:val="0"/>
          <w:szCs w:val="21"/>
        </w:rPr>
        <w:t>4、联合体各成员单位内部的职责分工如下：</w:t>
      </w:r>
      <w:r>
        <w:rPr>
          <w:rFonts w:hint="eastAsia"/>
          <w:spacing w:val="20"/>
          <w:kern w:val="0"/>
          <w:szCs w:val="21"/>
          <w:u w:val="single"/>
        </w:rPr>
        <w:t xml:space="preserve">                 </w:t>
      </w:r>
      <w:r>
        <w:rPr>
          <w:rFonts w:hint="eastAsia"/>
          <w:spacing w:val="20"/>
          <w:kern w:val="0"/>
          <w:szCs w:val="21"/>
        </w:rPr>
        <w:t>。</w:t>
      </w:r>
    </w:p>
    <w:p>
      <w:pPr>
        <w:widowControl/>
        <w:spacing w:line="360" w:lineRule="auto"/>
        <w:ind w:firstLine="500" w:firstLineChars="200"/>
        <w:jc w:val="left"/>
        <w:rPr>
          <w:spacing w:val="20"/>
          <w:kern w:val="0"/>
          <w:szCs w:val="21"/>
        </w:rPr>
      </w:pPr>
      <w:r>
        <w:rPr>
          <w:rFonts w:hint="eastAsia"/>
          <w:spacing w:val="20"/>
          <w:kern w:val="0"/>
          <w:szCs w:val="21"/>
        </w:rPr>
        <w:t xml:space="preserve">5、本协议书自签署之日起生效，合同履行完毕后自动失效。 </w:t>
      </w:r>
    </w:p>
    <w:p>
      <w:pPr>
        <w:widowControl/>
        <w:spacing w:line="360" w:lineRule="auto"/>
        <w:ind w:firstLine="500" w:firstLineChars="200"/>
        <w:jc w:val="left"/>
        <w:rPr>
          <w:spacing w:val="20"/>
          <w:kern w:val="0"/>
          <w:szCs w:val="21"/>
        </w:rPr>
      </w:pPr>
      <w:r>
        <w:rPr>
          <w:rFonts w:hint="eastAsia"/>
          <w:spacing w:val="20"/>
          <w:kern w:val="0"/>
          <w:szCs w:val="21"/>
        </w:rPr>
        <w:t>6、本协议书一式</w:t>
      </w:r>
      <w:r>
        <w:rPr>
          <w:rFonts w:hint="eastAsia"/>
          <w:spacing w:val="20"/>
          <w:kern w:val="0"/>
          <w:szCs w:val="21"/>
          <w:u w:val="single"/>
        </w:rPr>
        <w:t xml:space="preserve">     </w:t>
      </w:r>
      <w:r>
        <w:rPr>
          <w:rFonts w:hint="eastAsia"/>
          <w:spacing w:val="20"/>
          <w:kern w:val="0"/>
          <w:szCs w:val="21"/>
        </w:rPr>
        <w:t>份，联合体成员和招标人各执一份。</w:t>
      </w:r>
    </w:p>
    <w:p>
      <w:pPr>
        <w:widowControl/>
        <w:spacing w:line="360" w:lineRule="auto"/>
        <w:ind w:firstLine="500" w:firstLineChars="200"/>
        <w:jc w:val="left"/>
        <w:rPr>
          <w:spacing w:val="20"/>
          <w:kern w:val="0"/>
          <w:szCs w:val="21"/>
        </w:rPr>
      </w:pPr>
    </w:p>
    <w:p>
      <w:pPr>
        <w:pStyle w:val="31"/>
      </w:pPr>
    </w:p>
    <w:p>
      <w:pPr>
        <w:widowControl/>
        <w:spacing w:line="360" w:lineRule="auto"/>
        <w:ind w:firstLine="500" w:firstLineChars="200"/>
        <w:jc w:val="left"/>
        <w:rPr>
          <w:spacing w:val="20"/>
          <w:kern w:val="0"/>
          <w:szCs w:val="21"/>
        </w:rPr>
      </w:pPr>
      <w:r>
        <w:rPr>
          <w:rFonts w:hint="eastAsia"/>
          <w:spacing w:val="20"/>
          <w:kern w:val="0"/>
          <w:szCs w:val="21"/>
        </w:rPr>
        <w:t>牵头人名称：</w:t>
      </w:r>
      <w:r>
        <w:rPr>
          <w:rFonts w:hint="eastAsia"/>
          <w:spacing w:val="20"/>
          <w:kern w:val="0"/>
          <w:szCs w:val="21"/>
          <w:u w:val="single"/>
        </w:rPr>
        <w:t xml:space="preserve">                                 </w:t>
      </w:r>
      <w:r>
        <w:rPr>
          <w:rFonts w:hint="eastAsia"/>
          <w:spacing w:val="20"/>
          <w:kern w:val="0"/>
          <w:szCs w:val="21"/>
          <w:u w:val="none"/>
          <w:lang w:eastAsia="zh-CN"/>
        </w:rPr>
        <w:t>（</w:t>
      </w:r>
      <w:r>
        <w:rPr>
          <w:rFonts w:hint="eastAsia"/>
          <w:spacing w:val="20"/>
          <w:kern w:val="0"/>
          <w:szCs w:val="21"/>
        </w:rPr>
        <w:t>盖单位公章</w:t>
      </w:r>
      <w:r>
        <w:rPr>
          <w:rFonts w:hint="eastAsia"/>
          <w:spacing w:val="20"/>
          <w:kern w:val="0"/>
          <w:szCs w:val="21"/>
          <w:lang w:eastAsia="zh-CN"/>
        </w:rPr>
        <w:t>）</w:t>
      </w:r>
    </w:p>
    <w:p>
      <w:pPr>
        <w:widowControl/>
        <w:spacing w:line="360" w:lineRule="auto"/>
        <w:ind w:firstLine="500" w:firstLineChars="200"/>
        <w:jc w:val="left"/>
        <w:rPr>
          <w:spacing w:val="20"/>
          <w:kern w:val="0"/>
          <w:szCs w:val="21"/>
        </w:rPr>
      </w:pPr>
      <w:r>
        <w:rPr>
          <w:rFonts w:hint="eastAsia"/>
          <w:spacing w:val="20"/>
          <w:kern w:val="0"/>
          <w:szCs w:val="21"/>
        </w:rPr>
        <w:t>法定代表人：</w:t>
      </w:r>
      <w:r>
        <w:rPr>
          <w:rFonts w:hint="eastAsia"/>
          <w:spacing w:val="20"/>
          <w:kern w:val="0"/>
          <w:szCs w:val="21"/>
          <w:u w:val="single"/>
        </w:rPr>
        <w:t xml:space="preserve">                                 </w:t>
      </w:r>
      <w:r>
        <w:rPr>
          <w:rFonts w:hint="eastAsia"/>
          <w:spacing w:val="20"/>
          <w:kern w:val="0"/>
          <w:szCs w:val="21"/>
          <w:u w:val="none"/>
          <w:lang w:eastAsia="zh-CN"/>
        </w:rPr>
        <w:t>（</w:t>
      </w:r>
      <w:r>
        <w:rPr>
          <w:rFonts w:hint="eastAsia"/>
          <w:spacing w:val="20"/>
          <w:kern w:val="0"/>
          <w:szCs w:val="21"/>
        </w:rPr>
        <w:t>签字</w:t>
      </w:r>
      <w:r>
        <w:rPr>
          <w:rFonts w:hint="eastAsia"/>
          <w:szCs w:val="21"/>
        </w:rPr>
        <w:t>或盖章</w:t>
      </w:r>
      <w:r>
        <w:rPr>
          <w:rFonts w:hint="eastAsia"/>
          <w:szCs w:val="21"/>
          <w:lang w:eastAsia="zh-CN"/>
        </w:rPr>
        <w:t>）</w:t>
      </w:r>
    </w:p>
    <w:p>
      <w:pPr>
        <w:widowControl/>
        <w:spacing w:line="360" w:lineRule="auto"/>
        <w:ind w:firstLine="500" w:firstLineChars="200"/>
        <w:jc w:val="left"/>
        <w:rPr>
          <w:spacing w:val="20"/>
          <w:kern w:val="0"/>
          <w:szCs w:val="21"/>
        </w:rPr>
      </w:pPr>
    </w:p>
    <w:p>
      <w:pPr>
        <w:widowControl/>
        <w:spacing w:line="360" w:lineRule="auto"/>
        <w:ind w:firstLine="500" w:firstLineChars="200"/>
        <w:jc w:val="left"/>
        <w:rPr>
          <w:spacing w:val="20"/>
          <w:kern w:val="0"/>
          <w:szCs w:val="21"/>
        </w:rPr>
      </w:pPr>
      <w:r>
        <w:rPr>
          <w:rFonts w:hint="eastAsia"/>
          <w:spacing w:val="20"/>
          <w:kern w:val="0"/>
          <w:szCs w:val="21"/>
        </w:rPr>
        <w:t>成员一名称：</w:t>
      </w:r>
      <w:r>
        <w:rPr>
          <w:rFonts w:hint="eastAsia"/>
          <w:spacing w:val="20"/>
          <w:kern w:val="0"/>
          <w:szCs w:val="21"/>
          <w:u w:val="single"/>
        </w:rPr>
        <w:t xml:space="preserve">                                 </w:t>
      </w:r>
      <w:r>
        <w:rPr>
          <w:rFonts w:hint="eastAsia"/>
          <w:spacing w:val="20"/>
          <w:kern w:val="0"/>
          <w:szCs w:val="21"/>
          <w:u w:val="none"/>
          <w:lang w:eastAsia="zh-CN"/>
        </w:rPr>
        <w:t>（</w:t>
      </w:r>
      <w:r>
        <w:rPr>
          <w:rFonts w:hint="eastAsia"/>
          <w:spacing w:val="20"/>
          <w:kern w:val="0"/>
          <w:szCs w:val="21"/>
        </w:rPr>
        <w:t>盖单位公章</w:t>
      </w:r>
      <w:r>
        <w:rPr>
          <w:rFonts w:hint="eastAsia"/>
          <w:spacing w:val="20"/>
          <w:kern w:val="0"/>
          <w:szCs w:val="21"/>
          <w:lang w:eastAsia="zh-CN"/>
        </w:rPr>
        <w:t>）</w:t>
      </w:r>
    </w:p>
    <w:p>
      <w:pPr>
        <w:widowControl/>
        <w:spacing w:line="360" w:lineRule="auto"/>
        <w:ind w:firstLine="500" w:firstLineChars="200"/>
        <w:jc w:val="left"/>
        <w:rPr>
          <w:spacing w:val="20"/>
          <w:kern w:val="0"/>
          <w:szCs w:val="21"/>
        </w:rPr>
      </w:pPr>
      <w:r>
        <w:rPr>
          <w:rFonts w:hint="eastAsia"/>
          <w:spacing w:val="20"/>
          <w:kern w:val="0"/>
          <w:szCs w:val="21"/>
        </w:rPr>
        <w:t>法定代表人：</w:t>
      </w:r>
      <w:r>
        <w:rPr>
          <w:rFonts w:hint="eastAsia"/>
          <w:spacing w:val="20"/>
          <w:kern w:val="0"/>
          <w:szCs w:val="21"/>
          <w:u w:val="single"/>
        </w:rPr>
        <w:t xml:space="preserve">                                 </w:t>
      </w:r>
      <w:r>
        <w:rPr>
          <w:rFonts w:hint="eastAsia"/>
          <w:spacing w:val="20"/>
          <w:kern w:val="0"/>
          <w:szCs w:val="21"/>
          <w:u w:val="none"/>
          <w:lang w:eastAsia="zh-CN"/>
        </w:rPr>
        <w:t>（</w:t>
      </w:r>
      <w:r>
        <w:rPr>
          <w:rFonts w:hint="eastAsia"/>
          <w:spacing w:val="20"/>
          <w:kern w:val="0"/>
          <w:szCs w:val="21"/>
        </w:rPr>
        <w:t>签字</w:t>
      </w:r>
      <w:r>
        <w:rPr>
          <w:rFonts w:hint="eastAsia"/>
          <w:szCs w:val="21"/>
        </w:rPr>
        <w:t>或盖章</w:t>
      </w:r>
      <w:r>
        <w:rPr>
          <w:rFonts w:hint="eastAsia"/>
          <w:szCs w:val="21"/>
          <w:lang w:eastAsia="zh-CN"/>
        </w:rPr>
        <w:t>）</w:t>
      </w:r>
    </w:p>
    <w:p>
      <w:pPr>
        <w:widowControl/>
        <w:spacing w:line="360" w:lineRule="auto"/>
        <w:ind w:firstLine="500" w:firstLineChars="200"/>
        <w:jc w:val="left"/>
        <w:rPr>
          <w:spacing w:val="20"/>
          <w:kern w:val="0"/>
          <w:szCs w:val="21"/>
        </w:rPr>
      </w:pPr>
    </w:p>
    <w:p>
      <w:pPr>
        <w:widowControl/>
        <w:spacing w:line="360" w:lineRule="auto"/>
        <w:ind w:firstLine="500" w:firstLineChars="200"/>
        <w:jc w:val="left"/>
        <w:rPr>
          <w:spacing w:val="20"/>
          <w:kern w:val="0"/>
          <w:szCs w:val="21"/>
        </w:rPr>
      </w:pPr>
    </w:p>
    <w:p>
      <w:pPr>
        <w:spacing w:line="360" w:lineRule="auto"/>
        <w:ind w:firstLine="4993" w:firstLineChars="2378"/>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360" w:lineRule="auto"/>
        <w:ind w:firstLine="3538" w:firstLineChars="1678"/>
        <w:rPr>
          <w:b/>
          <w:bCs/>
        </w:rPr>
      </w:pPr>
    </w:p>
    <w:p>
      <w:bookmarkStart w:id="877" w:name="_Toc8979"/>
      <w:bookmarkStart w:id="878" w:name="_Toc459914466"/>
      <w:bookmarkStart w:id="879" w:name="_Toc2934"/>
      <w:bookmarkStart w:id="880" w:name="_Toc10647"/>
      <w:bookmarkStart w:id="881" w:name="_Toc14691"/>
      <w:bookmarkStart w:id="882" w:name="_Toc14049"/>
      <w:bookmarkStart w:id="883" w:name="_Toc5618"/>
      <w:bookmarkStart w:id="884" w:name="_Toc26676"/>
      <w:bookmarkStart w:id="885" w:name="_Toc20686"/>
      <w:bookmarkStart w:id="886" w:name="_Toc6452"/>
      <w:bookmarkStart w:id="887" w:name="_Toc24022"/>
      <w:bookmarkStart w:id="888" w:name="_Toc29552"/>
      <w:bookmarkStart w:id="889" w:name="_Toc27077"/>
      <w:bookmarkStart w:id="890" w:name="_Toc8785"/>
      <w:bookmarkStart w:id="891" w:name="_Toc30539"/>
      <w:bookmarkStart w:id="892" w:name="_Toc31642"/>
      <w:bookmarkStart w:id="893" w:name="_Toc15"/>
      <w:r>
        <w:rPr>
          <w:rFonts w:hint="eastAsia"/>
        </w:rPr>
        <w:br w:type="page"/>
      </w:r>
    </w:p>
    <w:p>
      <w:pPr>
        <w:pStyle w:val="3"/>
        <w:spacing w:line="360" w:lineRule="auto"/>
        <w:jc w:val="center"/>
        <w:rPr>
          <w:rFonts w:ascii="宋体" w:hAnsi="宋体" w:eastAsia="宋体"/>
        </w:rPr>
      </w:pPr>
      <w:bookmarkStart w:id="894" w:name="_Toc12138"/>
      <w:bookmarkStart w:id="895" w:name="_Toc14363"/>
      <w:bookmarkStart w:id="896" w:name="_Toc17532"/>
      <w:bookmarkStart w:id="897" w:name="_Toc1939"/>
      <w:bookmarkStart w:id="898" w:name="_Toc31309"/>
      <w:bookmarkStart w:id="899" w:name="_Toc27522"/>
      <w:bookmarkStart w:id="900" w:name="_Toc15386"/>
      <w:bookmarkStart w:id="901" w:name="_Toc24946"/>
      <w:bookmarkStart w:id="902" w:name="_Toc15618"/>
      <w:bookmarkStart w:id="903" w:name="_Toc1937"/>
      <w:bookmarkStart w:id="904" w:name="_Toc28534"/>
      <w:bookmarkStart w:id="905" w:name="_Toc19354"/>
      <w:r>
        <w:rPr>
          <w:rFonts w:hint="eastAsia" w:ascii="宋体" w:hAnsi="宋体" w:eastAsia="宋体"/>
        </w:rPr>
        <w:t>四、投标保证金</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pPr>
        <w:spacing w:line="360" w:lineRule="auto"/>
        <w:rPr>
          <w:szCs w:val="21"/>
          <w:u w:val="single"/>
        </w:rPr>
      </w:pPr>
    </w:p>
    <w:p>
      <w:pPr>
        <w:spacing w:line="360" w:lineRule="auto"/>
        <w:rPr>
          <w:szCs w:val="21"/>
        </w:rPr>
      </w:pPr>
      <w:r>
        <w:rPr>
          <w:rFonts w:hint="eastAsia"/>
          <w:szCs w:val="21"/>
          <w:u w:val="single"/>
        </w:rPr>
        <w:t xml:space="preserve">         </w:t>
      </w:r>
      <w:r>
        <w:rPr>
          <w:rFonts w:hint="eastAsia"/>
          <w:szCs w:val="21"/>
          <w:u w:val="single"/>
        </w:rPr>
        <w:tab/>
      </w:r>
      <w:r>
        <w:rPr>
          <w:rFonts w:hint="eastAsia"/>
          <w:szCs w:val="21"/>
          <w:u w:val="single"/>
        </w:rPr>
        <w:tab/>
      </w:r>
      <w:r>
        <w:rPr>
          <w:rFonts w:hint="eastAsia"/>
          <w:szCs w:val="21"/>
          <w:u w:val="single"/>
        </w:rPr>
        <w:t xml:space="preserve">  </w:t>
      </w:r>
      <w:r>
        <w:rPr>
          <w:rFonts w:hint="eastAsia"/>
          <w:szCs w:val="21"/>
        </w:rPr>
        <w:t>（招标人名称）：</w:t>
      </w:r>
    </w:p>
    <w:p>
      <w:pPr>
        <w:spacing w:line="360" w:lineRule="auto"/>
        <w:rPr>
          <w:szCs w:val="21"/>
        </w:rPr>
      </w:pPr>
    </w:p>
    <w:p>
      <w:pPr>
        <w:spacing w:line="360" w:lineRule="auto"/>
        <w:ind w:firstLine="420" w:firstLineChars="200"/>
        <w:rPr>
          <w:szCs w:val="21"/>
        </w:rPr>
      </w:pPr>
      <w:r>
        <w:rPr>
          <w:rFonts w:hint="eastAsia"/>
          <w:szCs w:val="21"/>
        </w:rPr>
        <w:t>我方于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日参加</w:t>
      </w:r>
      <w:r>
        <w:rPr>
          <w:rFonts w:hint="eastAsia"/>
          <w:szCs w:val="21"/>
          <w:u w:val="single"/>
        </w:rPr>
        <w:t xml:space="preserve">           （项目名称）        </w:t>
      </w:r>
      <w:r>
        <w:rPr>
          <w:rFonts w:hint="eastAsia"/>
          <w:szCs w:val="21"/>
        </w:rPr>
        <w:t>的投标，现保证：我方在规定的投标有效期内撤销或修改投标文件的，或者在收到中标通知书后无正当理由拒签合同或拒交规定履约担保的，投标保证金不予退还。</w:t>
      </w:r>
    </w:p>
    <w:p>
      <w:pPr>
        <w:spacing w:line="360" w:lineRule="auto"/>
        <w:ind w:firstLine="2158" w:firstLineChars="1028"/>
        <w:rPr>
          <w:szCs w:val="21"/>
        </w:rPr>
      </w:pPr>
    </w:p>
    <w:p>
      <w:pPr>
        <w:spacing w:line="360" w:lineRule="auto"/>
        <w:ind w:firstLine="1470" w:firstLineChars="700"/>
        <w:rPr>
          <w:szCs w:val="21"/>
        </w:rPr>
      </w:pPr>
      <w:r>
        <w:rPr>
          <w:rFonts w:hint="eastAsia"/>
          <w:szCs w:val="21"/>
        </w:rPr>
        <w:t>投标人名称：</w:t>
      </w:r>
      <w:r>
        <w:rPr>
          <w:rFonts w:hint="eastAsia"/>
          <w:szCs w:val="21"/>
          <w:u w:val="single"/>
        </w:rPr>
        <w:t xml:space="preserve">                             </w:t>
      </w:r>
      <w:r>
        <w:rPr>
          <w:rFonts w:hint="eastAsia"/>
          <w:szCs w:val="21"/>
        </w:rPr>
        <w:t>（</w:t>
      </w:r>
      <w:r>
        <w:rPr>
          <w:rFonts w:hint="eastAsia"/>
          <w:szCs w:val="21"/>
          <w:lang w:eastAsia="zh-CN"/>
        </w:rPr>
        <w:t>盖单位公章</w:t>
      </w:r>
      <w:r>
        <w:rPr>
          <w:rFonts w:hint="eastAsia"/>
          <w:szCs w:val="21"/>
        </w:rPr>
        <w:t>）</w:t>
      </w:r>
    </w:p>
    <w:p>
      <w:pPr>
        <w:spacing w:line="360" w:lineRule="auto"/>
        <w:ind w:firstLine="1470" w:firstLineChars="700"/>
        <w:rPr>
          <w:szCs w:val="21"/>
        </w:rPr>
      </w:pPr>
      <w:r>
        <w:rPr>
          <w:rFonts w:hint="eastAsia"/>
          <w:szCs w:val="21"/>
        </w:rPr>
        <w:t>法定代表人或其委托代理人：</w:t>
      </w:r>
      <w:r>
        <w:rPr>
          <w:rFonts w:hint="eastAsia"/>
          <w:szCs w:val="21"/>
          <w:u w:val="single"/>
        </w:rPr>
        <w:t xml:space="preserve">        </w:t>
      </w:r>
      <w:r>
        <w:rPr>
          <w:rFonts w:hint="eastAsia"/>
          <w:szCs w:val="21"/>
        </w:rPr>
        <w:t xml:space="preserve">（签字或盖章） </w:t>
      </w:r>
    </w:p>
    <w:p>
      <w:pPr>
        <w:spacing w:line="360" w:lineRule="auto"/>
        <w:ind w:firstLine="1470" w:firstLineChars="700"/>
        <w:rPr>
          <w:szCs w:val="21"/>
          <w:u w:val="single"/>
        </w:rPr>
      </w:pPr>
      <w:r>
        <w:rPr>
          <w:rFonts w:hint="eastAsia"/>
          <w:szCs w:val="21"/>
        </w:rPr>
        <w:t>地    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 xml:space="preserve">         </w:t>
      </w:r>
    </w:p>
    <w:p>
      <w:pPr>
        <w:spacing w:line="360" w:lineRule="auto"/>
        <w:ind w:firstLine="1470" w:firstLineChars="700"/>
        <w:rPr>
          <w:szCs w:val="21"/>
          <w:u w:val="single"/>
        </w:rPr>
      </w:pPr>
      <w:r>
        <w:rPr>
          <w:rFonts w:hint="eastAsia"/>
          <w:szCs w:val="21"/>
        </w:rPr>
        <w:t>邮政编码：</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 xml:space="preserve"> </w:t>
      </w:r>
    </w:p>
    <w:p>
      <w:pPr>
        <w:spacing w:line="360" w:lineRule="auto"/>
        <w:ind w:firstLine="1470" w:firstLineChars="700"/>
        <w:rPr>
          <w:szCs w:val="21"/>
        </w:rPr>
      </w:pPr>
      <w:r>
        <w:rPr>
          <w:rFonts w:hint="eastAsia"/>
          <w:szCs w:val="21"/>
        </w:rPr>
        <w:t>电    话：</w:t>
      </w:r>
      <w:r>
        <w:rPr>
          <w:rFonts w:hint="eastAsia"/>
          <w:szCs w:val="21"/>
          <w:u w:val="single"/>
        </w:rPr>
        <w:t xml:space="preserve">                     </w:t>
      </w:r>
    </w:p>
    <w:p>
      <w:pPr>
        <w:spacing w:line="360" w:lineRule="auto"/>
        <w:ind w:firstLine="4258" w:firstLineChars="2028"/>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440" w:lineRule="exact"/>
      </w:pPr>
    </w:p>
    <w:p>
      <w:pPr>
        <w:spacing w:line="440" w:lineRule="exact"/>
        <w:rPr>
          <w:b/>
          <w:bCs/>
        </w:rPr>
      </w:pPr>
      <w:r>
        <w:rPr>
          <w:rFonts w:hint="eastAsia"/>
          <w:b/>
          <w:bCs/>
        </w:rPr>
        <w:t>注：</w:t>
      </w:r>
    </w:p>
    <w:p>
      <w:pPr>
        <w:numPr>
          <w:ilvl w:val="255"/>
          <w:numId w:val="0"/>
        </w:numPr>
        <w:spacing w:line="440" w:lineRule="exact"/>
        <w:ind w:firstLine="316" w:firstLineChars="150"/>
        <w:rPr>
          <w:b/>
          <w:bCs/>
          <w:szCs w:val="16"/>
        </w:rPr>
      </w:pPr>
      <w:r>
        <w:rPr>
          <w:rFonts w:hint="eastAsia"/>
          <w:b/>
          <w:bCs/>
          <w:szCs w:val="16"/>
        </w:rPr>
        <w:t>1、采用银行转账方式缴纳投标保证金的，后附投标保证金的《汇款凭证》和《开户许可证》复印件；</w:t>
      </w:r>
    </w:p>
    <w:p>
      <w:pPr>
        <w:widowControl/>
        <w:spacing w:line="440" w:lineRule="exact"/>
        <w:ind w:firstLine="316" w:firstLineChars="150"/>
        <w:jc w:val="left"/>
        <w:rPr>
          <w:b/>
          <w:bCs/>
          <w:szCs w:val="16"/>
        </w:rPr>
      </w:pPr>
      <w:r>
        <w:rPr>
          <w:rFonts w:hint="eastAsia"/>
          <w:b/>
          <w:bCs/>
          <w:szCs w:val="16"/>
          <w:lang w:bidi="ar"/>
        </w:rPr>
        <w:t>2、采用电子保函（银行保函、保证保险）方式缴纳投标保证金的，后附投标保证金的《电子保函》回执和《开户许可证》复印件；</w:t>
      </w:r>
    </w:p>
    <w:p>
      <w:pPr>
        <w:spacing w:line="440" w:lineRule="exact"/>
        <w:ind w:firstLine="316" w:firstLineChars="150"/>
        <w:rPr>
          <w:b/>
          <w:bCs/>
        </w:rPr>
      </w:pPr>
      <w:r>
        <w:rPr>
          <w:rFonts w:hint="eastAsia"/>
          <w:b/>
          <w:bCs/>
          <w:szCs w:val="16"/>
        </w:rPr>
        <w:t>注：中国人民银行广州分行发布了《关于广东省取消企业银行账户许可的公告》，公告要求自2020年4月28日起，企业申请变更取消许可前开立的基本存款账户、临时存款账户名称、法定代表人或单位负责人的，应当交回原开户许可证。如若有投标人在报名投标期间将原企业银行基本账户《开户许可证》交回给银行的，可不用提交投标人银行基本账户《开户许可证》复印件，但投标人须提交《基本存款账户信息》复印件或网页打印件（基本存款账户信息里必须包含有账户号码和基本存款账户编号）。</w:t>
      </w:r>
    </w:p>
    <w:p>
      <w:pPr>
        <w:pStyle w:val="3"/>
        <w:spacing w:line="360" w:lineRule="auto"/>
        <w:jc w:val="center"/>
        <w:rPr>
          <w:rFonts w:ascii="宋体" w:hAnsi="宋体" w:eastAsia="宋体"/>
        </w:rPr>
      </w:pPr>
      <w:r>
        <w:rPr>
          <w:rFonts w:hint="eastAsia" w:ascii="宋体" w:hAnsi="宋体" w:eastAsia="宋体"/>
        </w:rPr>
        <w:br w:type="page"/>
      </w:r>
      <w:bookmarkStart w:id="906" w:name="_Toc29489"/>
      <w:bookmarkStart w:id="907" w:name="_Toc8509"/>
      <w:bookmarkStart w:id="908" w:name="_Toc16479"/>
      <w:bookmarkStart w:id="909" w:name="_Toc30187"/>
      <w:bookmarkStart w:id="910" w:name="_Toc27949"/>
      <w:bookmarkStart w:id="911" w:name="_Toc459914468"/>
      <w:bookmarkStart w:id="912" w:name="_Toc7899"/>
      <w:bookmarkStart w:id="913" w:name="_Toc24388"/>
      <w:bookmarkStart w:id="914" w:name="_Toc1443"/>
      <w:bookmarkStart w:id="915" w:name="_Toc30768"/>
      <w:bookmarkStart w:id="916" w:name="_Toc27302"/>
      <w:bookmarkStart w:id="917" w:name="_Toc24796"/>
      <w:bookmarkStart w:id="918" w:name="_Toc13648"/>
      <w:bookmarkStart w:id="919" w:name="_Toc23982"/>
      <w:bookmarkStart w:id="920" w:name="_Toc9704"/>
      <w:bookmarkStart w:id="921" w:name="_Toc2514"/>
      <w:bookmarkStart w:id="922" w:name="_Toc5734"/>
      <w:bookmarkStart w:id="923" w:name="_Toc25945"/>
      <w:bookmarkStart w:id="924" w:name="_Toc32235"/>
      <w:bookmarkStart w:id="925" w:name="_Toc4866"/>
      <w:bookmarkStart w:id="926" w:name="_Toc15086"/>
      <w:bookmarkStart w:id="927" w:name="_Toc28790"/>
      <w:bookmarkStart w:id="928" w:name="_Toc25535"/>
      <w:bookmarkStart w:id="929" w:name="_Toc6108"/>
      <w:bookmarkStart w:id="930" w:name="_Toc25280"/>
      <w:bookmarkStart w:id="931" w:name="_Toc23711"/>
      <w:bookmarkStart w:id="932" w:name="_Toc6054"/>
      <w:bookmarkStart w:id="933" w:name="_Toc8857"/>
      <w:bookmarkStart w:id="934" w:name="_Toc26675"/>
      <w:r>
        <w:rPr>
          <w:rFonts w:hint="eastAsia" w:ascii="宋体" w:hAnsi="宋体" w:eastAsia="宋体"/>
        </w:rPr>
        <w:t>五</w:t>
      </w:r>
      <w:r>
        <w:rPr>
          <w:rFonts w:hint="eastAsia" w:ascii="宋体" w:hAnsi="宋体" w:eastAsia="宋体"/>
          <w:sz w:val="27"/>
          <w:szCs w:val="27"/>
        </w:rPr>
        <w:t>、</w:t>
      </w:r>
      <w:bookmarkStart w:id="935" w:name="_Toc144974875"/>
      <w:bookmarkStart w:id="936" w:name="_Toc152042596"/>
      <w:bookmarkStart w:id="937" w:name="_Toc152045807"/>
      <w:bookmarkStart w:id="938" w:name="_Toc247527847"/>
      <w:bookmarkStart w:id="939" w:name="_Toc247514299"/>
      <w:r>
        <w:rPr>
          <w:rFonts w:hint="eastAsia" w:ascii="宋体" w:hAnsi="宋体" w:eastAsia="宋体"/>
        </w:rPr>
        <w:t>资格审查资料</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pStyle w:val="4"/>
        <w:spacing w:line="360" w:lineRule="auto"/>
        <w:jc w:val="center"/>
      </w:pPr>
      <w:bookmarkStart w:id="940" w:name="_Toc1424"/>
      <w:bookmarkStart w:id="941" w:name="_Toc20830"/>
      <w:bookmarkStart w:id="942" w:name="_Toc247527848"/>
      <w:bookmarkStart w:id="943" w:name="_Toc9150"/>
      <w:bookmarkStart w:id="944" w:name="_Toc17738"/>
      <w:bookmarkStart w:id="945" w:name="_Toc152045808"/>
      <w:bookmarkStart w:id="946" w:name="_Toc152042597"/>
      <w:bookmarkStart w:id="947" w:name="_Toc24419"/>
      <w:bookmarkStart w:id="948" w:name="_Toc144974876"/>
      <w:bookmarkStart w:id="949" w:name="_Toc27397"/>
      <w:bookmarkStart w:id="950" w:name="_Toc30091"/>
      <w:bookmarkStart w:id="951" w:name="_Toc43"/>
      <w:bookmarkStart w:id="952" w:name="_Toc29583"/>
      <w:bookmarkStart w:id="953" w:name="_Toc5192"/>
      <w:bookmarkStart w:id="954" w:name="_Toc247514300"/>
      <w:bookmarkStart w:id="955" w:name="_Toc28960"/>
      <w:bookmarkStart w:id="956" w:name="_Toc5773"/>
      <w:bookmarkStart w:id="957" w:name="_Toc19775"/>
      <w:bookmarkStart w:id="958" w:name="_Toc25117"/>
      <w:bookmarkStart w:id="959" w:name="_Toc13039"/>
      <w:bookmarkStart w:id="960" w:name="_Toc12699"/>
      <w:bookmarkStart w:id="961" w:name="_Toc12924"/>
      <w:bookmarkStart w:id="962" w:name="_Toc19753"/>
      <w:bookmarkStart w:id="963" w:name="_Toc5532"/>
      <w:bookmarkStart w:id="964" w:name="_Toc27844"/>
      <w:bookmarkStart w:id="965" w:name="_Toc24364"/>
      <w:bookmarkStart w:id="966" w:name="_Toc12838"/>
      <w:bookmarkStart w:id="967" w:name="_Toc8835"/>
      <w:bookmarkStart w:id="968" w:name="_Toc5431"/>
      <w:bookmarkStart w:id="969" w:name="_Toc26563"/>
      <w:bookmarkStart w:id="970" w:name="_Toc2507"/>
      <w:bookmarkStart w:id="971" w:name="_Toc7029"/>
      <w:bookmarkStart w:id="972" w:name="_Toc26210"/>
      <w:bookmarkStart w:id="973" w:name="_Toc1090"/>
      <w:bookmarkStart w:id="974" w:name="_Toc19787"/>
      <w:bookmarkStart w:id="975" w:name="_Toc459914469"/>
      <w:r>
        <w:rPr>
          <w:rFonts w:hint="eastAsia"/>
        </w:rPr>
        <w:t>（一）投标人基本情况表</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tbl>
      <w:tblPr>
        <w:tblStyle w:val="33"/>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szCs w:val="21"/>
              </w:rPr>
            </w:pPr>
            <w:r>
              <w:rPr>
                <w:rFonts w:hint="eastAsia"/>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施工项目负责人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pPr>
            <w:r>
              <w:rPr>
                <w:rFonts w:hint="eastAsia"/>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728" w:type="dxa"/>
            <w:tcBorders>
              <w:top w:val="single" w:color="auto" w:sz="4" w:space="0"/>
              <w:left w:val="single" w:color="auto" w:sz="4" w:space="0"/>
              <w:right w:val="single" w:color="auto" w:sz="4" w:space="0"/>
            </w:tcBorders>
            <w:vAlign w:val="center"/>
          </w:tcPr>
          <w:p>
            <w:pPr>
              <w:topLinePunct/>
              <w:spacing w:line="360" w:lineRule="auto"/>
              <w:ind w:firstLine="210" w:firstLineChars="100"/>
              <w:jc w:val="center"/>
              <w:rPr>
                <w:szCs w:val="21"/>
              </w:rPr>
            </w:pPr>
            <w:r>
              <w:rPr>
                <w:rFonts w:hint="eastAsia"/>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bl>
    <w:p>
      <w:pPr>
        <w:spacing w:line="360" w:lineRule="auto"/>
        <w:rPr>
          <w:b/>
          <w:sz w:val="18"/>
          <w:szCs w:val="18"/>
        </w:rPr>
      </w:pPr>
      <w:r>
        <w:rPr>
          <w:rFonts w:hint="eastAsia"/>
          <w:b/>
          <w:sz w:val="18"/>
          <w:szCs w:val="18"/>
        </w:rPr>
        <w:t>注：若为联合体的投标，各成员需分别提供本表。</w:t>
      </w:r>
    </w:p>
    <w:p>
      <w:pPr>
        <w:spacing w:line="360" w:lineRule="auto"/>
      </w:pPr>
      <w:bookmarkStart w:id="976" w:name="_Toc152042600"/>
      <w:bookmarkStart w:id="977" w:name="_Toc144974879"/>
      <w:bookmarkStart w:id="978" w:name="_Toc152045811"/>
      <w:bookmarkStart w:id="979" w:name="_Toc247514303"/>
      <w:bookmarkStart w:id="980" w:name="_Toc247527851"/>
    </w:p>
    <w:bookmarkEnd w:id="976"/>
    <w:bookmarkEnd w:id="977"/>
    <w:bookmarkEnd w:id="978"/>
    <w:bookmarkEnd w:id="979"/>
    <w:bookmarkEnd w:id="980"/>
    <w:p>
      <w:pPr>
        <w:pStyle w:val="4"/>
        <w:spacing w:line="360" w:lineRule="auto"/>
        <w:jc w:val="center"/>
        <w:rPr>
          <w:rStyle w:val="95"/>
          <w:bCs w:val="0"/>
        </w:rPr>
      </w:pPr>
      <w:bookmarkStart w:id="981" w:name="_Toc152045812"/>
      <w:bookmarkStart w:id="982" w:name="_Toc247527852"/>
      <w:bookmarkStart w:id="983" w:name="_Toc144974880"/>
      <w:bookmarkStart w:id="984" w:name="_Toc247514304"/>
      <w:bookmarkStart w:id="985" w:name="_Toc152042601"/>
      <w:r>
        <w:rPr>
          <w:rFonts w:hint="eastAsia"/>
        </w:rPr>
        <w:br w:type="page"/>
      </w:r>
      <w:bookmarkEnd w:id="981"/>
      <w:bookmarkEnd w:id="982"/>
      <w:bookmarkEnd w:id="983"/>
      <w:bookmarkEnd w:id="984"/>
      <w:bookmarkEnd w:id="985"/>
      <w:bookmarkStart w:id="986" w:name="_Toc12597"/>
      <w:bookmarkStart w:id="987" w:name="_Toc22440"/>
      <w:bookmarkStart w:id="988" w:name="_Toc459914475"/>
      <w:bookmarkStart w:id="989" w:name="_Toc12868"/>
      <w:bookmarkStart w:id="990" w:name="_Toc4605"/>
      <w:bookmarkStart w:id="991" w:name="_Toc17375"/>
      <w:bookmarkStart w:id="992" w:name="_Toc18545"/>
      <w:bookmarkStart w:id="993" w:name="_Toc13184"/>
      <w:bookmarkStart w:id="994" w:name="_Toc31339"/>
      <w:bookmarkStart w:id="995" w:name="_Toc15064"/>
      <w:bookmarkStart w:id="996" w:name="_Toc26005"/>
      <w:bookmarkStart w:id="997" w:name="_Toc27364"/>
      <w:bookmarkStart w:id="998" w:name="_Toc31227"/>
      <w:bookmarkStart w:id="999" w:name="_Toc10843"/>
      <w:bookmarkStart w:id="1000" w:name="_Toc6480"/>
      <w:bookmarkStart w:id="1001" w:name="_Toc23318"/>
      <w:bookmarkStart w:id="1002" w:name="_Toc8466"/>
      <w:bookmarkStart w:id="1003" w:name="_Toc1562"/>
      <w:bookmarkStart w:id="1004" w:name="_Toc4217"/>
      <w:bookmarkStart w:id="1005" w:name="_Toc15684"/>
      <w:bookmarkStart w:id="1006" w:name="_Toc179632824"/>
      <w:bookmarkStart w:id="1007" w:name="_Toc152042593"/>
      <w:bookmarkStart w:id="1008" w:name="_Toc144974872"/>
      <w:bookmarkStart w:id="1009" w:name="_Toc152045804"/>
      <w:bookmarkStart w:id="1010" w:name="_Toc152045813"/>
      <w:bookmarkStart w:id="1011" w:name="_Toc247527853"/>
      <w:bookmarkStart w:id="1012" w:name="_Toc152042602"/>
      <w:bookmarkStart w:id="1013" w:name="_Toc247514305"/>
      <w:bookmarkStart w:id="1014" w:name="_Toc144974881"/>
      <w:bookmarkStart w:id="1015" w:name="_Toc247530162"/>
    </w:p>
    <w:p>
      <w:pPr>
        <w:spacing w:line="360" w:lineRule="auto"/>
        <w:jc w:val="center"/>
        <w:rPr>
          <w:bCs/>
          <w:sz w:val="28"/>
          <w:szCs w:val="28"/>
        </w:rPr>
      </w:pPr>
      <w:bookmarkStart w:id="1016" w:name="_Toc26958"/>
      <w:bookmarkStart w:id="1017" w:name="_Toc28958"/>
      <w:r>
        <w:rPr>
          <w:rStyle w:val="95"/>
          <w:rFonts w:hint="eastAsia"/>
        </w:rPr>
        <w:t>（二）项目管理机构组成表</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16"/>
      <w:bookmarkEnd w:id="1017"/>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spacing w:line="360" w:lineRule="auto"/>
              <w:jc w:val="center"/>
              <w:rPr>
                <w:szCs w:val="21"/>
              </w:rPr>
            </w:pPr>
            <w:r>
              <w:rPr>
                <w:rFonts w:hint="eastAsia"/>
                <w:szCs w:val="21"/>
              </w:rPr>
              <w:t>职务</w:t>
            </w:r>
          </w:p>
        </w:tc>
        <w:tc>
          <w:tcPr>
            <w:tcW w:w="721" w:type="dxa"/>
            <w:vMerge w:val="restart"/>
            <w:vAlign w:val="center"/>
          </w:tcPr>
          <w:p>
            <w:pPr>
              <w:spacing w:line="360" w:lineRule="auto"/>
              <w:jc w:val="center"/>
              <w:rPr>
                <w:szCs w:val="21"/>
              </w:rPr>
            </w:pPr>
            <w:r>
              <w:rPr>
                <w:rFonts w:hint="eastAsia"/>
                <w:szCs w:val="21"/>
              </w:rPr>
              <w:t>姓名</w:t>
            </w:r>
          </w:p>
        </w:tc>
        <w:tc>
          <w:tcPr>
            <w:tcW w:w="719" w:type="dxa"/>
            <w:vMerge w:val="restart"/>
            <w:vAlign w:val="center"/>
          </w:tcPr>
          <w:p>
            <w:pPr>
              <w:spacing w:line="360" w:lineRule="auto"/>
              <w:jc w:val="center"/>
              <w:rPr>
                <w:szCs w:val="21"/>
              </w:rPr>
            </w:pPr>
            <w:r>
              <w:rPr>
                <w:rFonts w:hint="eastAsia"/>
                <w:szCs w:val="21"/>
              </w:rPr>
              <w:t>职称</w:t>
            </w:r>
          </w:p>
        </w:tc>
        <w:tc>
          <w:tcPr>
            <w:tcW w:w="5763" w:type="dxa"/>
            <w:gridSpan w:val="5"/>
            <w:vAlign w:val="center"/>
          </w:tcPr>
          <w:p>
            <w:pPr>
              <w:spacing w:line="360" w:lineRule="auto"/>
              <w:jc w:val="center"/>
              <w:rPr>
                <w:szCs w:val="21"/>
              </w:rPr>
            </w:pPr>
            <w:r>
              <w:rPr>
                <w:rFonts w:hint="eastAsia"/>
                <w:szCs w:val="21"/>
              </w:rPr>
              <w:t>执业或职业资格证明</w:t>
            </w:r>
          </w:p>
        </w:tc>
        <w:tc>
          <w:tcPr>
            <w:tcW w:w="672" w:type="dxa"/>
            <w:vAlign w:val="center"/>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spacing w:line="360" w:lineRule="auto"/>
              <w:jc w:val="center"/>
              <w:rPr>
                <w:szCs w:val="21"/>
              </w:rPr>
            </w:pPr>
          </w:p>
        </w:tc>
        <w:tc>
          <w:tcPr>
            <w:tcW w:w="721" w:type="dxa"/>
            <w:vMerge w:val="continue"/>
            <w:vAlign w:val="center"/>
          </w:tcPr>
          <w:p>
            <w:pPr>
              <w:spacing w:line="360" w:lineRule="auto"/>
              <w:jc w:val="center"/>
              <w:rPr>
                <w:szCs w:val="21"/>
              </w:rPr>
            </w:pPr>
          </w:p>
        </w:tc>
        <w:tc>
          <w:tcPr>
            <w:tcW w:w="719" w:type="dxa"/>
            <w:vMerge w:val="continue"/>
            <w:vAlign w:val="center"/>
          </w:tcPr>
          <w:p>
            <w:pPr>
              <w:spacing w:line="360" w:lineRule="auto"/>
              <w:jc w:val="center"/>
              <w:rPr>
                <w:szCs w:val="21"/>
              </w:rPr>
            </w:pPr>
          </w:p>
        </w:tc>
        <w:tc>
          <w:tcPr>
            <w:tcW w:w="1081" w:type="dxa"/>
            <w:vAlign w:val="center"/>
          </w:tcPr>
          <w:p>
            <w:pPr>
              <w:spacing w:line="360" w:lineRule="auto"/>
              <w:jc w:val="center"/>
              <w:rPr>
                <w:szCs w:val="21"/>
              </w:rPr>
            </w:pPr>
            <w:r>
              <w:rPr>
                <w:rFonts w:hint="eastAsia"/>
                <w:szCs w:val="21"/>
              </w:rPr>
              <w:t>证书名称</w:t>
            </w:r>
          </w:p>
        </w:tc>
        <w:tc>
          <w:tcPr>
            <w:tcW w:w="719" w:type="dxa"/>
            <w:vAlign w:val="center"/>
          </w:tcPr>
          <w:p>
            <w:pPr>
              <w:spacing w:line="360" w:lineRule="auto"/>
              <w:jc w:val="center"/>
              <w:rPr>
                <w:szCs w:val="21"/>
              </w:rPr>
            </w:pPr>
            <w:r>
              <w:rPr>
                <w:rFonts w:hint="eastAsia"/>
                <w:szCs w:val="21"/>
              </w:rPr>
              <w:t>级别</w:t>
            </w:r>
          </w:p>
        </w:tc>
        <w:tc>
          <w:tcPr>
            <w:tcW w:w="721" w:type="dxa"/>
            <w:vAlign w:val="center"/>
          </w:tcPr>
          <w:p>
            <w:pPr>
              <w:spacing w:line="360" w:lineRule="auto"/>
              <w:jc w:val="center"/>
              <w:rPr>
                <w:szCs w:val="21"/>
              </w:rPr>
            </w:pPr>
            <w:r>
              <w:rPr>
                <w:rFonts w:hint="eastAsia"/>
                <w:szCs w:val="21"/>
              </w:rPr>
              <w:t>证号</w:t>
            </w:r>
          </w:p>
        </w:tc>
        <w:tc>
          <w:tcPr>
            <w:tcW w:w="719" w:type="dxa"/>
            <w:vAlign w:val="center"/>
          </w:tcPr>
          <w:p>
            <w:pPr>
              <w:spacing w:line="360" w:lineRule="auto"/>
              <w:jc w:val="center"/>
              <w:rPr>
                <w:szCs w:val="21"/>
              </w:rPr>
            </w:pPr>
            <w:r>
              <w:rPr>
                <w:rFonts w:hint="eastAsia"/>
                <w:szCs w:val="21"/>
              </w:rPr>
              <w:t>专业</w:t>
            </w:r>
          </w:p>
        </w:tc>
        <w:tc>
          <w:tcPr>
            <w:tcW w:w="2523" w:type="dxa"/>
            <w:vAlign w:val="center"/>
          </w:tcPr>
          <w:p>
            <w:pPr>
              <w:spacing w:line="360" w:lineRule="auto"/>
              <w:jc w:val="center"/>
              <w:rPr>
                <w:szCs w:val="21"/>
              </w:rPr>
            </w:pPr>
            <w:r>
              <w:rPr>
                <w:rFonts w:hint="eastAsia"/>
                <w:szCs w:val="21"/>
              </w:rPr>
              <w:t>养老保险</w:t>
            </w:r>
          </w:p>
        </w:tc>
        <w:tc>
          <w:tcPr>
            <w:tcW w:w="672"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szCs w:val="21"/>
              </w:rPr>
            </w:pPr>
          </w:p>
        </w:tc>
        <w:tc>
          <w:tcPr>
            <w:tcW w:w="721" w:type="dxa"/>
            <w:vAlign w:val="center"/>
          </w:tcPr>
          <w:p>
            <w:pPr>
              <w:spacing w:line="360" w:lineRule="auto"/>
              <w:jc w:val="center"/>
              <w:rPr>
                <w:szCs w:val="21"/>
              </w:rPr>
            </w:pPr>
          </w:p>
        </w:tc>
        <w:tc>
          <w:tcPr>
            <w:tcW w:w="719" w:type="dxa"/>
            <w:vAlign w:val="center"/>
          </w:tcPr>
          <w:p>
            <w:pPr>
              <w:spacing w:line="360" w:lineRule="auto"/>
              <w:jc w:val="center"/>
              <w:rPr>
                <w:szCs w:val="21"/>
              </w:rPr>
            </w:pPr>
          </w:p>
        </w:tc>
        <w:tc>
          <w:tcPr>
            <w:tcW w:w="1081" w:type="dxa"/>
            <w:vAlign w:val="center"/>
          </w:tcPr>
          <w:p>
            <w:pPr>
              <w:spacing w:line="360" w:lineRule="auto"/>
              <w:jc w:val="center"/>
              <w:rPr>
                <w:szCs w:val="21"/>
              </w:rPr>
            </w:pPr>
          </w:p>
        </w:tc>
        <w:tc>
          <w:tcPr>
            <w:tcW w:w="719" w:type="dxa"/>
            <w:vAlign w:val="center"/>
          </w:tcPr>
          <w:p>
            <w:pPr>
              <w:spacing w:line="360" w:lineRule="auto"/>
              <w:jc w:val="center"/>
              <w:rPr>
                <w:szCs w:val="21"/>
              </w:rPr>
            </w:pPr>
          </w:p>
        </w:tc>
        <w:tc>
          <w:tcPr>
            <w:tcW w:w="721" w:type="dxa"/>
            <w:vAlign w:val="center"/>
          </w:tcPr>
          <w:p>
            <w:pPr>
              <w:spacing w:line="360" w:lineRule="auto"/>
              <w:jc w:val="center"/>
              <w:rPr>
                <w:szCs w:val="21"/>
              </w:rPr>
            </w:pPr>
          </w:p>
        </w:tc>
        <w:tc>
          <w:tcPr>
            <w:tcW w:w="719" w:type="dxa"/>
            <w:vAlign w:val="center"/>
          </w:tcPr>
          <w:p>
            <w:pPr>
              <w:spacing w:line="360" w:lineRule="auto"/>
              <w:jc w:val="center"/>
              <w:rPr>
                <w:szCs w:val="21"/>
              </w:rPr>
            </w:pPr>
          </w:p>
        </w:tc>
        <w:tc>
          <w:tcPr>
            <w:tcW w:w="2523" w:type="dxa"/>
            <w:vAlign w:val="center"/>
          </w:tcPr>
          <w:p>
            <w:pPr>
              <w:spacing w:line="360" w:lineRule="auto"/>
              <w:jc w:val="center"/>
              <w:rPr>
                <w:szCs w:val="21"/>
              </w:rPr>
            </w:pPr>
          </w:p>
        </w:tc>
        <w:tc>
          <w:tcPr>
            <w:tcW w:w="672"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1081" w:type="dxa"/>
          </w:tcPr>
          <w:p>
            <w:pPr>
              <w:spacing w:line="360" w:lineRule="auto"/>
              <w:jc w:val="center"/>
              <w:rPr>
                <w:szCs w:val="21"/>
              </w:rPr>
            </w:pPr>
          </w:p>
        </w:tc>
        <w:tc>
          <w:tcPr>
            <w:tcW w:w="719" w:type="dxa"/>
          </w:tcPr>
          <w:p>
            <w:pPr>
              <w:spacing w:line="360" w:lineRule="auto"/>
              <w:jc w:val="center"/>
              <w:rPr>
                <w:szCs w:val="21"/>
              </w:rPr>
            </w:pPr>
          </w:p>
        </w:tc>
        <w:tc>
          <w:tcPr>
            <w:tcW w:w="721" w:type="dxa"/>
          </w:tcPr>
          <w:p>
            <w:pPr>
              <w:spacing w:line="360" w:lineRule="auto"/>
              <w:jc w:val="center"/>
              <w:rPr>
                <w:szCs w:val="21"/>
              </w:rPr>
            </w:pPr>
          </w:p>
        </w:tc>
        <w:tc>
          <w:tcPr>
            <w:tcW w:w="719" w:type="dxa"/>
          </w:tcPr>
          <w:p>
            <w:pPr>
              <w:spacing w:line="360" w:lineRule="auto"/>
              <w:jc w:val="center"/>
              <w:rPr>
                <w:szCs w:val="21"/>
              </w:rPr>
            </w:pPr>
          </w:p>
        </w:tc>
        <w:tc>
          <w:tcPr>
            <w:tcW w:w="2523" w:type="dxa"/>
          </w:tcPr>
          <w:p>
            <w:pPr>
              <w:spacing w:line="360" w:lineRule="auto"/>
              <w:jc w:val="center"/>
              <w:rPr>
                <w:szCs w:val="21"/>
              </w:rPr>
            </w:pPr>
          </w:p>
        </w:tc>
        <w:tc>
          <w:tcPr>
            <w:tcW w:w="672" w:type="dxa"/>
          </w:tcPr>
          <w:p>
            <w:pPr>
              <w:spacing w:line="360" w:lineRule="auto"/>
              <w:jc w:val="center"/>
              <w:rPr>
                <w:szCs w:val="21"/>
              </w:rPr>
            </w:pPr>
          </w:p>
        </w:tc>
      </w:tr>
      <w:bookmarkEnd w:id="1006"/>
      <w:bookmarkEnd w:id="1007"/>
      <w:bookmarkEnd w:id="1008"/>
      <w:bookmarkEnd w:id="1009"/>
    </w:tbl>
    <w:p>
      <w:pPr>
        <w:spacing w:line="360" w:lineRule="auto"/>
        <w:rPr>
          <w:sz w:val="20"/>
        </w:rPr>
      </w:pPr>
      <w:r>
        <w:rPr>
          <w:rFonts w:hint="eastAsia"/>
          <w:sz w:val="20"/>
        </w:rPr>
        <w:t>注：1、“管理人员”指实际参加本招标项目的项目管理、技术等方面的负责人，包括（但不限于）项目负责人、专职安全员及其他投标人认为应该配备的人员。</w:t>
      </w:r>
    </w:p>
    <w:p>
      <w:pPr>
        <w:spacing w:line="360" w:lineRule="auto"/>
        <w:ind w:firstLine="400" w:firstLineChars="200"/>
        <w:rPr>
          <w:sz w:val="20"/>
        </w:rPr>
      </w:pPr>
      <w:r>
        <w:rPr>
          <w:rFonts w:hint="eastAsia"/>
          <w:sz w:val="20"/>
        </w:rPr>
        <w:t>2、需在表后附职称证书、岗位证书、执业资格证书等满足资格条件或招标文件评分表要求的证明材料及从</w:t>
      </w:r>
      <w:r>
        <w:t>2023 年2月至</w:t>
      </w:r>
      <w:r>
        <w:rPr>
          <w:rFonts w:hint="eastAsia"/>
          <w:sz w:val="20"/>
        </w:rPr>
        <w:t xml:space="preserve"> 2023年4月连续三个月在本公司缴交</w:t>
      </w:r>
      <w:r>
        <w:rPr>
          <w:rFonts w:hint="eastAsia"/>
          <w:sz w:val="20"/>
          <w:szCs w:val="24"/>
        </w:rPr>
        <w:t>的社保证明复印件（</w:t>
      </w:r>
      <w:r>
        <w:rPr>
          <w:rFonts w:hint="eastAsia"/>
          <w:sz w:val="20"/>
          <w:szCs w:val="24"/>
          <w:lang w:eastAsia="zh-CN"/>
        </w:rPr>
        <w:t>分公司缴纳的社保予以认定，须提供购买社保的证明材料复印件</w:t>
      </w:r>
      <w:r>
        <w:rPr>
          <w:rFonts w:hint="eastAsia"/>
          <w:sz w:val="20"/>
          <w:szCs w:val="24"/>
        </w:rPr>
        <w:t>）（如法定代表人或拟派本工程项目管理人员已办理退休手续，则无需提供社保证明，但需提供退休证</w:t>
      </w:r>
      <w:r>
        <w:rPr>
          <w:rFonts w:hint="eastAsia"/>
          <w:sz w:val="20"/>
          <w:szCs w:val="20"/>
        </w:rPr>
        <w:t>明相关材料）</w:t>
      </w:r>
      <w:r>
        <w:rPr>
          <w:rFonts w:hint="eastAsia"/>
          <w:sz w:val="20"/>
        </w:rPr>
        <w:t>。</w:t>
      </w:r>
    </w:p>
    <w:p>
      <w:pPr>
        <w:spacing w:line="360" w:lineRule="auto"/>
        <w:rPr>
          <w:sz w:val="20"/>
        </w:rPr>
        <w:sectPr>
          <w:pgSz w:w="11906" w:h="16838"/>
          <w:pgMar w:top="1440" w:right="1803" w:bottom="1440" w:left="1803" w:header="851" w:footer="992" w:gutter="0"/>
          <w:cols w:space="0" w:num="1"/>
          <w:docGrid w:type="lines" w:linePitch="319" w:charSpace="0"/>
        </w:sectPr>
      </w:pPr>
    </w:p>
    <w:p>
      <w:pPr>
        <w:pStyle w:val="4"/>
        <w:spacing w:line="360" w:lineRule="auto"/>
        <w:jc w:val="center"/>
      </w:pPr>
      <w:bookmarkStart w:id="1018" w:name="_Toc28065"/>
      <w:bookmarkStart w:id="1019" w:name="_Toc8985"/>
      <w:bookmarkStart w:id="1020" w:name="_Toc9248"/>
      <w:bookmarkStart w:id="1021" w:name="_Toc26213"/>
      <w:bookmarkStart w:id="1022" w:name="_Toc10084"/>
      <w:bookmarkStart w:id="1023" w:name="_Toc596"/>
      <w:bookmarkStart w:id="1024" w:name="_Toc11107"/>
      <w:bookmarkStart w:id="1025" w:name="_Toc4033"/>
      <w:bookmarkStart w:id="1026" w:name="_Toc8367"/>
      <w:bookmarkStart w:id="1027" w:name="_Toc300835232"/>
      <w:bookmarkStart w:id="1028" w:name="_Toc26827"/>
      <w:bookmarkStart w:id="1029" w:name="_Toc24177"/>
      <w:bookmarkStart w:id="1030" w:name="_Toc25390"/>
      <w:bookmarkStart w:id="1031" w:name="_Toc11674"/>
      <w:bookmarkStart w:id="1032" w:name="_Toc9225"/>
      <w:bookmarkStart w:id="1033" w:name="_Toc25226"/>
      <w:bookmarkStart w:id="1034" w:name="_Toc17941"/>
      <w:bookmarkStart w:id="1035" w:name="_Toc13968"/>
      <w:bookmarkStart w:id="1036" w:name="_Toc20911"/>
      <w:bookmarkStart w:id="1037" w:name="_Toc459914476"/>
      <w:bookmarkStart w:id="1038" w:name="_Toc29723"/>
      <w:bookmarkStart w:id="1039" w:name="_Toc6577"/>
      <w:bookmarkStart w:id="1040" w:name="_Toc5667"/>
      <w:bookmarkStart w:id="1041" w:name="_Toc25682"/>
      <w:bookmarkStart w:id="1042" w:name="_Toc28422"/>
      <w:bookmarkStart w:id="1043" w:name="_Toc14478"/>
      <w:bookmarkStart w:id="1044" w:name="_Toc11756"/>
      <w:bookmarkStart w:id="1045" w:name="_Toc7469"/>
      <w:bookmarkStart w:id="1046" w:name="_Toc32632"/>
      <w:bookmarkStart w:id="1047" w:name="_Toc26607"/>
      <w:bookmarkStart w:id="1048" w:name="_Toc26465"/>
      <w:bookmarkStart w:id="1049" w:name="_Toc18434"/>
      <w:r>
        <w:rPr>
          <w:rFonts w:hint="eastAsia"/>
        </w:rPr>
        <w:t>（四）</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Pr>
          <w:rFonts w:hint="eastAsia"/>
        </w:rPr>
        <w:t>项目负责人简历表</w:t>
      </w:r>
      <w:bookmarkEnd w:id="1048"/>
      <w:bookmarkEnd w:id="1049"/>
    </w:p>
    <w:tbl>
      <w:tblPr>
        <w:tblStyle w:val="33"/>
        <w:tblpPr w:leftFromText="180" w:rightFromText="180" w:vertAnchor="text" w:horzAnchor="margin" w:tblpY="1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451"/>
        <w:gridCol w:w="320"/>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pacing w:line="360" w:lineRule="auto"/>
              <w:jc w:val="center"/>
              <w:rPr>
                <w:szCs w:val="21"/>
              </w:rPr>
            </w:pPr>
            <w:r>
              <w:rPr>
                <w:rFonts w:hint="eastAsia"/>
                <w:szCs w:val="21"/>
              </w:rPr>
              <w:t>姓  名</w:t>
            </w:r>
          </w:p>
        </w:tc>
        <w:tc>
          <w:tcPr>
            <w:tcW w:w="1079" w:type="dxa"/>
            <w:gridSpan w:val="2"/>
            <w:vAlign w:val="center"/>
          </w:tcPr>
          <w:p>
            <w:pPr>
              <w:spacing w:line="360" w:lineRule="auto"/>
              <w:jc w:val="center"/>
              <w:rPr>
                <w:szCs w:val="21"/>
              </w:rPr>
            </w:pPr>
          </w:p>
        </w:tc>
        <w:tc>
          <w:tcPr>
            <w:tcW w:w="927" w:type="dxa"/>
            <w:vAlign w:val="center"/>
          </w:tcPr>
          <w:p>
            <w:pPr>
              <w:spacing w:line="360" w:lineRule="auto"/>
              <w:jc w:val="center"/>
              <w:rPr>
                <w:szCs w:val="21"/>
              </w:rPr>
            </w:pPr>
            <w:r>
              <w:rPr>
                <w:rFonts w:hint="eastAsia"/>
                <w:szCs w:val="21"/>
              </w:rPr>
              <w:t>年 龄</w:t>
            </w:r>
          </w:p>
        </w:tc>
        <w:tc>
          <w:tcPr>
            <w:tcW w:w="1451" w:type="dxa"/>
            <w:vAlign w:val="center"/>
          </w:tcPr>
          <w:p>
            <w:pPr>
              <w:spacing w:line="360" w:lineRule="auto"/>
              <w:jc w:val="center"/>
              <w:rPr>
                <w:szCs w:val="21"/>
              </w:rPr>
            </w:pPr>
          </w:p>
        </w:tc>
        <w:tc>
          <w:tcPr>
            <w:tcW w:w="1744" w:type="dxa"/>
            <w:gridSpan w:val="3"/>
            <w:vAlign w:val="center"/>
          </w:tcPr>
          <w:p>
            <w:pPr>
              <w:spacing w:line="360" w:lineRule="auto"/>
              <w:jc w:val="center"/>
              <w:rPr>
                <w:szCs w:val="21"/>
              </w:rPr>
            </w:pPr>
            <w:r>
              <w:rPr>
                <w:rFonts w:hint="eastAsia"/>
                <w:szCs w:val="21"/>
              </w:rPr>
              <w:t>学历</w:t>
            </w:r>
          </w:p>
        </w:tc>
        <w:tc>
          <w:tcPr>
            <w:tcW w:w="2134"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pacing w:line="360" w:lineRule="auto"/>
              <w:jc w:val="center"/>
              <w:rPr>
                <w:szCs w:val="21"/>
              </w:rPr>
            </w:pPr>
            <w:r>
              <w:rPr>
                <w:rFonts w:hint="eastAsia"/>
                <w:szCs w:val="21"/>
              </w:rPr>
              <w:t>职  称</w:t>
            </w:r>
          </w:p>
        </w:tc>
        <w:tc>
          <w:tcPr>
            <w:tcW w:w="1079" w:type="dxa"/>
            <w:gridSpan w:val="2"/>
            <w:vAlign w:val="center"/>
          </w:tcPr>
          <w:p>
            <w:pPr>
              <w:spacing w:line="360" w:lineRule="auto"/>
              <w:jc w:val="center"/>
              <w:rPr>
                <w:szCs w:val="21"/>
              </w:rPr>
            </w:pPr>
          </w:p>
        </w:tc>
        <w:tc>
          <w:tcPr>
            <w:tcW w:w="927" w:type="dxa"/>
            <w:vAlign w:val="center"/>
          </w:tcPr>
          <w:p>
            <w:pPr>
              <w:spacing w:line="360" w:lineRule="auto"/>
              <w:jc w:val="center"/>
              <w:rPr>
                <w:szCs w:val="21"/>
              </w:rPr>
            </w:pPr>
            <w:r>
              <w:rPr>
                <w:rFonts w:hint="eastAsia"/>
                <w:szCs w:val="21"/>
              </w:rPr>
              <w:t>职 务</w:t>
            </w:r>
          </w:p>
        </w:tc>
        <w:tc>
          <w:tcPr>
            <w:tcW w:w="1451" w:type="dxa"/>
            <w:vAlign w:val="center"/>
          </w:tcPr>
          <w:p>
            <w:pPr>
              <w:spacing w:line="360" w:lineRule="auto"/>
              <w:jc w:val="center"/>
              <w:rPr>
                <w:szCs w:val="21"/>
              </w:rPr>
            </w:pPr>
          </w:p>
        </w:tc>
        <w:tc>
          <w:tcPr>
            <w:tcW w:w="1744" w:type="dxa"/>
            <w:gridSpan w:val="3"/>
            <w:vAlign w:val="center"/>
          </w:tcPr>
          <w:p>
            <w:pPr>
              <w:spacing w:line="360" w:lineRule="auto"/>
              <w:jc w:val="center"/>
              <w:rPr>
                <w:szCs w:val="21"/>
              </w:rPr>
            </w:pPr>
            <w:r>
              <w:rPr>
                <w:rFonts w:hint="eastAsia"/>
                <w:szCs w:val="21"/>
              </w:rPr>
              <w:t>拟在本合同任职</w:t>
            </w:r>
          </w:p>
        </w:tc>
        <w:tc>
          <w:tcPr>
            <w:tcW w:w="2134"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pPr>
              <w:spacing w:line="360" w:lineRule="auto"/>
              <w:jc w:val="center"/>
              <w:rPr>
                <w:szCs w:val="21"/>
              </w:rPr>
            </w:pPr>
            <w:r>
              <w:rPr>
                <w:rFonts w:hint="eastAsia"/>
                <w:szCs w:val="21"/>
              </w:rPr>
              <w:t>毕业学校</w:t>
            </w:r>
          </w:p>
        </w:tc>
        <w:tc>
          <w:tcPr>
            <w:tcW w:w="7335" w:type="dxa"/>
            <w:gridSpan w:val="8"/>
          </w:tcPr>
          <w:p>
            <w:pPr>
              <w:spacing w:line="360" w:lineRule="auto"/>
              <w:ind w:firstLine="945" w:firstLineChars="450"/>
              <w:rPr>
                <w:szCs w:val="21"/>
              </w:rPr>
            </w:pPr>
            <w:r>
              <w:rPr>
                <w:rFonts w:hint="eastAsia"/>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pPr>
              <w:spacing w:line="360" w:lineRule="auto"/>
              <w:rPr>
                <w:szCs w:val="21"/>
              </w:rPr>
            </w:pPr>
            <w:r>
              <w:rPr>
                <w:rFonts w:hint="eastAsia"/>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4" w:type="dxa"/>
            <w:gridSpan w:val="2"/>
            <w:vAlign w:val="center"/>
          </w:tcPr>
          <w:p>
            <w:pPr>
              <w:spacing w:line="360" w:lineRule="auto"/>
              <w:jc w:val="center"/>
              <w:rPr>
                <w:szCs w:val="21"/>
              </w:rPr>
            </w:pPr>
            <w:r>
              <w:rPr>
                <w:rFonts w:hint="eastAsia"/>
                <w:szCs w:val="21"/>
              </w:rPr>
              <w:t>时  间</w:t>
            </w:r>
          </w:p>
        </w:tc>
        <w:tc>
          <w:tcPr>
            <w:tcW w:w="3420" w:type="dxa"/>
            <w:gridSpan w:val="4"/>
            <w:vAlign w:val="center"/>
          </w:tcPr>
          <w:p>
            <w:pPr>
              <w:spacing w:line="360" w:lineRule="auto"/>
              <w:jc w:val="center"/>
              <w:rPr>
                <w:szCs w:val="21"/>
              </w:rPr>
            </w:pPr>
            <w:r>
              <w:rPr>
                <w:rFonts w:hint="eastAsia"/>
                <w:szCs w:val="21"/>
              </w:rPr>
              <w:t>参加过的类似项目</w:t>
            </w:r>
          </w:p>
        </w:tc>
        <w:tc>
          <w:tcPr>
            <w:tcW w:w="1261" w:type="dxa"/>
            <w:vAlign w:val="center"/>
          </w:tcPr>
          <w:p>
            <w:pPr>
              <w:spacing w:line="360" w:lineRule="auto"/>
              <w:rPr>
                <w:szCs w:val="21"/>
              </w:rPr>
            </w:pPr>
            <w:r>
              <w:rPr>
                <w:rFonts w:hint="eastAsia"/>
                <w:szCs w:val="21"/>
              </w:rPr>
              <w:t>担任职务</w:t>
            </w:r>
          </w:p>
        </w:tc>
        <w:tc>
          <w:tcPr>
            <w:tcW w:w="2297" w:type="dxa"/>
            <w:gridSpan w:val="2"/>
            <w:vAlign w:val="center"/>
          </w:tcPr>
          <w:p>
            <w:pPr>
              <w:spacing w:line="360" w:lineRule="auto"/>
              <w:rPr>
                <w:szCs w:val="21"/>
              </w:rPr>
            </w:pPr>
            <w:r>
              <w:rPr>
                <w:rFonts w:hint="eastAsia"/>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jc w:val="center"/>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360" w:lineRule="auto"/>
              <w:rPr>
                <w:szCs w:val="21"/>
              </w:rPr>
            </w:pPr>
          </w:p>
        </w:tc>
        <w:tc>
          <w:tcPr>
            <w:tcW w:w="3420" w:type="dxa"/>
            <w:gridSpan w:val="4"/>
          </w:tcPr>
          <w:p>
            <w:pPr>
              <w:spacing w:line="360" w:lineRule="auto"/>
              <w:rPr>
                <w:szCs w:val="21"/>
              </w:rPr>
            </w:pPr>
          </w:p>
        </w:tc>
        <w:tc>
          <w:tcPr>
            <w:tcW w:w="1261" w:type="dxa"/>
          </w:tcPr>
          <w:p>
            <w:pPr>
              <w:spacing w:line="360" w:lineRule="auto"/>
              <w:rPr>
                <w:szCs w:val="21"/>
              </w:rPr>
            </w:pPr>
          </w:p>
        </w:tc>
        <w:tc>
          <w:tcPr>
            <w:tcW w:w="2297" w:type="dxa"/>
            <w:gridSpan w:val="2"/>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360" w:lineRule="auto"/>
              <w:rPr>
                <w:szCs w:val="21"/>
              </w:rPr>
            </w:pPr>
          </w:p>
        </w:tc>
        <w:tc>
          <w:tcPr>
            <w:tcW w:w="3420" w:type="dxa"/>
            <w:gridSpan w:val="4"/>
          </w:tcPr>
          <w:p>
            <w:pPr>
              <w:spacing w:line="360" w:lineRule="auto"/>
              <w:rPr>
                <w:szCs w:val="21"/>
              </w:rPr>
            </w:pPr>
          </w:p>
        </w:tc>
        <w:tc>
          <w:tcPr>
            <w:tcW w:w="1261" w:type="dxa"/>
          </w:tcPr>
          <w:p>
            <w:pPr>
              <w:spacing w:line="360" w:lineRule="auto"/>
              <w:rPr>
                <w:szCs w:val="21"/>
              </w:rPr>
            </w:pPr>
          </w:p>
        </w:tc>
        <w:tc>
          <w:tcPr>
            <w:tcW w:w="2297" w:type="dxa"/>
            <w:gridSpan w:val="2"/>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tcPr>
          <w:p>
            <w:pPr>
              <w:spacing w:line="360" w:lineRule="auto"/>
              <w:rPr>
                <w:szCs w:val="21"/>
              </w:rPr>
            </w:pPr>
          </w:p>
        </w:tc>
        <w:tc>
          <w:tcPr>
            <w:tcW w:w="3420" w:type="dxa"/>
            <w:gridSpan w:val="4"/>
          </w:tcPr>
          <w:p>
            <w:pPr>
              <w:spacing w:line="360" w:lineRule="auto"/>
              <w:rPr>
                <w:szCs w:val="21"/>
              </w:rPr>
            </w:pPr>
          </w:p>
        </w:tc>
        <w:tc>
          <w:tcPr>
            <w:tcW w:w="1261" w:type="dxa"/>
          </w:tcPr>
          <w:p>
            <w:pPr>
              <w:spacing w:line="360" w:lineRule="auto"/>
              <w:rPr>
                <w:szCs w:val="21"/>
              </w:rPr>
            </w:pPr>
          </w:p>
        </w:tc>
        <w:tc>
          <w:tcPr>
            <w:tcW w:w="2297" w:type="dxa"/>
            <w:gridSpan w:val="2"/>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spacing w:line="360" w:lineRule="auto"/>
              <w:rPr>
                <w:szCs w:val="21"/>
              </w:rPr>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4" w:type="dxa"/>
            <w:gridSpan w:val="2"/>
            <w:vAlign w:val="center"/>
          </w:tcPr>
          <w:p>
            <w:pPr>
              <w:pStyle w:val="17"/>
            </w:pPr>
          </w:p>
        </w:tc>
        <w:tc>
          <w:tcPr>
            <w:tcW w:w="3420" w:type="dxa"/>
            <w:gridSpan w:val="4"/>
            <w:vAlign w:val="center"/>
          </w:tcPr>
          <w:p>
            <w:pPr>
              <w:spacing w:line="360" w:lineRule="auto"/>
              <w:rPr>
                <w:szCs w:val="21"/>
              </w:rPr>
            </w:pPr>
          </w:p>
        </w:tc>
        <w:tc>
          <w:tcPr>
            <w:tcW w:w="1261" w:type="dxa"/>
            <w:vAlign w:val="center"/>
          </w:tcPr>
          <w:p>
            <w:pPr>
              <w:spacing w:line="360" w:lineRule="auto"/>
              <w:rPr>
                <w:szCs w:val="21"/>
              </w:rPr>
            </w:pPr>
          </w:p>
        </w:tc>
        <w:tc>
          <w:tcPr>
            <w:tcW w:w="2297" w:type="dxa"/>
            <w:gridSpan w:val="2"/>
            <w:vAlign w:val="center"/>
          </w:tcPr>
          <w:p>
            <w:pPr>
              <w:spacing w:line="360" w:lineRule="auto"/>
              <w:rPr>
                <w:szCs w:val="21"/>
              </w:rPr>
            </w:pPr>
          </w:p>
        </w:tc>
      </w:tr>
    </w:tbl>
    <w:p/>
    <w:p>
      <w:pPr>
        <w:ind w:firstLine="400" w:firstLineChars="200"/>
      </w:pPr>
      <w:r>
        <w:rPr>
          <w:rFonts w:hint="eastAsia"/>
          <w:sz w:val="20"/>
        </w:rPr>
        <w:t>注：</w:t>
      </w:r>
      <w:r>
        <w:rPr>
          <w:rFonts w:hint="eastAsia"/>
        </w:rPr>
        <w:t>应附注册建造师执业资格证书、身份证及从</w:t>
      </w:r>
      <w:r>
        <w:rPr>
          <w:rFonts w:hint="eastAsia"/>
          <w:szCs w:val="21"/>
        </w:rPr>
        <w:t>2023年</w:t>
      </w:r>
      <w:r>
        <w:rPr>
          <w:szCs w:val="21"/>
        </w:rPr>
        <w:t>2</w:t>
      </w:r>
      <w:r>
        <w:rPr>
          <w:rFonts w:hint="eastAsia"/>
          <w:szCs w:val="21"/>
        </w:rPr>
        <w:t>月至2023年</w:t>
      </w:r>
      <w:r>
        <w:rPr>
          <w:szCs w:val="21"/>
        </w:rPr>
        <w:t>4</w:t>
      </w:r>
      <w:r>
        <w:rPr>
          <w:rFonts w:hint="eastAsia"/>
          <w:szCs w:val="21"/>
        </w:rPr>
        <w:t>月连续三个月</w:t>
      </w:r>
      <w:r>
        <w:rPr>
          <w:rFonts w:hint="eastAsia"/>
        </w:rPr>
        <w:t>以投标人名义购买社保的证明材料复印件（</w:t>
      </w:r>
      <w:r>
        <w:rPr>
          <w:rFonts w:hint="eastAsia"/>
          <w:lang w:eastAsia="zh-CN"/>
        </w:rPr>
        <w:t>分公司缴纳的社保予以认定，须提供购买社保的证明材料复印件</w:t>
      </w:r>
      <w:r>
        <w:rPr>
          <w:rFonts w:hint="eastAsia"/>
        </w:rPr>
        <w:t>）</w:t>
      </w:r>
      <w:r>
        <w:rPr>
          <w:rFonts w:hint="eastAsia"/>
          <w:szCs w:val="21"/>
        </w:rPr>
        <w:t>（拟派本工程项目负责人已办理退休手续，则无需提供社保证明，但需提供退休证明相关材料）</w:t>
      </w:r>
      <w:r>
        <w:rPr>
          <w:rFonts w:hint="eastAsia"/>
        </w:rPr>
        <w:t>。</w:t>
      </w:r>
    </w:p>
    <w:p>
      <w:pPr>
        <w:ind w:firstLine="420" w:firstLineChars="200"/>
      </w:pPr>
    </w:p>
    <w:p>
      <w:r>
        <w:rPr>
          <w:rFonts w:hint="eastAsia"/>
        </w:rPr>
        <w:t xml:space="preserve">注： </w:t>
      </w:r>
    </w:p>
    <w:p>
      <w:pPr>
        <w:ind w:firstLine="420" w:firstLineChars="20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投标人提供的所有证明资料均必须是真实有效的；</w:t>
      </w:r>
    </w:p>
    <w:p>
      <w:pPr>
        <w:spacing w:line="360" w:lineRule="auto"/>
        <w:ind w:firstLine="315" w:firstLineChars="150"/>
        <w:rPr>
          <w:sz w:val="20"/>
        </w:rPr>
      </w:pPr>
      <w:r>
        <w:rPr>
          <w:rFonts w:hint="eastAsia"/>
        </w:rPr>
        <w:t>②上述资料无须重复提供，指明其在投标文件的所在页码即可</w:t>
      </w:r>
      <w:r>
        <w:rPr>
          <w:rFonts w:hint="eastAsia"/>
          <w:sz w:val="20"/>
        </w:rPr>
        <w:t>。</w:t>
      </w:r>
    </w:p>
    <w:p>
      <w:pPr>
        <w:spacing w:line="360" w:lineRule="auto"/>
        <w:ind w:left="210" w:leftChars="100"/>
        <w:rPr>
          <w:szCs w:val="21"/>
        </w:rPr>
        <w:sectPr>
          <w:pgSz w:w="11906" w:h="16838"/>
          <w:pgMar w:top="1440" w:right="1803" w:bottom="1440" w:left="1803" w:header="851" w:footer="992" w:gutter="0"/>
          <w:cols w:space="0" w:num="1"/>
          <w:docGrid w:type="lines" w:linePitch="319" w:charSpace="0"/>
        </w:sectPr>
      </w:pPr>
    </w:p>
    <w:bookmarkEnd w:id="1010"/>
    <w:bookmarkEnd w:id="1011"/>
    <w:bookmarkEnd w:id="1012"/>
    <w:bookmarkEnd w:id="1013"/>
    <w:bookmarkEnd w:id="1014"/>
    <w:bookmarkEnd w:id="1015"/>
    <w:p>
      <w:pPr>
        <w:pStyle w:val="3"/>
        <w:spacing w:line="360" w:lineRule="auto"/>
        <w:jc w:val="center"/>
        <w:rPr>
          <w:rFonts w:ascii="宋体" w:hAnsi="宋体" w:eastAsia="宋体"/>
        </w:rPr>
      </w:pPr>
      <w:bookmarkStart w:id="1050" w:name="_Toc13722"/>
      <w:bookmarkStart w:id="1051" w:name="_Toc12501"/>
      <w:bookmarkStart w:id="1052" w:name="_Toc447"/>
      <w:bookmarkStart w:id="1053" w:name="_Toc3913"/>
      <w:bookmarkStart w:id="1054" w:name="_Toc7024"/>
      <w:bookmarkStart w:id="1055" w:name="_Toc11705"/>
      <w:bookmarkStart w:id="1056" w:name="_Toc23488"/>
      <w:bookmarkStart w:id="1057" w:name="_Toc31302"/>
      <w:bookmarkStart w:id="1058" w:name="_Toc32512"/>
      <w:bookmarkStart w:id="1059" w:name="_Toc20258"/>
      <w:bookmarkStart w:id="1060" w:name="_Toc21310"/>
      <w:bookmarkStart w:id="1061" w:name="_Toc17428"/>
      <w:bookmarkStart w:id="1062" w:name="_Toc31405"/>
      <w:bookmarkStart w:id="1063" w:name="_Toc6491"/>
      <w:bookmarkStart w:id="1064" w:name="_Toc8375"/>
      <w:bookmarkStart w:id="1065" w:name="_Toc271821942"/>
      <w:bookmarkStart w:id="1066" w:name="_Toc2601"/>
      <w:bookmarkStart w:id="1067" w:name="_Toc16419"/>
      <w:bookmarkStart w:id="1068" w:name="_Toc8846"/>
      <w:bookmarkStart w:id="1069" w:name="_Toc31914"/>
      <w:bookmarkStart w:id="1070" w:name="_Toc615"/>
      <w:bookmarkStart w:id="1071" w:name="_Toc31166"/>
      <w:bookmarkStart w:id="1072" w:name="_Toc14125"/>
      <w:bookmarkStart w:id="1073" w:name="_Toc459914477"/>
      <w:bookmarkStart w:id="1074" w:name="_Toc11154"/>
      <w:bookmarkStart w:id="1075" w:name="_Toc8814"/>
      <w:bookmarkStart w:id="1076" w:name="_Toc26322"/>
      <w:bookmarkStart w:id="1077" w:name="_Toc10019"/>
      <w:bookmarkStart w:id="1078" w:name="_Toc31784"/>
      <w:bookmarkStart w:id="1079" w:name="_Toc2348"/>
      <w:r>
        <w:rPr>
          <w:rFonts w:hint="eastAsia" w:ascii="宋体" w:hAnsi="宋体" w:eastAsia="宋体"/>
        </w:rPr>
        <w:t>六、投标人须知一览表规定的其他资料</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spacing w:line="440" w:lineRule="exact"/>
        <w:ind w:firstLine="315" w:firstLineChars="150"/>
        <w:rPr>
          <w:szCs w:val="16"/>
        </w:rPr>
      </w:pPr>
      <w:r>
        <w:rPr>
          <w:rFonts w:hint="eastAsia"/>
          <w:szCs w:val="16"/>
        </w:rPr>
        <w:t>1、提供《营业执照》副本扫描件。（如联合体投标的，联合体各成员均需提供）。</w:t>
      </w:r>
    </w:p>
    <w:p>
      <w:pPr>
        <w:spacing w:line="440" w:lineRule="exact"/>
        <w:ind w:firstLine="315" w:firstLineChars="150"/>
        <w:rPr>
          <w:szCs w:val="16"/>
        </w:rPr>
      </w:pPr>
      <w:r>
        <w:rPr>
          <w:rFonts w:hint="eastAsia"/>
          <w:szCs w:val="16"/>
        </w:rPr>
        <w:t>2、</w:t>
      </w:r>
      <w:r>
        <w:rPr>
          <w:rFonts w:hint="eastAsia"/>
        </w:rPr>
        <w:t>提供《资质证书》扫描件或有效的电子证书，《安全生产许可证》扫描件或有效的电子证书。（如联合体投标的，联合体各成员均需提供）。</w:t>
      </w:r>
    </w:p>
    <w:p>
      <w:pPr>
        <w:spacing w:line="440" w:lineRule="exact"/>
        <w:ind w:firstLine="315" w:firstLineChars="150"/>
        <w:rPr>
          <w:szCs w:val="16"/>
        </w:rPr>
      </w:pPr>
      <w:r>
        <w:rPr>
          <w:rFonts w:hint="eastAsia"/>
          <w:szCs w:val="16"/>
        </w:rPr>
        <w:t>3、提供拟派本工程项目负责人的《建造师注册执业证书》扫描件（或有效的电子证书）、安全生产考核合格证（</w:t>
      </w:r>
      <w:r>
        <w:rPr>
          <w:szCs w:val="16"/>
        </w:rPr>
        <w:t>B 类）扫描件（或有效的电子证书），有效身份证扫描件</w:t>
      </w:r>
      <w:r>
        <w:rPr>
          <w:rFonts w:hint="eastAsia"/>
          <w:szCs w:val="16"/>
        </w:rPr>
        <w:t>。</w:t>
      </w:r>
    </w:p>
    <w:p>
      <w:pPr>
        <w:spacing w:line="440" w:lineRule="exact"/>
        <w:ind w:firstLine="315" w:firstLineChars="150"/>
        <w:rPr>
          <w:szCs w:val="16"/>
        </w:rPr>
      </w:pPr>
      <w:r>
        <w:rPr>
          <w:rFonts w:hint="eastAsia"/>
          <w:szCs w:val="16"/>
        </w:rPr>
        <w:t>4、提供拟派本工程专职安全员具有有效期内的安全生产考核合格证（C类）或建筑施工企业专职安全生产管理人员安全生产考核合格证书（C3类）</w:t>
      </w:r>
      <w:r>
        <w:rPr>
          <w:szCs w:val="16"/>
        </w:rPr>
        <w:t>扫描件或有效的电子证书扫描件，有效身份证扫描</w:t>
      </w:r>
      <w:r>
        <w:rPr>
          <w:rFonts w:hint="eastAsia"/>
          <w:szCs w:val="16"/>
        </w:rPr>
        <w:t>件。</w:t>
      </w:r>
    </w:p>
    <w:p>
      <w:pPr>
        <w:spacing w:line="440" w:lineRule="exact"/>
        <w:ind w:firstLine="315" w:firstLineChars="150"/>
        <w:rPr>
          <w:szCs w:val="16"/>
        </w:rPr>
      </w:pPr>
      <w:r>
        <w:rPr>
          <w:rFonts w:hint="eastAsia"/>
          <w:szCs w:val="16"/>
        </w:rPr>
        <w:t>5、根据《广东省住房和城乡建设厅关于取消省外建筑企业和人员进粤信息备案有关工作的通知》粤建市〔2015〕52号规定，广东省省外企业须提供在“进粤企业和人员诚信信息登记平台”挂网的企业和人员信息网页打印件（如联合体投标的，联合体各成员均需提供）。</w:t>
      </w:r>
    </w:p>
    <w:p>
      <w:pPr>
        <w:spacing w:line="440" w:lineRule="exact"/>
        <w:ind w:firstLine="315" w:firstLineChars="150"/>
        <w:rPr>
          <w:szCs w:val="16"/>
        </w:rPr>
      </w:pPr>
      <w:r>
        <w:rPr>
          <w:rFonts w:hint="eastAsia"/>
          <w:szCs w:val="16"/>
        </w:rPr>
        <w:t>6、须提交拟派本项目的项目负责人及专职安全人</w:t>
      </w:r>
      <w:r>
        <w:rPr>
          <w:rFonts w:hint="eastAsia"/>
          <w:szCs w:val="21"/>
        </w:rPr>
        <w:t>员</w:t>
      </w:r>
      <w:r>
        <w:rPr>
          <w:rFonts w:hint="eastAsia"/>
        </w:rPr>
        <w:t>从</w:t>
      </w:r>
      <w:r>
        <w:rPr>
          <w:rFonts w:hint="eastAsia"/>
          <w:color w:val="000000" w:themeColor="text1"/>
          <w:szCs w:val="21"/>
          <w14:textFill>
            <w14:solidFill>
              <w14:schemeClr w14:val="tx1"/>
            </w14:solidFill>
          </w14:textFill>
        </w:rPr>
        <w:t>2023年</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月至2023年</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月</w:t>
      </w:r>
      <w:r>
        <w:rPr>
          <w:rFonts w:hint="eastAsia"/>
          <w:szCs w:val="21"/>
        </w:rPr>
        <w:t>连续三个月在本公司</w:t>
      </w:r>
      <w:r>
        <w:rPr>
          <w:rFonts w:hint="eastAsia"/>
        </w:rPr>
        <w:t>缴交</w:t>
      </w:r>
      <w:r>
        <w:rPr>
          <w:rFonts w:hint="eastAsia"/>
          <w:szCs w:val="21"/>
        </w:rPr>
        <w:t>的社保证明复印件（</w:t>
      </w:r>
      <w:r>
        <w:rPr>
          <w:rFonts w:hint="eastAsia"/>
          <w:szCs w:val="21"/>
          <w:lang w:eastAsia="zh-CN"/>
        </w:rPr>
        <w:t>分公司缴纳的社保予以认定，须提供购买社保的证明材料复印件</w:t>
      </w:r>
      <w:r>
        <w:rPr>
          <w:rFonts w:hint="eastAsia"/>
          <w:szCs w:val="21"/>
        </w:rPr>
        <w:t>）。</w:t>
      </w:r>
      <w:r>
        <w:rPr>
          <w:rFonts w:hint="eastAsia"/>
          <w:szCs w:val="16"/>
        </w:rPr>
        <w:t>（必须是有社保业务部门印章（或电子章）的社保证明的复印件），必须提供社保部门的查询网址，查询密码自备（如拟派本工程项目管理人员已办理退休手续，则无需提供社保证明，但需提供退休证明相关材料）。</w:t>
      </w:r>
    </w:p>
    <w:p>
      <w:pPr>
        <w:spacing w:line="440" w:lineRule="exact"/>
        <w:ind w:firstLine="315" w:firstLineChars="150"/>
        <w:rPr>
          <w:szCs w:val="16"/>
        </w:rPr>
      </w:pPr>
      <w:r>
        <w:rPr>
          <w:rFonts w:hint="eastAsia"/>
          <w:szCs w:val="16"/>
        </w:rPr>
        <w:t>7、投标保证金的《汇款凭证》（汇款凭证必须注明投标人基本账户、招标人指定账户信息、本工程名称（如名称过长可简写）、保证金金额）、投标人银行基本账户《开户许可证》复印件，或者《银行保函》原件及复印件或者保证保险原件及复印件。</w:t>
      </w:r>
    </w:p>
    <w:p>
      <w:pPr>
        <w:spacing w:line="440" w:lineRule="exact"/>
        <w:ind w:firstLine="315" w:firstLineChars="150"/>
      </w:pPr>
      <w:r>
        <w:rPr>
          <w:rFonts w:hint="eastAsia"/>
          <w:szCs w:val="16"/>
        </w:rPr>
        <w:t>中国人民银行广州分行发布了《关于广东省取消企业银行账户许可的公告》，公告要求自2020年4月28日起，企业申请变更取消许可前开立的基本存款账户、临时存款账户名称、法定代表人或单位负责人的，应当交回原开户许可证。如若有投标人在报名投标期间将原企业银行基本账户《开户许可证》交回给银行的，可不用提交投标人银行基本账户《开户许可证》复印件，但投标人须提交《基本存款账户信息》复印件或网页打印件（基本存款账户信息里必须包含有账户号码和基本存款账户编号）。</w:t>
      </w:r>
    </w:p>
    <w:p>
      <w:pPr>
        <w:spacing w:line="440" w:lineRule="exact"/>
        <w:ind w:firstLine="315" w:firstLineChars="150"/>
        <w:rPr>
          <w:szCs w:val="16"/>
        </w:rPr>
      </w:pPr>
      <w:r>
        <w:rPr>
          <w:rFonts w:hint="eastAsia"/>
          <w:szCs w:val="16"/>
        </w:rPr>
        <w:t>8、（联合体牵头人）法定代表人身份证明书和（联合体牵头人）法定代表人的有效身份证复印件参加整个招标过程的若是法人授权委托的代理人则还需提交法人授权委托书委托代理人出具</w:t>
      </w:r>
      <w:r>
        <w:rPr>
          <w:rFonts w:hint="eastAsia"/>
        </w:rPr>
        <w:t>从</w:t>
      </w:r>
      <w:r>
        <w:rPr>
          <w:rFonts w:hint="eastAsia"/>
          <w:color w:val="000000" w:themeColor="text1"/>
          <w:szCs w:val="21"/>
          <w14:textFill>
            <w14:solidFill>
              <w14:schemeClr w14:val="tx1"/>
            </w14:solidFill>
          </w14:textFill>
        </w:rPr>
        <w:t>2023年</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月至2023年</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月</w:t>
      </w:r>
      <w:r>
        <w:rPr>
          <w:rFonts w:hint="eastAsia"/>
        </w:rPr>
        <w:t>连续三个月</w:t>
      </w:r>
      <w:r>
        <w:rPr>
          <w:rFonts w:hint="eastAsia"/>
          <w:szCs w:val="21"/>
        </w:rPr>
        <w:t>在本公司</w:t>
      </w:r>
      <w:r>
        <w:rPr>
          <w:rFonts w:hint="eastAsia"/>
        </w:rPr>
        <w:t>缴交</w:t>
      </w:r>
      <w:r>
        <w:rPr>
          <w:rFonts w:hint="eastAsia"/>
          <w:szCs w:val="21"/>
        </w:rPr>
        <w:t>的社保证明复印件（</w:t>
      </w:r>
      <w:r>
        <w:rPr>
          <w:rFonts w:hint="eastAsia"/>
          <w:szCs w:val="21"/>
          <w:lang w:eastAsia="zh-CN"/>
        </w:rPr>
        <w:t>分公司缴纳的社保予以认定，须提供购买社保的证明材料复印件</w:t>
      </w:r>
      <w:r>
        <w:rPr>
          <w:rFonts w:hint="eastAsia"/>
          <w:szCs w:val="21"/>
        </w:rPr>
        <w:t>）（如法定代表人或</w:t>
      </w:r>
      <w:r>
        <w:rPr>
          <w:rFonts w:hint="eastAsia"/>
          <w:szCs w:val="16"/>
        </w:rPr>
        <w:t>授权委托的代理人</w:t>
      </w:r>
      <w:r>
        <w:rPr>
          <w:rFonts w:hint="eastAsia"/>
          <w:szCs w:val="21"/>
        </w:rPr>
        <w:t>已办理退休手续，则无需提供社保证明，但需提供退休证明相关材料）</w:t>
      </w:r>
      <w:r>
        <w:rPr>
          <w:rFonts w:hint="eastAsia"/>
          <w:szCs w:val="16"/>
        </w:rPr>
        <w:t>。</w:t>
      </w:r>
    </w:p>
    <w:p>
      <w:pPr>
        <w:spacing w:line="440" w:lineRule="exact"/>
        <w:ind w:firstLine="315" w:firstLineChars="150"/>
        <w:rPr>
          <w:szCs w:val="16"/>
        </w:rPr>
      </w:pPr>
      <w:r>
        <w:rPr>
          <w:szCs w:val="16"/>
        </w:rPr>
        <w:t>9</w:t>
      </w:r>
      <w:r>
        <w:rPr>
          <w:rFonts w:hint="eastAsia"/>
          <w:szCs w:val="16"/>
        </w:rPr>
        <w:t>、联合体协议书。（若有）</w:t>
      </w:r>
    </w:p>
    <w:p>
      <w:pPr>
        <w:spacing w:line="440" w:lineRule="exact"/>
        <w:ind w:firstLine="315" w:firstLineChars="150"/>
      </w:pPr>
      <w:r>
        <w:rPr>
          <w:rFonts w:hint="eastAsia"/>
          <w:szCs w:val="16"/>
        </w:rPr>
        <w:t>注明：（1）资格评审资料对应复印件、网页打印件、法定代表人身份证明书和授权委托书按投标文件的编制要求编制。</w:t>
      </w:r>
      <w:r>
        <w:rPr>
          <w:rFonts w:hint="eastAsia"/>
        </w:rPr>
        <w:br w:type="page"/>
      </w:r>
    </w:p>
    <w:p>
      <w:pPr>
        <w:pStyle w:val="3"/>
        <w:spacing w:line="360" w:lineRule="auto"/>
        <w:jc w:val="center"/>
        <w:rPr>
          <w:rFonts w:ascii="宋体" w:hAnsi="宋体" w:eastAsia="宋体"/>
        </w:rPr>
      </w:pPr>
      <w:bookmarkStart w:id="1080" w:name="_Toc5997"/>
      <w:bookmarkStart w:id="1081" w:name="_Toc24537"/>
      <w:bookmarkStart w:id="1082" w:name="_Toc8828"/>
      <w:bookmarkStart w:id="1083" w:name="_Toc1598"/>
      <w:bookmarkStart w:id="1084" w:name="_Toc29124"/>
      <w:bookmarkStart w:id="1085" w:name="_Toc1695"/>
      <w:bookmarkStart w:id="1086" w:name="_Toc8784"/>
      <w:bookmarkStart w:id="1087" w:name="_Toc12149"/>
      <w:bookmarkStart w:id="1088" w:name="_Toc29569"/>
      <w:bookmarkStart w:id="1089" w:name="_Toc3424"/>
      <w:bookmarkStart w:id="1090" w:name="_Toc7715"/>
      <w:bookmarkStart w:id="1091" w:name="_Toc9561"/>
      <w:r>
        <w:rPr>
          <w:rFonts w:hint="eastAsia" w:ascii="宋体" w:hAnsi="宋体" w:eastAsia="宋体"/>
        </w:rPr>
        <w:t>七、评标办法规定的其他资料</w:t>
      </w:r>
      <w:bookmarkEnd w:id="1080"/>
      <w:bookmarkEnd w:id="1081"/>
      <w:bookmarkEnd w:id="1082"/>
      <w:bookmarkEnd w:id="1083"/>
      <w:bookmarkEnd w:id="1084"/>
      <w:bookmarkEnd w:id="1085"/>
      <w:bookmarkEnd w:id="1086"/>
      <w:bookmarkEnd w:id="1087"/>
      <w:bookmarkEnd w:id="1088"/>
      <w:bookmarkEnd w:id="1089"/>
      <w:bookmarkEnd w:id="1090"/>
      <w:bookmarkEnd w:id="1091"/>
    </w:p>
    <w:p>
      <w:pPr>
        <w:spacing w:line="440" w:lineRule="exact"/>
        <w:ind w:firstLine="315" w:firstLineChars="150"/>
        <w:rPr>
          <w:szCs w:val="16"/>
        </w:rPr>
      </w:pPr>
      <w:r>
        <w:rPr>
          <w:rFonts w:hint="eastAsia"/>
          <w:szCs w:val="16"/>
        </w:rPr>
        <w:t>1、</w:t>
      </w:r>
      <w:r>
        <w:rPr>
          <w:rFonts w:hint="eastAsia"/>
          <w:szCs w:val="16"/>
          <w:lang w:eastAsia="zh-CN"/>
        </w:rPr>
        <w:t>投标人须知一览表</w:t>
      </w:r>
      <w:r>
        <w:rPr>
          <w:rFonts w:hint="eastAsia"/>
          <w:szCs w:val="16"/>
        </w:rPr>
        <w:t>规定的其他材料</w:t>
      </w:r>
    </w:p>
    <w:p>
      <w:pPr>
        <w:spacing w:line="440" w:lineRule="exact"/>
        <w:ind w:firstLine="315" w:firstLineChars="150"/>
        <w:rPr>
          <w:szCs w:val="16"/>
        </w:rPr>
      </w:pPr>
      <w:r>
        <w:rPr>
          <w:rFonts w:hint="eastAsia"/>
          <w:szCs w:val="16"/>
        </w:rPr>
        <w:t>2、投标人的自评分表</w:t>
      </w:r>
    </w:p>
    <w:p>
      <w:pPr>
        <w:pStyle w:val="17"/>
        <w:rPr>
          <w:rFonts w:ascii="Times New Roman" w:hAnsi="Times New Roman"/>
        </w:rPr>
      </w:pPr>
      <w:r>
        <w:br w:type="page"/>
      </w:r>
    </w:p>
    <w:p>
      <w:pPr>
        <w:pStyle w:val="8"/>
        <w:ind w:firstLine="0" w:firstLineChars="0"/>
        <w:jc w:val="center"/>
        <w:rPr>
          <w:b/>
          <w:bCs/>
          <w:sz w:val="44"/>
          <w:szCs w:val="44"/>
        </w:rPr>
      </w:pPr>
      <w:r>
        <w:rPr>
          <w:rFonts w:hint="eastAsia"/>
          <w:b/>
          <w:bCs/>
          <w:sz w:val="44"/>
          <w:szCs w:val="44"/>
        </w:rPr>
        <w:t>投标人的自评分表</w:t>
      </w:r>
    </w:p>
    <w:tbl>
      <w:tblPr>
        <w:tblStyle w:val="3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26"/>
        <w:gridCol w:w="1733"/>
        <w:gridCol w:w="124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1980" w:type="dxa"/>
            <w:shd w:val="clear" w:color="auto" w:fill="E6E6E6"/>
            <w:vAlign w:val="center"/>
          </w:tcPr>
          <w:p>
            <w:pPr>
              <w:jc w:val="center"/>
              <w:rPr>
                <w:b/>
                <w:bCs/>
                <w:szCs w:val="21"/>
                <w:lang w:val="en-GB"/>
              </w:rPr>
            </w:pPr>
            <w:r>
              <w:rPr>
                <w:rFonts w:hint="eastAsia"/>
                <w:b/>
                <w:bCs/>
                <w:szCs w:val="21"/>
                <w:lang w:val="en-GB"/>
              </w:rPr>
              <w:t>评分内容</w:t>
            </w:r>
          </w:p>
        </w:tc>
        <w:tc>
          <w:tcPr>
            <w:tcW w:w="2126" w:type="dxa"/>
            <w:shd w:val="clear" w:color="auto" w:fill="E6E6E6"/>
            <w:vAlign w:val="center"/>
          </w:tcPr>
          <w:p>
            <w:pPr>
              <w:jc w:val="center"/>
              <w:rPr>
                <w:b/>
                <w:bCs/>
                <w:szCs w:val="21"/>
                <w:lang w:val="en-GB"/>
              </w:rPr>
            </w:pPr>
            <w:r>
              <w:rPr>
                <w:rFonts w:hint="eastAsia"/>
                <w:b/>
                <w:bCs/>
                <w:szCs w:val="21"/>
                <w:lang w:val="en-GB"/>
              </w:rPr>
              <w:t>评审标准</w:t>
            </w:r>
          </w:p>
        </w:tc>
        <w:tc>
          <w:tcPr>
            <w:tcW w:w="1733" w:type="dxa"/>
            <w:shd w:val="clear" w:color="auto" w:fill="E6E6E6"/>
            <w:vAlign w:val="center"/>
          </w:tcPr>
          <w:p>
            <w:pPr>
              <w:jc w:val="center"/>
              <w:rPr>
                <w:b/>
                <w:bCs/>
              </w:rPr>
            </w:pPr>
            <w:r>
              <w:rPr>
                <w:rFonts w:hint="eastAsia"/>
                <w:b/>
                <w:bCs/>
              </w:rPr>
              <w:t>满分值</w:t>
            </w:r>
          </w:p>
        </w:tc>
        <w:tc>
          <w:tcPr>
            <w:tcW w:w="1244" w:type="dxa"/>
            <w:shd w:val="clear" w:color="auto" w:fill="E6E6E6"/>
            <w:vAlign w:val="center"/>
          </w:tcPr>
          <w:p>
            <w:pPr>
              <w:jc w:val="center"/>
              <w:rPr>
                <w:b/>
                <w:bCs/>
              </w:rPr>
            </w:pPr>
            <w:r>
              <w:rPr>
                <w:rFonts w:hint="eastAsia"/>
                <w:b/>
                <w:bCs/>
              </w:rPr>
              <w:t>自评分</w:t>
            </w:r>
          </w:p>
        </w:tc>
        <w:tc>
          <w:tcPr>
            <w:tcW w:w="2126" w:type="dxa"/>
            <w:shd w:val="clear" w:color="auto" w:fill="E6E6E6"/>
            <w:vAlign w:val="center"/>
          </w:tcPr>
          <w:p>
            <w:pPr>
              <w:jc w:val="center"/>
              <w:rPr>
                <w:b/>
                <w:bCs/>
                <w:szCs w:val="21"/>
                <w:lang w:val="en-GB"/>
              </w:rPr>
            </w:pPr>
            <w:r>
              <w:rPr>
                <w:rFonts w:hint="eastAsia"/>
                <w:b/>
                <w:bCs/>
                <w:szCs w:val="21"/>
                <w:lang w:val="en-GB"/>
              </w:rPr>
              <w:t>资料所在页码范围（必填项）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tabs>
                <w:tab w:val="left" w:pos="360"/>
              </w:tabs>
              <w:snapToGrid w:val="0"/>
              <w:jc w:val="center"/>
              <w:rPr>
                <w:szCs w:val="21"/>
              </w:rPr>
            </w:pP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tabs>
                <w:tab w:val="left" w:pos="360"/>
              </w:tabs>
              <w:snapToGrid w:val="0"/>
              <w:jc w:val="center"/>
              <w:rPr>
                <w:szCs w:val="21"/>
              </w:rPr>
            </w:pP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tabs>
                <w:tab w:val="left" w:pos="360"/>
              </w:tabs>
              <w:snapToGrid w:val="0"/>
              <w:jc w:val="center"/>
              <w:rPr>
                <w:szCs w:val="21"/>
              </w:rPr>
            </w:pP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tabs>
                <w:tab w:val="left" w:pos="360"/>
              </w:tabs>
              <w:snapToGrid w:val="0"/>
              <w:jc w:val="center"/>
              <w:rPr>
                <w:szCs w:val="21"/>
              </w:rPr>
            </w:pP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tabs>
                <w:tab w:val="left" w:pos="360"/>
              </w:tabs>
              <w:snapToGrid w:val="0"/>
              <w:jc w:val="center"/>
              <w:rPr>
                <w:szCs w:val="21"/>
              </w:rPr>
            </w:pP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980" w:type="dxa"/>
            <w:vAlign w:val="center"/>
          </w:tcPr>
          <w:p>
            <w:pPr>
              <w:widowControl/>
              <w:jc w:val="center"/>
              <w:rPr>
                <w:szCs w:val="21"/>
              </w:rPr>
            </w:pPr>
            <w:r>
              <w:rPr>
                <w:rFonts w:hint="eastAsia"/>
                <w:szCs w:val="21"/>
              </w:rPr>
              <w:t>…</w:t>
            </w:r>
          </w:p>
        </w:tc>
        <w:tc>
          <w:tcPr>
            <w:tcW w:w="2126" w:type="dxa"/>
            <w:vAlign w:val="center"/>
          </w:tcPr>
          <w:p>
            <w:pPr>
              <w:tabs>
                <w:tab w:val="left" w:pos="360"/>
              </w:tabs>
              <w:snapToGrid w:val="0"/>
              <w:rPr>
                <w:szCs w:val="21"/>
              </w:rPr>
            </w:pPr>
          </w:p>
        </w:tc>
        <w:tc>
          <w:tcPr>
            <w:tcW w:w="1733" w:type="dxa"/>
            <w:vAlign w:val="center"/>
          </w:tcPr>
          <w:p>
            <w:pPr>
              <w:ind w:left="-134" w:leftChars="-64" w:right="-105" w:rightChars="-50"/>
              <w:jc w:val="center"/>
              <w:rPr>
                <w:szCs w:val="21"/>
              </w:rPr>
            </w:pPr>
          </w:p>
        </w:tc>
        <w:tc>
          <w:tcPr>
            <w:tcW w:w="1244" w:type="dxa"/>
          </w:tcPr>
          <w:p>
            <w:pPr>
              <w:ind w:left="-134" w:leftChars="-64" w:right="-105" w:rightChars="-50"/>
              <w:jc w:val="center"/>
              <w:rPr>
                <w:szCs w:val="21"/>
              </w:rPr>
            </w:pPr>
          </w:p>
        </w:tc>
        <w:tc>
          <w:tcPr>
            <w:tcW w:w="2126" w:type="dxa"/>
            <w:vAlign w:val="center"/>
          </w:tcPr>
          <w:p>
            <w:pPr>
              <w:ind w:left="-134" w:leftChars="-64" w:right="-105" w:rightChars="-50"/>
              <w:jc w:val="center"/>
              <w:rPr>
                <w:szCs w:val="21"/>
              </w:rPr>
            </w:pPr>
          </w:p>
        </w:tc>
      </w:tr>
    </w:tbl>
    <w:p>
      <w:pPr>
        <w:spacing w:line="360" w:lineRule="auto"/>
      </w:pPr>
    </w:p>
    <w:p>
      <w:pPr>
        <w:spacing w:line="360" w:lineRule="auto"/>
      </w:pPr>
      <w:r>
        <w:rPr>
          <w:rFonts w:hint="eastAsia"/>
        </w:rPr>
        <w:t>注：1、投标人可根据投标内容对上述表格作适当调整。</w:t>
      </w:r>
    </w:p>
    <w:p>
      <w:pPr>
        <w:pStyle w:val="17"/>
        <w:rPr>
          <w:rFonts w:hAnsi="宋体" w:cs="宋体"/>
          <w:b/>
          <w:bCs/>
          <w:sz w:val="32"/>
          <w:szCs w:val="32"/>
        </w:rPr>
      </w:pPr>
      <w:r>
        <w:rPr>
          <w:rFonts w:hint="eastAsia"/>
        </w:rPr>
        <w:t xml:space="preserve"> </w:t>
      </w:r>
      <w:r>
        <w:t xml:space="preserve">   </w:t>
      </w:r>
    </w:p>
    <w:p>
      <w:pPr>
        <w:pStyle w:val="3"/>
        <w:spacing w:line="360" w:lineRule="auto"/>
        <w:jc w:val="center"/>
        <w:rPr>
          <w:rFonts w:ascii="宋体" w:hAnsi="宋体" w:eastAsia="宋体"/>
        </w:rPr>
      </w:pPr>
      <w:r>
        <w:rPr>
          <w:rFonts w:hint="eastAsia" w:ascii="宋体" w:hAnsi="宋体" w:eastAsia="宋体"/>
        </w:rPr>
        <w:br w:type="page"/>
      </w:r>
      <w:bookmarkStart w:id="1092" w:name="_Toc2842"/>
      <w:bookmarkStart w:id="1093" w:name="_Toc10626"/>
      <w:bookmarkStart w:id="1094" w:name="_Toc1770"/>
      <w:bookmarkStart w:id="1095" w:name="_Toc657"/>
      <w:bookmarkStart w:id="1096" w:name="_Toc16698"/>
      <w:bookmarkStart w:id="1097" w:name="_Toc20177"/>
      <w:bookmarkStart w:id="1098" w:name="_Toc5485"/>
      <w:bookmarkStart w:id="1099" w:name="_Toc10387"/>
      <w:bookmarkStart w:id="1100" w:name="_Toc6819"/>
      <w:bookmarkStart w:id="1101" w:name="_Toc7709"/>
      <w:bookmarkStart w:id="1102" w:name="_Toc18863"/>
      <w:bookmarkStart w:id="1103" w:name="_Toc1762"/>
      <w:bookmarkStart w:id="1104" w:name="_Toc27591"/>
      <w:bookmarkStart w:id="1105" w:name="_Toc852"/>
      <w:bookmarkStart w:id="1106" w:name="_Toc19564"/>
      <w:bookmarkStart w:id="1107" w:name="_Toc20185"/>
      <w:bookmarkStart w:id="1108" w:name="_Toc17295"/>
      <w:bookmarkStart w:id="1109" w:name="_Toc27550"/>
      <w:bookmarkStart w:id="1110" w:name="_Toc24752"/>
      <w:bookmarkStart w:id="1111" w:name="_Toc27126"/>
      <w:bookmarkStart w:id="1112" w:name="_Toc20799"/>
      <w:bookmarkStart w:id="1113" w:name="_Toc15369"/>
      <w:bookmarkStart w:id="1114" w:name="_Toc27935"/>
      <w:bookmarkStart w:id="1115" w:name="_Toc29522"/>
      <w:bookmarkStart w:id="1116" w:name="_Toc25910"/>
      <w:bookmarkStart w:id="1117" w:name="_Toc32034"/>
      <w:bookmarkStart w:id="1118" w:name="_Toc21831"/>
      <w:bookmarkStart w:id="1119" w:name="_Toc459914479"/>
      <w:bookmarkStart w:id="1120" w:name="_Toc12048"/>
      <w:r>
        <w:rPr>
          <w:rFonts w:hint="eastAsia" w:ascii="宋体" w:hAnsi="宋体" w:eastAsia="宋体"/>
        </w:rPr>
        <w:t>八、施工组织设计方案</w:t>
      </w:r>
      <w:bookmarkEnd w:id="1092"/>
      <w:bookmarkEnd w:id="1093"/>
      <w:bookmarkEnd w:id="1094"/>
      <w:bookmarkEnd w:id="1095"/>
      <w:bookmarkEnd w:id="1096"/>
      <w:bookmarkEnd w:id="1097"/>
      <w:bookmarkEnd w:id="1098"/>
      <w:bookmarkEnd w:id="1099"/>
      <w:bookmarkEnd w:id="1100"/>
      <w:bookmarkEnd w:id="1101"/>
      <w:bookmarkEnd w:id="1102"/>
      <w:bookmarkEnd w:id="1103"/>
    </w:p>
    <w:p/>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Pr>
        <w:spacing w:line="360" w:lineRule="auto"/>
        <w:ind w:firstLine="420" w:firstLineChars="200"/>
      </w:pPr>
      <w:r>
        <w:rPr>
          <w:rFonts w:hint="eastAsia"/>
        </w:rPr>
        <w:t>1、投标人编制施工组织设计的要求：编制的施工组织设计根据评标办法附表2：施工部分评分标准（2）</w:t>
      </w:r>
      <w:r>
        <w:rPr>
          <w:rFonts w:hint="eastAsia"/>
          <w:bCs/>
          <w:szCs w:val="21"/>
        </w:rPr>
        <w:t>技术</w:t>
      </w:r>
      <w:r>
        <w:rPr>
          <w:bCs/>
          <w:szCs w:val="21"/>
        </w:rPr>
        <w:t>部</w:t>
      </w:r>
      <w:r>
        <w:rPr>
          <w:rFonts w:hint="eastAsia"/>
          <w:bCs/>
          <w:szCs w:val="21"/>
        </w:rPr>
        <w:t>分</w:t>
      </w:r>
      <w:r>
        <w:rPr>
          <w:rFonts w:hint="eastAsia"/>
        </w:rPr>
        <w:t>要求编制。（文字宜精炼、内容具有针对性，页码限制300页以内（含300页）双面打印按两页计算）。</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pPr>
    </w:p>
    <w:sectPr>
      <w:pgSz w:w="11906" w:h="16838"/>
      <w:pgMar w:top="1440" w:right="1474" w:bottom="1440" w:left="1531"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PMingLiU">
    <w:altName w:val="Microsoft JhengHei"/>
    <w:panose1 w:val="02010601000101010101"/>
    <w:charset w:val="88"/>
    <w:family w:val="roman"/>
    <w:pitch w:val="default"/>
    <w:sig w:usb0="00000000" w:usb1="00000000" w:usb2="00000016" w:usb3="00000000" w:csb0="00100001" w:csb1="00000000"/>
  </w:font>
  <w:font w:name="MingLiU">
    <w:altName w:val="Microsoft JhengHei"/>
    <w:panose1 w:val="02010609000101010101"/>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10</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mc:AlternateContent>
        <mc:Choice Requires="wps">
          <w:drawing>
            <wp:anchor distT="0" distB="0" distL="114300" distR="114300" simplePos="0" relativeHeight="251659264" behindDoc="0" locked="0" layoutInCell="1" allowOverlap="1">
              <wp:simplePos x="0" y="0"/>
              <wp:positionH relativeFrom="margin">
                <wp:posOffset>2503805</wp:posOffset>
              </wp:positionH>
              <wp:positionV relativeFrom="paragraph">
                <wp:posOffset>-3175</wp:posOffset>
              </wp:positionV>
              <wp:extent cx="474345" cy="1828800"/>
              <wp:effectExtent l="0" t="0" r="1905" b="11430"/>
              <wp:wrapNone/>
              <wp:docPr id="2" name="文本框 2"/>
              <wp:cNvGraphicFramePr/>
              <a:graphic xmlns:a="http://schemas.openxmlformats.org/drawingml/2006/main">
                <a:graphicData uri="http://schemas.microsoft.com/office/word/2010/wordprocessingShape">
                  <wps:wsp>
                    <wps:cNvSpPr txBox="1"/>
                    <wps:spPr>
                      <a:xfrm>
                        <a:off x="0" y="0"/>
                        <a:ext cx="474452" cy="1828800"/>
                      </a:xfrm>
                      <a:prstGeom prst="rect">
                        <a:avLst/>
                      </a:prstGeom>
                      <a:noFill/>
                      <a:ln w="6350">
                        <a:noFill/>
                      </a:ln>
                      <a:effectLst/>
                    </wps:spPr>
                    <wps:txbx>
                      <w:txbxContent>
                        <w:p>
                          <w:pPr>
                            <w:ind w:firstLine="36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7.15pt;margin-top:-0.25pt;height:144pt;width:37.35pt;mso-position-horizontal-relative:margin;z-index:251659264;mso-width-relative:page;mso-height-relative:page;" filled="f" stroked="f" coordsize="21600,21600" o:gfxdata="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0f8gdgAAAAJAQAADwAAAAAAAAABACAAAAAiAAAAZHJzL2Rv&#10;d25yZXYueG1sUEsBAhQAFAAAAAgAh07iQHm680M6AgAAZAQAAA4AAAAAAAAAAQAgAAAAJwEAAGRy&#10;cy9lMm9Eb2MueG1sUEsFBgAAAAAGAAYAWQEAANMFAAAAAA==&#10;">
              <v:fill on="f" focussize="0,0"/>
              <v:stroke on="f" weight="0.5pt"/>
              <v:imagedata o:title=""/>
              <o:lock v:ext="edit" aspectratio="f"/>
              <v:textbox inset="0mm,0mm,0mm,0mm" style="mso-fit-shape-to-text:t;">
                <w:txbxContent>
                  <w:p>
                    <w:pPr>
                      <w:ind w:firstLine="36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56BA3"/>
    <w:multiLevelType w:val="singleLevel"/>
    <w:tmpl w:val="86D56BA3"/>
    <w:lvl w:ilvl="0" w:tentative="0">
      <w:start w:val="1"/>
      <w:numFmt w:val="decimal"/>
      <w:suff w:val="space"/>
      <w:lvlText w:val="%1、"/>
      <w:lvlJc w:val="left"/>
    </w:lvl>
  </w:abstractNum>
  <w:abstractNum w:abstractNumId="1">
    <w:nsid w:val="9A9A7437"/>
    <w:multiLevelType w:val="singleLevel"/>
    <w:tmpl w:val="9A9A7437"/>
    <w:lvl w:ilvl="0" w:tentative="0">
      <w:start w:val="6"/>
      <w:numFmt w:val="decimal"/>
      <w:suff w:val="nothing"/>
      <w:lvlText w:val="%1、"/>
      <w:lvlJc w:val="left"/>
    </w:lvl>
  </w:abstractNum>
  <w:abstractNum w:abstractNumId="2">
    <w:nsid w:val="17E51A90"/>
    <w:multiLevelType w:val="singleLevel"/>
    <w:tmpl w:val="17E51A90"/>
    <w:lvl w:ilvl="0" w:tentative="0">
      <w:start w:val="3"/>
      <w:numFmt w:val="chineseCounting"/>
      <w:suff w:val="space"/>
      <w:lvlText w:val="第%1章"/>
      <w:lvlJc w:val="left"/>
      <w:rPr>
        <w:rFonts w:hint="eastAsia"/>
      </w:rPr>
    </w:lvl>
  </w:abstractNum>
  <w:abstractNum w:abstractNumId="3">
    <w:nsid w:val="49E8182F"/>
    <w:multiLevelType w:val="singleLevel"/>
    <w:tmpl w:val="49E8182F"/>
    <w:lvl w:ilvl="0" w:tentative="0">
      <w:start w:val="2"/>
      <w:numFmt w:val="chineseCounting"/>
      <w:suff w:val="nothing"/>
      <w:lvlText w:val="%1、"/>
      <w:lvlJc w:val="left"/>
      <w:rPr>
        <w:rFonts w:hint="eastAsia"/>
      </w:rPr>
    </w:lvl>
  </w:abstractNum>
  <w:abstractNum w:abstractNumId="4">
    <w:nsid w:val="4A6A5E2C"/>
    <w:multiLevelType w:val="singleLevel"/>
    <w:tmpl w:val="4A6A5E2C"/>
    <w:lvl w:ilvl="0" w:tentative="0">
      <w:start w:val="5"/>
      <w:numFmt w:val="chineseCounting"/>
      <w:suff w:val="nothing"/>
      <w:lvlText w:val="%1、"/>
      <w:lvlJc w:val="left"/>
      <w:rPr>
        <w:rFonts w:hint="eastAsia"/>
      </w:rPr>
    </w:lvl>
  </w:abstractNum>
  <w:abstractNum w:abstractNumId="5">
    <w:nsid w:val="757E118E"/>
    <w:multiLevelType w:val="singleLevel"/>
    <w:tmpl w:val="757E118E"/>
    <w:lvl w:ilvl="0" w:tentative="0">
      <w:start w:val="1"/>
      <w:numFmt w:val="chineseCounting"/>
      <w:suff w:val="space"/>
      <w:lvlText w:val="第%1章"/>
      <w:lvlJc w:val="left"/>
      <w:rPr>
        <w:rFonts w:hint="eastAsia"/>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mNDg2MDA1YTAyNzExZDg1NTkyNzZhYjQzOGI2MzkifQ=="/>
  </w:docVars>
  <w:rsids>
    <w:rsidRoot w:val="682712E4"/>
    <w:rsid w:val="00001BC2"/>
    <w:rsid w:val="000037F1"/>
    <w:rsid w:val="00004584"/>
    <w:rsid w:val="00004ACB"/>
    <w:rsid w:val="00013553"/>
    <w:rsid w:val="00015FE9"/>
    <w:rsid w:val="0002152B"/>
    <w:rsid w:val="00021D40"/>
    <w:rsid w:val="00022D4B"/>
    <w:rsid w:val="0003124C"/>
    <w:rsid w:val="00032437"/>
    <w:rsid w:val="00033AA9"/>
    <w:rsid w:val="00035522"/>
    <w:rsid w:val="0003586E"/>
    <w:rsid w:val="00035C16"/>
    <w:rsid w:val="00035F7D"/>
    <w:rsid w:val="00040652"/>
    <w:rsid w:val="00047FB6"/>
    <w:rsid w:val="000579F4"/>
    <w:rsid w:val="00061497"/>
    <w:rsid w:val="00063ADC"/>
    <w:rsid w:val="00065301"/>
    <w:rsid w:val="00073CDA"/>
    <w:rsid w:val="0007651D"/>
    <w:rsid w:val="00085357"/>
    <w:rsid w:val="000948C6"/>
    <w:rsid w:val="00094C92"/>
    <w:rsid w:val="00095484"/>
    <w:rsid w:val="00097D75"/>
    <w:rsid w:val="00097FED"/>
    <w:rsid w:val="000A4EAE"/>
    <w:rsid w:val="000A651E"/>
    <w:rsid w:val="000B0B14"/>
    <w:rsid w:val="000B3907"/>
    <w:rsid w:val="000B5BC7"/>
    <w:rsid w:val="000C054A"/>
    <w:rsid w:val="000C1558"/>
    <w:rsid w:val="000C2CE2"/>
    <w:rsid w:val="000D4326"/>
    <w:rsid w:val="000D6DB2"/>
    <w:rsid w:val="000E2D4B"/>
    <w:rsid w:val="000F1B38"/>
    <w:rsid w:val="000F20DB"/>
    <w:rsid w:val="000F38F0"/>
    <w:rsid w:val="000F74F0"/>
    <w:rsid w:val="001065B4"/>
    <w:rsid w:val="0010745B"/>
    <w:rsid w:val="0011480C"/>
    <w:rsid w:val="00115FF1"/>
    <w:rsid w:val="00117AC1"/>
    <w:rsid w:val="0012340E"/>
    <w:rsid w:val="00125414"/>
    <w:rsid w:val="00125661"/>
    <w:rsid w:val="001331A2"/>
    <w:rsid w:val="0013333F"/>
    <w:rsid w:val="001345A2"/>
    <w:rsid w:val="001372F6"/>
    <w:rsid w:val="00147EE7"/>
    <w:rsid w:val="00150CB0"/>
    <w:rsid w:val="001562D9"/>
    <w:rsid w:val="00161BDF"/>
    <w:rsid w:val="00162619"/>
    <w:rsid w:val="00163D02"/>
    <w:rsid w:val="001727F1"/>
    <w:rsid w:val="00174106"/>
    <w:rsid w:val="0017527E"/>
    <w:rsid w:val="0018095C"/>
    <w:rsid w:val="00190402"/>
    <w:rsid w:val="00191477"/>
    <w:rsid w:val="0019312C"/>
    <w:rsid w:val="001945B0"/>
    <w:rsid w:val="00194DD8"/>
    <w:rsid w:val="001954B7"/>
    <w:rsid w:val="00195A4D"/>
    <w:rsid w:val="001A1ABD"/>
    <w:rsid w:val="001A2517"/>
    <w:rsid w:val="001A5699"/>
    <w:rsid w:val="001A65EC"/>
    <w:rsid w:val="001B0E57"/>
    <w:rsid w:val="001C682A"/>
    <w:rsid w:val="001C77D0"/>
    <w:rsid w:val="001D0DBF"/>
    <w:rsid w:val="001D0E29"/>
    <w:rsid w:val="001D5270"/>
    <w:rsid w:val="001D621F"/>
    <w:rsid w:val="001E3538"/>
    <w:rsid w:val="001E5650"/>
    <w:rsid w:val="001E5E46"/>
    <w:rsid w:val="001E5FDE"/>
    <w:rsid w:val="001F5B1C"/>
    <w:rsid w:val="002126E6"/>
    <w:rsid w:val="0021383C"/>
    <w:rsid w:val="00217510"/>
    <w:rsid w:val="00220AF1"/>
    <w:rsid w:val="00222E13"/>
    <w:rsid w:val="00231262"/>
    <w:rsid w:val="002331E4"/>
    <w:rsid w:val="002404AC"/>
    <w:rsid w:val="0024704F"/>
    <w:rsid w:val="00251CD7"/>
    <w:rsid w:val="002555BD"/>
    <w:rsid w:val="002568B0"/>
    <w:rsid w:val="00262940"/>
    <w:rsid w:val="00270E12"/>
    <w:rsid w:val="00270F8E"/>
    <w:rsid w:val="002771EA"/>
    <w:rsid w:val="002822B3"/>
    <w:rsid w:val="002839F7"/>
    <w:rsid w:val="00284491"/>
    <w:rsid w:val="00285B97"/>
    <w:rsid w:val="00285C7C"/>
    <w:rsid w:val="002927D3"/>
    <w:rsid w:val="00294206"/>
    <w:rsid w:val="002A54CA"/>
    <w:rsid w:val="002B23B3"/>
    <w:rsid w:val="002D21B5"/>
    <w:rsid w:val="002D2BBB"/>
    <w:rsid w:val="002E0442"/>
    <w:rsid w:val="002E33C6"/>
    <w:rsid w:val="002E5BBF"/>
    <w:rsid w:val="002E7431"/>
    <w:rsid w:val="002F00C8"/>
    <w:rsid w:val="002F00F5"/>
    <w:rsid w:val="002F17FE"/>
    <w:rsid w:val="002F1DB6"/>
    <w:rsid w:val="002F2679"/>
    <w:rsid w:val="002F4955"/>
    <w:rsid w:val="0030045A"/>
    <w:rsid w:val="00303F4B"/>
    <w:rsid w:val="0030479F"/>
    <w:rsid w:val="00317A02"/>
    <w:rsid w:val="00322579"/>
    <w:rsid w:val="00322D34"/>
    <w:rsid w:val="00323014"/>
    <w:rsid w:val="003344DD"/>
    <w:rsid w:val="00336D75"/>
    <w:rsid w:val="00337EC2"/>
    <w:rsid w:val="00350479"/>
    <w:rsid w:val="00350718"/>
    <w:rsid w:val="00353AE5"/>
    <w:rsid w:val="003551A6"/>
    <w:rsid w:val="00356187"/>
    <w:rsid w:val="003606EF"/>
    <w:rsid w:val="00361D25"/>
    <w:rsid w:val="003715DC"/>
    <w:rsid w:val="0038299A"/>
    <w:rsid w:val="00383F80"/>
    <w:rsid w:val="00384369"/>
    <w:rsid w:val="00390608"/>
    <w:rsid w:val="003922F6"/>
    <w:rsid w:val="0039256C"/>
    <w:rsid w:val="00394B08"/>
    <w:rsid w:val="00394EF1"/>
    <w:rsid w:val="003A1991"/>
    <w:rsid w:val="003B01C6"/>
    <w:rsid w:val="003B1162"/>
    <w:rsid w:val="003B20B0"/>
    <w:rsid w:val="003B5447"/>
    <w:rsid w:val="003B782F"/>
    <w:rsid w:val="003C03C8"/>
    <w:rsid w:val="003C2D42"/>
    <w:rsid w:val="003C5136"/>
    <w:rsid w:val="003C6C19"/>
    <w:rsid w:val="003D3805"/>
    <w:rsid w:val="003D4ED1"/>
    <w:rsid w:val="003D5D76"/>
    <w:rsid w:val="003D5DF3"/>
    <w:rsid w:val="003E454C"/>
    <w:rsid w:val="003E7331"/>
    <w:rsid w:val="003F0C72"/>
    <w:rsid w:val="00405F29"/>
    <w:rsid w:val="0040693E"/>
    <w:rsid w:val="00414A21"/>
    <w:rsid w:val="00414AA4"/>
    <w:rsid w:val="00414E6D"/>
    <w:rsid w:val="004154B5"/>
    <w:rsid w:val="004200F7"/>
    <w:rsid w:val="00422CBD"/>
    <w:rsid w:val="00427C64"/>
    <w:rsid w:val="00430D54"/>
    <w:rsid w:val="004315E9"/>
    <w:rsid w:val="00437650"/>
    <w:rsid w:val="00441998"/>
    <w:rsid w:val="004443FD"/>
    <w:rsid w:val="004473D6"/>
    <w:rsid w:val="00456C74"/>
    <w:rsid w:val="00463215"/>
    <w:rsid w:val="004663E6"/>
    <w:rsid w:val="00486647"/>
    <w:rsid w:val="00486804"/>
    <w:rsid w:val="00487132"/>
    <w:rsid w:val="00491344"/>
    <w:rsid w:val="004954F8"/>
    <w:rsid w:val="004A0357"/>
    <w:rsid w:val="004A2389"/>
    <w:rsid w:val="004A4614"/>
    <w:rsid w:val="004A6517"/>
    <w:rsid w:val="004B184F"/>
    <w:rsid w:val="004B5BEB"/>
    <w:rsid w:val="004B6ED5"/>
    <w:rsid w:val="004B74AB"/>
    <w:rsid w:val="004C3EAF"/>
    <w:rsid w:val="004D1272"/>
    <w:rsid w:val="004D3BE3"/>
    <w:rsid w:val="004D7642"/>
    <w:rsid w:val="004E4159"/>
    <w:rsid w:val="004E4CDA"/>
    <w:rsid w:val="004E6CF7"/>
    <w:rsid w:val="004E7892"/>
    <w:rsid w:val="004F67E1"/>
    <w:rsid w:val="004F6BEB"/>
    <w:rsid w:val="004F7C73"/>
    <w:rsid w:val="005019BC"/>
    <w:rsid w:val="005028FE"/>
    <w:rsid w:val="00505129"/>
    <w:rsid w:val="005066C7"/>
    <w:rsid w:val="00507CA1"/>
    <w:rsid w:val="005113CC"/>
    <w:rsid w:val="00512224"/>
    <w:rsid w:val="00513C79"/>
    <w:rsid w:val="00514CFA"/>
    <w:rsid w:val="005218BA"/>
    <w:rsid w:val="005244D9"/>
    <w:rsid w:val="0052625B"/>
    <w:rsid w:val="00526335"/>
    <w:rsid w:val="00531653"/>
    <w:rsid w:val="0053266E"/>
    <w:rsid w:val="00543009"/>
    <w:rsid w:val="005446FE"/>
    <w:rsid w:val="00546702"/>
    <w:rsid w:val="00550454"/>
    <w:rsid w:val="005542BB"/>
    <w:rsid w:val="00557A8C"/>
    <w:rsid w:val="00562B64"/>
    <w:rsid w:val="005634B2"/>
    <w:rsid w:val="00563C99"/>
    <w:rsid w:val="00565E23"/>
    <w:rsid w:val="00583CFB"/>
    <w:rsid w:val="00594C3D"/>
    <w:rsid w:val="005959B2"/>
    <w:rsid w:val="005A0157"/>
    <w:rsid w:val="005A12CD"/>
    <w:rsid w:val="005A7AEC"/>
    <w:rsid w:val="005B32FA"/>
    <w:rsid w:val="005B3C7F"/>
    <w:rsid w:val="005B4B95"/>
    <w:rsid w:val="005B5435"/>
    <w:rsid w:val="005B64B9"/>
    <w:rsid w:val="005C2E17"/>
    <w:rsid w:val="005C493E"/>
    <w:rsid w:val="005C7A19"/>
    <w:rsid w:val="005D3BBD"/>
    <w:rsid w:val="005D3D41"/>
    <w:rsid w:val="005D6D0C"/>
    <w:rsid w:val="005E2C79"/>
    <w:rsid w:val="005E3173"/>
    <w:rsid w:val="005E32EE"/>
    <w:rsid w:val="005E573D"/>
    <w:rsid w:val="005E7F1F"/>
    <w:rsid w:val="005F6ABA"/>
    <w:rsid w:val="006009BF"/>
    <w:rsid w:val="00600C84"/>
    <w:rsid w:val="006018AC"/>
    <w:rsid w:val="006049D9"/>
    <w:rsid w:val="00605E3F"/>
    <w:rsid w:val="00607E4F"/>
    <w:rsid w:val="006119D7"/>
    <w:rsid w:val="00621F75"/>
    <w:rsid w:val="006225E6"/>
    <w:rsid w:val="00631A0D"/>
    <w:rsid w:val="00631FE0"/>
    <w:rsid w:val="006401AD"/>
    <w:rsid w:val="006402FF"/>
    <w:rsid w:val="00641930"/>
    <w:rsid w:val="0064266D"/>
    <w:rsid w:val="00647298"/>
    <w:rsid w:val="006506CD"/>
    <w:rsid w:val="00651102"/>
    <w:rsid w:val="00651E04"/>
    <w:rsid w:val="00653934"/>
    <w:rsid w:val="00663513"/>
    <w:rsid w:val="00684BF5"/>
    <w:rsid w:val="006914ED"/>
    <w:rsid w:val="006B0651"/>
    <w:rsid w:val="006B263A"/>
    <w:rsid w:val="006B27CE"/>
    <w:rsid w:val="006B32C3"/>
    <w:rsid w:val="006B48CF"/>
    <w:rsid w:val="006B7594"/>
    <w:rsid w:val="006C0BDD"/>
    <w:rsid w:val="006C5863"/>
    <w:rsid w:val="006D31F5"/>
    <w:rsid w:val="006E58AB"/>
    <w:rsid w:val="006E61A1"/>
    <w:rsid w:val="006F7E27"/>
    <w:rsid w:val="007049BC"/>
    <w:rsid w:val="0071184B"/>
    <w:rsid w:val="00711FEC"/>
    <w:rsid w:val="00712339"/>
    <w:rsid w:val="007204C6"/>
    <w:rsid w:val="00720798"/>
    <w:rsid w:val="00723B57"/>
    <w:rsid w:val="00725CE6"/>
    <w:rsid w:val="00732754"/>
    <w:rsid w:val="00734A9D"/>
    <w:rsid w:val="007365ED"/>
    <w:rsid w:val="0074085F"/>
    <w:rsid w:val="007463A0"/>
    <w:rsid w:val="00757788"/>
    <w:rsid w:val="00763CF5"/>
    <w:rsid w:val="0076647B"/>
    <w:rsid w:val="007700DF"/>
    <w:rsid w:val="00772B1D"/>
    <w:rsid w:val="007924FC"/>
    <w:rsid w:val="00792C7C"/>
    <w:rsid w:val="007963D2"/>
    <w:rsid w:val="007A6A6A"/>
    <w:rsid w:val="007B036E"/>
    <w:rsid w:val="007B0F76"/>
    <w:rsid w:val="007C51CF"/>
    <w:rsid w:val="007C5E28"/>
    <w:rsid w:val="007C7534"/>
    <w:rsid w:val="007D4E19"/>
    <w:rsid w:val="007D6540"/>
    <w:rsid w:val="007E1269"/>
    <w:rsid w:val="007E1337"/>
    <w:rsid w:val="007E3A00"/>
    <w:rsid w:val="007F0BAF"/>
    <w:rsid w:val="007F29D6"/>
    <w:rsid w:val="00804C26"/>
    <w:rsid w:val="00804D4C"/>
    <w:rsid w:val="00807146"/>
    <w:rsid w:val="00815234"/>
    <w:rsid w:val="00820DC0"/>
    <w:rsid w:val="00827F96"/>
    <w:rsid w:val="008307FB"/>
    <w:rsid w:val="00831861"/>
    <w:rsid w:val="00835DF5"/>
    <w:rsid w:val="008360DA"/>
    <w:rsid w:val="00845C6E"/>
    <w:rsid w:val="008468D7"/>
    <w:rsid w:val="008500FF"/>
    <w:rsid w:val="00852809"/>
    <w:rsid w:val="00852DF9"/>
    <w:rsid w:val="00855671"/>
    <w:rsid w:val="008625C1"/>
    <w:rsid w:val="00870AB7"/>
    <w:rsid w:val="008749E8"/>
    <w:rsid w:val="0087509A"/>
    <w:rsid w:val="00893B46"/>
    <w:rsid w:val="00893C8A"/>
    <w:rsid w:val="008A1BC3"/>
    <w:rsid w:val="008A56B9"/>
    <w:rsid w:val="008C19D3"/>
    <w:rsid w:val="008C43DD"/>
    <w:rsid w:val="008C5E38"/>
    <w:rsid w:val="008D1FAF"/>
    <w:rsid w:val="009001C1"/>
    <w:rsid w:val="00907457"/>
    <w:rsid w:val="00912C8F"/>
    <w:rsid w:val="00913155"/>
    <w:rsid w:val="00917DEC"/>
    <w:rsid w:val="009235C6"/>
    <w:rsid w:val="009255A7"/>
    <w:rsid w:val="00930563"/>
    <w:rsid w:val="009307FF"/>
    <w:rsid w:val="00945B77"/>
    <w:rsid w:val="00952881"/>
    <w:rsid w:val="00956106"/>
    <w:rsid w:val="00962CFD"/>
    <w:rsid w:val="00970B25"/>
    <w:rsid w:val="00970F9B"/>
    <w:rsid w:val="00971CC8"/>
    <w:rsid w:val="00972B5B"/>
    <w:rsid w:val="009805FA"/>
    <w:rsid w:val="0098253C"/>
    <w:rsid w:val="0098488D"/>
    <w:rsid w:val="009859E9"/>
    <w:rsid w:val="00990A0A"/>
    <w:rsid w:val="009927A2"/>
    <w:rsid w:val="00992D12"/>
    <w:rsid w:val="00993E54"/>
    <w:rsid w:val="00996D6A"/>
    <w:rsid w:val="009A1662"/>
    <w:rsid w:val="009A4BBD"/>
    <w:rsid w:val="009B27EB"/>
    <w:rsid w:val="009C36D5"/>
    <w:rsid w:val="009C62D5"/>
    <w:rsid w:val="009C7757"/>
    <w:rsid w:val="009E07E7"/>
    <w:rsid w:val="009E5942"/>
    <w:rsid w:val="009F199C"/>
    <w:rsid w:val="009F2B2D"/>
    <w:rsid w:val="009F55D7"/>
    <w:rsid w:val="009F6565"/>
    <w:rsid w:val="009F76CC"/>
    <w:rsid w:val="00A02347"/>
    <w:rsid w:val="00A03F22"/>
    <w:rsid w:val="00A05AD2"/>
    <w:rsid w:val="00A06177"/>
    <w:rsid w:val="00A07DF9"/>
    <w:rsid w:val="00A11432"/>
    <w:rsid w:val="00A13252"/>
    <w:rsid w:val="00A15818"/>
    <w:rsid w:val="00A233C4"/>
    <w:rsid w:val="00A2774F"/>
    <w:rsid w:val="00A3191C"/>
    <w:rsid w:val="00A319D4"/>
    <w:rsid w:val="00A32377"/>
    <w:rsid w:val="00A35F57"/>
    <w:rsid w:val="00A4450C"/>
    <w:rsid w:val="00A460F4"/>
    <w:rsid w:val="00A4664F"/>
    <w:rsid w:val="00A504DB"/>
    <w:rsid w:val="00A531A1"/>
    <w:rsid w:val="00A559C3"/>
    <w:rsid w:val="00A55FD5"/>
    <w:rsid w:val="00A6179E"/>
    <w:rsid w:val="00A62654"/>
    <w:rsid w:val="00A6390A"/>
    <w:rsid w:val="00A663E4"/>
    <w:rsid w:val="00A7018C"/>
    <w:rsid w:val="00A8299E"/>
    <w:rsid w:val="00A860CE"/>
    <w:rsid w:val="00A92DDE"/>
    <w:rsid w:val="00A96C62"/>
    <w:rsid w:val="00A97944"/>
    <w:rsid w:val="00AA2486"/>
    <w:rsid w:val="00AB126D"/>
    <w:rsid w:val="00AB244F"/>
    <w:rsid w:val="00AB4F00"/>
    <w:rsid w:val="00AB5D9A"/>
    <w:rsid w:val="00AB78EF"/>
    <w:rsid w:val="00AC0DA7"/>
    <w:rsid w:val="00AC0DE1"/>
    <w:rsid w:val="00AC5E04"/>
    <w:rsid w:val="00AD26C7"/>
    <w:rsid w:val="00AD5E32"/>
    <w:rsid w:val="00AE54BF"/>
    <w:rsid w:val="00AF4DCC"/>
    <w:rsid w:val="00AF5A43"/>
    <w:rsid w:val="00AF7D82"/>
    <w:rsid w:val="00B0125A"/>
    <w:rsid w:val="00B018DF"/>
    <w:rsid w:val="00B04C62"/>
    <w:rsid w:val="00B16048"/>
    <w:rsid w:val="00B3273D"/>
    <w:rsid w:val="00B41102"/>
    <w:rsid w:val="00B43FF9"/>
    <w:rsid w:val="00B5056F"/>
    <w:rsid w:val="00B5218F"/>
    <w:rsid w:val="00B56FF5"/>
    <w:rsid w:val="00B61760"/>
    <w:rsid w:val="00B675F9"/>
    <w:rsid w:val="00B70F1D"/>
    <w:rsid w:val="00B739D5"/>
    <w:rsid w:val="00B7559D"/>
    <w:rsid w:val="00B756DB"/>
    <w:rsid w:val="00B76CB5"/>
    <w:rsid w:val="00B77A47"/>
    <w:rsid w:val="00B85019"/>
    <w:rsid w:val="00B86309"/>
    <w:rsid w:val="00B910CC"/>
    <w:rsid w:val="00BA0CA4"/>
    <w:rsid w:val="00BA4663"/>
    <w:rsid w:val="00BA54DD"/>
    <w:rsid w:val="00BA7B23"/>
    <w:rsid w:val="00BE4751"/>
    <w:rsid w:val="00BE6C33"/>
    <w:rsid w:val="00BE7BFE"/>
    <w:rsid w:val="00BF136C"/>
    <w:rsid w:val="00BF2407"/>
    <w:rsid w:val="00BF483D"/>
    <w:rsid w:val="00C0599C"/>
    <w:rsid w:val="00C05E00"/>
    <w:rsid w:val="00C06AB1"/>
    <w:rsid w:val="00C06D34"/>
    <w:rsid w:val="00C1055C"/>
    <w:rsid w:val="00C10E30"/>
    <w:rsid w:val="00C13115"/>
    <w:rsid w:val="00C16450"/>
    <w:rsid w:val="00C177F2"/>
    <w:rsid w:val="00C230BD"/>
    <w:rsid w:val="00C261E1"/>
    <w:rsid w:val="00C373B0"/>
    <w:rsid w:val="00C46515"/>
    <w:rsid w:val="00C61C40"/>
    <w:rsid w:val="00C63368"/>
    <w:rsid w:val="00C7019E"/>
    <w:rsid w:val="00C74549"/>
    <w:rsid w:val="00C762ED"/>
    <w:rsid w:val="00C804B9"/>
    <w:rsid w:val="00C92D89"/>
    <w:rsid w:val="00C96B83"/>
    <w:rsid w:val="00CA0F90"/>
    <w:rsid w:val="00CA1271"/>
    <w:rsid w:val="00CA213C"/>
    <w:rsid w:val="00CA3979"/>
    <w:rsid w:val="00CA7021"/>
    <w:rsid w:val="00CB5C2D"/>
    <w:rsid w:val="00CB63C2"/>
    <w:rsid w:val="00CB67FB"/>
    <w:rsid w:val="00CC3A13"/>
    <w:rsid w:val="00CC5A57"/>
    <w:rsid w:val="00CD0290"/>
    <w:rsid w:val="00CD169E"/>
    <w:rsid w:val="00CD332F"/>
    <w:rsid w:val="00CE1985"/>
    <w:rsid w:val="00CE726D"/>
    <w:rsid w:val="00CE7C68"/>
    <w:rsid w:val="00CF405F"/>
    <w:rsid w:val="00D01382"/>
    <w:rsid w:val="00D03E85"/>
    <w:rsid w:val="00D06CAB"/>
    <w:rsid w:val="00D075C9"/>
    <w:rsid w:val="00D11B20"/>
    <w:rsid w:val="00D179BD"/>
    <w:rsid w:val="00D204F2"/>
    <w:rsid w:val="00D235B9"/>
    <w:rsid w:val="00D25983"/>
    <w:rsid w:val="00D27DDB"/>
    <w:rsid w:val="00D30F69"/>
    <w:rsid w:val="00D32176"/>
    <w:rsid w:val="00D3276F"/>
    <w:rsid w:val="00D45C69"/>
    <w:rsid w:val="00D53AE6"/>
    <w:rsid w:val="00D60AA6"/>
    <w:rsid w:val="00D6246C"/>
    <w:rsid w:val="00D63F4F"/>
    <w:rsid w:val="00D800F4"/>
    <w:rsid w:val="00D810D7"/>
    <w:rsid w:val="00D85ED9"/>
    <w:rsid w:val="00D90F7E"/>
    <w:rsid w:val="00D92E95"/>
    <w:rsid w:val="00D93F4E"/>
    <w:rsid w:val="00D945D7"/>
    <w:rsid w:val="00D971E5"/>
    <w:rsid w:val="00DB3D21"/>
    <w:rsid w:val="00DB4CF5"/>
    <w:rsid w:val="00DB5D72"/>
    <w:rsid w:val="00DB651D"/>
    <w:rsid w:val="00DB7687"/>
    <w:rsid w:val="00DC10E3"/>
    <w:rsid w:val="00DC5BE2"/>
    <w:rsid w:val="00DC5E89"/>
    <w:rsid w:val="00DD00C9"/>
    <w:rsid w:val="00DD10A4"/>
    <w:rsid w:val="00DE68E9"/>
    <w:rsid w:val="00DE6C67"/>
    <w:rsid w:val="00DF0C01"/>
    <w:rsid w:val="00DF0F8B"/>
    <w:rsid w:val="00DF125D"/>
    <w:rsid w:val="00DF2088"/>
    <w:rsid w:val="00DF3C33"/>
    <w:rsid w:val="00E00EA9"/>
    <w:rsid w:val="00E04679"/>
    <w:rsid w:val="00E12F29"/>
    <w:rsid w:val="00E15808"/>
    <w:rsid w:val="00E16757"/>
    <w:rsid w:val="00E16B92"/>
    <w:rsid w:val="00E20BE6"/>
    <w:rsid w:val="00E21A89"/>
    <w:rsid w:val="00E4068A"/>
    <w:rsid w:val="00E42812"/>
    <w:rsid w:val="00E42C4F"/>
    <w:rsid w:val="00E42CA5"/>
    <w:rsid w:val="00E43749"/>
    <w:rsid w:val="00E4443E"/>
    <w:rsid w:val="00E44A0C"/>
    <w:rsid w:val="00E560D3"/>
    <w:rsid w:val="00E5734A"/>
    <w:rsid w:val="00E5734F"/>
    <w:rsid w:val="00E57766"/>
    <w:rsid w:val="00E61984"/>
    <w:rsid w:val="00E61AD2"/>
    <w:rsid w:val="00E61EA0"/>
    <w:rsid w:val="00E65DFA"/>
    <w:rsid w:val="00E7196E"/>
    <w:rsid w:val="00E73B68"/>
    <w:rsid w:val="00E76FCA"/>
    <w:rsid w:val="00E828ED"/>
    <w:rsid w:val="00E939BB"/>
    <w:rsid w:val="00EA19D0"/>
    <w:rsid w:val="00EA6509"/>
    <w:rsid w:val="00EB4CA0"/>
    <w:rsid w:val="00EB78D2"/>
    <w:rsid w:val="00ED600E"/>
    <w:rsid w:val="00EE1E01"/>
    <w:rsid w:val="00EE51E9"/>
    <w:rsid w:val="00F0473B"/>
    <w:rsid w:val="00F05705"/>
    <w:rsid w:val="00F16031"/>
    <w:rsid w:val="00F22B5E"/>
    <w:rsid w:val="00F22BB0"/>
    <w:rsid w:val="00F3089C"/>
    <w:rsid w:val="00F31CC9"/>
    <w:rsid w:val="00F31E3C"/>
    <w:rsid w:val="00F350E2"/>
    <w:rsid w:val="00F441DF"/>
    <w:rsid w:val="00F471D0"/>
    <w:rsid w:val="00F56414"/>
    <w:rsid w:val="00F56F8C"/>
    <w:rsid w:val="00F61401"/>
    <w:rsid w:val="00F6569B"/>
    <w:rsid w:val="00F7129F"/>
    <w:rsid w:val="00F76BD3"/>
    <w:rsid w:val="00F77CDC"/>
    <w:rsid w:val="00F8576A"/>
    <w:rsid w:val="00F877CA"/>
    <w:rsid w:val="00F90833"/>
    <w:rsid w:val="00F9306A"/>
    <w:rsid w:val="00F9490B"/>
    <w:rsid w:val="00FA7F90"/>
    <w:rsid w:val="00FB651E"/>
    <w:rsid w:val="00FC378C"/>
    <w:rsid w:val="00FC3CF0"/>
    <w:rsid w:val="00FD2352"/>
    <w:rsid w:val="00FD28D1"/>
    <w:rsid w:val="00FE1F89"/>
    <w:rsid w:val="00FE6FE2"/>
    <w:rsid w:val="00FF62D9"/>
    <w:rsid w:val="00FF6C4A"/>
    <w:rsid w:val="00FF6CBC"/>
    <w:rsid w:val="0111367A"/>
    <w:rsid w:val="011E56FF"/>
    <w:rsid w:val="0120046F"/>
    <w:rsid w:val="01201CAD"/>
    <w:rsid w:val="016A5191"/>
    <w:rsid w:val="01A249C3"/>
    <w:rsid w:val="01A25333"/>
    <w:rsid w:val="01AC0B21"/>
    <w:rsid w:val="01D31020"/>
    <w:rsid w:val="01E91D21"/>
    <w:rsid w:val="01EC5700"/>
    <w:rsid w:val="02052C2A"/>
    <w:rsid w:val="02073223"/>
    <w:rsid w:val="021C4544"/>
    <w:rsid w:val="023A2830"/>
    <w:rsid w:val="02435D1C"/>
    <w:rsid w:val="024B0AF0"/>
    <w:rsid w:val="02550864"/>
    <w:rsid w:val="025927E5"/>
    <w:rsid w:val="02657DE5"/>
    <w:rsid w:val="027125E7"/>
    <w:rsid w:val="02952DFC"/>
    <w:rsid w:val="02964275"/>
    <w:rsid w:val="02A80A2A"/>
    <w:rsid w:val="02B04EBD"/>
    <w:rsid w:val="02B13035"/>
    <w:rsid w:val="02BF327E"/>
    <w:rsid w:val="02C3671C"/>
    <w:rsid w:val="02C46BBB"/>
    <w:rsid w:val="02E67B02"/>
    <w:rsid w:val="02F96772"/>
    <w:rsid w:val="03045021"/>
    <w:rsid w:val="031A316B"/>
    <w:rsid w:val="032549C1"/>
    <w:rsid w:val="032E35F2"/>
    <w:rsid w:val="033C0368"/>
    <w:rsid w:val="034850C6"/>
    <w:rsid w:val="034F0B7A"/>
    <w:rsid w:val="035267A2"/>
    <w:rsid w:val="035A3B29"/>
    <w:rsid w:val="03891EAF"/>
    <w:rsid w:val="038E68C5"/>
    <w:rsid w:val="03B4355B"/>
    <w:rsid w:val="03E01B55"/>
    <w:rsid w:val="0431576D"/>
    <w:rsid w:val="04352B2C"/>
    <w:rsid w:val="043A63EF"/>
    <w:rsid w:val="04426B06"/>
    <w:rsid w:val="045F7347"/>
    <w:rsid w:val="04807921"/>
    <w:rsid w:val="04813D74"/>
    <w:rsid w:val="04877FB9"/>
    <w:rsid w:val="04940938"/>
    <w:rsid w:val="04A84562"/>
    <w:rsid w:val="04BA0C30"/>
    <w:rsid w:val="04CB57BD"/>
    <w:rsid w:val="04DC798D"/>
    <w:rsid w:val="04FD4615"/>
    <w:rsid w:val="04FE423E"/>
    <w:rsid w:val="04FE539A"/>
    <w:rsid w:val="05070317"/>
    <w:rsid w:val="050B287F"/>
    <w:rsid w:val="05110107"/>
    <w:rsid w:val="053305AC"/>
    <w:rsid w:val="053F5352"/>
    <w:rsid w:val="054C5DAB"/>
    <w:rsid w:val="05554279"/>
    <w:rsid w:val="05795325"/>
    <w:rsid w:val="057E12A3"/>
    <w:rsid w:val="05861B12"/>
    <w:rsid w:val="05900FD6"/>
    <w:rsid w:val="05953594"/>
    <w:rsid w:val="059D4DD4"/>
    <w:rsid w:val="05A32D8D"/>
    <w:rsid w:val="05F62F25"/>
    <w:rsid w:val="06026E32"/>
    <w:rsid w:val="061D0FF9"/>
    <w:rsid w:val="0628094A"/>
    <w:rsid w:val="06432F0A"/>
    <w:rsid w:val="067C6428"/>
    <w:rsid w:val="067D2545"/>
    <w:rsid w:val="068766B9"/>
    <w:rsid w:val="069F0A17"/>
    <w:rsid w:val="06A02226"/>
    <w:rsid w:val="06B869C0"/>
    <w:rsid w:val="06D568C5"/>
    <w:rsid w:val="06DE66DF"/>
    <w:rsid w:val="06E133C4"/>
    <w:rsid w:val="06F37A6F"/>
    <w:rsid w:val="06F92642"/>
    <w:rsid w:val="071D71DE"/>
    <w:rsid w:val="072D11D3"/>
    <w:rsid w:val="0732262C"/>
    <w:rsid w:val="073302D1"/>
    <w:rsid w:val="07470439"/>
    <w:rsid w:val="07585B24"/>
    <w:rsid w:val="076C37C2"/>
    <w:rsid w:val="07723018"/>
    <w:rsid w:val="07991EAF"/>
    <w:rsid w:val="07D06CDE"/>
    <w:rsid w:val="07D4689C"/>
    <w:rsid w:val="07E953EA"/>
    <w:rsid w:val="07EE598A"/>
    <w:rsid w:val="081A6E86"/>
    <w:rsid w:val="081D7CD4"/>
    <w:rsid w:val="08227F6B"/>
    <w:rsid w:val="082375E2"/>
    <w:rsid w:val="082A07C5"/>
    <w:rsid w:val="082E50AB"/>
    <w:rsid w:val="083E4D37"/>
    <w:rsid w:val="085C3AF5"/>
    <w:rsid w:val="086239D4"/>
    <w:rsid w:val="0863144C"/>
    <w:rsid w:val="086369BD"/>
    <w:rsid w:val="086741C8"/>
    <w:rsid w:val="086B59FA"/>
    <w:rsid w:val="088C157C"/>
    <w:rsid w:val="08987774"/>
    <w:rsid w:val="08B977FB"/>
    <w:rsid w:val="08C16076"/>
    <w:rsid w:val="08E458C1"/>
    <w:rsid w:val="09103154"/>
    <w:rsid w:val="09370744"/>
    <w:rsid w:val="09451FF2"/>
    <w:rsid w:val="09745537"/>
    <w:rsid w:val="09935774"/>
    <w:rsid w:val="099D4296"/>
    <w:rsid w:val="09A1399F"/>
    <w:rsid w:val="09A260AB"/>
    <w:rsid w:val="09A27432"/>
    <w:rsid w:val="09B450C1"/>
    <w:rsid w:val="09D161AB"/>
    <w:rsid w:val="0A112734"/>
    <w:rsid w:val="0A114C4B"/>
    <w:rsid w:val="0A342878"/>
    <w:rsid w:val="0A5D1DCF"/>
    <w:rsid w:val="0A731303"/>
    <w:rsid w:val="0A7A0EB9"/>
    <w:rsid w:val="0AA364AD"/>
    <w:rsid w:val="0AB459D7"/>
    <w:rsid w:val="0AB63115"/>
    <w:rsid w:val="0AC05EBA"/>
    <w:rsid w:val="0AC72B7A"/>
    <w:rsid w:val="0ADB0F46"/>
    <w:rsid w:val="0AEE0C79"/>
    <w:rsid w:val="0AFC08FA"/>
    <w:rsid w:val="0B030EBC"/>
    <w:rsid w:val="0B0F7DEA"/>
    <w:rsid w:val="0B2C2FDF"/>
    <w:rsid w:val="0B2C46E1"/>
    <w:rsid w:val="0B4272CB"/>
    <w:rsid w:val="0B521418"/>
    <w:rsid w:val="0B525D0C"/>
    <w:rsid w:val="0B6C7304"/>
    <w:rsid w:val="0B6C7DF0"/>
    <w:rsid w:val="0B765EDD"/>
    <w:rsid w:val="0B833A14"/>
    <w:rsid w:val="0BA23811"/>
    <w:rsid w:val="0BA73A59"/>
    <w:rsid w:val="0BB443A9"/>
    <w:rsid w:val="0BCD12D1"/>
    <w:rsid w:val="0BFC3DCD"/>
    <w:rsid w:val="0C0A500A"/>
    <w:rsid w:val="0C0C4D98"/>
    <w:rsid w:val="0C1E0CB3"/>
    <w:rsid w:val="0C3C50FC"/>
    <w:rsid w:val="0C3D1EB8"/>
    <w:rsid w:val="0C43571A"/>
    <w:rsid w:val="0C7523C0"/>
    <w:rsid w:val="0C803B53"/>
    <w:rsid w:val="0C826450"/>
    <w:rsid w:val="0C863D4E"/>
    <w:rsid w:val="0C9048F1"/>
    <w:rsid w:val="0C9475FE"/>
    <w:rsid w:val="0CA26F6D"/>
    <w:rsid w:val="0CAA39C0"/>
    <w:rsid w:val="0CC20327"/>
    <w:rsid w:val="0CD07B24"/>
    <w:rsid w:val="0CD25CB0"/>
    <w:rsid w:val="0D076022"/>
    <w:rsid w:val="0D237A5A"/>
    <w:rsid w:val="0D2E5E52"/>
    <w:rsid w:val="0D305278"/>
    <w:rsid w:val="0D305579"/>
    <w:rsid w:val="0D486F7B"/>
    <w:rsid w:val="0D834640"/>
    <w:rsid w:val="0D897C73"/>
    <w:rsid w:val="0DC14423"/>
    <w:rsid w:val="0DCC5870"/>
    <w:rsid w:val="0DCD5DB7"/>
    <w:rsid w:val="0DEA269F"/>
    <w:rsid w:val="0DF278F5"/>
    <w:rsid w:val="0DF447F8"/>
    <w:rsid w:val="0DFA52EA"/>
    <w:rsid w:val="0E014E20"/>
    <w:rsid w:val="0E1409F6"/>
    <w:rsid w:val="0E257E7D"/>
    <w:rsid w:val="0E2C4F27"/>
    <w:rsid w:val="0E413C20"/>
    <w:rsid w:val="0E4D422B"/>
    <w:rsid w:val="0E527050"/>
    <w:rsid w:val="0E594840"/>
    <w:rsid w:val="0E6F490A"/>
    <w:rsid w:val="0E706FFF"/>
    <w:rsid w:val="0E9E09B7"/>
    <w:rsid w:val="0ED43A37"/>
    <w:rsid w:val="0ED70339"/>
    <w:rsid w:val="0EE505E5"/>
    <w:rsid w:val="0F1A6237"/>
    <w:rsid w:val="0F344393"/>
    <w:rsid w:val="0F545B11"/>
    <w:rsid w:val="0F596A5F"/>
    <w:rsid w:val="0F7D065C"/>
    <w:rsid w:val="0F8F13E9"/>
    <w:rsid w:val="0F8F4DDD"/>
    <w:rsid w:val="0F910D13"/>
    <w:rsid w:val="0FBE2E6D"/>
    <w:rsid w:val="0FF30ADF"/>
    <w:rsid w:val="10025191"/>
    <w:rsid w:val="1038798D"/>
    <w:rsid w:val="104F74CC"/>
    <w:rsid w:val="10521B06"/>
    <w:rsid w:val="106B3B60"/>
    <w:rsid w:val="107F59DB"/>
    <w:rsid w:val="10805C9B"/>
    <w:rsid w:val="10937D7F"/>
    <w:rsid w:val="109E7EFE"/>
    <w:rsid w:val="10A87B1C"/>
    <w:rsid w:val="10AB4CBD"/>
    <w:rsid w:val="10AD7001"/>
    <w:rsid w:val="10BC6712"/>
    <w:rsid w:val="10EA7439"/>
    <w:rsid w:val="10F34938"/>
    <w:rsid w:val="110B41D8"/>
    <w:rsid w:val="11194760"/>
    <w:rsid w:val="112B42B5"/>
    <w:rsid w:val="11307C77"/>
    <w:rsid w:val="11531460"/>
    <w:rsid w:val="11590DA4"/>
    <w:rsid w:val="116124EB"/>
    <w:rsid w:val="11902B2B"/>
    <w:rsid w:val="11A77DD3"/>
    <w:rsid w:val="11BB4384"/>
    <w:rsid w:val="11C51895"/>
    <w:rsid w:val="11C97D4A"/>
    <w:rsid w:val="11D44E63"/>
    <w:rsid w:val="11D62A92"/>
    <w:rsid w:val="11E51B4B"/>
    <w:rsid w:val="11FF3806"/>
    <w:rsid w:val="12062999"/>
    <w:rsid w:val="121830D1"/>
    <w:rsid w:val="122834C6"/>
    <w:rsid w:val="122A145C"/>
    <w:rsid w:val="123A3DC3"/>
    <w:rsid w:val="124176E4"/>
    <w:rsid w:val="1243285F"/>
    <w:rsid w:val="124E6943"/>
    <w:rsid w:val="125175E7"/>
    <w:rsid w:val="12557B95"/>
    <w:rsid w:val="125B5830"/>
    <w:rsid w:val="12647B0A"/>
    <w:rsid w:val="126A598F"/>
    <w:rsid w:val="12A06CFD"/>
    <w:rsid w:val="12AC38F3"/>
    <w:rsid w:val="12E30F2E"/>
    <w:rsid w:val="12FC288A"/>
    <w:rsid w:val="1312525C"/>
    <w:rsid w:val="133576E5"/>
    <w:rsid w:val="133E1A57"/>
    <w:rsid w:val="134F4E62"/>
    <w:rsid w:val="135971D9"/>
    <w:rsid w:val="136A0F34"/>
    <w:rsid w:val="137D6C35"/>
    <w:rsid w:val="139055F8"/>
    <w:rsid w:val="13A55F14"/>
    <w:rsid w:val="13B31DDD"/>
    <w:rsid w:val="13C82655"/>
    <w:rsid w:val="13C93A71"/>
    <w:rsid w:val="13D33F99"/>
    <w:rsid w:val="13EC3E0B"/>
    <w:rsid w:val="13F92E40"/>
    <w:rsid w:val="14126AA3"/>
    <w:rsid w:val="142D2812"/>
    <w:rsid w:val="144C07BE"/>
    <w:rsid w:val="144C4685"/>
    <w:rsid w:val="14550266"/>
    <w:rsid w:val="14681436"/>
    <w:rsid w:val="1486595A"/>
    <w:rsid w:val="148D505F"/>
    <w:rsid w:val="149C749F"/>
    <w:rsid w:val="149D145D"/>
    <w:rsid w:val="14A04C36"/>
    <w:rsid w:val="14AC0315"/>
    <w:rsid w:val="14C03866"/>
    <w:rsid w:val="14D507B4"/>
    <w:rsid w:val="14D6460F"/>
    <w:rsid w:val="14DE3B0C"/>
    <w:rsid w:val="14F239E9"/>
    <w:rsid w:val="154010A9"/>
    <w:rsid w:val="15436065"/>
    <w:rsid w:val="15622349"/>
    <w:rsid w:val="15827EC7"/>
    <w:rsid w:val="158355FF"/>
    <w:rsid w:val="15B962F8"/>
    <w:rsid w:val="15D46CBD"/>
    <w:rsid w:val="15E75886"/>
    <w:rsid w:val="15ED0886"/>
    <w:rsid w:val="160C0A6F"/>
    <w:rsid w:val="161B48EC"/>
    <w:rsid w:val="163E1A60"/>
    <w:rsid w:val="16511D63"/>
    <w:rsid w:val="1667741D"/>
    <w:rsid w:val="166B1581"/>
    <w:rsid w:val="16785F92"/>
    <w:rsid w:val="1682002F"/>
    <w:rsid w:val="168C18E1"/>
    <w:rsid w:val="168C6957"/>
    <w:rsid w:val="169C07D7"/>
    <w:rsid w:val="16A11FCD"/>
    <w:rsid w:val="16B6684D"/>
    <w:rsid w:val="16B93D4E"/>
    <w:rsid w:val="16C5620B"/>
    <w:rsid w:val="16E143B6"/>
    <w:rsid w:val="16FC15E5"/>
    <w:rsid w:val="16FD2BB8"/>
    <w:rsid w:val="17004E85"/>
    <w:rsid w:val="170812E7"/>
    <w:rsid w:val="174B0F9E"/>
    <w:rsid w:val="174D0B37"/>
    <w:rsid w:val="174E0360"/>
    <w:rsid w:val="17647FE7"/>
    <w:rsid w:val="1783099B"/>
    <w:rsid w:val="17840B09"/>
    <w:rsid w:val="178B31EA"/>
    <w:rsid w:val="178E1916"/>
    <w:rsid w:val="17D86CD4"/>
    <w:rsid w:val="17F10BDD"/>
    <w:rsid w:val="17F3167D"/>
    <w:rsid w:val="17FE7ED3"/>
    <w:rsid w:val="18121477"/>
    <w:rsid w:val="181A7DFF"/>
    <w:rsid w:val="182E14CA"/>
    <w:rsid w:val="184B770B"/>
    <w:rsid w:val="185D4730"/>
    <w:rsid w:val="18667CE5"/>
    <w:rsid w:val="186A717F"/>
    <w:rsid w:val="1889130C"/>
    <w:rsid w:val="188B43F7"/>
    <w:rsid w:val="189D40F1"/>
    <w:rsid w:val="18A3607E"/>
    <w:rsid w:val="18AE21A3"/>
    <w:rsid w:val="18C134AF"/>
    <w:rsid w:val="18D91B3F"/>
    <w:rsid w:val="18DB0D46"/>
    <w:rsid w:val="18E14C1C"/>
    <w:rsid w:val="19061883"/>
    <w:rsid w:val="19077FB6"/>
    <w:rsid w:val="190D7026"/>
    <w:rsid w:val="19322B11"/>
    <w:rsid w:val="194A046B"/>
    <w:rsid w:val="196A4CEE"/>
    <w:rsid w:val="197459D5"/>
    <w:rsid w:val="19955EF9"/>
    <w:rsid w:val="199E6017"/>
    <w:rsid w:val="19AC69CB"/>
    <w:rsid w:val="19C65107"/>
    <w:rsid w:val="19E25C86"/>
    <w:rsid w:val="19F218D2"/>
    <w:rsid w:val="1A142098"/>
    <w:rsid w:val="1A1459A8"/>
    <w:rsid w:val="1A383CBF"/>
    <w:rsid w:val="1A82230E"/>
    <w:rsid w:val="1A9D1D74"/>
    <w:rsid w:val="1AAA1864"/>
    <w:rsid w:val="1AAC3CB0"/>
    <w:rsid w:val="1AB23834"/>
    <w:rsid w:val="1AB32E1B"/>
    <w:rsid w:val="1AC97593"/>
    <w:rsid w:val="1AE40069"/>
    <w:rsid w:val="1AE954D7"/>
    <w:rsid w:val="1AEC4CFD"/>
    <w:rsid w:val="1AF979AE"/>
    <w:rsid w:val="1B1C713C"/>
    <w:rsid w:val="1B1F4E7E"/>
    <w:rsid w:val="1B395F40"/>
    <w:rsid w:val="1B4712B4"/>
    <w:rsid w:val="1B6F62EA"/>
    <w:rsid w:val="1B7339EA"/>
    <w:rsid w:val="1B8E1EDB"/>
    <w:rsid w:val="1B984D9A"/>
    <w:rsid w:val="1BBB7467"/>
    <w:rsid w:val="1BC63A41"/>
    <w:rsid w:val="1BDA5A16"/>
    <w:rsid w:val="1BF47159"/>
    <w:rsid w:val="1C292E5E"/>
    <w:rsid w:val="1C2A7637"/>
    <w:rsid w:val="1C50104E"/>
    <w:rsid w:val="1C5D5C5E"/>
    <w:rsid w:val="1C675265"/>
    <w:rsid w:val="1C6C1B12"/>
    <w:rsid w:val="1C932579"/>
    <w:rsid w:val="1CB746C1"/>
    <w:rsid w:val="1CC61CC5"/>
    <w:rsid w:val="1CFB6C98"/>
    <w:rsid w:val="1CFF3B5D"/>
    <w:rsid w:val="1D214EDE"/>
    <w:rsid w:val="1D2736F4"/>
    <w:rsid w:val="1D307FFE"/>
    <w:rsid w:val="1D470009"/>
    <w:rsid w:val="1D5232E9"/>
    <w:rsid w:val="1D5A3F4C"/>
    <w:rsid w:val="1D5C5BA3"/>
    <w:rsid w:val="1D5D4831"/>
    <w:rsid w:val="1D6F7BAF"/>
    <w:rsid w:val="1D960325"/>
    <w:rsid w:val="1D9D7AD1"/>
    <w:rsid w:val="1DBB0E8E"/>
    <w:rsid w:val="1DBD380B"/>
    <w:rsid w:val="1DC1683D"/>
    <w:rsid w:val="1DD22CDC"/>
    <w:rsid w:val="1DD7559C"/>
    <w:rsid w:val="1DF919B7"/>
    <w:rsid w:val="1E011134"/>
    <w:rsid w:val="1E141543"/>
    <w:rsid w:val="1E1B13F5"/>
    <w:rsid w:val="1E3B3D7D"/>
    <w:rsid w:val="1E472722"/>
    <w:rsid w:val="1E617061"/>
    <w:rsid w:val="1EA84F40"/>
    <w:rsid w:val="1EAD6C25"/>
    <w:rsid w:val="1ECF3112"/>
    <w:rsid w:val="1EDC50E9"/>
    <w:rsid w:val="1EE34DD3"/>
    <w:rsid w:val="1EF57356"/>
    <w:rsid w:val="1EF74718"/>
    <w:rsid w:val="1EFC175F"/>
    <w:rsid w:val="1F037D2D"/>
    <w:rsid w:val="1F075C5B"/>
    <w:rsid w:val="1F143AE8"/>
    <w:rsid w:val="1F1C179B"/>
    <w:rsid w:val="1F215782"/>
    <w:rsid w:val="1F350CF1"/>
    <w:rsid w:val="1F3F46E4"/>
    <w:rsid w:val="1F833471"/>
    <w:rsid w:val="1F8C7639"/>
    <w:rsid w:val="1F9247D9"/>
    <w:rsid w:val="1FC473C9"/>
    <w:rsid w:val="1FD565CD"/>
    <w:rsid w:val="1FD73B3A"/>
    <w:rsid w:val="1FF34AAC"/>
    <w:rsid w:val="20584A37"/>
    <w:rsid w:val="2067312D"/>
    <w:rsid w:val="206B05C7"/>
    <w:rsid w:val="206E32E7"/>
    <w:rsid w:val="208C2D86"/>
    <w:rsid w:val="20AD3432"/>
    <w:rsid w:val="20BF7868"/>
    <w:rsid w:val="20C50CDD"/>
    <w:rsid w:val="20D11BD1"/>
    <w:rsid w:val="21310225"/>
    <w:rsid w:val="21442C28"/>
    <w:rsid w:val="214E4A4D"/>
    <w:rsid w:val="215C6A42"/>
    <w:rsid w:val="216C4F22"/>
    <w:rsid w:val="217A6985"/>
    <w:rsid w:val="21815F4B"/>
    <w:rsid w:val="218477E9"/>
    <w:rsid w:val="219263AA"/>
    <w:rsid w:val="21AA029B"/>
    <w:rsid w:val="21CF6834"/>
    <w:rsid w:val="21DD1FEE"/>
    <w:rsid w:val="21E572EF"/>
    <w:rsid w:val="21E604A4"/>
    <w:rsid w:val="21F53243"/>
    <w:rsid w:val="21F71674"/>
    <w:rsid w:val="220F495F"/>
    <w:rsid w:val="22171F78"/>
    <w:rsid w:val="223F031E"/>
    <w:rsid w:val="2246654A"/>
    <w:rsid w:val="224A49B1"/>
    <w:rsid w:val="225C2916"/>
    <w:rsid w:val="225D0CCB"/>
    <w:rsid w:val="225F4502"/>
    <w:rsid w:val="22655A17"/>
    <w:rsid w:val="227D620E"/>
    <w:rsid w:val="229E246F"/>
    <w:rsid w:val="22C15846"/>
    <w:rsid w:val="22C229F3"/>
    <w:rsid w:val="22E73401"/>
    <w:rsid w:val="22E86E4B"/>
    <w:rsid w:val="230C0EA8"/>
    <w:rsid w:val="231352C9"/>
    <w:rsid w:val="231B7D36"/>
    <w:rsid w:val="232E3E5D"/>
    <w:rsid w:val="233C282B"/>
    <w:rsid w:val="23405992"/>
    <w:rsid w:val="234A6FEC"/>
    <w:rsid w:val="23584805"/>
    <w:rsid w:val="235A12D0"/>
    <w:rsid w:val="236A1C89"/>
    <w:rsid w:val="237736F3"/>
    <w:rsid w:val="238C01C4"/>
    <w:rsid w:val="23931F66"/>
    <w:rsid w:val="239857CE"/>
    <w:rsid w:val="23B17F22"/>
    <w:rsid w:val="23C87838"/>
    <w:rsid w:val="23D84E50"/>
    <w:rsid w:val="23E110C8"/>
    <w:rsid w:val="23EF41D0"/>
    <w:rsid w:val="23F63C20"/>
    <w:rsid w:val="23F65793"/>
    <w:rsid w:val="2417457B"/>
    <w:rsid w:val="241F00F2"/>
    <w:rsid w:val="242B219E"/>
    <w:rsid w:val="24897C4B"/>
    <w:rsid w:val="24A20904"/>
    <w:rsid w:val="24A85EE5"/>
    <w:rsid w:val="24AF0663"/>
    <w:rsid w:val="24C34ACD"/>
    <w:rsid w:val="24DD6D96"/>
    <w:rsid w:val="24E011DB"/>
    <w:rsid w:val="24E423D2"/>
    <w:rsid w:val="24E84D1A"/>
    <w:rsid w:val="24F20E97"/>
    <w:rsid w:val="24FC52C8"/>
    <w:rsid w:val="24FD6FB6"/>
    <w:rsid w:val="25104C40"/>
    <w:rsid w:val="25154F8F"/>
    <w:rsid w:val="25642637"/>
    <w:rsid w:val="25781ACF"/>
    <w:rsid w:val="257A656C"/>
    <w:rsid w:val="2580476C"/>
    <w:rsid w:val="25830898"/>
    <w:rsid w:val="258905A7"/>
    <w:rsid w:val="258E65A1"/>
    <w:rsid w:val="25A718F0"/>
    <w:rsid w:val="25DC0BEB"/>
    <w:rsid w:val="26235EFE"/>
    <w:rsid w:val="262E41C8"/>
    <w:rsid w:val="263E74E6"/>
    <w:rsid w:val="26416F47"/>
    <w:rsid w:val="2643157D"/>
    <w:rsid w:val="265211C4"/>
    <w:rsid w:val="26582DF7"/>
    <w:rsid w:val="26883D73"/>
    <w:rsid w:val="269C0474"/>
    <w:rsid w:val="26A63189"/>
    <w:rsid w:val="26A91416"/>
    <w:rsid w:val="26B66697"/>
    <w:rsid w:val="26BF416D"/>
    <w:rsid w:val="26C5726B"/>
    <w:rsid w:val="26C735DD"/>
    <w:rsid w:val="26C9049C"/>
    <w:rsid w:val="26FA6EF3"/>
    <w:rsid w:val="27100637"/>
    <w:rsid w:val="27223D2C"/>
    <w:rsid w:val="272661F9"/>
    <w:rsid w:val="27345FC5"/>
    <w:rsid w:val="273B1A56"/>
    <w:rsid w:val="2764565F"/>
    <w:rsid w:val="277463CB"/>
    <w:rsid w:val="278D416D"/>
    <w:rsid w:val="27AC7A9A"/>
    <w:rsid w:val="27AE5BE7"/>
    <w:rsid w:val="27BE704E"/>
    <w:rsid w:val="27D72841"/>
    <w:rsid w:val="27E83DE4"/>
    <w:rsid w:val="27F01F87"/>
    <w:rsid w:val="27F1253C"/>
    <w:rsid w:val="27F54F9D"/>
    <w:rsid w:val="27FF64B8"/>
    <w:rsid w:val="2805721E"/>
    <w:rsid w:val="28114D33"/>
    <w:rsid w:val="282D0BDB"/>
    <w:rsid w:val="28463E2A"/>
    <w:rsid w:val="284B1061"/>
    <w:rsid w:val="284C0857"/>
    <w:rsid w:val="28540A04"/>
    <w:rsid w:val="285B256E"/>
    <w:rsid w:val="285C501C"/>
    <w:rsid w:val="28622C3F"/>
    <w:rsid w:val="28643ED1"/>
    <w:rsid w:val="28B01899"/>
    <w:rsid w:val="28C177A3"/>
    <w:rsid w:val="28E43D2B"/>
    <w:rsid w:val="28F610AC"/>
    <w:rsid w:val="28F96DE2"/>
    <w:rsid w:val="28FD5488"/>
    <w:rsid w:val="290B7627"/>
    <w:rsid w:val="29151DA6"/>
    <w:rsid w:val="291706C5"/>
    <w:rsid w:val="295E31C2"/>
    <w:rsid w:val="29821681"/>
    <w:rsid w:val="298618F9"/>
    <w:rsid w:val="299F3D49"/>
    <w:rsid w:val="29A57A9D"/>
    <w:rsid w:val="29B97BF6"/>
    <w:rsid w:val="29CF399D"/>
    <w:rsid w:val="29DD03DE"/>
    <w:rsid w:val="29FB6243"/>
    <w:rsid w:val="2A11630D"/>
    <w:rsid w:val="2A1331EE"/>
    <w:rsid w:val="2A1B407D"/>
    <w:rsid w:val="2A1E7AD4"/>
    <w:rsid w:val="2A283A55"/>
    <w:rsid w:val="2A3A2F84"/>
    <w:rsid w:val="2A3C3EE6"/>
    <w:rsid w:val="2A510485"/>
    <w:rsid w:val="2A5B133D"/>
    <w:rsid w:val="2A615131"/>
    <w:rsid w:val="2A6D0B26"/>
    <w:rsid w:val="2A74544B"/>
    <w:rsid w:val="2A7F1496"/>
    <w:rsid w:val="2A83460A"/>
    <w:rsid w:val="2AC5505A"/>
    <w:rsid w:val="2AC56F40"/>
    <w:rsid w:val="2AF47875"/>
    <w:rsid w:val="2B2E38B8"/>
    <w:rsid w:val="2B30011B"/>
    <w:rsid w:val="2B4971B8"/>
    <w:rsid w:val="2B541964"/>
    <w:rsid w:val="2B6360E3"/>
    <w:rsid w:val="2B641457"/>
    <w:rsid w:val="2B8A3D12"/>
    <w:rsid w:val="2B8F3BA5"/>
    <w:rsid w:val="2BB012D3"/>
    <w:rsid w:val="2BC80C4A"/>
    <w:rsid w:val="2BFA19E3"/>
    <w:rsid w:val="2C02233C"/>
    <w:rsid w:val="2C1D1AF6"/>
    <w:rsid w:val="2C240DEB"/>
    <w:rsid w:val="2C387DC1"/>
    <w:rsid w:val="2C452622"/>
    <w:rsid w:val="2C4706FC"/>
    <w:rsid w:val="2C62761A"/>
    <w:rsid w:val="2C816E16"/>
    <w:rsid w:val="2CAE7D10"/>
    <w:rsid w:val="2CC62637"/>
    <w:rsid w:val="2CCA6450"/>
    <w:rsid w:val="2CE03B8A"/>
    <w:rsid w:val="2CEB711F"/>
    <w:rsid w:val="2CF3049A"/>
    <w:rsid w:val="2CFE47AD"/>
    <w:rsid w:val="2CFF241A"/>
    <w:rsid w:val="2D1A7350"/>
    <w:rsid w:val="2D206443"/>
    <w:rsid w:val="2D274BBA"/>
    <w:rsid w:val="2D30282F"/>
    <w:rsid w:val="2D3403F5"/>
    <w:rsid w:val="2D4529CF"/>
    <w:rsid w:val="2D5A2235"/>
    <w:rsid w:val="2D614FE7"/>
    <w:rsid w:val="2D897880"/>
    <w:rsid w:val="2D972291"/>
    <w:rsid w:val="2DAF306E"/>
    <w:rsid w:val="2DB50775"/>
    <w:rsid w:val="2DB67D23"/>
    <w:rsid w:val="2DC4482D"/>
    <w:rsid w:val="2DC63195"/>
    <w:rsid w:val="2DC85B8E"/>
    <w:rsid w:val="2DCB1181"/>
    <w:rsid w:val="2DE5463F"/>
    <w:rsid w:val="2DE61FBC"/>
    <w:rsid w:val="2DE64021"/>
    <w:rsid w:val="2E2E745B"/>
    <w:rsid w:val="2E4D46A6"/>
    <w:rsid w:val="2E5B310C"/>
    <w:rsid w:val="2E5C3338"/>
    <w:rsid w:val="2E79519D"/>
    <w:rsid w:val="2E892B26"/>
    <w:rsid w:val="2EA10E70"/>
    <w:rsid w:val="2EA562A9"/>
    <w:rsid w:val="2EAF3E63"/>
    <w:rsid w:val="2ED37519"/>
    <w:rsid w:val="2EE50CF8"/>
    <w:rsid w:val="2EF96446"/>
    <w:rsid w:val="2F180BE4"/>
    <w:rsid w:val="2F564179"/>
    <w:rsid w:val="2F7123E6"/>
    <w:rsid w:val="2F836B2C"/>
    <w:rsid w:val="2F88217D"/>
    <w:rsid w:val="2FA5374C"/>
    <w:rsid w:val="2FAA2B11"/>
    <w:rsid w:val="2FAE7201"/>
    <w:rsid w:val="2FBC2844"/>
    <w:rsid w:val="2FD937EB"/>
    <w:rsid w:val="2FDB0AE8"/>
    <w:rsid w:val="300F6098"/>
    <w:rsid w:val="302E4D29"/>
    <w:rsid w:val="30747231"/>
    <w:rsid w:val="309B0D85"/>
    <w:rsid w:val="30B05F05"/>
    <w:rsid w:val="30B94B31"/>
    <w:rsid w:val="30C20D1F"/>
    <w:rsid w:val="30CE4998"/>
    <w:rsid w:val="30DC1A6A"/>
    <w:rsid w:val="30E94F09"/>
    <w:rsid w:val="31125E88"/>
    <w:rsid w:val="31203A29"/>
    <w:rsid w:val="3121118C"/>
    <w:rsid w:val="314F1BC2"/>
    <w:rsid w:val="31500E51"/>
    <w:rsid w:val="315471D8"/>
    <w:rsid w:val="316118F5"/>
    <w:rsid w:val="316D3DF6"/>
    <w:rsid w:val="317346CE"/>
    <w:rsid w:val="317C04DD"/>
    <w:rsid w:val="318322A5"/>
    <w:rsid w:val="31861FED"/>
    <w:rsid w:val="318643DF"/>
    <w:rsid w:val="318B3852"/>
    <w:rsid w:val="31927DB9"/>
    <w:rsid w:val="31957166"/>
    <w:rsid w:val="31A737AC"/>
    <w:rsid w:val="31AB2C7A"/>
    <w:rsid w:val="31DC4EBD"/>
    <w:rsid w:val="31DD502A"/>
    <w:rsid w:val="320D750C"/>
    <w:rsid w:val="322625CC"/>
    <w:rsid w:val="323A1F70"/>
    <w:rsid w:val="323E5792"/>
    <w:rsid w:val="32470A31"/>
    <w:rsid w:val="325356E2"/>
    <w:rsid w:val="3258622A"/>
    <w:rsid w:val="325B7FE1"/>
    <w:rsid w:val="326C089C"/>
    <w:rsid w:val="326D504C"/>
    <w:rsid w:val="327A7D0C"/>
    <w:rsid w:val="3283369C"/>
    <w:rsid w:val="32A62FE4"/>
    <w:rsid w:val="32A7665D"/>
    <w:rsid w:val="32A95256"/>
    <w:rsid w:val="32B30E96"/>
    <w:rsid w:val="32B8426E"/>
    <w:rsid w:val="32D06651"/>
    <w:rsid w:val="32D30BC2"/>
    <w:rsid w:val="33052BC1"/>
    <w:rsid w:val="330A461A"/>
    <w:rsid w:val="330E785B"/>
    <w:rsid w:val="332826CA"/>
    <w:rsid w:val="332E5807"/>
    <w:rsid w:val="332F3190"/>
    <w:rsid w:val="333145A8"/>
    <w:rsid w:val="334E7A16"/>
    <w:rsid w:val="335E1E86"/>
    <w:rsid w:val="336358F1"/>
    <w:rsid w:val="33661D96"/>
    <w:rsid w:val="33673093"/>
    <w:rsid w:val="338148C1"/>
    <w:rsid w:val="33883169"/>
    <w:rsid w:val="33C4145E"/>
    <w:rsid w:val="33C64906"/>
    <w:rsid w:val="33CF41F2"/>
    <w:rsid w:val="33DC34B5"/>
    <w:rsid w:val="34042427"/>
    <w:rsid w:val="344243D9"/>
    <w:rsid w:val="344C23E9"/>
    <w:rsid w:val="34513BC3"/>
    <w:rsid w:val="34714097"/>
    <w:rsid w:val="3473678D"/>
    <w:rsid w:val="34755419"/>
    <w:rsid w:val="347A4172"/>
    <w:rsid w:val="3480012F"/>
    <w:rsid w:val="348F3656"/>
    <w:rsid w:val="3491429F"/>
    <w:rsid w:val="34926B84"/>
    <w:rsid w:val="34936BFD"/>
    <w:rsid w:val="34C935FB"/>
    <w:rsid w:val="34CD6267"/>
    <w:rsid w:val="34D601EA"/>
    <w:rsid w:val="34E130C5"/>
    <w:rsid w:val="34EE6D19"/>
    <w:rsid w:val="34F60558"/>
    <w:rsid w:val="35002EF1"/>
    <w:rsid w:val="35141EF0"/>
    <w:rsid w:val="35200710"/>
    <w:rsid w:val="352C2EB1"/>
    <w:rsid w:val="35327830"/>
    <w:rsid w:val="354628D0"/>
    <w:rsid w:val="354D466A"/>
    <w:rsid w:val="357A1BA5"/>
    <w:rsid w:val="357C7EDC"/>
    <w:rsid w:val="357D1956"/>
    <w:rsid w:val="358402CA"/>
    <w:rsid w:val="358A0E98"/>
    <w:rsid w:val="35937D93"/>
    <w:rsid w:val="35C60638"/>
    <w:rsid w:val="35C9730A"/>
    <w:rsid w:val="35D419DA"/>
    <w:rsid w:val="35D54660"/>
    <w:rsid w:val="35D85EDA"/>
    <w:rsid w:val="35E54EEF"/>
    <w:rsid w:val="35EC4437"/>
    <w:rsid w:val="35FC6CB1"/>
    <w:rsid w:val="361E0910"/>
    <w:rsid w:val="36242C8F"/>
    <w:rsid w:val="36290B2F"/>
    <w:rsid w:val="36352616"/>
    <w:rsid w:val="36370E76"/>
    <w:rsid w:val="363D113A"/>
    <w:rsid w:val="36433939"/>
    <w:rsid w:val="36442C85"/>
    <w:rsid w:val="36527A5E"/>
    <w:rsid w:val="36562FF7"/>
    <w:rsid w:val="3658153F"/>
    <w:rsid w:val="367E501B"/>
    <w:rsid w:val="368F0CB2"/>
    <w:rsid w:val="3692524A"/>
    <w:rsid w:val="36AE19F0"/>
    <w:rsid w:val="36CB1E6A"/>
    <w:rsid w:val="36DC38F2"/>
    <w:rsid w:val="36E72C30"/>
    <w:rsid w:val="37256F21"/>
    <w:rsid w:val="37277F7E"/>
    <w:rsid w:val="37326C3C"/>
    <w:rsid w:val="37386C54"/>
    <w:rsid w:val="373C4996"/>
    <w:rsid w:val="375F1AAD"/>
    <w:rsid w:val="37884318"/>
    <w:rsid w:val="37930317"/>
    <w:rsid w:val="37A352EC"/>
    <w:rsid w:val="37AC65A0"/>
    <w:rsid w:val="37C87FD8"/>
    <w:rsid w:val="37D9271E"/>
    <w:rsid w:val="37EF5949"/>
    <w:rsid w:val="37F607F5"/>
    <w:rsid w:val="37FA3D28"/>
    <w:rsid w:val="37FD1C58"/>
    <w:rsid w:val="37FE55FC"/>
    <w:rsid w:val="37FF59C4"/>
    <w:rsid w:val="38002407"/>
    <w:rsid w:val="38325038"/>
    <w:rsid w:val="38395A7E"/>
    <w:rsid w:val="384D25A7"/>
    <w:rsid w:val="385D1976"/>
    <w:rsid w:val="38610505"/>
    <w:rsid w:val="386A1243"/>
    <w:rsid w:val="386B0509"/>
    <w:rsid w:val="388416F9"/>
    <w:rsid w:val="3897309F"/>
    <w:rsid w:val="38A44116"/>
    <w:rsid w:val="38B30C88"/>
    <w:rsid w:val="38C22542"/>
    <w:rsid w:val="38D00F53"/>
    <w:rsid w:val="38D17360"/>
    <w:rsid w:val="38EE7F12"/>
    <w:rsid w:val="38F31085"/>
    <w:rsid w:val="38FC2141"/>
    <w:rsid w:val="390706F7"/>
    <w:rsid w:val="390C04CF"/>
    <w:rsid w:val="39182066"/>
    <w:rsid w:val="391F12C5"/>
    <w:rsid w:val="392465BB"/>
    <w:rsid w:val="392731AB"/>
    <w:rsid w:val="392B6F6E"/>
    <w:rsid w:val="39406294"/>
    <w:rsid w:val="395940C3"/>
    <w:rsid w:val="395C7EF4"/>
    <w:rsid w:val="395E4AE6"/>
    <w:rsid w:val="395E7EF2"/>
    <w:rsid w:val="39802266"/>
    <w:rsid w:val="39821B82"/>
    <w:rsid w:val="39874676"/>
    <w:rsid w:val="398A5482"/>
    <w:rsid w:val="39915682"/>
    <w:rsid w:val="39992450"/>
    <w:rsid w:val="39AB74BC"/>
    <w:rsid w:val="39B3511B"/>
    <w:rsid w:val="39DA2245"/>
    <w:rsid w:val="39DA5A8F"/>
    <w:rsid w:val="39DD55D8"/>
    <w:rsid w:val="39E7070F"/>
    <w:rsid w:val="3A015A23"/>
    <w:rsid w:val="3A0E1EEE"/>
    <w:rsid w:val="3A1F5EA9"/>
    <w:rsid w:val="3A533B40"/>
    <w:rsid w:val="3A7B40DA"/>
    <w:rsid w:val="3A8A0B6F"/>
    <w:rsid w:val="3A9D3D91"/>
    <w:rsid w:val="3AA96A7C"/>
    <w:rsid w:val="3AAB7A7A"/>
    <w:rsid w:val="3AB104DB"/>
    <w:rsid w:val="3AB24F6F"/>
    <w:rsid w:val="3AC54CA3"/>
    <w:rsid w:val="3AD560BC"/>
    <w:rsid w:val="3AE0052D"/>
    <w:rsid w:val="3AF570B5"/>
    <w:rsid w:val="3AFB579B"/>
    <w:rsid w:val="3AFD7286"/>
    <w:rsid w:val="3AFE373D"/>
    <w:rsid w:val="3B0A4DAB"/>
    <w:rsid w:val="3B0E6747"/>
    <w:rsid w:val="3B1972BF"/>
    <w:rsid w:val="3B370D99"/>
    <w:rsid w:val="3B3A5494"/>
    <w:rsid w:val="3B4851E0"/>
    <w:rsid w:val="3B5C01E9"/>
    <w:rsid w:val="3B6C0A04"/>
    <w:rsid w:val="3B785001"/>
    <w:rsid w:val="3B807CB3"/>
    <w:rsid w:val="3B8A68AE"/>
    <w:rsid w:val="3BA94A0F"/>
    <w:rsid w:val="3BAE73FB"/>
    <w:rsid w:val="3BB020AC"/>
    <w:rsid w:val="3BB76BFB"/>
    <w:rsid w:val="3BC46D08"/>
    <w:rsid w:val="3BC60255"/>
    <w:rsid w:val="3BD91976"/>
    <w:rsid w:val="3BDF486D"/>
    <w:rsid w:val="3BF75330"/>
    <w:rsid w:val="3BFF0B57"/>
    <w:rsid w:val="3C163F94"/>
    <w:rsid w:val="3CA40D10"/>
    <w:rsid w:val="3CAA61CA"/>
    <w:rsid w:val="3CBB6A29"/>
    <w:rsid w:val="3CBC20D5"/>
    <w:rsid w:val="3CD45671"/>
    <w:rsid w:val="3CE30D70"/>
    <w:rsid w:val="3CE714AB"/>
    <w:rsid w:val="3D2442BE"/>
    <w:rsid w:val="3D2D1904"/>
    <w:rsid w:val="3D2E6FD9"/>
    <w:rsid w:val="3D3A4F70"/>
    <w:rsid w:val="3D42042C"/>
    <w:rsid w:val="3D4C0193"/>
    <w:rsid w:val="3D50340C"/>
    <w:rsid w:val="3D5B667F"/>
    <w:rsid w:val="3D7A7FC6"/>
    <w:rsid w:val="3D7C0D54"/>
    <w:rsid w:val="3D9D55CA"/>
    <w:rsid w:val="3DA56282"/>
    <w:rsid w:val="3DAC77EC"/>
    <w:rsid w:val="3DB13178"/>
    <w:rsid w:val="3DB1444F"/>
    <w:rsid w:val="3DC67549"/>
    <w:rsid w:val="3DC94AAA"/>
    <w:rsid w:val="3DD84CED"/>
    <w:rsid w:val="3DED03D5"/>
    <w:rsid w:val="3DF24001"/>
    <w:rsid w:val="3DFF227A"/>
    <w:rsid w:val="3E147DD6"/>
    <w:rsid w:val="3E3A59A8"/>
    <w:rsid w:val="3E453465"/>
    <w:rsid w:val="3E601880"/>
    <w:rsid w:val="3E995776"/>
    <w:rsid w:val="3EE32635"/>
    <w:rsid w:val="3EE502DA"/>
    <w:rsid w:val="3EEC7A94"/>
    <w:rsid w:val="3EFE01D1"/>
    <w:rsid w:val="3F2070D4"/>
    <w:rsid w:val="3F3514E2"/>
    <w:rsid w:val="3F4B42CD"/>
    <w:rsid w:val="3F56236D"/>
    <w:rsid w:val="3F5A2895"/>
    <w:rsid w:val="3F7D44A5"/>
    <w:rsid w:val="3F7E3672"/>
    <w:rsid w:val="3F9946AB"/>
    <w:rsid w:val="3FB47094"/>
    <w:rsid w:val="3FD634AE"/>
    <w:rsid w:val="3FE02A5E"/>
    <w:rsid w:val="40006112"/>
    <w:rsid w:val="4014071A"/>
    <w:rsid w:val="401836D1"/>
    <w:rsid w:val="40192983"/>
    <w:rsid w:val="403062AC"/>
    <w:rsid w:val="40547095"/>
    <w:rsid w:val="4056333C"/>
    <w:rsid w:val="406454F7"/>
    <w:rsid w:val="408C5528"/>
    <w:rsid w:val="40A73691"/>
    <w:rsid w:val="40AC17A3"/>
    <w:rsid w:val="40D41EC2"/>
    <w:rsid w:val="40E75011"/>
    <w:rsid w:val="40EC4A91"/>
    <w:rsid w:val="40FC4BAD"/>
    <w:rsid w:val="410A1661"/>
    <w:rsid w:val="41501729"/>
    <w:rsid w:val="416B38EF"/>
    <w:rsid w:val="41716701"/>
    <w:rsid w:val="418853C8"/>
    <w:rsid w:val="41A56CCA"/>
    <w:rsid w:val="41A90C4D"/>
    <w:rsid w:val="41C54EBE"/>
    <w:rsid w:val="41C57962"/>
    <w:rsid w:val="41CA0DF1"/>
    <w:rsid w:val="41DE5E72"/>
    <w:rsid w:val="41E01908"/>
    <w:rsid w:val="41F24100"/>
    <w:rsid w:val="41FD11C6"/>
    <w:rsid w:val="42021C48"/>
    <w:rsid w:val="420C1BEF"/>
    <w:rsid w:val="421641DB"/>
    <w:rsid w:val="42222B0D"/>
    <w:rsid w:val="422E0E45"/>
    <w:rsid w:val="42362BAC"/>
    <w:rsid w:val="42432FB1"/>
    <w:rsid w:val="424C57D6"/>
    <w:rsid w:val="425E4D84"/>
    <w:rsid w:val="427F38B5"/>
    <w:rsid w:val="42825E62"/>
    <w:rsid w:val="429A4E73"/>
    <w:rsid w:val="42A31BAB"/>
    <w:rsid w:val="42A87384"/>
    <w:rsid w:val="42DE0FF8"/>
    <w:rsid w:val="42F51792"/>
    <w:rsid w:val="42FB6FC1"/>
    <w:rsid w:val="43233AC8"/>
    <w:rsid w:val="43287165"/>
    <w:rsid w:val="433F401C"/>
    <w:rsid w:val="4363365F"/>
    <w:rsid w:val="43654974"/>
    <w:rsid w:val="437E0B30"/>
    <w:rsid w:val="43851B9A"/>
    <w:rsid w:val="43890647"/>
    <w:rsid w:val="43A86F10"/>
    <w:rsid w:val="43C67B22"/>
    <w:rsid w:val="43F85BCB"/>
    <w:rsid w:val="43F96D1B"/>
    <w:rsid w:val="43F971C1"/>
    <w:rsid w:val="440047DE"/>
    <w:rsid w:val="440F4B86"/>
    <w:rsid w:val="443646FE"/>
    <w:rsid w:val="4440624E"/>
    <w:rsid w:val="445F5AF6"/>
    <w:rsid w:val="445F5EB0"/>
    <w:rsid w:val="44602E24"/>
    <w:rsid w:val="447319A9"/>
    <w:rsid w:val="44780274"/>
    <w:rsid w:val="448B6C79"/>
    <w:rsid w:val="449C26EB"/>
    <w:rsid w:val="44B864F2"/>
    <w:rsid w:val="44B96A0B"/>
    <w:rsid w:val="44D5295F"/>
    <w:rsid w:val="44E34E0F"/>
    <w:rsid w:val="44E727F2"/>
    <w:rsid w:val="451440C4"/>
    <w:rsid w:val="451539EC"/>
    <w:rsid w:val="45290F50"/>
    <w:rsid w:val="452B429C"/>
    <w:rsid w:val="452F01EF"/>
    <w:rsid w:val="45305358"/>
    <w:rsid w:val="45574E45"/>
    <w:rsid w:val="455B3A5C"/>
    <w:rsid w:val="459B4373"/>
    <w:rsid w:val="45C611B7"/>
    <w:rsid w:val="45D33089"/>
    <w:rsid w:val="45DE5B54"/>
    <w:rsid w:val="45FB77CB"/>
    <w:rsid w:val="45FF32EC"/>
    <w:rsid w:val="460C1D82"/>
    <w:rsid w:val="46170277"/>
    <w:rsid w:val="46207E75"/>
    <w:rsid w:val="464860F2"/>
    <w:rsid w:val="4654001E"/>
    <w:rsid w:val="4657036F"/>
    <w:rsid w:val="466011A5"/>
    <w:rsid w:val="46676322"/>
    <w:rsid w:val="46784DD3"/>
    <w:rsid w:val="467B68F6"/>
    <w:rsid w:val="467F21AA"/>
    <w:rsid w:val="468F2BAD"/>
    <w:rsid w:val="46CF7691"/>
    <w:rsid w:val="46ED2484"/>
    <w:rsid w:val="46F74436"/>
    <w:rsid w:val="46FF3FF0"/>
    <w:rsid w:val="47267BE0"/>
    <w:rsid w:val="472A2E92"/>
    <w:rsid w:val="472E5C5F"/>
    <w:rsid w:val="4744053F"/>
    <w:rsid w:val="475E4CCB"/>
    <w:rsid w:val="4775539F"/>
    <w:rsid w:val="47807A4E"/>
    <w:rsid w:val="47A066A8"/>
    <w:rsid w:val="47E16332"/>
    <w:rsid w:val="47F16BFC"/>
    <w:rsid w:val="47F36EC5"/>
    <w:rsid w:val="48213555"/>
    <w:rsid w:val="483D3371"/>
    <w:rsid w:val="4840143E"/>
    <w:rsid w:val="48556567"/>
    <w:rsid w:val="48563672"/>
    <w:rsid w:val="486A1E37"/>
    <w:rsid w:val="488245AC"/>
    <w:rsid w:val="48840FAF"/>
    <w:rsid w:val="48A050F5"/>
    <w:rsid w:val="48B1167D"/>
    <w:rsid w:val="48BC66EE"/>
    <w:rsid w:val="48BD5BAE"/>
    <w:rsid w:val="49046B5B"/>
    <w:rsid w:val="490666D3"/>
    <w:rsid w:val="49076323"/>
    <w:rsid w:val="4916042D"/>
    <w:rsid w:val="491A7902"/>
    <w:rsid w:val="491D1929"/>
    <w:rsid w:val="491D42B0"/>
    <w:rsid w:val="492904C3"/>
    <w:rsid w:val="496F6145"/>
    <w:rsid w:val="497D2118"/>
    <w:rsid w:val="49951CE4"/>
    <w:rsid w:val="49962F4C"/>
    <w:rsid w:val="49A46DF7"/>
    <w:rsid w:val="49BE6ECC"/>
    <w:rsid w:val="49E642C6"/>
    <w:rsid w:val="4A0A4480"/>
    <w:rsid w:val="4A5A376C"/>
    <w:rsid w:val="4A8E38EC"/>
    <w:rsid w:val="4A921566"/>
    <w:rsid w:val="4A9B4CF4"/>
    <w:rsid w:val="4A9D6E03"/>
    <w:rsid w:val="4ABE1F51"/>
    <w:rsid w:val="4AE44CD1"/>
    <w:rsid w:val="4AEF5B55"/>
    <w:rsid w:val="4AF83183"/>
    <w:rsid w:val="4AFE74E7"/>
    <w:rsid w:val="4B6064D2"/>
    <w:rsid w:val="4B8E6ADB"/>
    <w:rsid w:val="4BAC3AC1"/>
    <w:rsid w:val="4BCA5822"/>
    <w:rsid w:val="4BCC4AB7"/>
    <w:rsid w:val="4BD755DD"/>
    <w:rsid w:val="4BE44CF5"/>
    <w:rsid w:val="4BE76BDE"/>
    <w:rsid w:val="4BEA04D8"/>
    <w:rsid w:val="4BEB5FD2"/>
    <w:rsid w:val="4BFA33AA"/>
    <w:rsid w:val="4C057503"/>
    <w:rsid w:val="4C180D47"/>
    <w:rsid w:val="4C303B32"/>
    <w:rsid w:val="4C3A7305"/>
    <w:rsid w:val="4CA62D50"/>
    <w:rsid w:val="4CE745BD"/>
    <w:rsid w:val="4CFC30EA"/>
    <w:rsid w:val="4D130D46"/>
    <w:rsid w:val="4D5959ED"/>
    <w:rsid w:val="4D685AF4"/>
    <w:rsid w:val="4D693BB4"/>
    <w:rsid w:val="4D981DEC"/>
    <w:rsid w:val="4DB80420"/>
    <w:rsid w:val="4DC20265"/>
    <w:rsid w:val="4DC362EC"/>
    <w:rsid w:val="4DC44ACD"/>
    <w:rsid w:val="4DC87CBC"/>
    <w:rsid w:val="4DD3733C"/>
    <w:rsid w:val="4DDA3997"/>
    <w:rsid w:val="4DE4438E"/>
    <w:rsid w:val="4DE60D60"/>
    <w:rsid w:val="4E153E2A"/>
    <w:rsid w:val="4E395334"/>
    <w:rsid w:val="4E4D1087"/>
    <w:rsid w:val="4E550030"/>
    <w:rsid w:val="4E5A3A1F"/>
    <w:rsid w:val="4E6D4C8A"/>
    <w:rsid w:val="4E6D5D88"/>
    <w:rsid w:val="4E797E26"/>
    <w:rsid w:val="4E827F0B"/>
    <w:rsid w:val="4EB11A7C"/>
    <w:rsid w:val="4EB33950"/>
    <w:rsid w:val="4EB8286A"/>
    <w:rsid w:val="4EB90A78"/>
    <w:rsid w:val="4EBE63E7"/>
    <w:rsid w:val="4ED4490E"/>
    <w:rsid w:val="4EF13E61"/>
    <w:rsid w:val="4F024C21"/>
    <w:rsid w:val="4F125FC1"/>
    <w:rsid w:val="4F230016"/>
    <w:rsid w:val="4F247C3C"/>
    <w:rsid w:val="4F2B05E5"/>
    <w:rsid w:val="4F344435"/>
    <w:rsid w:val="4F3F4F4B"/>
    <w:rsid w:val="4F541183"/>
    <w:rsid w:val="4F55619D"/>
    <w:rsid w:val="4F952A3E"/>
    <w:rsid w:val="4F9611A9"/>
    <w:rsid w:val="4FAB11ED"/>
    <w:rsid w:val="4FAB5F62"/>
    <w:rsid w:val="4FCA74A2"/>
    <w:rsid w:val="4FD2441E"/>
    <w:rsid w:val="4FD86253"/>
    <w:rsid w:val="4FE1664F"/>
    <w:rsid w:val="4FE6125A"/>
    <w:rsid w:val="50087562"/>
    <w:rsid w:val="501B6761"/>
    <w:rsid w:val="5023796F"/>
    <w:rsid w:val="502A3813"/>
    <w:rsid w:val="502D2C76"/>
    <w:rsid w:val="503A00B5"/>
    <w:rsid w:val="50462C4D"/>
    <w:rsid w:val="505962D0"/>
    <w:rsid w:val="505A69C0"/>
    <w:rsid w:val="50615016"/>
    <w:rsid w:val="50643F87"/>
    <w:rsid w:val="50853491"/>
    <w:rsid w:val="508D7BB9"/>
    <w:rsid w:val="50913A1A"/>
    <w:rsid w:val="509A3404"/>
    <w:rsid w:val="50C02141"/>
    <w:rsid w:val="50CF44C7"/>
    <w:rsid w:val="51376487"/>
    <w:rsid w:val="51391AE5"/>
    <w:rsid w:val="51565E0F"/>
    <w:rsid w:val="51594493"/>
    <w:rsid w:val="51613E99"/>
    <w:rsid w:val="51785CB9"/>
    <w:rsid w:val="5179653C"/>
    <w:rsid w:val="518A234B"/>
    <w:rsid w:val="518D78CB"/>
    <w:rsid w:val="519A09FD"/>
    <w:rsid w:val="51AD3F2C"/>
    <w:rsid w:val="51AE6039"/>
    <w:rsid w:val="51B8376E"/>
    <w:rsid w:val="51C051BF"/>
    <w:rsid w:val="51CE3B70"/>
    <w:rsid w:val="51DD0C01"/>
    <w:rsid w:val="51EC4B05"/>
    <w:rsid w:val="51EF439E"/>
    <w:rsid w:val="51F31965"/>
    <w:rsid w:val="51F31C9E"/>
    <w:rsid w:val="520D274D"/>
    <w:rsid w:val="5216555A"/>
    <w:rsid w:val="52315D50"/>
    <w:rsid w:val="52384C20"/>
    <w:rsid w:val="523C13BA"/>
    <w:rsid w:val="526C0070"/>
    <w:rsid w:val="526C72A4"/>
    <w:rsid w:val="528162BA"/>
    <w:rsid w:val="52837A93"/>
    <w:rsid w:val="52860EF2"/>
    <w:rsid w:val="529A0E03"/>
    <w:rsid w:val="52C2522E"/>
    <w:rsid w:val="52C509CD"/>
    <w:rsid w:val="52D50A74"/>
    <w:rsid w:val="52EE175B"/>
    <w:rsid w:val="52F91536"/>
    <w:rsid w:val="52FB705C"/>
    <w:rsid w:val="5315678D"/>
    <w:rsid w:val="53202F66"/>
    <w:rsid w:val="534530AA"/>
    <w:rsid w:val="5349426B"/>
    <w:rsid w:val="534B63E1"/>
    <w:rsid w:val="53513120"/>
    <w:rsid w:val="53542C10"/>
    <w:rsid w:val="53590B7E"/>
    <w:rsid w:val="536F35A6"/>
    <w:rsid w:val="53716321"/>
    <w:rsid w:val="5372582A"/>
    <w:rsid w:val="53890B0C"/>
    <w:rsid w:val="538A3CB4"/>
    <w:rsid w:val="539E4975"/>
    <w:rsid w:val="53DC305E"/>
    <w:rsid w:val="53E914DD"/>
    <w:rsid w:val="54240185"/>
    <w:rsid w:val="54293D04"/>
    <w:rsid w:val="542B3971"/>
    <w:rsid w:val="54372EB6"/>
    <w:rsid w:val="543749A4"/>
    <w:rsid w:val="543C576A"/>
    <w:rsid w:val="544467E1"/>
    <w:rsid w:val="54583802"/>
    <w:rsid w:val="545C678F"/>
    <w:rsid w:val="546B1C94"/>
    <w:rsid w:val="54727812"/>
    <w:rsid w:val="5482550F"/>
    <w:rsid w:val="54C82BAB"/>
    <w:rsid w:val="54D41194"/>
    <w:rsid w:val="54EA0DA9"/>
    <w:rsid w:val="55056E18"/>
    <w:rsid w:val="550F2A82"/>
    <w:rsid w:val="5512686C"/>
    <w:rsid w:val="552B5F38"/>
    <w:rsid w:val="552E44DA"/>
    <w:rsid w:val="55547C6D"/>
    <w:rsid w:val="556C6ABB"/>
    <w:rsid w:val="55733821"/>
    <w:rsid w:val="55821AF0"/>
    <w:rsid w:val="558C7C12"/>
    <w:rsid w:val="55997BCD"/>
    <w:rsid w:val="55B04629"/>
    <w:rsid w:val="55B24906"/>
    <w:rsid w:val="55C053AF"/>
    <w:rsid w:val="55CD3470"/>
    <w:rsid w:val="55D65B5E"/>
    <w:rsid w:val="55E871B0"/>
    <w:rsid w:val="55FB55C5"/>
    <w:rsid w:val="55FB7970"/>
    <w:rsid w:val="56101DD1"/>
    <w:rsid w:val="561D202C"/>
    <w:rsid w:val="56366F00"/>
    <w:rsid w:val="56510A85"/>
    <w:rsid w:val="56672BBC"/>
    <w:rsid w:val="567A045F"/>
    <w:rsid w:val="56804803"/>
    <w:rsid w:val="569F79FB"/>
    <w:rsid w:val="56C24E06"/>
    <w:rsid w:val="56D036F8"/>
    <w:rsid w:val="56D72AC8"/>
    <w:rsid w:val="56DD500F"/>
    <w:rsid w:val="56E3192A"/>
    <w:rsid w:val="56E66C7F"/>
    <w:rsid w:val="56E756E7"/>
    <w:rsid w:val="570F757A"/>
    <w:rsid w:val="574B7E86"/>
    <w:rsid w:val="575651A9"/>
    <w:rsid w:val="57601F33"/>
    <w:rsid w:val="57654286"/>
    <w:rsid w:val="577C2E27"/>
    <w:rsid w:val="579D1DEA"/>
    <w:rsid w:val="57C84E97"/>
    <w:rsid w:val="57D8796C"/>
    <w:rsid w:val="57ED5486"/>
    <w:rsid w:val="57F12614"/>
    <w:rsid w:val="57FD42F3"/>
    <w:rsid w:val="5852125B"/>
    <w:rsid w:val="5875340D"/>
    <w:rsid w:val="58770836"/>
    <w:rsid w:val="58B236D8"/>
    <w:rsid w:val="58D44F2B"/>
    <w:rsid w:val="58E31463"/>
    <w:rsid w:val="590668EB"/>
    <w:rsid w:val="590A5976"/>
    <w:rsid w:val="59202368"/>
    <w:rsid w:val="5926603E"/>
    <w:rsid w:val="593407CB"/>
    <w:rsid w:val="594600A4"/>
    <w:rsid w:val="596A1021"/>
    <w:rsid w:val="59740488"/>
    <w:rsid w:val="597C6765"/>
    <w:rsid w:val="599B2826"/>
    <w:rsid w:val="599E3DA8"/>
    <w:rsid w:val="59A040A4"/>
    <w:rsid w:val="59A553E7"/>
    <w:rsid w:val="59C5157B"/>
    <w:rsid w:val="59D157AF"/>
    <w:rsid w:val="59D61204"/>
    <w:rsid w:val="5A1204E9"/>
    <w:rsid w:val="5A3A490E"/>
    <w:rsid w:val="5A4A1D60"/>
    <w:rsid w:val="5A5A6003"/>
    <w:rsid w:val="5A832A89"/>
    <w:rsid w:val="5A835788"/>
    <w:rsid w:val="5A8D6DA1"/>
    <w:rsid w:val="5AA86563"/>
    <w:rsid w:val="5AE06567"/>
    <w:rsid w:val="5B1A4993"/>
    <w:rsid w:val="5B2F18A3"/>
    <w:rsid w:val="5B651F10"/>
    <w:rsid w:val="5B7250CB"/>
    <w:rsid w:val="5B9B762E"/>
    <w:rsid w:val="5B9E0ECC"/>
    <w:rsid w:val="5BA364E3"/>
    <w:rsid w:val="5BBE4320"/>
    <w:rsid w:val="5BC10E22"/>
    <w:rsid w:val="5BC34208"/>
    <w:rsid w:val="5BC40574"/>
    <w:rsid w:val="5BEA0F29"/>
    <w:rsid w:val="5BF65AFA"/>
    <w:rsid w:val="5BF705DC"/>
    <w:rsid w:val="5BFD791A"/>
    <w:rsid w:val="5C072AA0"/>
    <w:rsid w:val="5C201166"/>
    <w:rsid w:val="5C205BD6"/>
    <w:rsid w:val="5C261802"/>
    <w:rsid w:val="5C4B1054"/>
    <w:rsid w:val="5C4F0418"/>
    <w:rsid w:val="5C513E1C"/>
    <w:rsid w:val="5C884FF1"/>
    <w:rsid w:val="5C931598"/>
    <w:rsid w:val="5CBF59BF"/>
    <w:rsid w:val="5CBF70BA"/>
    <w:rsid w:val="5CC174AD"/>
    <w:rsid w:val="5CCA3DCD"/>
    <w:rsid w:val="5CE56FAA"/>
    <w:rsid w:val="5CEA4FFA"/>
    <w:rsid w:val="5D036A88"/>
    <w:rsid w:val="5D1A0A26"/>
    <w:rsid w:val="5D275262"/>
    <w:rsid w:val="5D2C5DEF"/>
    <w:rsid w:val="5D417D61"/>
    <w:rsid w:val="5D423AD9"/>
    <w:rsid w:val="5D4A1F9E"/>
    <w:rsid w:val="5D621970"/>
    <w:rsid w:val="5D660A57"/>
    <w:rsid w:val="5D7F57CC"/>
    <w:rsid w:val="5D853A53"/>
    <w:rsid w:val="5D9D7BB3"/>
    <w:rsid w:val="5DC4436B"/>
    <w:rsid w:val="5DE00A50"/>
    <w:rsid w:val="5DE50168"/>
    <w:rsid w:val="5E0C65C1"/>
    <w:rsid w:val="5E3233C1"/>
    <w:rsid w:val="5E356618"/>
    <w:rsid w:val="5E53208D"/>
    <w:rsid w:val="5E60690D"/>
    <w:rsid w:val="5E6B26B0"/>
    <w:rsid w:val="5E8A4A2A"/>
    <w:rsid w:val="5E8A6C50"/>
    <w:rsid w:val="5E8E2374"/>
    <w:rsid w:val="5E8E347A"/>
    <w:rsid w:val="5EA6551E"/>
    <w:rsid w:val="5EB237E6"/>
    <w:rsid w:val="5EB97DCB"/>
    <w:rsid w:val="5EF71653"/>
    <w:rsid w:val="5F1C2831"/>
    <w:rsid w:val="5F4525C0"/>
    <w:rsid w:val="5F48187B"/>
    <w:rsid w:val="5F4F1B86"/>
    <w:rsid w:val="5F4F762E"/>
    <w:rsid w:val="5F51779F"/>
    <w:rsid w:val="5F5D6E24"/>
    <w:rsid w:val="5F622211"/>
    <w:rsid w:val="5FA27C6C"/>
    <w:rsid w:val="5FBD36CB"/>
    <w:rsid w:val="5FE56370"/>
    <w:rsid w:val="5FF348C9"/>
    <w:rsid w:val="60116111"/>
    <w:rsid w:val="60142E9C"/>
    <w:rsid w:val="60263D19"/>
    <w:rsid w:val="604E2987"/>
    <w:rsid w:val="6053558C"/>
    <w:rsid w:val="6064685E"/>
    <w:rsid w:val="6069239D"/>
    <w:rsid w:val="606A348B"/>
    <w:rsid w:val="606A75CF"/>
    <w:rsid w:val="60795A64"/>
    <w:rsid w:val="607B6CDF"/>
    <w:rsid w:val="608118DC"/>
    <w:rsid w:val="60A81186"/>
    <w:rsid w:val="60BF5416"/>
    <w:rsid w:val="60D70B93"/>
    <w:rsid w:val="60E03D35"/>
    <w:rsid w:val="60EF304D"/>
    <w:rsid w:val="61053BB1"/>
    <w:rsid w:val="61096747"/>
    <w:rsid w:val="612247C4"/>
    <w:rsid w:val="612433EA"/>
    <w:rsid w:val="613017A5"/>
    <w:rsid w:val="614334B5"/>
    <w:rsid w:val="61467A2D"/>
    <w:rsid w:val="615D56F9"/>
    <w:rsid w:val="6192502F"/>
    <w:rsid w:val="619B6916"/>
    <w:rsid w:val="61BB6055"/>
    <w:rsid w:val="61C22F65"/>
    <w:rsid w:val="61C80A51"/>
    <w:rsid w:val="61CF4C7D"/>
    <w:rsid w:val="61FA65EB"/>
    <w:rsid w:val="621E0875"/>
    <w:rsid w:val="62257C51"/>
    <w:rsid w:val="622E7392"/>
    <w:rsid w:val="623A63F5"/>
    <w:rsid w:val="624844EB"/>
    <w:rsid w:val="6255521F"/>
    <w:rsid w:val="62556C6E"/>
    <w:rsid w:val="62773313"/>
    <w:rsid w:val="627B0AFC"/>
    <w:rsid w:val="6290339A"/>
    <w:rsid w:val="62A551F2"/>
    <w:rsid w:val="62DF4F2A"/>
    <w:rsid w:val="62E10084"/>
    <w:rsid w:val="6308123C"/>
    <w:rsid w:val="631672C4"/>
    <w:rsid w:val="631A52DC"/>
    <w:rsid w:val="6361115D"/>
    <w:rsid w:val="639B38F6"/>
    <w:rsid w:val="639D5F0D"/>
    <w:rsid w:val="63A63014"/>
    <w:rsid w:val="63C635D7"/>
    <w:rsid w:val="63C74D38"/>
    <w:rsid w:val="63CE730E"/>
    <w:rsid w:val="643028DD"/>
    <w:rsid w:val="64574D69"/>
    <w:rsid w:val="646271B0"/>
    <w:rsid w:val="646A4041"/>
    <w:rsid w:val="64805B8D"/>
    <w:rsid w:val="6482427B"/>
    <w:rsid w:val="64CB4939"/>
    <w:rsid w:val="64CD637E"/>
    <w:rsid w:val="65141DB6"/>
    <w:rsid w:val="651C1B4A"/>
    <w:rsid w:val="65446022"/>
    <w:rsid w:val="654F7C7A"/>
    <w:rsid w:val="657556A7"/>
    <w:rsid w:val="65881026"/>
    <w:rsid w:val="65993BC6"/>
    <w:rsid w:val="65E83871"/>
    <w:rsid w:val="65F8742B"/>
    <w:rsid w:val="66417024"/>
    <w:rsid w:val="6658697A"/>
    <w:rsid w:val="665B6240"/>
    <w:rsid w:val="665E7E90"/>
    <w:rsid w:val="66636002"/>
    <w:rsid w:val="666425E0"/>
    <w:rsid w:val="667A57FD"/>
    <w:rsid w:val="667A742F"/>
    <w:rsid w:val="668B4BF2"/>
    <w:rsid w:val="669D7B1A"/>
    <w:rsid w:val="669E3F59"/>
    <w:rsid w:val="66A7157D"/>
    <w:rsid w:val="66A74C12"/>
    <w:rsid w:val="66B800B2"/>
    <w:rsid w:val="66BB049A"/>
    <w:rsid w:val="66BF3B7D"/>
    <w:rsid w:val="66E16111"/>
    <w:rsid w:val="66E82ECF"/>
    <w:rsid w:val="66F32C7E"/>
    <w:rsid w:val="66F60FBF"/>
    <w:rsid w:val="66F8445D"/>
    <w:rsid w:val="66F95B24"/>
    <w:rsid w:val="67024B6D"/>
    <w:rsid w:val="672C50DB"/>
    <w:rsid w:val="67342DD3"/>
    <w:rsid w:val="675D66B2"/>
    <w:rsid w:val="67670E4E"/>
    <w:rsid w:val="679201C5"/>
    <w:rsid w:val="67926549"/>
    <w:rsid w:val="67A41F2F"/>
    <w:rsid w:val="67AA48A0"/>
    <w:rsid w:val="67B9693A"/>
    <w:rsid w:val="67E1638C"/>
    <w:rsid w:val="67F3434E"/>
    <w:rsid w:val="67FD5ACE"/>
    <w:rsid w:val="68007540"/>
    <w:rsid w:val="680360A4"/>
    <w:rsid w:val="68182533"/>
    <w:rsid w:val="68237989"/>
    <w:rsid w:val="682712E4"/>
    <w:rsid w:val="68372176"/>
    <w:rsid w:val="6838002C"/>
    <w:rsid w:val="68762A6A"/>
    <w:rsid w:val="687F3E33"/>
    <w:rsid w:val="68874C6C"/>
    <w:rsid w:val="68B55D7E"/>
    <w:rsid w:val="68BC0439"/>
    <w:rsid w:val="68D30656"/>
    <w:rsid w:val="68D8135A"/>
    <w:rsid w:val="68E21F84"/>
    <w:rsid w:val="68F421A6"/>
    <w:rsid w:val="68FF25D5"/>
    <w:rsid w:val="690A11E7"/>
    <w:rsid w:val="690A7BA1"/>
    <w:rsid w:val="69226537"/>
    <w:rsid w:val="69230C63"/>
    <w:rsid w:val="695010B2"/>
    <w:rsid w:val="69623AB1"/>
    <w:rsid w:val="696977F9"/>
    <w:rsid w:val="698219CD"/>
    <w:rsid w:val="698E7F06"/>
    <w:rsid w:val="69907DD3"/>
    <w:rsid w:val="69992B01"/>
    <w:rsid w:val="69B04201"/>
    <w:rsid w:val="69C435E6"/>
    <w:rsid w:val="69EE2FE1"/>
    <w:rsid w:val="69F06D97"/>
    <w:rsid w:val="69FD1C47"/>
    <w:rsid w:val="6A067ABA"/>
    <w:rsid w:val="6A0F3FB5"/>
    <w:rsid w:val="6A1A5881"/>
    <w:rsid w:val="6A286091"/>
    <w:rsid w:val="6A4964A7"/>
    <w:rsid w:val="6A6E7140"/>
    <w:rsid w:val="6A734562"/>
    <w:rsid w:val="6A7741A2"/>
    <w:rsid w:val="6A7E25F5"/>
    <w:rsid w:val="6A8179DD"/>
    <w:rsid w:val="6A895266"/>
    <w:rsid w:val="6AA67D9D"/>
    <w:rsid w:val="6ABC167B"/>
    <w:rsid w:val="6ABE0BC5"/>
    <w:rsid w:val="6AC375E2"/>
    <w:rsid w:val="6AD95132"/>
    <w:rsid w:val="6ADA4279"/>
    <w:rsid w:val="6AE9756A"/>
    <w:rsid w:val="6AF00D74"/>
    <w:rsid w:val="6B20455D"/>
    <w:rsid w:val="6B2D5155"/>
    <w:rsid w:val="6B354F7D"/>
    <w:rsid w:val="6B4B1AD0"/>
    <w:rsid w:val="6B640EBB"/>
    <w:rsid w:val="6B6A2B79"/>
    <w:rsid w:val="6B6D7006"/>
    <w:rsid w:val="6B96571C"/>
    <w:rsid w:val="6B996687"/>
    <w:rsid w:val="6B9967FA"/>
    <w:rsid w:val="6BA74132"/>
    <w:rsid w:val="6BA926EE"/>
    <w:rsid w:val="6BB37FF7"/>
    <w:rsid w:val="6BC316F1"/>
    <w:rsid w:val="6BDB661A"/>
    <w:rsid w:val="6C1D5E3D"/>
    <w:rsid w:val="6C2F5642"/>
    <w:rsid w:val="6C355736"/>
    <w:rsid w:val="6C47110C"/>
    <w:rsid w:val="6C4B6506"/>
    <w:rsid w:val="6C5D623A"/>
    <w:rsid w:val="6C671C7C"/>
    <w:rsid w:val="6C672299"/>
    <w:rsid w:val="6C711CE5"/>
    <w:rsid w:val="6C797D8E"/>
    <w:rsid w:val="6C7A3D7F"/>
    <w:rsid w:val="6C9B4958"/>
    <w:rsid w:val="6C9E0E0B"/>
    <w:rsid w:val="6CA4516C"/>
    <w:rsid w:val="6CB95254"/>
    <w:rsid w:val="6CC06F05"/>
    <w:rsid w:val="6CC12E9D"/>
    <w:rsid w:val="6CDA6D38"/>
    <w:rsid w:val="6CDB39FC"/>
    <w:rsid w:val="6CE83E7D"/>
    <w:rsid w:val="6D205C35"/>
    <w:rsid w:val="6D2C1D2E"/>
    <w:rsid w:val="6D533D7E"/>
    <w:rsid w:val="6D562C38"/>
    <w:rsid w:val="6D595869"/>
    <w:rsid w:val="6D606919"/>
    <w:rsid w:val="6D6A3529"/>
    <w:rsid w:val="6D803D7F"/>
    <w:rsid w:val="6D837F22"/>
    <w:rsid w:val="6D9D2847"/>
    <w:rsid w:val="6DA26E0B"/>
    <w:rsid w:val="6DA9464A"/>
    <w:rsid w:val="6DB24273"/>
    <w:rsid w:val="6DB64F20"/>
    <w:rsid w:val="6DB77BB8"/>
    <w:rsid w:val="6DBB2AE7"/>
    <w:rsid w:val="6DC5257C"/>
    <w:rsid w:val="6DCF46C4"/>
    <w:rsid w:val="6DD33124"/>
    <w:rsid w:val="6DE035C6"/>
    <w:rsid w:val="6DE94F98"/>
    <w:rsid w:val="6DF7683D"/>
    <w:rsid w:val="6DF8446C"/>
    <w:rsid w:val="6DF86561"/>
    <w:rsid w:val="6E0E1EE1"/>
    <w:rsid w:val="6E134BA8"/>
    <w:rsid w:val="6E1B1A3B"/>
    <w:rsid w:val="6E20616E"/>
    <w:rsid w:val="6E216742"/>
    <w:rsid w:val="6E4D1195"/>
    <w:rsid w:val="6E6A261D"/>
    <w:rsid w:val="6E705621"/>
    <w:rsid w:val="6E8B294B"/>
    <w:rsid w:val="6EA15ED3"/>
    <w:rsid w:val="6EA93F33"/>
    <w:rsid w:val="6EC06D18"/>
    <w:rsid w:val="6EEC0F06"/>
    <w:rsid w:val="6EFF0181"/>
    <w:rsid w:val="6F423A09"/>
    <w:rsid w:val="6F4F0340"/>
    <w:rsid w:val="6F8E16EF"/>
    <w:rsid w:val="6FB11115"/>
    <w:rsid w:val="6FB73BC1"/>
    <w:rsid w:val="6FC321F6"/>
    <w:rsid w:val="6FC40E55"/>
    <w:rsid w:val="701622B1"/>
    <w:rsid w:val="702579EF"/>
    <w:rsid w:val="702E002C"/>
    <w:rsid w:val="702E4BE7"/>
    <w:rsid w:val="702F7786"/>
    <w:rsid w:val="70487B28"/>
    <w:rsid w:val="70513913"/>
    <w:rsid w:val="70617AB7"/>
    <w:rsid w:val="708F0F2B"/>
    <w:rsid w:val="7092565E"/>
    <w:rsid w:val="70AD0CFA"/>
    <w:rsid w:val="70B84A8D"/>
    <w:rsid w:val="70B977BD"/>
    <w:rsid w:val="70BF5715"/>
    <w:rsid w:val="70C40F7D"/>
    <w:rsid w:val="70D93716"/>
    <w:rsid w:val="70E37655"/>
    <w:rsid w:val="70E6799A"/>
    <w:rsid w:val="70EF325C"/>
    <w:rsid w:val="70F03D3E"/>
    <w:rsid w:val="71050E22"/>
    <w:rsid w:val="711A6DEF"/>
    <w:rsid w:val="713779A1"/>
    <w:rsid w:val="714143BD"/>
    <w:rsid w:val="71452DF8"/>
    <w:rsid w:val="714B3FE8"/>
    <w:rsid w:val="715D3C4B"/>
    <w:rsid w:val="71771518"/>
    <w:rsid w:val="71902CD8"/>
    <w:rsid w:val="71A320F4"/>
    <w:rsid w:val="71A633EE"/>
    <w:rsid w:val="71A71830"/>
    <w:rsid w:val="71A861A9"/>
    <w:rsid w:val="71C63A57"/>
    <w:rsid w:val="71D63DE3"/>
    <w:rsid w:val="71E067B1"/>
    <w:rsid w:val="71E209F3"/>
    <w:rsid w:val="71E741A5"/>
    <w:rsid w:val="71FC41C3"/>
    <w:rsid w:val="720A4A31"/>
    <w:rsid w:val="72276524"/>
    <w:rsid w:val="72346C0D"/>
    <w:rsid w:val="723935F7"/>
    <w:rsid w:val="724D011B"/>
    <w:rsid w:val="726655B8"/>
    <w:rsid w:val="726B684E"/>
    <w:rsid w:val="72CA7FE3"/>
    <w:rsid w:val="72E31A05"/>
    <w:rsid w:val="72E70F53"/>
    <w:rsid w:val="72F06EE4"/>
    <w:rsid w:val="73131D48"/>
    <w:rsid w:val="731D1576"/>
    <w:rsid w:val="73372B7A"/>
    <w:rsid w:val="73380F5C"/>
    <w:rsid w:val="734704B6"/>
    <w:rsid w:val="736159A5"/>
    <w:rsid w:val="7374245D"/>
    <w:rsid w:val="73865995"/>
    <w:rsid w:val="738A30D1"/>
    <w:rsid w:val="73B61FEA"/>
    <w:rsid w:val="73D2588D"/>
    <w:rsid w:val="73DA07DA"/>
    <w:rsid w:val="73DB4757"/>
    <w:rsid w:val="73F728B6"/>
    <w:rsid w:val="741713C4"/>
    <w:rsid w:val="74181224"/>
    <w:rsid w:val="741A150F"/>
    <w:rsid w:val="74330AD7"/>
    <w:rsid w:val="74472A91"/>
    <w:rsid w:val="74556E39"/>
    <w:rsid w:val="74581E43"/>
    <w:rsid w:val="745B7503"/>
    <w:rsid w:val="746F61E5"/>
    <w:rsid w:val="749024AB"/>
    <w:rsid w:val="74B01422"/>
    <w:rsid w:val="74B06B6E"/>
    <w:rsid w:val="74B15375"/>
    <w:rsid w:val="74B346D9"/>
    <w:rsid w:val="74C53D34"/>
    <w:rsid w:val="74CB20C3"/>
    <w:rsid w:val="74CE5F27"/>
    <w:rsid w:val="74D343FB"/>
    <w:rsid w:val="74DC4AE7"/>
    <w:rsid w:val="74E110D3"/>
    <w:rsid w:val="74FD2B85"/>
    <w:rsid w:val="750A5041"/>
    <w:rsid w:val="751757EE"/>
    <w:rsid w:val="753835FD"/>
    <w:rsid w:val="755503F6"/>
    <w:rsid w:val="759A04FF"/>
    <w:rsid w:val="75A647CA"/>
    <w:rsid w:val="75AC09D3"/>
    <w:rsid w:val="75AF5E9B"/>
    <w:rsid w:val="75E93B47"/>
    <w:rsid w:val="75F06371"/>
    <w:rsid w:val="75F77999"/>
    <w:rsid w:val="76115102"/>
    <w:rsid w:val="76255C91"/>
    <w:rsid w:val="762C29CB"/>
    <w:rsid w:val="76562678"/>
    <w:rsid w:val="76A948AA"/>
    <w:rsid w:val="76AA651F"/>
    <w:rsid w:val="76B04334"/>
    <w:rsid w:val="76B666BE"/>
    <w:rsid w:val="76C42FA7"/>
    <w:rsid w:val="76C54F44"/>
    <w:rsid w:val="76DA7793"/>
    <w:rsid w:val="76E351D2"/>
    <w:rsid w:val="77112A42"/>
    <w:rsid w:val="77167458"/>
    <w:rsid w:val="773E6472"/>
    <w:rsid w:val="77446868"/>
    <w:rsid w:val="77545428"/>
    <w:rsid w:val="77551E01"/>
    <w:rsid w:val="775B1746"/>
    <w:rsid w:val="77750746"/>
    <w:rsid w:val="778B00FF"/>
    <w:rsid w:val="77A73766"/>
    <w:rsid w:val="77A83FA1"/>
    <w:rsid w:val="77B30E06"/>
    <w:rsid w:val="77BD5B00"/>
    <w:rsid w:val="77C47C2C"/>
    <w:rsid w:val="77D7200E"/>
    <w:rsid w:val="77E63EA6"/>
    <w:rsid w:val="77ED700C"/>
    <w:rsid w:val="7807295E"/>
    <w:rsid w:val="78151457"/>
    <w:rsid w:val="783D1819"/>
    <w:rsid w:val="783E5DF0"/>
    <w:rsid w:val="78456C06"/>
    <w:rsid w:val="78574485"/>
    <w:rsid w:val="785E4C0A"/>
    <w:rsid w:val="78702E03"/>
    <w:rsid w:val="78850FF2"/>
    <w:rsid w:val="7897438D"/>
    <w:rsid w:val="78AA2807"/>
    <w:rsid w:val="78AA3F93"/>
    <w:rsid w:val="78AD2A80"/>
    <w:rsid w:val="78B64A50"/>
    <w:rsid w:val="78B70B2F"/>
    <w:rsid w:val="78BB1651"/>
    <w:rsid w:val="78BB247C"/>
    <w:rsid w:val="78D71261"/>
    <w:rsid w:val="78D975B2"/>
    <w:rsid w:val="78E74B3B"/>
    <w:rsid w:val="79097C6F"/>
    <w:rsid w:val="793E19FA"/>
    <w:rsid w:val="7962065A"/>
    <w:rsid w:val="796D2E8B"/>
    <w:rsid w:val="7977541F"/>
    <w:rsid w:val="797854B4"/>
    <w:rsid w:val="79886E4E"/>
    <w:rsid w:val="79AD1C3D"/>
    <w:rsid w:val="79AD2900"/>
    <w:rsid w:val="79DA65D2"/>
    <w:rsid w:val="79E0548A"/>
    <w:rsid w:val="79E078B7"/>
    <w:rsid w:val="79E509A5"/>
    <w:rsid w:val="79F32360"/>
    <w:rsid w:val="79FC3350"/>
    <w:rsid w:val="7A005458"/>
    <w:rsid w:val="7A014780"/>
    <w:rsid w:val="7A033C85"/>
    <w:rsid w:val="7A0B7CA9"/>
    <w:rsid w:val="7A0F3D97"/>
    <w:rsid w:val="7A3C2A97"/>
    <w:rsid w:val="7A66318F"/>
    <w:rsid w:val="7A6C67D4"/>
    <w:rsid w:val="7A805F15"/>
    <w:rsid w:val="7A96186F"/>
    <w:rsid w:val="7AA4243B"/>
    <w:rsid w:val="7ABE139C"/>
    <w:rsid w:val="7AC1011A"/>
    <w:rsid w:val="7AFE61F7"/>
    <w:rsid w:val="7B0D2487"/>
    <w:rsid w:val="7B1008B0"/>
    <w:rsid w:val="7B10564A"/>
    <w:rsid w:val="7B191DC7"/>
    <w:rsid w:val="7B1D08BC"/>
    <w:rsid w:val="7B233C8A"/>
    <w:rsid w:val="7B6273C9"/>
    <w:rsid w:val="7B72047E"/>
    <w:rsid w:val="7B947887"/>
    <w:rsid w:val="7BB35939"/>
    <w:rsid w:val="7BB9503A"/>
    <w:rsid w:val="7BC61E73"/>
    <w:rsid w:val="7BC7633A"/>
    <w:rsid w:val="7C023459"/>
    <w:rsid w:val="7C127041"/>
    <w:rsid w:val="7C3964E8"/>
    <w:rsid w:val="7C3D3F23"/>
    <w:rsid w:val="7C454FDD"/>
    <w:rsid w:val="7C4F4C2C"/>
    <w:rsid w:val="7C557A8A"/>
    <w:rsid w:val="7C7149C1"/>
    <w:rsid w:val="7C786B10"/>
    <w:rsid w:val="7C7D2A02"/>
    <w:rsid w:val="7C8027B2"/>
    <w:rsid w:val="7C8C5023"/>
    <w:rsid w:val="7C8D66C7"/>
    <w:rsid w:val="7C970D7F"/>
    <w:rsid w:val="7C991510"/>
    <w:rsid w:val="7CA12173"/>
    <w:rsid w:val="7CA6765C"/>
    <w:rsid w:val="7CE35A17"/>
    <w:rsid w:val="7CEB6D86"/>
    <w:rsid w:val="7CF72ED4"/>
    <w:rsid w:val="7D23418E"/>
    <w:rsid w:val="7D285492"/>
    <w:rsid w:val="7D366E3D"/>
    <w:rsid w:val="7D3D2AFF"/>
    <w:rsid w:val="7D3D3891"/>
    <w:rsid w:val="7D426E84"/>
    <w:rsid w:val="7D5B570D"/>
    <w:rsid w:val="7D741DBF"/>
    <w:rsid w:val="7D806E72"/>
    <w:rsid w:val="7D9C4444"/>
    <w:rsid w:val="7DA939D5"/>
    <w:rsid w:val="7DB90363"/>
    <w:rsid w:val="7DBB20D6"/>
    <w:rsid w:val="7DBF56C3"/>
    <w:rsid w:val="7DC45C03"/>
    <w:rsid w:val="7DC82771"/>
    <w:rsid w:val="7DD240E4"/>
    <w:rsid w:val="7DE675E0"/>
    <w:rsid w:val="7E041CA1"/>
    <w:rsid w:val="7E0E741F"/>
    <w:rsid w:val="7E2F1D18"/>
    <w:rsid w:val="7E420F0B"/>
    <w:rsid w:val="7E464D80"/>
    <w:rsid w:val="7E69275B"/>
    <w:rsid w:val="7E75204C"/>
    <w:rsid w:val="7E7713DD"/>
    <w:rsid w:val="7E7A2C7B"/>
    <w:rsid w:val="7E843AFA"/>
    <w:rsid w:val="7EA959C0"/>
    <w:rsid w:val="7EB25D80"/>
    <w:rsid w:val="7ECA3556"/>
    <w:rsid w:val="7ED41249"/>
    <w:rsid w:val="7EED3939"/>
    <w:rsid w:val="7F0D28A0"/>
    <w:rsid w:val="7F25388A"/>
    <w:rsid w:val="7F343991"/>
    <w:rsid w:val="7F62255E"/>
    <w:rsid w:val="7F75334D"/>
    <w:rsid w:val="7F78506E"/>
    <w:rsid w:val="7F8F6BFA"/>
    <w:rsid w:val="7FA006B8"/>
    <w:rsid w:val="7FAE0E2E"/>
    <w:rsid w:val="7FB04E62"/>
    <w:rsid w:val="7FB10F56"/>
    <w:rsid w:val="7FB97D26"/>
    <w:rsid w:val="7FCC6956"/>
    <w:rsid w:val="7FCD0205"/>
    <w:rsid w:val="7FCF16CB"/>
    <w:rsid w:val="7FD0349B"/>
    <w:rsid w:val="7FD92A36"/>
    <w:rsid w:val="7FDA7E75"/>
    <w:rsid w:val="7FDB4EDA"/>
    <w:rsid w:val="7FDE523F"/>
    <w:rsid w:val="7FE529F4"/>
    <w:rsid w:val="7FFC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link w:val="94"/>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line="415" w:lineRule="auto"/>
      <w:ind w:firstLine="137" w:firstLineChars="49"/>
      <w:outlineLvl w:val="2"/>
    </w:pPr>
    <w:rPr>
      <w:bCs/>
      <w:sz w:val="28"/>
      <w:szCs w:val="28"/>
    </w:rPr>
  </w:style>
  <w:style w:type="paragraph" w:styleId="5">
    <w:name w:val="heading 6"/>
    <w:basedOn w:val="1"/>
    <w:next w:val="1"/>
    <w:qFormat/>
    <w:uiPriority w:val="1"/>
    <w:pPr>
      <w:spacing w:before="26"/>
      <w:ind w:left="5140"/>
      <w:jc w:val="center"/>
      <w:outlineLvl w:val="5"/>
    </w:pPr>
    <w:rPr>
      <w:b/>
      <w:bCs/>
      <w:sz w:val="24"/>
    </w:rPr>
  </w:style>
  <w:style w:type="paragraph" w:styleId="6">
    <w:name w:val="heading 7"/>
    <w:basedOn w:val="1"/>
    <w:next w:val="1"/>
    <w:qFormat/>
    <w:uiPriority w:val="1"/>
    <w:pPr>
      <w:ind w:left="540"/>
      <w:outlineLvl w:val="6"/>
    </w:pPr>
    <w:rPr>
      <w:b/>
      <w:b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qFormat/>
    <w:uiPriority w:val="0"/>
    <w:pPr>
      <w:ind w:firstLine="420" w:firstLineChars="200"/>
    </w:pPr>
    <w:rPr>
      <w:rFonts w:ascii="Times New Roman" w:hAnsi="Times New Roman"/>
    </w:rPr>
  </w:style>
  <w:style w:type="paragraph" w:styleId="9">
    <w:name w:val="caption"/>
    <w:basedOn w:val="1"/>
    <w:next w:val="1"/>
    <w:qFormat/>
    <w:uiPriority w:val="0"/>
    <w:rPr>
      <w:rFonts w:ascii="Calibri Light" w:hAnsi="Calibri Light" w:eastAsia="黑体"/>
      <w:sz w:val="20"/>
    </w:rPr>
  </w:style>
  <w:style w:type="paragraph" w:styleId="10">
    <w:name w:val="annotation text"/>
    <w:basedOn w:val="1"/>
    <w:link w:val="92"/>
    <w:qFormat/>
    <w:uiPriority w:val="0"/>
    <w:pPr>
      <w:jc w:val="left"/>
    </w:pPr>
  </w:style>
  <w:style w:type="paragraph" w:styleId="11">
    <w:name w:val="Body Text 3"/>
    <w:basedOn w:val="1"/>
    <w:qFormat/>
    <w:uiPriority w:val="0"/>
    <w:rPr>
      <w:sz w:val="24"/>
      <w:szCs w:val="20"/>
    </w:rPr>
  </w:style>
  <w:style w:type="paragraph" w:styleId="12">
    <w:name w:val="Body Text"/>
    <w:basedOn w:val="1"/>
    <w:qFormat/>
    <w:uiPriority w:val="1"/>
  </w:style>
  <w:style w:type="paragraph" w:styleId="13">
    <w:name w:val="Body Text Indent"/>
    <w:basedOn w:val="1"/>
    <w:next w:val="14"/>
    <w:qFormat/>
    <w:uiPriority w:val="0"/>
    <w:pPr>
      <w:ind w:left="420" w:leftChars="200"/>
    </w:pPr>
  </w:style>
  <w:style w:type="paragraph" w:styleId="14">
    <w:name w:val="envelope return"/>
    <w:basedOn w:val="1"/>
    <w:qFormat/>
    <w:uiPriority w:val="0"/>
    <w:pPr>
      <w:snapToGrid w:val="0"/>
    </w:pPr>
    <w:rPr>
      <w:rFonts w:ascii="Arial" w:hAnsi="Arial"/>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ind w:left="100" w:leftChars="100"/>
      <w:jc w:val="left"/>
    </w:pPr>
    <w:rPr>
      <w:iCs/>
      <w:sz w:val="20"/>
      <w:szCs w:val="20"/>
    </w:rPr>
  </w:style>
  <w:style w:type="paragraph" w:styleId="17">
    <w:name w:val="Plain Text"/>
    <w:basedOn w:val="1"/>
    <w:link w:val="88"/>
    <w:qFormat/>
    <w:uiPriority w:val="0"/>
    <w:rPr>
      <w:rFonts w:hAnsi="Courier New" w:cs="Courier New"/>
      <w:kern w:val="0"/>
      <w:szCs w:val="21"/>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ody Text Indent 2"/>
    <w:basedOn w:val="1"/>
    <w:qFormat/>
    <w:uiPriority w:val="0"/>
    <w:pPr>
      <w:snapToGrid w:val="0"/>
      <w:spacing w:line="360" w:lineRule="auto"/>
      <w:ind w:firstLine="482"/>
    </w:pPr>
    <w:rPr>
      <w:kern w:val="144"/>
      <w:sz w:val="24"/>
      <w:szCs w:val="20"/>
    </w:rPr>
  </w:style>
  <w:style w:type="paragraph" w:styleId="20">
    <w:name w:val="Balloon Text"/>
    <w:basedOn w:val="1"/>
    <w:link w:val="49"/>
    <w:qFormat/>
    <w:uiPriority w:val="0"/>
    <w:rPr>
      <w:sz w:val="18"/>
      <w:szCs w:val="18"/>
    </w:rPr>
  </w:style>
  <w:style w:type="paragraph" w:styleId="21">
    <w:name w:val="footer"/>
    <w:basedOn w:val="1"/>
    <w:link w:val="50"/>
    <w:qFormat/>
    <w:uiPriority w:val="99"/>
    <w:pPr>
      <w:tabs>
        <w:tab w:val="center" w:pos="4153"/>
        <w:tab w:val="right" w:pos="8306"/>
      </w:tabs>
      <w:snapToGrid w:val="0"/>
      <w:jc w:val="left"/>
    </w:pPr>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pPr>
      <w:jc w:val="left"/>
    </w:pPr>
    <w:rPr>
      <w:b/>
      <w:bCs/>
      <w:caps/>
      <w:sz w:val="20"/>
      <w:szCs w:val="20"/>
    </w:rPr>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toc 2"/>
    <w:basedOn w:val="1"/>
    <w:next w:val="1"/>
    <w:qFormat/>
    <w:uiPriority w:val="39"/>
    <w:pPr>
      <w:ind w:left="210"/>
      <w:jc w:val="left"/>
    </w:pPr>
    <w:rPr>
      <w:smallCaps/>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Normal (Web)"/>
    <w:basedOn w:val="1"/>
    <w:qFormat/>
    <w:uiPriority w:val="0"/>
    <w:pPr>
      <w:spacing w:beforeAutospacing="1" w:afterAutospacing="1"/>
      <w:jc w:val="left"/>
    </w:pPr>
    <w:rPr>
      <w:kern w:val="0"/>
      <w:sz w:val="24"/>
    </w:rPr>
  </w:style>
  <w:style w:type="paragraph" w:styleId="29">
    <w:name w:val="Title"/>
    <w:basedOn w:val="1"/>
    <w:next w:val="1"/>
    <w:link w:val="87"/>
    <w:qFormat/>
    <w:uiPriority w:val="10"/>
    <w:pPr>
      <w:spacing w:before="240" w:after="60"/>
      <w:jc w:val="center"/>
      <w:outlineLvl w:val="0"/>
    </w:pPr>
    <w:rPr>
      <w:rFonts w:asciiTheme="majorHAnsi" w:hAnsiTheme="majorHAnsi" w:cstheme="majorBidi"/>
      <w:b/>
      <w:bCs/>
      <w:sz w:val="32"/>
      <w:szCs w:val="32"/>
    </w:rPr>
  </w:style>
  <w:style w:type="paragraph" w:styleId="30">
    <w:name w:val="annotation subject"/>
    <w:basedOn w:val="10"/>
    <w:next w:val="10"/>
    <w:link w:val="93"/>
    <w:qFormat/>
    <w:uiPriority w:val="0"/>
    <w:rPr>
      <w:b/>
      <w:bCs/>
    </w:rPr>
  </w:style>
  <w:style w:type="paragraph" w:styleId="31">
    <w:name w:val="Body Text First Indent"/>
    <w:basedOn w:val="1"/>
    <w:qFormat/>
    <w:uiPriority w:val="0"/>
    <w:pPr>
      <w:spacing w:line="312" w:lineRule="auto"/>
      <w:ind w:firstLine="420"/>
    </w:pPr>
  </w:style>
  <w:style w:type="paragraph" w:styleId="32">
    <w:name w:val="Body Text First Indent 2"/>
    <w:basedOn w:val="13"/>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style>
  <w:style w:type="character" w:styleId="37">
    <w:name w:val="FollowedHyperlink"/>
    <w:basedOn w:val="35"/>
    <w:qFormat/>
    <w:uiPriority w:val="0"/>
    <w:rPr>
      <w:color w:val="800080"/>
      <w:u w:val="none"/>
    </w:rPr>
  </w:style>
  <w:style w:type="character" w:styleId="38">
    <w:name w:val="Emphasis"/>
    <w:basedOn w:val="35"/>
    <w:qFormat/>
    <w:uiPriority w:val="0"/>
  </w:style>
  <w:style w:type="character" w:styleId="39">
    <w:name w:val="HTML Definition"/>
    <w:basedOn w:val="35"/>
    <w:qFormat/>
    <w:uiPriority w:val="0"/>
  </w:style>
  <w:style w:type="character" w:styleId="40">
    <w:name w:val="HTML Typewriter"/>
    <w:basedOn w:val="35"/>
    <w:qFormat/>
    <w:uiPriority w:val="0"/>
    <w:rPr>
      <w:rFonts w:hint="default" w:ascii="monospace" w:hAnsi="monospace" w:eastAsia="monospace" w:cs="monospace"/>
      <w:sz w:val="20"/>
    </w:rPr>
  </w:style>
  <w:style w:type="character" w:styleId="41">
    <w:name w:val="HTML Acronym"/>
    <w:basedOn w:val="35"/>
    <w:qFormat/>
    <w:uiPriority w:val="0"/>
  </w:style>
  <w:style w:type="character" w:styleId="42">
    <w:name w:val="HTML Variable"/>
    <w:basedOn w:val="35"/>
    <w:qFormat/>
    <w:uiPriority w:val="0"/>
  </w:style>
  <w:style w:type="character" w:styleId="43">
    <w:name w:val="Hyperlink"/>
    <w:basedOn w:val="35"/>
    <w:qFormat/>
    <w:uiPriority w:val="99"/>
    <w:rPr>
      <w:color w:val="0000FF"/>
      <w:u w:val="none"/>
    </w:rPr>
  </w:style>
  <w:style w:type="character" w:styleId="44">
    <w:name w:val="HTML Code"/>
    <w:basedOn w:val="35"/>
    <w:qFormat/>
    <w:uiPriority w:val="0"/>
    <w:rPr>
      <w:rFonts w:hint="default" w:ascii="monospace" w:hAnsi="monospace" w:eastAsia="monospace" w:cs="monospace"/>
      <w:sz w:val="20"/>
    </w:rPr>
  </w:style>
  <w:style w:type="character" w:styleId="45">
    <w:name w:val="annotation reference"/>
    <w:basedOn w:val="35"/>
    <w:semiHidden/>
    <w:unhideWhenUsed/>
    <w:qFormat/>
    <w:uiPriority w:val="99"/>
    <w:rPr>
      <w:sz w:val="21"/>
      <w:szCs w:val="21"/>
    </w:rPr>
  </w:style>
  <w:style w:type="character" w:styleId="46">
    <w:name w:val="HTML Cite"/>
    <w:basedOn w:val="35"/>
    <w:qFormat/>
    <w:uiPriority w:val="0"/>
  </w:style>
  <w:style w:type="character" w:styleId="47">
    <w:name w:val="HTML Keyboard"/>
    <w:basedOn w:val="35"/>
    <w:qFormat/>
    <w:uiPriority w:val="0"/>
    <w:rPr>
      <w:rFonts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character" w:customStyle="1" w:styleId="49">
    <w:name w:val="批注框文本 字符"/>
    <w:basedOn w:val="35"/>
    <w:link w:val="20"/>
    <w:qFormat/>
    <w:uiPriority w:val="0"/>
    <w:rPr>
      <w:rFonts w:ascii="Calibri" w:hAnsi="Calibri"/>
      <w:kern w:val="2"/>
      <w:sz w:val="18"/>
      <w:szCs w:val="18"/>
    </w:rPr>
  </w:style>
  <w:style w:type="character" w:customStyle="1" w:styleId="50">
    <w:name w:val="页脚 字符"/>
    <w:basedOn w:val="35"/>
    <w:link w:val="21"/>
    <w:qFormat/>
    <w:uiPriority w:val="99"/>
    <w:rPr>
      <w:rFonts w:ascii="Calibri" w:hAnsi="Calibri" w:eastAsia="宋体" w:cs="Times New Roman"/>
      <w:kern w:val="2"/>
      <w:sz w:val="18"/>
      <w:szCs w:val="18"/>
    </w:rPr>
  </w:style>
  <w:style w:type="paragraph" w:customStyle="1" w:styleId="51">
    <w:name w:val="Body text|22"/>
    <w:basedOn w:val="1"/>
    <w:link w:val="52"/>
    <w:qFormat/>
    <w:uiPriority w:val="0"/>
    <w:pPr>
      <w:shd w:val="clear" w:color="auto" w:fill="FFFFFF"/>
      <w:spacing w:before="160" w:after="160" w:line="410" w:lineRule="exact"/>
      <w:ind w:hanging="100"/>
      <w:jc w:val="distribute"/>
    </w:pPr>
    <w:rPr>
      <w:rFonts w:ascii="PMingLiU" w:hAnsi="PMingLiU" w:eastAsia="PMingLiU" w:cs="PMingLiU"/>
      <w:sz w:val="20"/>
      <w:szCs w:val="20"/>
    </w:rPr>
  </w:style>
  <w:style w:type="character" w:customStyle="1" w:styleId="52">
    <w:name w:val="Body text|2_"/>
    <w:basedOn w:val="35"/>
    <w:link w:val="51"/>
    <w:qFormat/>
    <w:uiPriority w:val="0"/>
    <w:rPr>
      <w:rFonts w:ascii="PMingLiU" w:hAnsi="PMingLiU" w:eastAsia="PMingLiU" w:cs="PMingLiU"/>
      <w:sz w:val="20"/>
      <w:szCs w:val="20"/>
      <w:u w:val="none"/>
    </w:rPr>
  </w:style>
  <w:style w:type="character" w:customStyle="1" w:styleId="53">
    <w:name w:val="Body text|2"/>
    <w:basedOn w:val="52"/>
    <w:unhideWhenUsed/>
    <w:qFormat/>
    <w:uiPriority w:val="0"/>
    <w:rPr>
      <w:rFonts w:ascii="PMingLiU" w:hAnsi="PMingLiU" w:eastAsia="PMingLiU" w:cs="PMingLiU"/>
      <w:color w:val="000000"/>
      <w:spacing w:val="0"/>
      <w:w w:val="100"/>
      <w:position w:val="0"/>
      <w:sz w:val="20"/>
      <w:szCs w:val="20"/>
      <w:u w:val="none"/>
      <w:lang w:val="zh-CN" w:eastAsia="zh-CN" w:bidi="zh-CN"/>
    </w:rPr>
  </w:style>
  <w:style w:type="paragraph" w:customStyle="1" w:styleId="54">
    <w:name w:val="Heading #4|1"/>
    <w:basedOn w:val="1"/>
    <w:qFormat/>
    <w:uiPriority w:val="0"/>
    <w:pPr>
      <w:shd w:val="clear" w:color="auto" w:fill="FFFFFF"/>
      <w:spacing w:before="160" w:after="160" w:line="280" w:lineRule="exact"/>
      <w:outlineLvl w:val="3"/>
    </w:pPr>
    <w:rPr>
      <w:rFonts w:ascii="PMingLiU" w:hAnsi="PMingLiU" w:eastAsia="PMingLiU" w:cs="PMingLiU"/>
      <w:sz w:val="28"/>
      <w:szCs w:val="28"/>
    </w:rPr>
  </w:style>
  <w:style w:type="character" w:customStyle="1" w:styleId="55">
    <w:name w:val="Body text|2 + 12 pt"/>
    <w:basedOn w:val="52"/>
    <w:unhideWhenUsed/>
    <w:qFormat/>
    <w:uiPriority w:val="0"/>
    <w:rPr>
      <w:rFonts w:ascii="PMingLiU" w:hAnsi="PMingLiU" w:eastAsia="PMingLiU" w:cs="PMingLiU"/>
      <w:color w:val="000000"/>
      <w:spacing w:val="20"/>
      <w:w w:val="100"/>
      <w:position w:val="0"/>
      <w:sz w:val="24"/>
      <w:szCs w:val="24"/>
      <w:u w:val="none"/>
      <w:lang w:val="zh-CN" w:eastAsia="zh-CN" w:bidi="zh-CN"/>
    </w:rPr>
  </w:style>
  <w:style w:type="character" w:customStyle="1" w:styleId="56">
    <w:name w:val="Body text|2 + MingLiU1"/>
    <w:basedOn w:val="52"/>
    <w:unhideWhenUsed/>
    <w:qFormat/>
    <w:uiPriority w:val="0"/>
    <w:rPr>
      <w:rFonts w:ascii="MingLiU" w:hAnsi="MingLiU" w:eastAsia="MingLiU" w:cs="MingLiU"/>
      <w:color w:val="000000"/>
      <w:spacing w:val="0"/>
      <w:w w:val="100"/>
      <w:position w:val="0"/>
      <w:sz w:val="20"/>
      <w:szCs w:val="20"/>
      <w:u w:val="none"/>
      <w:lang w:val="en-US" w:eastAsia="en-US" w:bidi="en-US"/>
    </w:rPr>
  </w:style>
  <w:style w:type="paragraph" w:customStyle="1" w:styleId="57">
    <w:name w:val="Table caption|1"/>
    <w:basedOn w:val="1"/>
    <w:qFormat/>
    <w:uiPriority w:val="0"/>
    <w:pPr>
      <w:shd w:val="clear" w:color="auto" w:fill="FFFFFF"/>
      <w:spacing w:line="200" w:lineRule="exact"/>
    </w:pPr>
    <w:rPr>
      <w:rFonts w:ascii="PMingLiU" w:hAnsi="PMingLiU" w:eastAsia="PMingLiU" w:cs="PMingLiU"/>
      <w:sz w:val="20"/>
      <w:szCs w:val="20"/>
    </w:rPr>
  </w:style>
  <w:style w:type="character" w:customStyle="1" w:styleId="58">
    <w:name w:val="Body text|2 + MingLiU"/>
    <w:basedOn w:val="52"/>
    <w:unhideWhenUsed/>
    <w:qFormat/>
    <w:uiPriority w:val="0"/>
    <w:rPr>
      <w:rFonts w:ascii="MingLiU" w:hAnsi="MingLiU" w:eastAsia="MingLiU" w:cs="MingLiU"/>
      <w:color w:val="000000"/>
      <w:spacing w:val="0"/>
      <w:w w:val="100"/>
      <w:position w:val="0"/>
      <w:sz w:val="20"/>
      <w:szCs w:val="20"/>
      <w:u w:val="none"/>
      <w:lang w:val="en-US" w:eastAsia="en-US" w:bidi="en-US"/>
    </w:rPr>
  </w:style>
  <w:style w:type="character" w:customStyle="1" w:styleId="59">
    <w:name w:val="Body text|21"/>
    <w:basedOn w:val="52"/>
    <w:unhideWhenUsed/>
    <w:qFormat/>
    <w:uiPriority w:val="0"/>
    <w:rPr>
      <w:rFonts w:ascii="PMingLiU" w:hAnsi="PMingLiU" w:eastAsia="PMingLiU" w:cs="PMingLiU"/>
      <w:color w:val="000000"/>
      <w:spacing w:val="0"/>
      <w:w w:val="100"/>
      <w:position w:val="0"/>
      <w:sz w:val="20"/>
      <w:szCs w:val="20"/>
      <w:u w:val="single"/>
      <w:lang w:val="zh-CN" w:eastAsia="zh-CN" w:bidi="zh-CN"/>
    </w:rPr>
  </w:style>
  <w:style w:type="paragraph" w:customStyle="1" w:styleId="60">
    <w:name w:val="Body text|10"/>
    <w:basedOn w:val="1"/>
    <w:link w:val="61"/>
    <w:qFormat/>
    <w:uiPriority w:val="0"/>
    <w:pPr>
      <w:shd w:val="clear" w:color="auto" w:fill="FFFFFF"/>
      <w:spacing w:before="280" w:after="280" w:line="200" w:lineRule="exact"/>
      <w:jc w:val="distribute"/>
    </w:pPr>
    <w:rPr>
      <w:rFonts w:ascii="PMingLiU" w:hAnsi="PMingLiU" w:eastAsia="PMingLiU" w:cs="PMingLiU"/>
      <w:b/>
      <w:bCs/>
      <w:sz w:val="20"/>
      <w:szCs w:val="20"/>
    </w:rPr>
  </w:style>
  <w:style w:type="character" w:customStyle="1" w:styleId="61">
    <w:name w:val="Body text|10_"/>
    <w:basedOn w:val="35"/>
    <w:link w:val="60"/>
    <w:qFormat/>
    <w:uiPriority w:val="0"/>
    <w:rPr>
      <w:rFonts w:ascii="PMingLiU" w:hAnsi="PMingLiU" w:eastAsia="PMingLiU" w:cs="PMingLiU"/>
      <w:b/>
      <w:bCs/>
      <w:sz w:val="20"/>
      <w:szCs w:val="20"/>
      <w:u w:val="none"/>
    </w:rPr>
  </w:style>
  <w:style w:type="character" w:customStyle="1" w:styleId="62">
    <w:name w:val="Body text|10 + Not Bold"/>
    <w:basedOn w:val="61"/>
    <w:unhideWhenUsed/>
    <w:qFormat/>
    <w:uiPriority w:val="0"/>
    <w:rPr>
      <w:rFonts w:ascii="PMingLiU" w:hAnsi="PMingLiU" w:eastAsia="PMingLiU" w:cs="PMingLiU"/>
      <w:color w:val="000000"/>
      <w:spacing w:val="0"/>
      <w:w w:val="100"/>
      <w:position w:val="0"/>
      <w:sz w:val="20"/>
      <w:szCs w:val="20"/>
      <w:u w:val="none"/>
      <w:lang w:val="zh-CN" w:eastAsia="zh-CN" w:bidi="zh-CN"/>
    </w:rPr>
  </w:style>
  <w:style w:type="paragraph" w:customStyle="1" w:styleId="63">
    <w:name w:val="Header or footer|11"/>
    <w:basedOn w:val="1"/>
    <w:link w:val="64"/>
    <w:qFormat/>
    <w:uiPriority w:val="0"/>
    <w:pPr>
      <w:shd w:val="clear" w:color="auto" w:fill="FFFFFF"/>
      <w:spacing w:line="160" w:lineRule="exact"/>
    </w:pPr>
    <w:rPr>
      <w:rFonts w:ascii="MingLiU" w:hAnsi="MingLiU" w:eastAsia="MingLiU" w:cs="MingLiU"/>
      <w:sz w:val="16"/>
      <w:szCs w:val="16"/>
    </w:rPr>
  </w:style>
  <w:style w:type="character" w:customStyle="1" w:styleId="64">
    <w:name w:val="Header or footer|1_"/>
    <w:basedOn w:val="35"/>
    <w:link w:val="63"/>
    <w:qFormat/>
    <w:uiPriority w:val="0"/>
    <w:rPr>
      <w:rFonts w:ascii="MingLiU" w:hAnsi="MingLiU" w:eastAsia="MingLiU" w:cs="MingLiU"/>
      <w:sz w:val="16"/>
      <w:szCs w:val="16"/>
      <w:u w:val="none"/>
    </w:rPr>
  </w:style>
  <w:style w:type="character" w:customStyle="1" w:styleId="65">
    <w:name w:val="Header or footer|1 + PMingLiU"/>
    <w:basedOn w:val="64"/>
    <w:unhideWhenUsed/>
    <w:qFormat/>
    <w:uiPriority w:val="0"/>
    <w:rPr>
      <w:rFonts w:ascii="PMingLiU" w:hAnsi="PMingLiU" w:eastAsia="PMingLiU" w:cs="PMingLiU"/>
      <w:color w:val="000000"/>
      <w:spacing w:val="20"/>
      <w:w w:val="100"/>
      <w:position w:val="0"/>
      <w:sz w:val="24"/>
      <w:szCs w:val="24"/>
      <w:u w:val="none"/>
      <w:lang w:val="zh-CN" w:eastAsia="zh-CN" w:bidi="zh-CN"/>
    </w:rPr>
  </w:style>
  <w:style w:type="character" w:customStyle="1" w:styleId="66">
    <w:name w:val="Header or footer|1"/>
    <w:basedOn w:val="64"/>
    <w:unhideWhenUsed/>
    <w:qFormat/>
    <w:uiPriority w:val="0"/>
    <w:rPr>
      <w:rFonts w:ascii="MingLiU" w:hAnsi="MingLiU" w:eastAsia="MingLiU" w:cs="MingLiU"/>
      <w:color w:val="000000"/>
      <w:spacing w:val="0"/>
      <w:w w:val="100"/>
      <w:position w:val="0"/>
      <w:sz w:val="16"/>
      <w:szCs w:val="16"/>
      <w:u w:val="none"/>
      <w:lang w:val="zh-CN" w:eastAsia="zh-CN" w:bidi="zh-CN"/>
    </w:rPr>
  </w:style>
  <w:style w:type="character" w:customStyle="1" w:styleId="67">
    <w:name w:val="Body text|2 + Bold"/>
    <w:basedOn w:val="52"/>
    <w:unhideWhenUsed/>
    <w:qFormat/>
    <w:uiPriority w:val="0"/>
    <w:rPr>
      <w:rFonts w:ascii="PMingLiU" w:hAnsi="PMingLiU" w:eastAsia="PMingLiU" w:cs="PMingLiU"/>
      <w:b/>
      <w:bCs/>
      <w:color w:val="000000"/>
      <w:spacing w:val="0"/>
      <w:w w:val="100"/>
      <w:position w:val="0"/>
      <w:sz w:val="20"/>
      <w:szCs w:val="20"/>
      <w:u w:val="none"/>
      <w:lang w:val="zh-CN" w:eastAsia="zh-CN" w:bidi="zh-CN"/>
    </w:rPr>
  </w:style>
  <w:style w:type="paragraph" w:customStyle="1" w:styleId="68">
    <w:name w:val="_Style 7"/>
    <w:basedOn w:val="1"/>
    <w:qFormat/>
    <w:uiPriority w:val="34"/>
    <w:rPr>
      <w:sz w:val="20"/>
    </w:rPr>
  </w:style>
  <w:style w:type="paragraph" w:customStyle="1" w:styleId="69">
    <w:name w:val="题注4"/>
    <w:basedOn w:val="1"/>
    <w:next w:val="9"/>
    <w:qFormat/>
    <w:uiPriority w:val="0"/>
    <w:pPr>
      <w:snapToGrid w:val="0"/>
      <w:ind w:left="480" w:right="-108" w:hanging="540"/>
      <w:jc w:val="center"/>
    </w:pPr>
    <w:rPr>
      <w:b/>
      <w:bCs/>
      <w:color w:val="000000"/>
      <w:szCs w:val="21"/>
      <w:lang w:val="en-GB"/>
    </w:rPr>
  </w:style>
  <w:style w:type="paragraph" w:customStyle="1" w:styleId="70">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styleId="71">
    <w:name w:val="List Paragraph"/>
    <w:basedOn w:val="1"/>
    <w:qFormat/>
    <w:uiPriority w:val="99"/>
    <w:pPr>
      <w:ind w:firstLine="420" w:firstLineChars="200"/>
    </w:pPr>
  </w:style>
  <w:style w:type="paragraph" w:customStyle="1" w:styleId="72">
    <w:name w:val="Table Paragraph"/>
    <w:basedOn w:val="1"/>
    <w:qFormat/>
    <w:uiPriority w:val="1"/>
  </w:style>
  <w:style w:type="table" w:customStyle="1" w:styleId="73">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74">
    <w:name w:val="fontborder"/>
    <w:basedOn w:val="35"/>
    <w:qFormat/>
    <w:uiPriority w:val="0"/>
    <w:rPr>
      <w:bdr w:val="single" w:color="000000" w:sz="6" w:space="0"/>
    </w:rPr>
  </w:style>
  <w:style w:type="character" w:customStyle="1" w:styleId="75">
    <w:name w:val="fontstrikethrough"/>
    <w:basedOn w:val="35"/>
    <w:qFormat/>
    <w:uiPriority w:val="0"/>
    <w:rPr>
      <w:strike/>
    </w:rPr>
  </w:style>
  <w:style w:type="paragraph" w:customStyle="1" w:styleId="76">
    <w:name w:val="列出段落1"/>
    <w:basedOn w:val="1"/>
    <w:unhideWhenUsed/>
    <w:qFormat/>
    <w:uiPriority w:val="99"/>
    <w:pPr>
      <w:ind w:firstLine="420"/>
    </w:pPr>
  </w:style>
  <w:style w:type="paragraph" w:customStyle="1" w:styleId="77">
    <w:name w:val="表格样式"/>
    <w:qFormat/>
    <w:uiPriority w:val="99"/>
    <w:pPr>
      <w:ind w:left="5" w:leftChars="5" w:right="5" w:rightChars="5"/>
      <w:jc w:val="center"/>
    </w:pPr>
    <w:rPr>
      <w:rFonts w:ascii="Calibri" w:hAnsi="Calibri" w:eastAsia="宋体" w:cs="Times New Roman"/>
      <w:sz w:val="24"/>
      <w:szCs w:val="22"/>
      <w:lang w:val="en-US" w:eastAsia="zh-CN" w:bidi="ar-SA"/>
    </w:rPr>
  </w:style>
  <w:style w:type="paragraph" w:customStyle="1" w:styleId="78">
    <w:name w:val="首行缩进"/>
    <w:basedOn w:val="1"/>
    <w:qFormat/>
    <w:uiPriority w:val="0"/>
    <w:pPr>
      <w:ind w:firstLine="480" w:firstLineChars="200"/>
    </w:pPr>
  </w:style>
  <w:style w:type="paragraph" w:customStyle="1" w:styleId="79">
    <w:name w:val="Other|1"/>
    <w:basedOn w:val="1"/>
    <w:qFormat/>
    <w:uiPriority w:val="0"/>
    <w:pPr>
      <w:shd w:val="clear" w:color="auto" w:fill="FFFFFF"/>
      <w:spacing w:line="408" w:lineRule="auto"/>
      <w:ind w:firstLine="400"/>
    </w:pPr>
    <w:rPr>
      <w:rFonts w:ascii="MingLiU" w:hAnsi="MingLiU" w:eastAsia="MingLiU" w:cs="MingLiU"/>
      <w:sz w:val="20"/>
      <w:szCs w:val="20"/>
      <w:lang w:val="zh-CN" w:bidi="zh-CN"/>
    </w:rPr>
  </w:style>
  <w:style w:type="paragraph" w:customStyle="1" w:styleId="80">
    <w:name w:val="p0"/>
    <w:basedOn w:val="1"/>
    <w:qFormat/>
    <w:uiPriority w:val="0"/>
    <w:pPr>
      <w:widowControl/>
    </w:pPr>
    <w:rPr>
      <w:kern w:val="0"/>
      <w:szCs w:val="21"/>
    </w:rPr>
  </w:style>
  <w:style w:type="paragraph" w:customStyle="1" w:styleId="81">
    <w:name w:val="UserStyle_35"/>
    <w:qFormat/>
    <w:uiPriority w:val="99"/>
    <w:pPr>
      <w:jc w:val="both"/>
      <w:textAlignment w:val="baseline"/>
    </w:pPr>
    <w:rPr>
      <w:rFonts w:ascii="Times New Roman" w:hAnsi="Arial Unicode MS" w:eastAsia="Times New Roman" w:cs="Times New Roman"/>
      <w:color w:val="000000"/>
      <w:kern w:val="2"/>
      <w:sz w:val="21"/>
      <w:szCs w:val="21"/>
      <w:lang w:val="en-US" w:eastAsia="zh-CN" w:bidi="ar-SA"/>
    </w:rPr>
  </w:style>
  <w:style w:type="character" w:customStyle="1" w:styleId="82">
    <w:name w:val="NormalCharacter"/>
    <w:qFormat/>
    <w:uiPriority w:val="99"/>
    <w:rPr>
      <w:rFonts w:eastAsia="仿宋_GB2312"/>
      <w:kern w:val="2"/>
      <w:sz w:val="24"/>
      <w:lang w:eastAsia="zh-CN"/>
    </w:rPr>
  </w:style>
  <w:style w:type="paragraph" w:customStyle="1" w:styleId="83">
    <w:name w:val="PlainText"/>
    <w:basedOn w:val="1"/>
    <w:qFormat/>
    <w:uiPriority w:val="99"/>
    <w:rPr>
      <w:rFonts w:hAnsi="Courier New"/>
      <w:sz w:val="24"/>
    </w:rPr>
  </w:style>
  <w:style w:type="paragraph" w:customStyle="1" w:styleId="84">
    <w:name w:val="正文1"/>
    <w:qFormat/>
    <w:uiPriority w:val="0"/>
    <w:pPr>
      <w:jc w:val="both"/>
    </w:pPr>
    <w:rPr>
      <w:rFonts w:ascii="Calibri" w:hAnsi="Calibri" w:eastAsia="宋体" w:cs="宋体"/>
      <w:kern w:val="2"/>
      <w:sz w:val="21"/>
      <w:szCs w:val="21"/>
      <w:lang w:val="en-US" w:eastAsia="zh-CN" w:bidi="ar-SA"/>
    </w:rPr>
  </w:style>
  <w:style w:type="character" w:customStyle="1" w:styleId="85">
    <w:name w:val="未处理的提及1"/>
    <w:basedOn w:val="35"/>
    <w:semiHidden/>
    <w:unhideWhenUsed/>
    <w:qFormat/>
    <w:uiPriority w:val="99"/>
    <w:rPr>
      <w:color w:val="605E5C"/>
      <w:shd w:val="clear" w:color="auto" w:fill="E1DFDD"/>
    </w:rPr>
  </w:style>
  <w:style w:type="paragraph" w:customStyle="1" w:styleId="86">
    <w:name w:val="17"/>
    <w:basedOn w:val="1"/>
    <w:qFormat/>
    <w:uiPriority w:val="0"/>
    <w:pPr>
      <w:widowControl/>
      <w:spacing w:before="100" w:beforeAutospacing="1" w:after="100" w:afterAutospacing="1"/>
      <w:jc w:val="left"/>
    </w:pPr>
    <w:rPr>
      <w:kern w:val="0"/>
      <w:sz w:val="24"/>
    </w:rPr>
  </w:style>
  <w:style w:type="character" w:customStyle="1" w:styleId="87">
    <w:name w:val="标题 字符"/>
    <w:basedOn w:val="35"/>
    <w:link w:val="29"/>
    <w:qFormat/>
    <w:uiPriority w:val="10"/>
    <w:rPr>
      <w:rFonts w:eastAsia="宋体" w:asciiTheme="majorHAnsi" w:hAnsiTheme="majorHAnsi" w:cstheme="majorBidi"/>
      <w:b/>
      <w:bCs/>
      <w:kern w:val="2"/>
      <w:sz w:val="32"/>
      <w:szCs w:val="32"/>
    </w:rPr>
  </w:style>
  <w:style w:type="character" w:customStyle="1" w:styleId="88">
    <w:name w:val="纯文本 字符"/>
    <w:link w:val="17"/>
    <w:qFormat/>
    <w:uiPriority w:val="0"/>
    <w:rPr>
      <w:rFonts w:ascii="宋体" w:hAnsi="Courier New" w:eastAsia="宋体" w:cs="Courier New"/>
      <w:sz w:val="21"/>
      <w:szCs w:val="21"/>
    </w:rPr>
  </w:style>
  <w:style w:type="paragraph" w:customStyle="1" w:styleId="89">
    <w:name w:val="_Style 3"/>
    <w:qFormat/>
    <w:uiPriority w:val="1"/>
    <w:pPr>
      <w:widowControl w:val="0"/>
      <w:jc w:val="both"/>
    </w:pPr>
    <w:rPr>
      <w:rFonts w:ascii="Times New Roman" w:hAnsi="Times New Roman" w:eastAsia="宋体" w:cs="Times New Roman"/>
      <w:color w:val="000000"/>
      <w:kern w:val="2"/>
      <w:sz w:val="21"/>
      <w:szCs w:val="22"/>
      <w:lang w:val="en-US" w:eastAsia="zh-CN" w:bidi="ar-SA"/>
    </w:rPr>
  </w:style>
  <w:style w:type="paragraph" w:customStyle="1" w:styleId="90">
    <w:name w:val="修订1"/>
    <w:hidden/>
    <w:semiHidden/>
    <w:qFormat/>
    <w:uiPriority w:val="99"/>
    <w:rPr>
      <w:rFonts w:ascii="Calibri" w:hAnsi="Calibri" w:eastAsia="宋体" w:cs="Times New Roman"/>
      <w:kern w:val="2"/>
      <w:sz w:val="21"/>
      <w:szCs w:val="24"/>
      <w:lang w:val="en-US" w:eastAsia="zh-CN" w:bidi="ar-SA"/>
    </w:rPr>
  </w:style>
  <w:style w:type="paragraph" w:customStyle="1" w:styleId="91">
    <w:name w:val="修订2"/>
    <w:hidden/>
    <w:semiHidden/>
    <w:qFormat/>
    <w:uiPriority w:val="99"/>
    <w:rPr>
      <w:rFonts w:ascii="Calibri" w:hAnsi="Calibri" w:eastAsia="宋体" w:cs="Times New Roman"/>
      <w:kern w:val="2"/>
      <w:sz w:val="21"/>
      <w:szCs w:val="24"/>
      <w:lang w:val="en-US" w:eastAsia="zh-CN" w:bidi="ar-SA"/>
    </w:rPr>
  </w:style>
  <w:style w:type="character" w:customStyle="1" w:styleId="92">
    <w:name w:val="批注文字 字符"/>
    <w:basedOn w:val="35"/>
    <w:link w:val="10"/>
    <w:qFormat/>
    <w:uiPriority w:val="0"/>
    <w:rPr>
      <w:rFonts w:ascii="Calibri" w:hAnsi="Calibri" w:eastAsia="宋体" w:cs="Times New Roman"/>
      <w:kern w:val="2"/>
      <w:sz w:val="21"/>
      <w:szCs w:val="24"/>
    </w:rPr>
  </w:style>
  <w:style w:type="character" w:customStyle="1" w:styleId="93">
    <w:name w:val="批注主题 字符"/>
    <w:basedOn w:val="92"/>
    <w:link w:val="30"/>
    <w:qFormat/>
    <w:uiPriority w:val="0"/>
    <w:rPr>
      <w:rFonts w:ascii="Calibri" w:hAnsi="Calibri" w:eastAsia="宋体" w:cs="Times New Roman"/>
      <w:b/>
      <w:bCs/>
      <w:kern w:val="2"/>
      <w:sz w:val="21"/>
      <w:szCs w:val="24"/>
    </w:rPr>
  </w:style>
  <w:style w:type="character" w:customStyle="1" w:styleId="94">
    <w:name w:val="标题 2 字符"/>
    <w:link w:val="3"/>
    <w:qFormat/>
    <w:uiPriority w:val="0"/>
    <w:rPr>
      <w:rFonts w:ascii="Arial" w:hAnsi="Arial" w:eastAsia="黑体"/>
      <w:b/>
      <w:bCs/>
      <w:sz w:val="32"/>
      <w:szCs w:val="32"/>
    </w:rPr>
  </w:style>
  <w:style w:type="character" w:customStyle="1" w:styleId="95">
    <w:name w:val="标题 3 字符"/>
    <w:link w:val="4"/>
    <w:qFormat/>
    <w:uiPriority w:val="0"/>
    <w:rPr>
      <w:rFonts w:ascii="宋体" w:hAnsi="宋体" w:eastAsia="宋体"/>
      <w:bCs/>
      <w:sz w:val="28"/>
      <w:szCs w:val="28"/>
    </w:rPr>
  </w:style>
  <w:style w:type="paragraph" w:customStyle="1" w:styleId="96">
    <w:name w:val="修订3"/>
    <w:hidden/>
    <w:semiHidden/>
    <w:qFormat/>
    <w:uiPriority w:val="99"/>
    <w:rPr>
      <w:rFonts w:ascii="Calibri" w:hAnsi="Calibri" w:eastAsia="宋体" w:cs="Times New Roman"/>
      <w:kern w:val="2"/>
      <w:sz w:val="21"/>
      <w:szCs w:val="24"/>
      <w:lang w:val="en-US" w:eastAsia="zh-CN" w:bidi="ar-SA"/>
    </w:rPr>
  </w:style>
  <w:style w:type="character" w:customStyle="1" w:styleId="97">
    <w:name w:val="layui-this"/>
    <w:basedOn w:val="35"/>
    <w:qFormat/>
    <w:uiPriority w:val="0"/>
    <w:rPr>
      <w:bdr w:val="single" w:color="EEEEEE" w:sz="6" w:space="0"/>
      <w:shd w:val="clear" w:color="auto" w:fill="FFFFFF"/>
    </w:rPr>
  </w:style>
  <w:style w:type="character" w:customStyle="1" w:styleId="98">
    <w:name w:val="first-child"/>
    <w:basedOn w:val="35"/>
    <w:qFormat/>
    <w:uiPriority w:val="0"/>
  </w:style>
  <w:style w:type="paragraph" w:customStyle="1" w:styleId="99">
    <w:name w:val="修订4"/>
    <w:hidden/>
    <w:semiHidden/>
    <w:qFormat/>
    <w:uiPriority w:val="99"/>
    <w:rPr>
      <w:rFonts w:ascii="宋体" w:hAnsi="宋体" w:eastAsia="宋体" w:cs="宋体"/>
      <w:kern w:val="2"/>
      <w:sz w:val="21"/>
      <w:szCs w:val="24"/>
      <w:lang w:val="en-US" w:eastAsia="zh-CN" w:bidi="ar-SA"/>
    </w:rPr>
  </w:style>
  <w:style w:type="paragraph" w:customStyle="1" w:styleId="100">
    <w:name w:val="Revision"/>
    <w:hidden/>
    <w:semiHidden/>
    <w:qFormat/>
    <w:uiPriority w:val="99"/>
    <w:rPr>
      <w:rFonts w:ascii="宋体" w:hAnsi="宋体" w:eastAsia="宋体" w:cs="宋体"/>
      <w:kern w:val="2"/>
      <w:sz w:val="21"/>
      <w:szCs w:val="24"/>
      <w:lang w:val="en-US" w:eastAsia="zh-CN" w:bidi="ar-SA"/>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2ABBB-3211-422D-A030-9DD2C044267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33444</Words>
  <Characters>35607</Characters>
  <Lines>327</Lines>
  <Paragraphs>92</Paragraphs>
  <TotalTime>19</TotalTime>
  <ScaleCrop>false</ScaleCrop>
  <LinksUpToDate>false</LinksUpToDate>
  <CharactersWithSpaces>37817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2023-05-10T02:14:00Z</dcterms:created>
  <dc:creator>广州金良（河源分公司）</dc:creator>
  <cp:lastModifiedBy>Mr.Z</cp:lastModifiedBy>
  <cp:lastPrinted>2023-05-17T02:29:00Z</cp:lastPrinted>
  <dcterms:modified xsi:type="dcterms:W3CDTF">2023-05-18T02:40:55Z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C89EDAB658AF4A2991FB5D44EB46BB16</vt:lpwstr>
  </property>
</Properties>
</file>