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480" w:lineRule="auto"/>
        <w:jc w:val="center"/>
        <w:rPr>
          <w:color w:val="auto"/>
          <w:sz w:val="40"/>
          <w:szCs w:val="18"/>
        </w:rPr>
      </w:pPr>
      <w:bookmarkStart w:id="0" w:name="_Toc135150525"/>
      <w:r>
        <w:rPr>
          <w:rFonts w:hint="eastAsia"/>
          <w:color w:val="auto"/>
          <w:sz w:val="40"/>
          <w:szCs w:val="18"/>
        </w:rPr>
        <w:t>粤电阳江青洲一、二海上风电场项目生产调度及应急指挥中心智能会议系统建设项目招标公告</w:t>
      </w:r>
      <w:bookmarkEnd w:id="0"/>
    </w:p>
    <w:p>
      <w:pPr>
        <w:snapToGrid w:val="0"/>
        <w:spacing w:before="48" w:beforeLines="20" w:after="48" w:afterLines="20" w:line="300" w:lineRule="auto"/>
        <w:jc w:val="left"/>
        <w:rPr>
          <w:bCs/>
          <w:color w:val="auto"/>
          <w:szCs w:val="21"/>
        </w:rPr>
      </w:pPr>
    </w:p>
    <w:p>
      <w:pPr>
        <w:snapToGrid w:val="0"/>
        <w:spacing w:before="48" w:beforeLines="20" w:after="48" w:afterLines="20" w:line="300" w:lineRule="auto"/>
        <w:jc w:val="left"/>
        <w:rPr>
          <w:rFonts w:hint="eastAsia" w:ascii="宋体" w:hAnsi="宋体" w:eastAsia="宋体" w:cs="宋体"/>
          <w:bCs/>
          <w:color w:val="auto"/>
          <w:szCs w:val="21"/>
        </w:rPr>
      </w:pPr>
      <w:r>
        <w:rPr>
          <w:bCs/>
          <w:color w:val="auto"/>
          <w:szCs w:val="21"/>
        </w:rPr>
        <w:t>项目名称：</w:t>
      </w:r>
      <w:r>
        <w:rPr>
          <w:rFonts w:hint="eastAsia"/>
          <w:bCs/>
          <w:color w:val="auto"/>
          <w:szCs w:val="21"/>
          <w:lang w:val="zh-CN"/>
        </w:rPr>
        <w:t>粤电阳江青洲一、二海上风电场项目生产调度及应急指挥中心智能会议系统建设项目</w:t>
      </w:r>
      <w:r>
        <w:rPr>
          <w:rFonts w:hint="eastAsia" w:ascii="宋体" w:hAnsi="宋体" w:eastAsia="宋体" w:cs="宋体"/>
          <w:bCs/>
          <w:color w:val="auto"/>
          <w:szCs w:val="21"/>
        </w:rPr>
        <w:t>（以下简称“项目”）</w:t>
      </w:r>
    </w:p>
    <w:p>
      <w:pPr>
        <w:snapToGrid w:val="0"/>
        <w:spacing w:before="48" w:beforeLines="20" w:after="48" w:afterLines="20" w:line="300" w:lineRule="auto"/>
        <w:jc w:val="left"/>
        <w:rPr>
          <w:rFonts w:hint="eastAsia" w:ascii="宋体" w:hAnsi="宋体" w:eastAsia="宋体" w:cs="宋体"/>
          <w:bCs/>
          <w:color w:val="auto"/>
          <w:szCs w:val="21"/>
          <w:lang w:val="zh-CN"/>
        </w:rPr>
      </w:pPr>
      <w:r>
        <w:rPr>
          <w:rFonts w:hint="eastAsia" w:ascii="宋体" w:hAnsi="宋体" w:eastAsia="宋体" w:cs="宋体"/>
          <w:bCs/>
          <w:color w:val="auto"/>
          <w:szCs w:val="21"/>
          <w:lang w:val="zh-CN"/>
        </w:rPr>
        <w:t>招标编号：GXTC-C-23280060</w:t>
      </w:r>
    </w:p>
    <w:p>
      <w:pPr>
        <w:snapToGrid w:val="0"/>
        <w:spacing w:before="48" w:beforeLines="20" w:after="48" w:afterLines="20" w:line="300" w:lineRule="auto"/>
        <w:jc w:val="left"/>
        <w:rPr>
          <w:bCs/>
          <w:color w:val="auto"/>
          <w:szCs w:val="21"/>
          <w:lang w:val="zh-CN"/>
        </w:rPr>
      </w:pPr>
      <w:r>
        <w:rPr>
          <w:bCs/>
          <w:color w:val="auto"/>
          <w:szCs w:val="21"/>
          <w:lang w:val="zh-CN"/>
        </w:rPr>
        <w:t>日    期：</w:t>
      </w:r>
      <w:r>
        <w:rPr>
          <w:rFonts w:hint="eastAsia" w:ascii="宋体" w:hAnsi="宋体" w:cs="宋体"/>
          <w:bCs/>
          <w:color w:val="auto"/>
          <w:szCs w:val="21"/>
        </w:rPr>
        <w:t>2023年</w:t>
      </w:r>
      <w:r>
        <w:rPr>
          <w:rFonts w:hint="eastAsia" w:ascii="宋体" w:hAnsi="宋体" w:cs="宋体"/>
          <w:bCs/>
          <w:color w:val="auto"/>
          <w:szCs w:val="21"/>
          <w:lang w:val="en-US" w:eastAsia="zh-CN"/>
        </w:rPr>
        <w:t>5</w:t>
      </w:r>
      <w:r>
        <w:rPr>
          <w:rFonts w:hint="eastAsia" w:ascii="宋体" w:hAnsi="宋体" w:cs="宋体"/>
          <w:bCs/>
          <w:color w:val="auto"/>
          <w:szCs w:val="21"/>
        </w:rPr>
        <w:t>月</w:t>
      </w:r>
      <w:r>
        <w:rPr>
          <w:rFonts w:hint="eastAsia" w:ascii="宋体" w:hAnsi="宋体" w:cs="宋体"/>
          <w:bCs/>
          <w:color w:val="auto"/>
          <w:szCs w:val="21"/>
          <w:lang w:val="en-US" w:eastAsia="zh-CN"/>
        </w:rPr>
        <w:t>17</w:t>
      </w:r>
      <w:r>
        <w:rPr>
          <w:rFonts w:hint="eastAsia" w:ascii="宋体" w:hAnsi="宋体" w:cs="宋体"/>
          <w:bCs/>
          <w:color w:val="auto"/>
          <w:szCs w:val="21"/>
        </w:rPr>
        <w:t>日</w:t>
      </w:r>
    </w:p>
    <w:p>
      <w:pPr>
        <w:pStyle w:val="4"/>
        <w:spacing w:before="120" w:after="120" w:line="360" w:lineRule="auto"/>
        <w:rPr>
          <w:rFonts w:ascii="Times New Roman" w:hAnsi="Times New Roman"/>
          <w:color w:val="auto"/>
        </w:rPr>
      </w:pPr>
      <w:bookmarkStart w:id="1" w:name="_Toc81772836"/>
      <w:bookmarkStart w:id="2" w:name="_Toc135150526"/>
      <w:bookmarkStart w:id="3" w:name="_Toc81859128"/>
      <w:r>
        <w:rPr>
          <w:rFonts w:ascii="Times New Roman" w:hAnsi="Times New Roman"/>
          <w:color w:val="auto"/>
        </w:rPr>
        <w:t xml:space="preserve">1. </w:t>
      </w:r>
      <w:r>
        <w:rPr>
          <w:rFonts w:hint="eastAsia" w:ascii="Times New Roman" w:hAnsi="Times New Roman"/>
          <w:color w:val="auto"/>
        </w:rPr>
        <w:t>招标条件</w:t>
      </w:r>
      <w:bookmarkEnd w:id="1"/>
      <w:bookmarkEnd w:id="2"/>
      <w:bookmarkEnd w:id="3"/>
    </w:p>
    <w:p>
      <w:pPr>
        <w:spacing w:line="400" w:lineRule="exact"/>
        <w:ind w:firstLine="420" w:firstLineChars="200"/>
        <w:rPr>
          <w:rFonts w:hint="eastAsia"/>
          <w:color w:val="auto"/>
        </w:rPr>
      </w:pPr>
      <w:r>
        <w:rPr>
          <w:rFonts w:hint="eastAsia" w:ascii="宋体" w:hAnsi="宋体" w:cs="宋体"/>
          <w:bCs/>
          <w:color w:val="auto"/>
          <w:szCs w:val="21"/>
        </w:rPr>
        <w:t>国信招标集团股份有限公司（以下简称“招标代理机构”）受</w:t>
      </w:r>
      <w:r>
        <w:rPr>
          <w:rFonts w:hint="eastAsia" w:ascii="宋体" w:hAnsi="宋体" w:cs="宋体"/>
          <w:bCs/>
          <w:color w:val="auto"/>
          <w:szCs w:val="21"/>
          <w:u w:val="single"/>
        </w:rPr>
        <w:t>广东能源青洲海上风电有限公司</w:t>
      </w:r>
      <w:r>
        <w:rPr>
          <w:rFonts w:hint="eastAsia" w:ascii="宋体" w:hAnsi="宋体" w:cs="宋体"/>
          <w:bCs/>
          <w:color w:val="auto"/>
          <w:szCs w:val="21"/>
        </w:rPr>
        <w:t>（以下简称“招标人”</w:t>
      </w:r>
      <w:r>
        <w:rPr>
          <w:rFonts w:hint="eastAsia" w:hAnsi="宋体" w:cs="宋体"/>
          <w:bCs/>
          <w:color w:val="auto"/>
          <w:szCs w:val="21"/>
        </w:rPr>
        <w:t>或“买方”</w:t>
      </w:r>
      <w:r>
        <w:rPr>
          <w:rFonts w:hint="eastAsia" w:ascii="宋体" w:hAnsi="宋体" w:cs="宋体"/>
          <w:bCs/>
          <w:color w:val="auto"/>
          <w:szCs w:val="21"/>
        </w:rPr>
        <w:t>）委托，就</w:t>
      </w:r>
      <w:r>
        <w:rPr>
          <w:rFonts w:hint="eastAsia" w:ascii="宋体" w:hAnsi="宋体" w:cs="宋体"/>
          <w:bCs/>
          <w:color w:val="auto"/>
          <w:szCs w:val="21"/>
          <w:u w:val="single"/>
        </w:rPr>
        <w:t>粤电阳江青洲一、二海上风电场项目生产调度及应急指挥中心智能会议系统建设项目</w:t>
      </w:r>
      <w:r>
        <w:rPr>
          <w:rFonts w:hint="eastAsia" w:ascii="宋体" w:hAnsi="宋体" w:cs="宋体"/>
          <w:bCs/>
          <w:color w:val="auto"/>
          <w:szCs w:val="21"/>
        </w:rPr>
        <w:t>进行</w:t>
      </w:r>
      <w:bookmarkStart w:id="4" w:name="bm3"/>
      <w:r>
        <w:rPr>
          <w:rFonts w:hint="eastAsia" w:ascii="宋体" w:hAnsi="宋体" w:cs="宋体"/>
          <w:bCs/>
          <w:color w:val="auto"/>
          <w:szCs w:val="21"/>
          <w:u w:val="single"/>
        </w:rPr>
        <w:t>公开招标</w:t>
      </w:r>
      <w:bookmarkEnd w:id="4"/>
      <w:r>
        <w:rPr>
          <w:rFonts w:hint="eastAsia" w:ascii="宋体" w:hAnsi="宋体" w:cs="宋体"/>
          <w:bCs/>
          <w:color w:val="auto"/>
          <w:szCs w:val="21"/>
        </w:rPr>
        <w:t>，资金来源为</w:t>
      </w:r>
      <w:r>
        <w:rPr>
          <w:rFonts w:hint="eastAsia" w:ascii="宋体" w:hAnsi="宋体" w:cs="宋体"/>
          <w:bCs/>
          <w:color w:val="auto"/>
          <w:szCs w:val="21"/>
          <w:u w:val="single"/>
        </w:rPr>
        <w:t>企业自筹</w:t>
      </w:r>
      <w:r>
        <w:rPr>
          <w:rFonts w:hint="eastAsia" w:ascii="宋体" w:hAnsi="宋体" w:cs="宋体"/>
          <w:bCs/>
          <w:color w:val="auto"/>
          <w:szCs w:val="21"/>
        </w:rPr>
        <w:t>，现邀请有兴趣的潜在投标人（以下简称投标人）按照本公告的要求提出投标登记申请。</w:t>
      </w:r>
    </w:p>
    <w:p>
      <w:pPr>
        <w:pStyle w:val="4"/>
        <w:spacing w:before="120" w:after="120" w:line="360" w:lineRule="auto"/>
        <w:rPr>
          <w:rFonts w:ascii="Times New Roman" w:hAnsi="Times New Roman"/>
          <w:color w:val="auto"/>
        </w:rPr>
      </w:pPr>
      <w:bookmarkStart w:id="5" w:name="_Toc135150527"/>
      <w:bookmarkStart w:id="6" w:name="_Toc81859129"/>
      <w:bookmarkStart w:id="7" w:name="_Toc81772837"/>
      <w:r>
        <w:rPr>
          <w:rFonts w:ascii="Times New Roman" w:hAnsi="Times New Roman"/>
          <w:color w:val="auto"/>
        </w:rPr>
        <w:t xml:space="preserve">2. </w:t>
      </w:r>
      <w:r>
        <w:rPr>
          <w:rFonts w:hint="eastAsia" w:ascii="Times New Roman" w:hAnsi="Times New Roman"/>
          <w:color w:val="auto"/>
        </w:rPr>
        <w:t>项目概况与招标范围</w:t>
      </w:r>
      <w:bookmarkEnd w:id="5"/>
      <w:bookmarkEnd w:id="6"/>
      <w:bookmarkEnd w:id="7"/>
    </w:p>
    <w:p>
      <w:pPr>
        <w:spacing w:line="400" w:lineRule="exact"/>
        <w:rPr>
          <w:rFonts w:hint="eastAsia"/>
          <w:color w:val="auto"/>
        </w:rPr>
      </w:pPr>
      <w:r>
        <w:rPr>
          <w:color w:val="auto"/>
        </w:rPr>
        <w:t>2.1</w:t>
      </w:r>
      <w:r>
        <w:rPr>
          <w:rFonts w:hint="eastAsia"/>
          <w:color w:val="auto"/>
        </w:rPr>
        <w:t>项目概况：</w:t>
      </w:r>
    </w:p>
    <w:p>
      <w:pPr>
        <w:spacing w:line="400" w:lineRule="exact"/>
        <w:ind w:firstLine="420" w:firstLineChars="200"/>
        <w:rPr>
          <w:rFonts w:hint="eastAsia"/>
          <w:color w:val="auto"/>
        </w:rPr>
      </w:pPr>
      <w:r>
        <w:rPr>
          <w:rFonts w:hint="eastAsia"/>
          <w:color w:val="auto"/>
        </w:rPr>
        <w:t>（1）工程名称：粤电阳江青洲一、二海上风电场项目。</w:t>
      </w:r>
    </w:p>
    <w:p>
      <w:pPr>
        <w:spacing w:line="400" w:lineRule="exact"/>
        <w:ind w:firstLine="420" w:firstLineChars="200"/>
        <w:rPr>
          <w:color w:val="auto"/>
        </w:rPr>
      </w:pPr>
      <w:r>
        <w:rPr>
          <w:rFonts w:hint="eastAsia"/>
          <w:color w:val="auto"/>
        </w:rPr>
        <w:t>（2）工程项目概况：本项目为生产调度及应急指挥中心楼的各个会议室会议系统设备建设的设备进行供货、系统集成及安装、调试等工作。通过本项目的建设解决粤电生产调度办公楼的各个会议室会议系统需求，具体目标主要是建设一个以现代网络技术为依托，技术先进、扩展性强的智能化会议系统；建设覆盖楼宇满足实现有线通讯系统的要求。</w:t>
      </w:r>
    </w:p>
    <w:p>
      <w:pPr>
        <w:spacing w:line="400" w:lineRule="exact"/>
        <w:ind w:firstLine="420" w:firstLineChars="200"/>
        <w:rPr>
          <w:rFonts w:hint="eastAsia"/>
          <w:color w:val="auto"/>
        </w:rPr>
      </w:pPr>
      <w:r>
        <w:rPr>
          <w:rFonts w:hint="eastAsia"/>
          <w:color w:val="auto"/>
        </w:rPr>
        <w:t>（3）工程地点：粤电生产调度及应急指挥中心楼位于阳江市江朗大道南段阳江站广场前500米，场址属阳江市江城区。</w:t>
      </w:r>
    </w:p>
    <w:p>
      <w:pPr>
        <w:spacing w:line="400" w:lineRule="exact"/>
        <w:rPr>
          <w:color w:val="auto"/>
        </w:rPr>
      </w:pPr>
      <w:r>
        <w:rPr>
          <w:color w:val="auto"/>
        </w:rPr>
        <w:t>2.2</w:t>
      </w:r>
      <w:r>
        <w:rPr>
          <w:rFonts w:hint="eastAsia"/>
          <w:color w:val="auto"/>
        </w:rPr>
        <w:t>项目招标范围：</w:t>
      </w:r>
    </w:p>
    <w:tbl>
      <w:tblPr>
        <w:tblStyle w:val="7"/>
        <w:tblW w:w="9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559"/>
        <w:gridCol w:w="5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1942" w:type="dxa"/>
            <w:noWrap w:val="0"/>
            <w:vAlign w:val="center"/>
          </w:tcPr>
          <w:p>
            <w:pPr>
              <w:snapToGrid w:val="0"/>
              <w:spacing w:before="48" w:beforeLines="20" w:after="48" w:afterLines="20" w:line="300" w:lineRule="auto"/>
              <w:jc w:val="center"/>
              <w:rPr>
                <w:bCs/>
                <w:color w:val="auto"/>
                <w:szCs w:val="21"/>
              </w:rPr>
            </w:pPr>
            <w:r>
              <w:rPr>
                <w:bCs/>
                <w:color w:val="auto"/>
                <w:szCs w:val="21"/>
              </w:rPr>
              <w:t>招标编号/包号</w:t>
            </w:r>
          </w:p>
        </w:tc>
        <w:tc>
          <w:tcPr>
            <w:tcW w:w="1559" w:type="dxa"/>
            <w:noWrap w:val="0"/>
            <w:vAlign w:val="center"/>
          </w:tcPr>
          <w:p>
            <w:pPr>
              <w:snapToGrid w:val="0"/>
              <w:spacing w:before="48" w:beforeLines="20" w:after="48" w:afterLines="20" w:line="300" w:lineRule="auto"/>
              <w:jc w:val="center"/>
              <w:rPr>
                <w:bCs/>
                <w:color w:val="auto"/>
                <w:szCs w:val="21"/>
              </w:rPr>
            </w:pPr>
            <w:r>
              <w:rPr>
                <w:bCs/>
                <w:color w:val="auto"/>
                <w:szCs w:val="21"/>
              </w:rPr>
              <w:t>项目包名称</w:t>
            </w:r>
          </w:p>
        </w:tc>
        <w:tc>
          <w:tcPr>
            <w:tcW w:w="5535" w:type="dxa"/>
            <w:noWrap w:val="0"/>
            <w:vAlign w:val="center"/>
          </w:tcPr>
          <w:p>
            <w:pPr>
              <w:snapToGrid w:val="0"/>
              <w:spacing w:before="48" w:beforeLines="20" w:after="48" w:afterLines="20" w:line="300" w:lineRule="auto"/>
              <w:jc w:val="center"/>
              <w:rPr>
                <w:bCs/>
                <w:color w:val="auto"/>
                <w:szCs w:val="21"/>
              </w:rPr>
            </w:pPr>
            <w:r>
              <w:rPr>
                <w:bCs/>
                <w:color w:val="auto"/>
                <w:szCs w:val="21"/>
              </w:rPr>
              <w:t>招标范围</w:t>
            </w:r>
            <w:r>
              <w:rPr>
                <w:b/>
                <w:bCs/>
                <w:color w:val="auto"/>
                <w:szCs w:val="21"/>
              </w:rPr>
              <w:t>（以技术规范书为准）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42" w:type="dxa"/>
            <w:noWrap w:val="0"/>
            <w:vAlign w:val="center"/>
          </w:tcPr>
          <w:p>
            <w:pPr>
              <w:snapToGrid w:val="0"/>
              <w:spacing w:before="48" w:beforeLines="20" w:after="48" w:afterLines="20" w:line="300" w:lineRule="auto"/>
              <w:jc w:val="center"/>
              <w:rPr>
                <w:bCs/>
                <w:color w:val="auto"/>
                <w:szCs w:val="21"/>
              </w:rPr>
            </w:pPr>
            <w:r>
              <w:rPr>
                <w:bCs/>
                <w:color w:val="auto"/>
                <w:szCs w:val="21"/>
                <w:lang w:val="zh-CN"/>
              </w:rPr>
              <w:t>GXTC-C-23280060</w:t>
            </w:r>
          </w:p>
        </w:tc>
        <w:tc>
          <w:tcPr>
            <w:tcW w:w="1559" w:type="dxa"/>
            <w:noWrap w:val="0"/>
            <w:vAlign w:val="center"/>
          </w:tcPr>
          <w:p>
            <w:pPr>
              <w:snapToGrid w:val="0"/>
              <w:spacing w:before="48" w:beforeLines="20" w:after="48" w:afterLines="20" w:line="300" w:lineRule="auto"/>
              <w:jc w:val="center"/>
              <w:rPr>
                <w:bCs/>
                <w:color w:val="auto"/>
                <w:szCs w:val="21"/>
              </w:rPr>
            </w:pPr>
            <w:r>
              <w:rPr>
                <w:rFonts w:hint="eastAsia"/>
                <w:bCs/>
                <w:color w:val="auto"/>
                <w:szCs w:val="21"/>
              </w:rPr>
              <w:t>生产调度及应急指挥中心智能会议系统建设项目</w:t>
            </w:r>
          </w:p>
        </w:tc>
        <w:tc>
          <w:tcPr>
            <w:tcW w:w="5535" w:type="dxa"/>
            <w:noWrap w:val="0"/>
            <w:vAlign w:val="center"/>
          </w:tcPr>
          <w:p>
            <w:pPr>
              <w:jc w:val="left"/>
              <w:rPr>
                <w:rFonts w:hint="eastAsia"/>
                <w:color w:val="auto"/>
                <w:szCs w:val="21"/>
              </w:rPr>
            </w:pPr>
            <w:r>
              <w:rPr>
                <w:rFonts w:hint="eastAsia"/>
                <w:color w:val="auto"/>
                <w:szCs w:val="21"/>
              </w:rPr>
              <w:t>主要包含以下场室的会议系统设备等设备采购安装及调试等：</w:t>
            </w:r>
          </w:p>
          <w:p>
            <w:pPr>
              <w:numPr>
                <w:ilvl w:val="0"/>
                <w:numId w:val="1"/>
              </w:numPr>
              <w:jc w:val="left"/>
              <w:rPr>
                <w:rFonts w:hint="eastAsia" w:ascii="宋体" w:hAnsi="宋体" w:cs="宋体"/>
                <w:color w:val="auto"/>
                <w:szCs w:val="21"/>
              </w:rPr>
            </w:pPr>
            <w:r>
              <w:rPr>
                <w:rFonts w:hint="eastAsia" w:ascii="宋体" w:hAnsi="宋体" w:cs="宋体"/>
                <w:color w:val="auto"/>
                <w:szCs w:val="21"/>
              </w:rPr>
              <w:t>三楼餐厅包房*</w:t>
            </w:r>
            <w:r>
              <w:rPr>
                <w:rFonts w:ascii="宋体" w:hAnsi="宋体" w:cs="宋体"/>
                <w:color w:val="auto"/>
                <w:szCs w:val="21"/>
              </w:rPr>
              <w:t>1</w:t>
            </w:r>
            <w:r>
              <w:rPr>
                <w:rFonts w:hint="eastAsia" w:ascii="宋体" w:hAnsi="宋体" w:cs="宋体"/>
                <w:color w:val="auto"/>
                <w:szCs w:val="21"/>
              </w:rPr>
              <w:t>及就餐大厅电视系统；</w:t>
            </w:r>
          </w:p>
          <w:p>
            <w:pPr>
              <w:numPr>
                <w:ilvl w:val="0"/>
                <w:numId w:val="1"/>
              </w:numPr>
              <w:jc w:val="left"/>
              <w:rPr>
                <w:rFonts w:hint="eastAsia" w:ascii="宋体" w:hAnsi="宋体" w:cs="宋体"/>
                <w:color w:val="auto"/>
                <w:szCs w:val="21"/>
              </w:rPr>
            </w:pPr>
            <w:r>
              <w:rPr>
                <w:rFonts w:hint="eastAsia" w:ascii="宋体" w:hAnsi="宋体" w:cs="宋体"/>
                <w:color w:val="auto"/>
                <w:szCs w:val="21"/>
              </w:rPr>
              <w:t>六楼培训大会议系统；</w:t>
            </w:r>
            <w:bookmarkStart w:id="8" w:name="_Toc119873497"/>
          </w:p>
          <w:p>
            <w:pPr>
              <w:numPr>
                <w:ilvl w:val="0"/>
                <w:numId w:val="1"/>
              </w:numPr>
              <w:jc w:val="left"/>
              <w:rPr>
                <w:rFonts w:hint="eastAsia" w:ascii="宋体" w:hAnsi="宋体" w:cs="宋体"/>
                <w:color w:val="auto"/>
                <w:szCs w:val="21"/>
              </w:rPr>
            </w:pPr>
            <w:r>
              <w:rPr>
                <w:rFonts w:hint="eastAsia" w:ascii="宋体" w:hAnsi="宋体" w:cs="宋体"/>
                <w:color w:val="auto"/>
                <w:szCs w:val="21"/>
              </w:rPr>
              <w:t>六楼多功能会议系统；</w:t>
            </w:r>
            <w:bookmarkEnd w:id="8"/>
            <w:bookmarkStart w:id="9" w:name="_Toc119873499"/>
          </w:p>
          <w:p>
            <w:pPr>
              <w:numPr>
                <w:ilvl w:val="0"/>
                <w:numId w:val="1"/>
              </w:numPr>
              <w:jc w:val="left"/>
              <w:rPr>
                <w:rFonts w:hint="eastAsia" w:ascii="宋体" w:hAnsi="宋体" w:cs="宋体"/>
                <w:color w:val="auto"/>
                <w:szCs w:val="21"/>
              </w:rPr>
            </w:pPr>
            <w:r>
              <w:rPr>
                <w:rFonts w:hint="eastAsia" w:ascii="宋体" w:hAnsi="宋体" w:cs="宋体"/>
                <w:color w:val="auto"/>
                <w:szCs w:val="21"/>
              </w:rPr>
              <w:t>七楼多功能无纸会议系统；</w:t>
            </w:r>
            <w:bookmarkEnd w:id="9"/>
            <w:bookmarkStart w:id="10" w:name="_Toc119873500"/>
          </w:p>
          <w:p>
            <w:pPr>
              <w:numPr>
                <w:ilvl w:val="0"/>
                <w:numId w:val="1"/>
              </w:numPr>
              <w:jc w:val="left"/>
              <w:rPr>
                <w:rFonts w:hint="eastAsia" w:ascii="宋体" w:hAnsi="宋体" w:cs="宋体"/>
                <w:color w:val="auto"/>
                <w:szCs w:val="21"/>
              </w:rPr>
            </w:pPr>
            <w:r>
              <w:rPr>
                <w:rFonts w:hint="eastAsia" w:ascii="宋体" w:hAnsi="宋体" w:cs="宋体"/>
                <w:color w:val="auto"/>
                <w:szCs w:val="21"/>
              </w:rPr>
              <w:t>八楼多功能会议系统*2；</w:t>
            </w:r>
            <w:bookmarkEnd w:id="10"/>
            <w:bookmarkStart w:id="11" w:name="_Toc119873501"/>
          </w:p>
          <w:p>
            <w:pPr>
              <w:numPr>
                <w:ilvl w:val="0"/>
                <w:numId w:val="1"/>
              </w:numPr>
              <w:jc w:val="left"/>
              <w:rPr>
                <w:rFonts w:hint="eastAsia" w:ascii="宋体" w:hAnsi="宋体" w:cs="宋体"/>
                <w:color w:val="auto"/>
                <w:szCs w:val="21"/>
              </w:rPr>
            </w:pPr>
            <w:r>
              <w:rPr>
                <w:rFonts w:hint="eastAsia" w:ascii="宋体" w:hAnsi="宋体" w:cs="宋体"/>
                <w:color w:val="auto"/>
                <w:szCs w:val="21"/>
              </w:rPr>
              <w:t>九楼远程视频会议多功能会议系统*</w:t>
            </w:r>
            <w:r>
              <w:rPr>
                <w:rFonts w:ascii="宋体" w:hAnsi="宋体" w:cs="宋体"/>
                <w:color w:val="auto"/>
                <w:szCs w:val="21"/>
              </w:rPr>
              <w:t>2</w:t>
            </w:r>
            <w:r>
              <w:rPr>
                <w:rFonts w:hint="eastAsia" w:ascii="宋体" w:hAnsi="宋体" w:cs="宋体"/>
                <w:color w:val="auto"/>
                <w:szCs w:val="21"/>
              </w:rPr>
              <w:t>；</w:t>
            </w:r>
            <w:bookmarkEnd w:id="11"/>
          </w:p>
          <w:p>
            <w:pPr>
              <w:numPr>
                <w:ilvl w:val="0"/>
                <w:numId w:val="1"/>
              </w:numPr>
              <w:jc w:val="left"/>
              <w:rPr>
                <w:rFonts w:ascii="宋体" w:hAnsi="宋体" w:cs="宋体"/>
                <w:color w:val="auto"/>
                <w:szCs w:val="21"/>
              </w:rPr>
            </w:pPr>
            <w:r>
              <w:rPr>
                <w:rFonts w:hint="eastAsia" w:ascii="宋体" w:hAnsi="宋体" w:cs="宋体"/>
                <w:color w:val="auto"/>
                <w:szCs w:val="21"/>
              </w:rPr>
              <w:t>配合</w:t>
            </w:r>
            <w:bookmarkStart w:id="78" w:name="_GoBack"/>
            <w:bookmarkEnd w:id="78"/>
            <w:r>
              <w:rPr>
                <w:rFonts w:hint="eastAsia" w:ascii="宋体" w:hAnsi="宋体" w:cs="宋体"/>
                <w:color w:val="auto"/>
                <w:szCs w:val="21"/>
              </w:rPr>
              <w:t>集团总部、阳江公司本部、各风场进行会议系统整体调试安装等。</w:t>
            </w:r>
          </w:p>
          <w:p>
            <w:pPr>
              <w:jc w:val="left"/>
              <w:rPr>
                <w:rFonts w:hint="eastAsia"/>
                <w:color w:val="auto"/>
                <w:szCs w:val="21"/>
              </w:rPr>
            </w:pPr>
            <w:r>
              <w:rPr>
                <w:color w:val="auto"/>
                <w:szCs w:val="21"/>
              </w:rPr>
              <w:t>包括</w:t>
            </w:r>
            <w:r>
              <w:rPr>
                <w:rFonts w:hint="eastAsia"/>
                <w:color w:val="auto"/>
                <w:szCs w:val="21"/>
              </w:rPr>
              <w:t>但</w:t>
            </w:r>
            <w:r>
              <w:rPr>
                <w:color w:val="auto"/>
                <w:szCs w:val="21"/>
              </w:rPr>
              <w:t>不限于</w:t>
            </w:r>
            <w:r>
              <w:rPr>
                <w:rFonts w:hint="eastAsia"/>
                <w:color w:val="auto"/>
                <w:szCs w:val="21"/>
              </w:rPr>
              <w:t>深化设计与设计联络、货物及附件的制造、包装、运输、保险、税费（包括关税、增值税等相关税费）以及安装、验收、技术服务（包括技术资料、图纸的提供）、售后服务、质保期保障等。</w:t>
            </w:r>
          </w:p>
        </w:tc>
      </w:tr>
    </w:tbl>
    <w:p>
      <w:pPr>
        <w:spacing w:line="400" w:lineRule="exact"/>
        <w:ind w:firstLine="420"/>
        <w:rPr>
          <w:color w:val="auto"/>
        </w:rPr>
      </w:pPr>
      <w:r>
        <w:rPr>
          <w:rFonts w:hint="eastAsia" w:cs="宋体"/>
          <w:bCs/>
          <w:color w:val="auto"/>
          <w:szCs w:val="21"/>
        </w:rPr>
        <w:t>投标人必须对招标范围内的全部内容进行投标，不允许只对部分内容投标；如有重大缺漏，将导致投标被否决。具体内容详见招标文件并以其要求为准。</w:t>
      </w:r>
    </w:p>
    <w:p>
      <w:pPr>
        <w:spacing w:line="400" w:lineRule="exact"/>
        <w:rPr>
          <w:color w:val="auto"/>
        </w:rPr>
      </w:pPr>
      <w:r>
        <w:rPr>
          <w:color w:val="auto"/>
        </w:rPr>
        <w:t>2.3</w:t>
      </w:r>
      <w:r>
        <w:rPr>
          <w:rFonts w:hint="eastAsia"/>
          <w:color w:val="auto"/>
        </w:rPr>
        <w:t>交货期：</w:t>
      </w:r>
    </w:p>
    <w:p>
      <w:pPr>
        <w:spacing w:line="400" w:lineRule="exact"/>
        <w:rPr>
          <w:color w:val="auto"/>
        </w:rPr>
      </w:pPr>
      <w:r>
        <w:rPr>
          <w:rFonts w:hint="eastAsia"/>
          <w:color w:val="auto"/>
        </w:rPr>
        <w:t>合同签订后的7天内开展，如有变化按照招标</w:t>
      </w:r>
      <w:r>
        <w:rPr>
          <w:color w:val="auto"/>
        </w:rPr>
        <w:t>人</w:t>
      </w:r>
      <w:r>
        <w:rPr>
          <w:rFonts w:hint="eastAsia"/>
          <w:color w:val="auto"/>
        </w:rPr>
        <w:t>最后要求执行。签订合同之日起120天内完成整个项目工作。</w:t>
      </w:r>
    </w:p>
    <w:p>
      <w:pPr>
        <w:spacing w:line="400" w:lineRule="exact"/>
        <w:rPr>
          <w:color w:val="auto"/>
        </w:rPr>
      </w:pPr>
      <w:r>
        <w:rPr>
          <w:rFonts w:hint="eastAsia"/>
          <w:color w:val="auto"/>
        </w:rPr>
        <w:t>2.4质量要求：</w:t>
      </w:r>
    </w:p>
    <w:p>
      <w:pPr>
        <w:spacing w:line="400" w:lineRule="exact"/>
        <w:rPr>
          <w:rFonts w:ascii="宋体" w:hAnsi="宋体"/>
          <w:color w:val="auto"/>
          <w:kern w:val="0"/>
          <w:szCs w:val="21"/>
        </w:rPr>
      </w:pPr>
      <w:r>
        <w:rPr>
          <w:rFonts w:hint="eastAsia" w:ascii="宋体" w:hAnsi="宋体"/>
          <w:color w:val="auto"/>
          <w:kern w:val="0"/>
          <w:szCs w:val="21"/>
        </w:rPr>
        <w:t>满足技术规范书要求，符合合同规定的验收合格标准。</w:t>
      </w:r>
    </w:p>
    <w:p>
      <w:pPr>
        <w:spacing w:line="400" w:lineRule="exact"/>
        <w:rPr>
          <w:color w:val="auto"/>
        </w:rPr>
      </w:pPr>
      <w:r>
        <w:rPr>
          <w:rFonts w:hint="eastAsia"/>
          <w:color w:val="auto"/>
        </w:rPr>
        <w:t>2</w:t>
      </w:r>
      <w:r>
        <w:rPr>
          <w:color w:val="auto"/>
        </w:rPr>
        <w:t>.5</w:t>
      </w:r>
      <w:r>
        <w:rPr>
          <w:rFonts w:hint="eastAsia"/>
          <w:color w:val="auto"/>
        </w:rPr>
        <w:t>承包方式：</w:t>
      </w:r>
    </w:p>
    <w:p>
      <w:pPr>
        <w:spacing w:line="400" w:lineRule="exact"/>
        <w:rPr>
          <w:rFonts w:hint="eastAsia"/>
          <w:color w:val="auto"/>
        </w:rPr>
      </w:pPr>
      <w:r>
        <w:rPr>
          <w:rFonts w:hint="eastAsia"/>
          <w:color w:val="auto"/>
        </w:rPr>
        <w:t>固定总价包干。</w:t>
      </w:r>
    </w:p>
    <w:p>
      <w:pPr>
        <w:pStyle w:val="4"/>
        <w:spacing w:before="120" w:after="120" w:line="360" w:lineRule="auto"/>
        <w:rPr>
          <w:rFonts w:ascii="Times New Roman" w:hAnsi="Times New Roman"/>
          <w:color w:val="auto"/>
        </w:rPr>
      </w:pPr>
      <w:bookmarkStart w:id="12" w:name="_Toc81772838"/>
      <w:bookmarkStart w:id="13" w:name="_Toc135150528"/>
      <w:bookmarkStart w:id="14" w:name="_Toc81859130"/>
      <w:r>
        <w:rPr>
          <w:rFonts w:ascii="Times New Roman" w:hAnsi="Times New Roman"/>
          <w:color w:val="auto"/>
        </w:rPr>
        <w:t xml:space="preserve">3. </w:t>
      </w:r>
      <w:r>
        <w:rPr>
          <w:rFonts w:hint="eastAsia" w:ascii="Times New Roman" w:hAnsi="Times New Roman"/>
          <w:color w:val="auto"/>
        </w:rPr>
        <w:t>投标人资格要求</w:t>
      </w:r>
      <w:bookmarkEnd w:id="12"/>
      <w:bookmarkEnd w:id="13"/>
      <w:bookmarkEnd w:id="14"/>
    </w:p>
    <w:p>
      <w:pPr>
        <w:snapToGrid w:val="0"/>
        <w:spacing w:line="400" w:lineRule="exact"/>
        <w:jc w:val="left"/>
        <w:rPr>
          <w:rFonts w:ascii="宋体" w:hAnsi="宋体"/>
          <w:b/>
          <w:bCs/>
          <w:color w:val="auto"/>
          <w:szCs w:val="21"/>
        </w:rPr>
      </w:pPr>
      <w:r>
        <w:rPr>
          <w:rFonts w:ascii="宋体" w:hAnsi="宋体"/>
          <w:b/>
          <w:bCs/>
          <w:color w:val="auto"/>
          <w:szCs w:val="21"/>
        </w:rPr>
        <w:t>3.1基本要求</w:t>
      </w:r>
      <w:bookmarkStart w:id="15" w:name="bm5"/>
    </w:p>
    <w:bookmarkEnd w:id="15"/>
    <w:p>
      <w:pPr>
        <w:numPr>
          <w:ilvl w:val="0"/>
          <w:numId w:val="2"/>
        </w:numPr>
        <w:snapToGrid w:val="0"/>
        <w:spacing w:line="400" w:lineRule="exact"/>
        <w:ind w:left="567" w:hanging="567"/>
        <w:jc w:val="left"/>
        <w:rPr>
          <w:color w:val="auto"/>
          <w:szCs w:val="21"/>
        </w:rPr>
      </w:pPr>
      <w:r>
        <w:rPr>
          <w:rFonts w:hint="eastAsia"/>
          <w:color w:val="auto"/>
          <w:szCs w:val="21"/>
        </w:rPr>
        <w:t>投标人必须具有中华人民共和国独立法人资格，持有工商行政管理部门颁发的法人营业执照，按国家法律经营。</w:t>
      </w:r>
    </w:p>
    <w:p>
      <w:pPr>
        <w:numPr>
          <w:ilvl w:val="0"/>
          <w:numId w:val="2"/>
        </w:numPr>
        <w:snapToGrid w:val="0"/>
        <w:spacing w:line="400" w:lineRule="exact"/>
        <w:ind w:left="567" w:hanging="567"/>
        <w:jc w:val="left"/>
        <w:rPr>
          <w:color w:val="auto"/>
          <w:szCs w:val="21"/>
        </w:rPr>
      </w:pPr>
      <w:r>
        <w:rPr>
          <w:rFonts w:hint="eastAsia"/>
          <w:color w:val="auto"/>
          <w:szCs w:val="21"/>
        </w:rPr>
        <w:t>与招标人存在利害关系可能影响招标公正性的法人、其他组织或者个人，不得参加投标。单位负责人为同一人或者存在控股、管理关系的不同单位，不得参加同一标段投标或者未划分标段的同一招标项目投标。</w:t>
      </w:r>
    </w:p>
    <w:p>
      <w:pPr>
        <w:numPr>
          <w:ilvl w:val="0"/>
          <w:numId w:val="2"/>
        </w:numPr>
        <w:snapToGrid w:val="0"/>
        <w:spacing w:line="400" w:lineRule="exact"/>
        <w:ind w:left="567" w:hanging="567"/>
        <w:jc w:val="left"/>
        <w:rPr>
          <w:color w:val="auto"/>
          <w:szCs w:val="21"/>
        </w:rPr>
      </w:pPr>
      <w:r>
        <w:rPr>
          <w:rFonts w:hint="eastAsia"/>
          <w:color w:val="auto"/>
          <w:szCs w:val="21"/>
        </w:rPr>
        <w:t>本次招标不接受联合体形式投标。</w:t>
      </w:r>
    </w:p>
    <w:p>
      <w:pPr>
        <w:numPr>
          <w:ilvl w:val="0"/>
          <w:numId w:val="2"/>
        </w:numPr>
        <w:snapToGrid w:val="0"/>
        <w:spacing w:line="400" w:lineRule="exact"/>
        <w:ind w:left="567" w:hanging="567"/>
        <w:jc w:val="left"/>
        <w:rPr>
          <w:color w:val="auto"/>
          <w:szCs w:val="21"/>
        </w:rPr>
      </w:pPr>
      <w:r>
        <w:rPr>
          <w:rFonts w:hint="eastAsia" w:ascii="宋体" w:hAnsi="宋体" w:cs="宋体"/>
          <w:bCs/>
          <w:color w:val="auto"/>
          <w:szCs w:val="21"/>
        </w:rPr>
        <w:t>投标人没有被列入广东省能源集团有限公司级、二级平台企业级和招标人供应商黑名单或灰名单的，包括处于“黑名单或灰名单通知”中禁止参加投标的期间。</w:t>
      </w:r>
    </w:p>
    <w:p>
      <w:pPr>
        <w:numPr>
          <w:ilvl w:val="0"/>
          <w:numId w:val="2"/>
        </w:numPr>
        <w:snapToGrid w:val="0"/>
        <w:spacing w:line="400" w:lineRule="exact"/>
        <w:ind w:left="567" w:hanging="567"/>
        <w:jc w:val="left"/>
        <w:rPr>
          <w:bCs/>
          <w:color w:val="auto"/>
          <w:szCs w:val="21"/>
        </w:rPr>
      </w:pPr>
      <w:r>
        <w:rPr>
          <w:bCs/>
          <w:color w:val="auto"/>
          <w:szCs w:val="21"/>
        </w:rPr>
        <w:t>投标人不得存在下列情形之一：</w:t>
      </w:r>
    </w:p>
    <w:p>
      <w:pPr>
        <w:snapToGrid w:val="0"/>
        <w:spacing w:line="400" w:lineRule="exact"/>
        <w:ind w:left="567"/>
        <w:jc w:val="left"/>
        <w:rPr>
          <w:rFonts w:hint="eastAsia"/>
          <w:bCs/>
          <w:color w:val="auto"/>
          <w:szCs w:val="21"/>
        </w:rPr>
      </w:pPr>
      <w:r>
        <w:rPr>
          <w:rFonts w:hint="eastAsia"/>
          <w:bCs/>
          <w:color w:val="auto"/>
          <w:szCs w:val="21"/>
        </w:rPr>
        <w:t>1）在国家企业信用信息公示系统（http://www.gsxt.gov.cn/）中被列入严重违法失信企业名单；</w:t>
      </w:r>
    </w:p>
    <w:p>
      <w:pPr>
        <w:snapToGrid w:val="0"/>
        <w:spacing w:line="400" w:lineRule="exact"/>
        <w:ind w:left="567"/>
        <w:jc w:val="left"/>
        <w:rPr>
          <w:rFonts w:hint="eastAsia"/>
          <w:bCs/>
          <w:color w:val="auto"/>
          <w:szCs w:val="21"/>
        </w:rPr>
      </w:pPr>
      <w:r>
        <w:rPr>
          <w:rFonts w:hint="eastAsia"/>
          <w:bCs/>
          <w:color w:val="auto"/>
          <w:szCs w:val="21"/>
        </w:rPr>
        <w:t>2）在“信用中国”网站（http://www.creditchina.gov.cn/）中被列入失信被执行人名单；</w:t>
      </w:r>
    </w:p>
    <w:p>
      <w:pPr>
        <w:snapToGrid w:val="0"/>
        <w:spacing w:line="400" w:lineRule="exact"/>
        <w:ind w:left="567"/>
        <w:jc w:val="left"/>
        <w:rPr>
          <w:rFonts w:hint="eastAsia"/>
          <w:bCs/>
          <w:color w:val="auto"/>
          <w:szCs w:val="21"/>
        </w:rPr>
      </w:pPr>
      <w:r>
        <w:rPr>
          <w:rFonts w:hint="eastAsia"/>
          <w:bCs/>
          <w:color w:val="auto"/>
          <w:szCs w:val="21"/>
        </w:rPr>
        <w:t>3）近三年内在中国裁判文书网（http://wenshu.court.gov.cn/）中投标人或其法定代表人（单位负责人）、拟委任的项目负责人有行贿犯罪行为记录；</w:t>
      </w:r>
    </w:p>
    <w:p>
      <w:pPr>
        <w:snapToGrid w:val="0"/>
        <w:spacing w:line="400" w:lineRule="exact"/>
        <w:ind w:left="567"/>
        <w:jc w:val="left"/>
        <w:rPr>
          <w:bCs/>
          <w:color w:val="auto"/>
          <w:szCs w:val="21"/>
        </w:rPr>
      </w:pPr>
      <w:r>
        <w:rPr>
          <w:rFonts w:hint="eastAsia"/>
          <w:bCs/>
          <w:color w:val="auto"/>
          <w:szCs w:val="21"/>
        </w:rPr>
        <w:t>4）投标人在递交投标文件时需提供不存在上述3种情形的声明函并附对应网站查询结果截图。</w:t>
      </w:r>
    </w:p>
    <w:p>
      <w:pPr>
        <w:snapToGrid w:val="0"/>
        <w:spacing w:line="400" w:lineRule="exact"/>
        <w:jc w:val="left"/>
        <w:rPr>
          <w:rFonts w:ascii="宋体" w:hAnsi="宋体"/>
          <w:b/>
          <w:bCs/>
          <w:color w:val="auto"/>
          <w:szCs w:val="21"/>
        </w:rPr>
      </w:pPr>
      <w:r>
        <w:rPr>
          <w:rFonts w:ascii="宋体" w:hAnsi="宋体"/>
          <w:b/>
          <w:bCs/>
          <w:color w:val="auto"/>
          <w:szCs w:val="21"/>
        </w:rPr>
        <w:t>3.2业绩要求</w:t>
      </w:r>
    </w:p>
    <w:p>
      <w:pPr>
        <w:numPr>
          <w:ilvl w:val="0"/>
          <w:numId w:val="3"/>
        </w:numPr>
        <w:snapToGrid w:val="0"/>
        <w:spacing w:line="400" w:lineRule="exact"/>
        <w:ind w:left="567" w:hanging="567"/>
        <w:jc w:val="left"/>
        <w:rPr>
          <w:rFonts w:hint="eastAsia"/>
          <w:bCs/>
          <w:color w:val="auto"/>
          <w:szCs w:val="21"/>
        </w:rPr>
      </w:pPr>
      <w:r>
        <w:rPr>
          <w:rFonts w:hint="eastAsia"/>
          <w:color w:val="auto"/>
        </w:rPr>
        <w:t>投标人自2020年1月1日至投标截止日至少具有2个会议系统集成项目合同业绩；</w:t>
      </w:r>
    </w:p>
    <w:p>
      <w:pPr>
        <w:numPr>
          <w:ilvl w:val="0"/>
          <w:numId w:val="3"/>
        </w:numPr>
        <w:snapToGrid w:val="0"/>
        <w:spacing w:line="400" w:lineRule="exact"/>
        <w:ind w:left="567" w:hanging="567"/>
        <w:jc w:val="left"/>
        <w:rPr>
          <w:bCs/>
          <w:color w:val="auto"/>
          <w:szCs w:val="21"/>
        </w:rPr>
      </w:pPr>
      <w:r>
        <w:rPr>
          <w:rFonts w:hint="eastAsia"/>
          <w:bCs/>
          <w:color w:val="auto"/>
          <w:szCs w:val="21"/>
        </w:rPr>
        <w:t>投标人所提供的业绩应是投标人的，而不是其母公司、合作方的；投标人至少应当同时提供合同复印件等业绩证明材料，且所提供的业绩证明资料应当能清晰显示项目名称、招标人、合同承包范围、数量、合同签订日期、签字盖章页等。</w:t>
      </w:r>
      <w:r>
        <w:rPr>
          <w:rFonts w:hint="eastAsia" w:ascii="宋体" w:hAnsi="宋体"/>
          <w:color w:val="auto"/>
          <w:szCs w:val="21"/>
        </w:rPr>
        <w:t>业绩时间以采购合同的签订时间为准。</w:t>
      </w:r>
    </w:p>
    <w:p>
      <w:pPr>
        <w:pStyle w:val="4"/>
        <w:spacing w:before="120" w:after="120" w:line="360" w:lineRule="auto"/>
        <w:rPr>
          <w:rFonts w:ascii="Times New Roman" w:hAnsi="Times New Roman"/>
          <w:color w:val="auto"/>
        </w:rPr>
      </w:pPr>
      <w:bookmarkStart w:id="16" w:name="_Toc81772839"/>
      <w:bookmarkStart w:id="17" w:name="_Toc81859131"/>
      <w:bookmarkStart w:id="18" w:name="_Toc135150529"/>
      <w:r>
        <w:rPr>
          <w:rFonts w:ascii="Times New Roman" w:hAnsi="Times New Roman"/>
          <w:color w:val="auto"/>
        </w:rPr>
        <w:t xml:space="preserve">4. </w:t>
      </w:r>
      <w:r>
        <w:rPr>
          <w:rFonts w:hint="eastAsia" w:ascii="Times New Roman" w:hAnsi="Times New Roman"/>
          <w:color w:val="auto"/>
        </w:rPr>
        <w:t>招标文件的获取</w:t>
      </w:r>
      <w:bookmarkEnd w:id="16"/>
      <w:bookmarkEnd w:id="17"/>
      <w:bookmarkEnd w:id="18"/>
    </w:p>
    <w:p>
      <w:pPr>
        <w:adjustRightInd w:val="0"/>
        <w:snapToGrid w:val="0"/>
        <w:spacing w:line="360" w:lineRule="auto"/>
        <w:jc w:val="left"/>
        <w:textAlignment w:val="baseline"/>
        <w:rPr>
          <w:rFonts w:ascii="宋体" w:hAnsi="宋体"/>
          <w:color w:val="auto"/>
          <w:kern w:val="0"/>
          <w:szCs w:val="21"/>
        </w:rPr>
      </w:pPr>
      <w:r>
        <w:rPr>
          <w:rFonts w:hint="eastAsia" w:ascii="宋体" w:hAnsi="宋体" w:cs="宋体"/>
          <w:bCs/>
          <w:color w:val="auto"/>
          <w:kern w:val="0"/>
          <w:szCs w:val="21"/>
        </w:rPr>
        <w:t>4.1</w:t>
      </w:r>
      <w:r>
        <w:rPr>
          <w:rFonts w:hint="eastAsia" w:ascii="宋体" w:hAnsi="宋体"/>
          <w:color w:val="auto"/>
          <w:kern w:val="0"/>
          <w:szCs w:val="21"/>
        </w:rPr>
        <w:t>有兴趣且符合本公告第3条资格要求的投标申请人在投标登记前应在广州公共资源交易中心办理好企业信息登记，按本公告后附的格式和要求编写并递交投标登记资料购买招标</w:t>
      </w:r>
      <w:r>
        <w:rPr>
          <w:rFonts w:ascii="宋体" w:hAnsi="宋体"/>
          <w:color w:val="auto"/>
          <w:kern w:val="0"/>
          <w:szCs w:val="21"/>
        </w:rPr>
        <w:t>文件</w:t>
      </w:r>
      <w:r>
        <w:rPr>
          <w:rFonts w:hint="eastAsia" w:ascii="宋体" w:hAnsi="宋体"/>
          <w:color w:val="auto"/>
          <w:kern w:val="0"/>
          <w:szCs w:val="21"/>
        </w:rPr>
        <w:t>。</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（a）《投标登记申请表》（一式两份，加盖公章及法定代表人章，可从广州公共资源交易中心网站下载）。</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（b）证明投标人满足本公告第3点的原始文件的复印件。</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c</w:t>
      </w:r>
      <w:r>
        <w:rPr>
          <w:rFonts w:hint="eastAsia" w:ascii="宋体" w:hAnsi="宋体"/>
          <w:color w:val="auto"/>
          <w:kern w:val="0"/>
          <w:szCs w:val="21"/>
        </w:rPr>
        <w:t>）证明投标人满足本公告第3点业绩要求的资料（需提供能显示相关业绩情况的合同复印件，包括合同的封面、签字页及工作范围等）。</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d</w:t>
      </w:r>
      <w:r>
        <w:rPr>
          <w:rFonts w:hint="eastAsia" w:ascii="宋体" w:hAnsi="宋体"/>
          <w:color w:val="auto"/>
          <w:kern w:val="0"/>
          <w:szCs w:val="21"/>
        </w:rPr>
        <w:t>）投标人满足本公告第3点其他要求的资料。</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w:t>
      </w:r>
      <w:r>
        <w:rPr>
          <w:rFonts w:ascii="宋体" w:hAnsi="宋体"/>
          <w:color w:val="auto"/>
          <w:kern w:val="0"/>
          <w:szCs w:val="21"/>
        </w:rPr>
        <w:t>e</w:t>
      </w:r>
      <w:r>
        <w:rPr>
          <w:rFonts w:hint="eastAsia" w:ascii="宋体" w:hAnsi="宋体"/>
          <w:color w:val="auto"/>
          <w:kern w:val="0"/>
          <w:szCs w:val="21"/>
        </w:rPr>
        <w:t>）各投标人须将以上资料（除《投标登记申请表》单独递交外）按本公告附件的格式顺序整理成册（壹份），每页加盖公章扫描。按本公告第3点提交的扫描件需加盖公章，原件备查。所提供的资料必须真实完整，如被发现有任何虚假、隐瞒情况者，经招标监督部门核实，其投标资格将被取消。</w:t>
      </w:r>
    </w:p>
    <w:p>
      <w:pPr>
        <w:adjustRightInd w:val="0"/>
        <w:spacing w:line="360" w:lineRule="auto"/>
        <w:textAlignment w:val="baseline"/>
        <w:rPr>
          <w:rFonts w:ascii="宋体" w:hAnsi="宋体"/>
          <w:color w:val="auto"/>
          <w:kern w:val="0"/>
          <w:szCs w:val="21"/>
        </w:rPr>
      </w:pPr>
      <w:r>
        <w:rPr>
          <w:rFonts w:ascii="宋体" w:hAnsi="宋体"/>
          <w:color w:val="auto"/>
          <w:kern w:val="0"/>
          <w:szCs w:val="21"/>
        </w:rPr>
        <w:t>4.2</w:t>
      </w:r>
      <w:r>
        <w:rPr>
          <w:rFonts w:hint="eastAsia" w:ascii="宋体" w:hAnsi="宋体"/>
          <w:color w:val="auto"/>
          <w:kern w:val="0"/>
          <w:szCs w:val="21"/>
        </w:rPr>
        <w:t>投标登记时间：</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4.2.1招标公告发布时间：2023年</w:t>
      </w:r>
      <w:r>
        <w:rPr>
          <w:rFonts w:hint="eastAsia" w:ascii="宋体" w:hAnsi="宋体"/>
          <w:color w:val="auto"/>
          <w:kern w:val="0"/>
          <w:szCs w:val="21"/>
          <w:u w:val="single"/>
          <w:lang w:val="en-US" w:eastAsia="zh-CN"/>
        </w:rPr>
        <w:t>5</w:t>
      </w:r>
      <w:r>
        <w:rPr>
          <w:rFonts w:hint="eastAsia" w:ascii="宋体" w:hAnsi="宋体"/>
          <w:color w:val="auto"/>
          <w:kern w:val="0"/>
          <w:szCs w:val="21"/>
        </w:rPr>
        <w:t>月</w:t>
      </w:r>
      <w:r>
        <w:rPr>
          <w:rFonts w:hint="eastAsia" w:ascii="宋体" w:hAnsi="宋体"/>
          <w:color w:val="auto"/>
          <w:kern w:val="0"/>
          <w:szCs w:val="21"/>
          <w:u w:val="single"/>
          <w:lang w:val="en-US" w:eastAsia="zh-CN"/>
        </w:rPr>
        <w:t>17</w:t>
      </w:r>
      <w:r>
        <w:rPr>
          <w:rFonts w:hint="eastAsia" w:ascii="宋体" w:hAnsi="宋体"/>
          <w:color w:val="auto"/>
          <w:kern w:val="0"/>
          <w:szCs w:val="21"/>
        </w:rPr>
        <w:t>日至2023年</w:t>
      </w:r>
      <w:r>
        <w:rPr>
          <w:rFonts w:hint="eastAsia" w:ascii="宋体" w:hAnsi="宋体"/>
          <w:color w:val="auto"/>
          <w:kern w:val="0"/>
          <w:szCs w:val="21"/>
          <w:u w:val="single"/>
          <w:lang w:val="en-US" w:eastAsia="zh-CN"/>
        </w:rPr>
        <w:t>5</w:t>
      </w:r>
      <w:r>
        <w:rPr>
          <w:rFonts w:hint="eastAsia" w:ascii="宋体" w:hAnsi="宋体"/>
          <w:color w:val="auto"/>
          <w:kern w:val="0"/>
          <w:szCs w:val="21"/>
        </w:rPr>
        <w:t>月</w:t>
      </w:r>
      <w:r>
        <w:rPr>
          <w:rFonts w:hint="eastAsia" w:ascii="宋体" w:hAnsi="宋体"/>
          <w:color w:val="auto"/>
          <w:kern w:val="0"/>
          <w:szCs w:val="21"/>
          <w:u w:val="single"/>
          <w:lang w:val="en-US" w:eastAsia="zh-CN"/>
        </w:rPr>
        <w:t>24</w:t>
      </w:r>
      <w:r>
        <w:rPr>
          <w:rFonts w:hint="eastAsia" w:ascii="宋体" w:hAnsi="宋体"/>
          <w:color w:val="auto"/>
          <w:kern w:val="0"/>
          <w:szCs w:val="21"/>
        </w:rPr>
        <w:t>日。</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4.2.2投标登记及递交投标登记资料时间：2023年</w:t>
      </w:r>
      <w:r>
        <w:rPr>
          <w:rFonts w:hint="eastAsia" w:ascii="宋体" w:hAnsi="宋体"/>
          <w:color w:val="auto"/>
          <w:kern w:val="0"/>
          <w:szCs w:val="21"/>
          <w:u w:val="single"/>
          <w:lang w:val="en-US" w:eastAsia="zh-CN"/>
        </w:rPr>
        <w:t>5</w:t>
      </w:r>
      <w:r>
        <w:rPr>
          <w:rFonts w:hint="eastAsia" w:ascii="宋体" w:hAnsi="宋体"/>
          <w:color w:val="auto"/>
          <w:kern w:val="0"/>
          <w:szCs w:val="21"/>
        </w:rPr>
        <w:t>月</w:t>
      </w:r>
      <w:r>
        <w:rPr>
          <w:rFonts w:hint="eastAsia" w:ascii="宋体" w:hAnsi="宋体"/>
          <w:color w:val="auto"/>
          <w:kern w:val="0"/>
          <w:szCs w:val="21"/>
          <w:u w:val="single"/>
          <w:lang w:val="en-US" w:eastAsia="zh-CN"/>
        </w:rPr>
        <w:t>18</w:t>
      </w:r>
      <w:r>
        <w:rPr>
          <w:rFonts w:hint="eastAsia" w:ascii="宋体" w:hAnsi="宋体"/>
          <w:color w:val="auto"/>
          <w:kern w:val="0"/>
          <w:szCs w:val="21"/>
        </w:rPr>
        <w:t>日至2023年</w:t>
      </w:r>
      <w:r>
        <w:rPr>
          <w:rFonts w:hint="eastAsia" w:ascii="宋体" w:hAnsi="宋体"/>
          <w:color w:val="auto"/>
          <w:kern w:val="0"/>
          <w:szCs w:val="21"/>
          <w:u w:val="single"/>
          <w:lang w:val="en-US" w:eastAsia="zh-CN"/>
        </w:rPr>
        <w:t>5</w:t>
      </w:r>
      <w:r>
        <w:rPr>
          <w:rFonts w:hint="eastAsia" w:ascii="宋体" w:hAnsi="宋体"/>
          <w:color w:val="auto"/>
          <w:kern w:val="0"/>
          <w:szCs w:val="21"/>
        </w:rPr>
        <w:t>月</w:t>
      </w:r>
      <w:r>
        <w:rPr>
          <w:rFonts w:hint="eastAsia" w:ascii="宋体" w:hAnsi="宋体"/>
          <w:color w:val="auto"/>
          <w:kern w:val="0"/>
          <w:szCs w:val="21"/>
          <w:u w:val="single"/>
          <w:lang w:val="en-US" w:eastAsia="zh-CN"/>
        </w:rPr>
        <w:t>24</w:t>
      </w:r>
      <w:r>
        <w:rPr>
          <w:rFonts w:hint="eastAsia" w:ascii="宋体" w:hAnsi="宋体"/>
          <w:color w:val="auto"/>
          <w:kern w:val="0"/>
          <w:szCs w:val="21"/>
        </w:rPr>
        <w:t>日，每天（法定公休日，法定节假日除外）9:30至11:30，14:00至16:00（北京时间）。</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4.2.3投标登记及递交投标登记资料形式：投标申请人将投标登记申请文件电子版发送到2467920974@qq.com邮箱中，并联系本项目经办人：王工18813358503、冯工13570109163办理登记。</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4.2.4经登记审核即可发售招标文件。</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4.3招标文件发售：</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4.3.1招标文件售价：</w:t>
      </w:r>
      <w:r>
        <w:rPr>
          <w:rFonts w:hint="eastAsia" w:ascii="宋体" w:hAnsi="宋体"/>
          <w:color w:val="auto"/>
          <w:kern w:val="0"/>
          <w:szCs w:val="21"/>
          <w:u w:val="single"/>
        </w:rPr>
        <w:t>1000</w:t>
      </w:r>
      <w:r>
        <w:rPr>
          <w:rFonts w:hint="eastAsia" w:ascii="宋体" w:hAnsi="宋体"/>
          <w:color w:val="auto"/>
          <w:kern w:val="0"/>
          <w:szCs w:val="21"/>
        </w:rPr>
        <w:t>元/套</w:t>
      </w:r>
      <w:r>
        <w:rPr>
          <w:rFonts w:ascii="宋体" w:hAnsi="宋体"/>
          <w:color w:val="auto"/>
          <w:kern w:val="0"/>
          <w:szCs w:val="21"/>
        </w:rPr>
        <w:t>（</w:t>
      </w:r>
      <w:r>
        <w:rPr>
          <w:rFonts w:hint="eastAsia" w:ascii="宋体" w:hAnsi="宋体"/>
          <w:color w:val="auto"/>
          <w:kern w:val="0"/>
          <w:szCs w:val="21"/>
        </w:rPr>
        <w:t>含</w:t>
      </w:r>
      <w:r>
        <w:rPr>
          <w:rFonts w:ascii="宋体" w:hAnsi="宋体"/>
          <w:color w:val="auto"/>
          <w:kern w:val="0"/>
          <w:szCs w:val="21"/>
        </w:rPr>
        <w:t>技术资料</w:t>
      </w:r>
      <w:r>
        <w:rPr>
          <w:rFonts w:hint="eastAsia" w:ascii="宋体" w:hAnsi="宋体"/>
          <w:color w:val="auto"/>
          <w:kern w:val="0"/>
          <w:szCs w:val="21"/>
        </w:rPr>
        <w:t>，售后不退</w:t>
      </w:r>
      <w:r>
        <w:rPr>
          <w:rFonts w:ascii="宋体" w:hAnsi="宋体"/>
          <w:color w:val="auto"/>
          <w:kern w:val="0"/>
          <w:szCs w:val="21"/>
        </w:rPr>
        <w:t>）</w:t>
      </w:r>
      <w:r>
        <w:rPr>
          <w:rFonts w:hint="eastAsia" w:ascii="宋体" w:hAnsi="宋体"/>
          <w:color w:val="auto"/>
          <w:kern w:val="0"/>
          <w:szCs w:val="21"/>
        </w:rPr>
        <w:t xml:space="preserve">。 </w:t>
      </w:r>
    </w:p>
    <w:p>
      <w:pPr>
        <w:adjustRightInd w:val="0"/>
        <w:spacing w:line="360" w:lineRule="auto"/>
        <w:textAlignment w:val="baseline"/>
        <w:rPr>
          <w:rFonts w:ascii="宋体" w:hAnsi="宋体"/>
          <w:color w:val="auto"/>
          <w:kern w:val="0"/>
          <w:szCs w:val="21"/>
        </w:rPr>
      </w:pPr>
      <w:r>
        <w:rPr>
          <w:rFonts w:hint="eastAsia" w:ascii="宋体" w:hAnsi="宋体"/>
          <w:color w:val="auto"/>
          <w:kern w:val="0"/>
          <w:szCs w:val="21"/>
        </w:rPr>
        <w:t>4.3.2发售时间：2023年</w:t>
      </w:r>
      <w:r>
        <w:rPr>
          <w:rFonts w:hint="eastAsia" w:ascii="宋体" w:hAnsi="宋体"/>
          <w:color w:val="auto"/>
          <w:kern w:val="0"/>
          <w:szCs w:val="21"/>
          <w:u w:val="single"/>
          <w:lang w:val="en-US" w:eastAsia="zh-CN"/>
        </w:rPr>
        <w:t>5</w:t>
      </w:r>
      <w:r>
        <w:rPr>
          <w:rFonts w:hint="eastAsia" w:ascii="宋体" w:hAnsi="宋体"/>
          <w:color w:val="auto"/>
          <w:kern w:val="0"/>
          <w:szCs w:val="21"/>
        </w:rPr>
        <w:t>月</w:t>
      </w:r>
      <w:r>
        <w:rPr>
          <w:rFonts w:hint="eastAsia" w:ascii="宋体" w:hAnsi="宋体"/>
          <w:color w:val="auto"/>
          <w:kern w:val="0"/>
          <w:szCs w:val="21"/>
          <w:u w:val="single"/>
          <w:lang w:val="en-US" w:eastAsia="zh-CN"/>
        </w:rPr>
        <w:t>18</w:t>
      </w:r>
      <w:r>
        <w:rPr>
          <w:rFonts w:hint="eastAsia" w:ascii="宋体" w:hAnsi="宋体"/>
          <w:color w:val="auto"/>
          <w:kern w:val="0"/>
          <w:szCs w:val="21"/>
        </w:rPr>
        <w:t>日至2023年</w:t>
      </w:r>
      <w:r>
        <w:rPr>
          <w:rFonts w:hint="eastAsia" w:ascii="宋体" w:hAnsi="宋体"/>
          <w:color w:val="auto"/>
          <w:kern w:val="0"/>
          <w:szCs w:val="21"/>
          <w:u w:val="single"/>
          <w:lang w:val="en-US" w:eastAsia="zh-CN"/>
        </w:rPr>
        <w:t>5</w:t>
      </w:r>
      <w:r>
        <w:rPr>
          <w:rFonts w:hint="eastAsia" w:ascii="宋体" w:hAnsi="宋体"/>
          <w:color w:val="auto"/>
          <w:kern w:val="0"/>
          <w:szCs w:val="21"/>
        </w:rPr>
        <w:t>月</w:t>
      </w:r>
      <w:r>
        <w:rPr>
          <w:rFonts w:hint="eastAsia" w:ascii="宋体" w:hAnsi="宋体"/>
          <w:color w:val="auto"/>
          <w:kern w:val="0"/>
          <w:szCs w:val="21"/>
          <w:u w:val="single"/>
          <w:lang w:val="en-US" w:eastAsia="zh-CN"/>
        </w:rPr>
        <w:t>24</w:t>
      </w:r>
      <w:r>
        <w:rPr>
          <w:rFonts w:hint="eastAsia" w:ascii="宋体" w:hAnsi="宋体"/>
          <w:color w:val="auto"/>
          <w:kern w:val="0"/>
          <w:szCs w:val="21"/>
        </w:rPr>
        <w:t>日。</w:t>
      </w:r>
    </w:p>
    <w:p>
      <w:pPr>
        <w:adjustRightInd w:val="0"/>
        <w:spacing w:line="360" w:lineRule="auto"/>
        <w:textAlignment w:val="baseline"/>
        <w:rPr>
          <w:rFonts w:ascii="宋体" w:hAnsi="宋体"/>
          <w:color w:val="auto"/>
          <w:kern w:val="0"/>
          <w:szCs w:val="21"/>
        </w:rPr>
      </w:pPr>
      <w:r>
        <w:rPr>
          <w:rFonts w:ascii="宋体" w:hAnsi="宋体"/>
          <w:color w:val="auto"/>
          <w:kern w:val="0"/>
          <w:szCs w:val="21"/>
        </w:rPr>
        <w:t>4.4</w:t>
      </w:r>
      <w:r>
        <w:rPr>
          <w:rFonts w:hint="eastAsia" w:ascii="宋体" w:hAnsi="宋体"/>
          <w:color w:val="auto"/>
          <w:kern w:val="0"/>
          <w:szCs w:val="21"/>
        </w:rPr>
        <w:t>投标登记注意事项：</w:t>
      </w:r>
    </w:p>
    <w:p>
      <w:pPr>
        <w:adjustRightInd w:val="0"/>
        <w:snapToGrid w:val="0"/>
        <w:spacing w:line="360" w:lineRule="auto"/>
        <w:jc w:val="left"/>
        <w:textAlignment w:val="baseline"/>
        <w:rPr>
          <w:rFonts w:ascii="宋体" w:hAnsi="宋体" w:cs="宋体"/>
          <w:bCs/>
          <w:color w:val="auto"/>
          <w:kern w:val="0"/>
          <w:szCs w:val="21"/>
        </w:rPr>
      </w:pPr>
      <w:r>
        <w:rPr>
          <w:rFonts w:ascii="宋体" w:hAnsi="宋体" w:cs="宋体"/>
          <w:bCs/>
          <w:color w:val="auto"/>
          <w:kern w:val="0"/>
          <w:szCs w:val="21"/>
        </w:rPr>
        <w:t>4</w:t>
      </w:r>
      <w:r>
        <w:rPr>
          <w:rFonts w:hint="eastAsia" w:ascii="宋体" w:hAnsi="宋体" w:cs="宋体"/>
          <w:bCs/>
          <w:color w:val="auto"/>
          <w:kern w:val="0"/>
          <w:szCs w:val="21"/>
        </w:rPr>
        <w:t>.</w:t>
      </w:r>
      <w:r>
        <w:rPr>
          <w:rFonts w:ascii="宋体" w:hAnsi="宋体" w:cs="宋体"/>
          <w:bCs/>
          <w:color w:val="auto"/>
          <w:kern w:val="0"/>
          <w:szCs w:val="21"/>
        </w:rPr>
        <w:t>4.</w:t>
      </w:r>
      <w:r>
        <w:rPr>
          <w:rFonts w:hint="eastAsia" w:ascii="宋体" w:hAnsi="宋体" w:cs="宋体"/>
          <w:bCs/>
          <w:color w:val="auto"/>
          <w:kern w:val="0"/>
          <w:szCs w:val="21"/>
        </w:rPr>
        <w:t>1本招标项目的登记申请文件格式可从广州公共资源交易中心网</w:t>
      </w:r>
      <w:r>
        <w:rPr>
          <w:rFonts w:hint="eastAsia" w:ascii="宋体" w:hAnsi="宋体" w:cs="宋体"/>
          <w:color w:val="auto"/>
          <w:kern w:val="0"/>
          <w:szCs w:val="21"/>
        </w:rPr>
        <w:t>（网址</w:t>
      </w:r>
      <w:r>
        <w:rPr>
          <w:rFonts w:ascii="宋体" w:hAnsi="宋体" w:cs="宋体"/>
          <w:color w:val="auto"/>
          <w:kern w:val="0"/>
          <w:szCs w:val="21"/>
        </w:rPr>
        <w:t>：http://</w:t>
      </w:r>
      <w:r>
        <w:rPr>
          <w:rFonts w:hint="eastAsia" w:ascii="宋体" w:hAnsi="宋体" w:cs="宋体"/>
          <w:color w:val="auto"/>
          <w:kern w:val="0"/>
          <w:szCs w:val="21"/>
        </w:rPr>
        <w:t>www.gzggzy.cn）</w:t>
      </w:r>
      <w:r>
        <w:rPr>
          <w:rFonts w:hint="eastAsia" w:ascii="宋体" w:hAnsi="宋体" w:cs="宋体"/>
          <w:bCs/>
          <w:color w:val="auto"/>
          <w:kern w:val="0"/>
          <w:szCs w:val="21"/>
        </w:rPr>
        <w:t>下载。</w:t>
      </w:r>
    </w:p>
    <w:p>
      <w:pPr>
        <w:adjustRightInd w:val="0"/>
        <w:snapToGrid w:val="0"/>
        <w:spacing w:line="360" w:lineRule="auto"/>
        <w:jc w:val="left"/>
        <w:textAlignment w:val="baseline"/>
        <w:rPr>
          <w:rFonts w:ascii="宋体" w:hAnsi="宋体" w:cs="宋体"/>
          <w:bCs/>
          <w:color w:val="auto"/>
          <w:kern w:val="0"/>
          <w:szCs w:val="21"/>
        </w:rPr>
      </w:pPr>
      <w:r>
        <w:rPr>
          <w:rFonts w:ascii="宋体" w:hAnsi="宋体" w:cs="宋体"/>
          <w:bCs/>
          <w:color w:val="auto"/>
          <w:kern w:val="0"/>
          <w:szCs w:val="21"/>
        </w:rPr>
        <w:t>4</w:t>
      </w:r>
      <w:r>
        <w:rPr>
          <w:rFonts w:hint="eastAsia" w:ascii="宋体" w:hAnsi="宋体" w:cs="宋体"/>
          <w:bCs/>
          <w:color w:val="auto"/>
          <w:kern w:val="0"/>
          <w:szCs w:val="21"/>
        </w:rPr>
        <w:t>.</w:t>
      </w:r>
      <w:r>
        <w:rPr>
          <w:rFonts w:ascii="宋体" w:hAnsi="宋体" w:cs="宋体"/>
          <w:bCs/>
          <w:color w:val="auto"/>
          <w:kern w:val="0"/>
          <w:szCs w:val="21"/>
        </w:rPr>
        <w:t>4.2</w:t>
      </w:r>
      <w:r>
        <w:rPr>
          <w:rFonts w:hint="eastAsia" w:ascii="宋体" w:hAnsi="宋体" w:cs="宋体"/>
          <w:bCs/>
          <w:color w:val="auto"/>
          <w:kern w:val="0"/>
          <w:szCs w:val="21"/>
        </w:rPr>
        <w:t>投标登记材料，请按照本公告后附的格式将扫描件整理成册，每页加盖单位公章。</w:t>
      </w:r>
    </w:p>
    <w:p>
      <w:pPr>
        <w:adjustRightInd w:val="0"/>
        <w:snapToGrid w:val="0"/>
        <w:spacing w:line="360" w:lineRule="auto"/>
        <w:jc w:val="left"/>
        <w:textAlignment w:val="baseline"/>
        <w:rPr>
          <w:rFonts w:hint="eastAsia" w:ascii="宋体" w:hAnsi="宋体" w:cs="宋体"/>
          <w:bCs/>
          <w:color w:val="auto"/>
          <w:kern w:val="0"/>
          <w:szCs w:val="21"/>
        </w:rPr>
      </w:pPr>
      <w:r>
        <w:rPr>
          <w:rFonts w:ascii="宋体" w:hAnsi="宋体" w:cs="宋体"/>
          <w:bCs/>
          <w:color w:val="auto"/>
          <w:kern w:val="0"/>
          <w:szCs w:val="21"/>
        </w:rPr>
        <w:t>4</w:t>
      </w:r>
      <w:r>
        <w:rPr>
          <w:rFonts w:hint="eastAsia" w:ascii="宋体" w:hAnsi="宋体" w:cs="宋体"/>
          <w:bCs/>
          <w:color w:val="auto"/>
          <w:kern w:val="0"/>
          <w:szCs w:val="21"/>
        </w:rPr>
        <w:t>.</w:t>
      </w:r>
      <w:r>
        <w:rPr>
          <w:rFonts w:ascii="宋体" w:hAnsi="宋体" w:cs="宋体"/>
          <w:bCs/>
          <w:color w:val="auto"/>
          <w:kern w:val="0"/>
          <w:szCs w:val="21"/>
        </w:rPr>
        <w:t>4.3</w:t>
      </w:r>
      <w:r>
        <w:rPr>
          <w:rFonts w:hint="eastAsia" w:ascii="宋体" w:hAnsi="宋体" w:cs="宋体"/>
          <w:bCs/>
          <w:color w:val="auto"/>
          <w:kern w:val="0"/>
          <w:szCs w:val="21"/>
        </w:rPr>
        <w:t>投标人必须在规定</w:t>
      </w:r>
      <w:r>
        <w:rPr>
          <w:rFonts w:ascii="宋体" w:hAnsi="宋体" w:cs="宋体"/>
          <w:bCs/>
          <w:color w:val="auto"/>
          <w:kern w:val="0"/>
          <w:szCs w:val="21"/>
        </w:rPr>
        <w:t>的</w:t>
      </w:r>
      <w:r>
        <w:rPr>
          <w:rFonts w:hint="eastAsia" w:ascii="宋体" w:hAnsi="宋体" w:cs="宋体"/>
          <w:bCs/>
          <w:color w:val="auto"/>
          <w:kern w:val="0"/>
          <w:szCs w:val="21"/>
        </w:rPr>
        <w:t>时间内办理投标登记及递交投标登记资料。</w:t>
      </w:r>
    </w:p>
    <w:p>
      <w:pPr>
        <w:pStyle w:val="4"/>
        <w:spacing w:before="120" w:after="120" w:line="360" w:lineRule="auto"/>
        <w:rPr>
          <w:rFonts w:ascii="Times New Roman" w:hAnsi="Times New Roman"/>
          <w:color w:val="auto"/>
        </w:rPr>
      </w:pPr>
      <w:bookmarkStart w:id="19" w:name="_Toc81772840"/>
      <w:bookmarkStart w:id="20" w:name="_Toc81859132"/>
      <w:bookmarkStart w:id="21" w:name="_Toc135150530"/>
      <w:r>
        <w:rPr>
          <w:rFonts w:ascii="Times New Roman" w:hAnsi="Times New Roman"/>
          <w:color w:val="auto"/>
        </w:rPr>
        <w:t xml:space="preserve">5. </w:t>
      </w:r>
      <w:r>
        <w:rPr>
          <w:rFonts w:hint="eastAsia" w:ascii="Times New Roman" w:hAnsi="Times New Roman"/>
          <w:color w:val="auto"/>
        </w:rPr>
        <w:t>投标文件的递交</w:t>
      </w:r>
      <w:bookmarkEnd w:id="19"/>
      <w:bookmarkEnd w:id="20"/>
      <w:bookmarkEnd w:id="21"/>
    </w:p>
    <w:p>
      <w:pPr>
        <w:snapToGrid w:val="0"/>
        <w:spacing w:line="360" w:lineRule="auto"/>
        <w:jc w:val="left"/>
        <w:rPr>
          <w:rFonts w:ascii="宋体" w:hAnsi="宋体" w:cs="宋体"/>
          <w:bCs/>
          <w:color w:val="auto"/>
          <w:szCs w:val="21"/>
        </w:rPr>
      </w:pPr>
      <w:bookmarkStart w:id="22" w:name="_Toc81772841"/>
      <w:bookmarkStart w:id="23" w:name="_Toc81859133"/>
      <w:r>
        <w:rPr>
          <w:rFonts w:ascii="宋体" w:hAnsi="宋体" w:cs="宋体"/>
          <w:bCs/>
          <w:color w:val="auto"/>
          <w:szCs w:val="21"/>
        </w:rPr>
        <w:t>5.1投标文件递交的截止时间</w:t>
      </w:r>
      <w:r>
        <w:rPr>
          <w:rFonts w:hint="eastAsia" w:ascii="宋体" w:hAnsi="宋体" w:cs="宋体"/>
          <w:bCs/>
          <w:color w:val="auto"/>
          <w:szCs w:val="21"/>
        </w:rPr>
        <w:t>和开标时间为</w:t>
      </w:r>
      <w:r>
        <w:rPr>
          <w:rFonts w:hint="eastAsia" w:ascii="宋体" w:hAnsi="宋体"/>
          <w:bCs/>
          <w:color w:val="auto"/>
          <w:szCs w:val="21"/>
        </w:rPr>
        <w:t>2023年</w:t>
      </w:r>
      <w:r>
        <w:rPr>
          <w:rFonts w:hint="eastAsia" w:ascii="宋体" w:hAnsi="宋体"/>
          <w:bCs/>
          <w:color w:val="auto"/>
          <w:kern w:val="0"/>
          <w:szCs w:val="21"/>
          <w:u w:val="single"/>
          <w:lang w:val="en-US" w:eastAsia="zh-CN"/>
        </w:rPr>
        <w:t>6</w:t>
      </w:r>
      <w:r>
        <w:rPr>
          <w:rFonts w:hint="eastAsia" w:ascii="宋体" w:hAnsi="宋体"/>
          <w:bCs/>
          <w:color w:val="auto"/>
          <w:kern w:val="0"/>
          <w:szCs w:val="21"/>
        </w:rPr>
        <w:t>月</w:t>
      </w:r>
      <w:r>
        <w:rPr>
          <w:rFonts w:hint="eastAsia" w:ascii="宋体" w:hAnsi="宋体"/>
          <w:bCs/>
          <w:color w:val="auto"/>
          <w:kern w:val="0"/>
          <w:szCs w:val="21"/>
          <w:u w:val="single"/>
          <w:lang w:val="en-US" w:eastAsia="zh-CN"/>
        </w:rPr>
        <w:t>8</w:t>
      </w:r>
      <w:r>
        <w:rPr>
          <w:rFonts w:hint="eastAsia" w:ascii="宋体" w:hAnsi="宋体" w:eastAsia="宋体" w:cs="宋体"/>
          <w:bCs/>
          <w:color w:val="auto"/>
          <w:kern w:val="0"/>
          <w:szCs w:val="21"/>
        </w:rPr>
        <w:t>日</w:t>
      </w:r>
      <w:r>
        <w:rPr>
          <w:rFonts w:hint="eastAsia" w:ascii="宋体" w:hAnsi="宋体" w:eastAsia="宋体" w:cs="宋体"/>
          <w:color w:val="auto"/>
          <w:szCs w:val="21"/>
          <w:u w:val="single"/>
          <w:lang w:val="en-US" w:eastAsia="zh-CN"/>
        </w:rPr>
        <w:t>09</w:t>
      </w:r>
      <w:r>
        <w:rPr>
          <w:rFonts w:hint="eastAsia" w:ascii="宋体" w:hAnsi="宋体" w:eastAsia="宋体" w:cs="宋体"/>
          <w:color w:val="auto"/>
          <w:szCs w:val="21"/>
        </w:rPr>
        <w:t>时</w:t>
      </w:r>
      <w:r>
        <w:rPr>
          <w:rFonts w:hint="eastAsia" w:ascii="宋体" w:hAnsi="宋体" w:eastAsia="宋体" w:cs="宋体"/>
          <w:color w:val="auto"/>
          <w:szCs w:val="21"/>
          <w:u w:val="single"/>
          <w:lang w:val="en-US" w:eastAsia="zh-CN"/>
        </w:rPr>
        <w:t>00</w:t>
      </w:r>
      <w:r>
        <w:rPr>
          <w:rFonts w:hint="eastAsia" w:ascii="宋体" w:hAnsi="宋体" w:eastAsia="宋体" w:cs="宋体"/>
          <w:color w:val="auto"/>
          <w:szCs w:val="21"/>
        </w:rPr>
        <w:t>分</w:t>
      </w:r>
      <w:r>
        <w:rPr>
          <w:rFonts w:hint="eastAsia" w:ascii="宋体" w:hAnsi="宋体" w:cs="宋体"/>
          <w:bCs/>
          <w:color w:val="auto"/>
          <w:szCs w:val="21"/>
        </w:rPr>
        <w:t>（北京时间），地点：</w:t>
      </w:r>
      <w:r>
        <w:rPr>
          <w:rFonts w:hint="eastAsia" w:ascii="宋体" w:hAnsi="宋体" w:cs="宋体"/>
          <w:bCs/>
          <w:color w:val="auto"/>
          <w:szCs w:val="21"/>
          <w:u w:val="single"/>
        </w:rPr>
        <w:t>广州公共资源交易中心第</w:t>
      </w:r>
      <w:r>
        <w:rPr>
          <w:rFonts w:hint="eastAsia" w:ascii="宋体" w:hAnsi="宋体" w:cs="宋体"/>
          <w:bCs/>
          <w:color w:val="auto"/>
          <w:szCs w:val="21"/>
          <w:u w:val="single"/>
          <w:lang w:val="en-US" w:eastAsia="zh-CN"/>
        </w:rPr>
        <w:t>03</w:t>
      </w:r>
      <w:r>
        <w:rPr>
          <w:rFonts w:hint="eastAsia" w:ascii="宋体" w:hAnsi="宋体" w:cs="宋体"/>
          <w:bCs/>
          <w:color w:val="auto"/>
          <w:szCs w:val="21"/>
          <w:u w:val="single"/>
        </w:rPr>
        <w:t>开标室</w:t>
      </w:r>
      <w:r>
        <w:rPr>
          <w:color w:val="auto"/>
          <w:szCs w:val="21"/>
          <w:u w:val="single"/>
        </w:rPr>
        <w:t>（中心本部）</w:t>
      </w:r>
      <w:r>
        <w:rPr>
          <w:rFonts w:hint="eastAsia" w:ascii="宋体" w:hAnsi="宋体" w:cs="宋体"/>
          <w:bCs/>
          <w:color w:val="auto"/>
          <w:szCs w:val="21"/>
          <w:u w:val="single"/>
        </w:rPr>
        <w:t>（广东省广州市天河区天润路333号）</w:t>
      </w:r>
      <w:r>
        <w:rPr>
          <w:rFonts w:hint="eastAsia" w:ascii="宋体" w:hAnsi="宋体" w:cs="宋体"/>
          <w:bCs/>
          <w:color w:val="auto"/>
          <w:szCs w:val="21"/>
        </w:rPr>
        <w:t>。</w:t>
      </w:r>
    </w:p>
    <w:p>
      <w:pPr>
        <w:snapToGrid w:val="0"/>
        <w:spacing w:line="360" w:lineRule="auto"/>
        <w:jc w:val="left"/>
        <w:rPr>
          <w:rFonts w:ascii="宋体" w:hAnsi="宋体" w:cs="宋体"/>
          <w:bCs/>
          <w:color w:val="auto"/>
          <w:szCs w:val="21"/>
        </w:rPr>
      </w:pPr>
      <w:r>
        <w:rPr>
          <w:rFonts w:ascii="宋体" w:hAnsi="宋体" w:cs="宋体"/>
          <w:bCs/>
          <w:color w:val="auto"/>
          <w:szCs w:val="21"/>
        </w:rPr>
        <w:t>注：投标人可自行登录广州公共资源交易中心网站首页，点击“建设工程”专栏中的“项目查询（日程安排、答疑纪要）”，输入项目编号或项目名称即可查询，并请密切留意招标答疑中的相关信息。</w:t>
      </w:r>
    </w:p>
    <w:p>
      <w:pPr>
        <w:snapToGrid w:val="0"/>
        <w:spacing w:line="360" w:lineRule="auto"/>
        <w:jc w:val="left"/>
        <w:rPr>
          <w:rFonts w:ascii="宋体" w:hAnsi="宋体" w:cs="宋体"/>
          <w:bCs/>
          <w:color w:val="auto"/>
          <w:szCs w:val="21"/>
        </w:rPr>
      </w:pPr>
      <w:r>
        <w:rPr>
          <w:rFonts w:ascii="宋体" w:hAnsi="宋体" w:cs="宋体"/>
          <w:bCs/>
          <w:color w:val="auto"/>
          <w:szCs w:val="21"/>
        </w:rPr>
        <w:t>5.2逾期送达的或者未送达指定地点的投标文件，招标人不予受理。</w:t>
      </w:r>
    </w:p>
    <w:p>
      <w:pPr>
        <w:pStyle w:val="4"/>
        <w:spacing w:before="120" w:after="120" w:line="360" w:lineRule="auto"/>
        <w:rPr>
          <w:rFonts w:ascii="Times New Roman" w:hAnsi="Times New Roman"/>
          <w:color w:val="auto"/>
        </w:rPr>
      </w:pPr>
      <w:bookmarkStart w:id="24" w:name="_Toc135150531"/>
      <w:r>
        <w:rPr>
          <w:rFonts w:ascii="Times New Roman" w:hAnsi="Times New Roman"/>
          <w:color w:val="auto"/>
        </w:rPr>
        <w:t xml:space="preserve">6. </w:t>
      </w:r>
      <w:r>
        <w:rPr>
          <w:rFonts w:hint="eastAsia" w:ascii="Times New Roman" w:hAnsi="Times New Roman"/>
          <w:color w:val="auto"/>
        </w:rPr>
        <w:t>发布公告的媒介</w:t>
      </w:r>
      <w:bookmarkEnd w:id="22"/>
      <w:bookmarkEnd w:id="23"/>
      <w:bookmarkEnd w:id="24"/>
    </w:p>
    <w:p>
      <w:pPr>
        <w:widowControl/>
        <w:tabs>
          <w:tab w:val="left" w:pos="360"/>
        </w:tabs>
        <w:autoSpaceDE w:val="0"/>
        <w:autoSpaceDN w:val="0"/>
        <w:spacing w:line="360" w:lineRule="auto"/>
        <w:ind w:firstLine="420" w:firstLineChars="200"/>
        <w:jc w:val="left"/>
        <w:textAlignment w:val="bottom"/>
        <w:rPr>
          <w:rFonts w:ascii="宋体" w:hAnsi="宋体"/>
          <w:color w:val="auto"/>
          <w:szCs w:val="21"/>
        </w:rPr>
      </w:pPr>
      <w:bookmarkStart w:id="25" w:name="_Toc81859134"/>
      <w:bookmarkStart w:id="26" w:name="_Toc81772842"/>
      <w:r>
        <w:rPr>
          <w:rFonts w:ascii="宋体" w:hAnsi="宋体"/>
          <w:color w:val="auto"/>
          <w:szCs w:val="21"/>
        </w:rPr>
        <w:t>本次招标公告同时在</w:t>
      </w:r>
      <w:r>
        <w:rPr>
          <w:rFonts w:hint="eastAsia" w:ascii="宋体" w:hAnsi="宋体"/>
          <w:color w:val="auto"/>
          <w:szCs w:val="21"/>
        </w:rPr>
        <w:t>广州公共资源交易中心网（网址</w:t>
      </w:r>
      <w:r>
        <w:rPr>
          <w:rFonts w:ascii="宋体" w:hAnsi="宋体"/>
          <w:color w:val="auto"/>
          <w:szCs w:val="21"/>
        </w:rPr>
        <w:t>：http://</w:t>
      </w:r>
      <w:r>
        <w:rPr>
          <w:rFonts w:hint="eastAsia" w:ascii="宋体" w:hAnsi="宋体"/>
          <w:color w:val="auto"/>
          <w:szCs w:val="21"/>
        </w:rPr>
        <w:t>www.gzggzy.cn）、</w:t>
      </w:r>
      <w:r>
        <w:rPr>
          <w:rFonts w:ascii="宋体" w:hAnsi="宋体"/>
          <w:color w:val="auto"/>
          <w:szCs w:val="21"/>
        </w:rPr>
        <w:t>中国招标投标公共服务平台</w:t>
      </w:r>
      <w:r>
        <w:rPr>
          <w:rFonts w:hint="eastAsia" w:ascii="宋体" w:hAnsi="宋体"/>
          <w:color w:val="auto"/>
          <w:szCs w:val="21"/>
        </w:rPr>
        <w:t>（网址：</w:t>
      </w:r>
      <w:r>
        <w:rPr>
          <w:rFonts w:ascii="宋体" w:hAnsi="宋体"/>
          <w:color w:val="auto"/>
          <w:szCs w:val="21"/>
        </w:rPr>
        <w:t>http://www.cebpubservice.com</w:t>
      </w:r>
      <w:r>
        <w:rPr>
          <w:rFonts w:hint="eastAsia" w:ascii="宋体" w:hAnsi="宋体"/>
          <w:color w:val="auto"/>
          <w:szCs w:val="21"/>
        </w:rPr>
        <w:t>）、广东省招标投标监管网（网址：</w:t>
      </w:r>
      <w:r>
        <w:rPr>
          <w:rFonts w:ascii="宋体" w:hAnsi="宋体"/>
          <w:color w:val="auto"/>
          <w:szCs w:val="21"/>
        </w:rPr>
        <w:t>http://zbtb.gd.gov.cn</w:t>
      </w:r>
      <w:r>
        <w:rPr>
          <w:rFonts w:hint="eastAsia" w:ascii="宋体" w:hAnsi="宋体"/>
          <w:color w:val="auto"/>
          <w:szCs w:val="21"/>
        </w:rPr>
        <w:t>）和</w:t>
      </w:r>
      <w:r>
        <w:rPr>
          <w:rFonts w:hint="eastAsia"/>
          <w:color w:val="auto"/>
          <w:szCs w:val="21"/>
        </w:rPr>
        <w:t>“粤采易”阳光采购平台（</w:t>
      </w:r>
      <w:r>
        <w:rPr>
          <w:rFonts w:hint="eastAsia" w:ascii="宋体" w:hAnsi="宋体"/>
          <w:color w:val="auto"/>
          <w:szCs w:val="21"/>
        </w:rPr>
        <w:t>网址：</w:t>
      </w:r>
      <w:r>
        <w:rPr>
          <w:rFonts w:ascii="宋体" w:hAnsi="宋体"/>
          <w:color w:val="auto"/>
          <w:szCs w:val="21"/>
        </w:rPr>
        <w:t>https://www.gdycy.com/</w:t>
      </w:r>
      <w:r>
        <w:rPr>
          <w:rFonts w:hint="eastAsia" w:ascii="宋体" w:hAnsi="宋体"/>
          <w:color w:val="auto"/>
          <w:szCs w:val="21"/>
        </w:rPr>
        <w:t>）</w:t>
      </w:r>
      <w:r>
        <w:rPr>
          <w:rFonts w:ascii="宋体" w:hAnsi="宋体"/>
          <w:color w:val="auto"/>
          <w:szCs w:val="21"/>
        </w:rPr>
        <w:t>发布</w:t>
      </w:r>
      <w:r>
        <w:rPr>
          <w:rFonts w:hint="eastAsia" w:ascii="宋体" w:hAnsi="宋体"/>
          <w:color w:val="auto"/>
          <w:szCs w:val="21"/>
        </w:rPr>
        <w:t>。本公告在各媒体发布的文本如有不同之处，以在广州公共资源交易中心网发布的文本为准。</w:t>
      </w:r>
    </w:p>
    <w:p>
      <w:pPr>
        <w:pStyle w:val="4"/>
        <w:spacing w:before="120" w:after="120" w:line="360" w:lineRule="auto"/>
        <w:rPr>
          <w:rFonts w:ascii="Times New Roman" w:hAnsi="Times New Roman"/>
          <w:color w:val="auto"/>
        </w:rPr>
      </w:pPr>
      <w:bookmarkStart w:id="27" w:name="_Toc135150532"/>
      <w:r>
        <w:rPr>
          <w:rFonts w:ascii="Times New Roman" w:hAnsi="Times New Roman"/>
          <w:color w:val="auto"/>
        </w:rPr>
        <w:t xml:space="preserve">7. </w:t>
      </w:r>
      <w:r>
        <w:rPr>
          <w:rFonts w:hint="eastAsia" w:ascii="Times New Roman" w:hAnsi="Times New Roman"/>
          <w:color w:val="auto"/>
        </w:rPr>
        <w:t>联系方式</w:t>
      </w:r>
      <w:bookmarkEnd w:id="25"/>
      <w:bookmarkEnd w:id="26"/>
      <w:bookmarkEnd w:id="27"/>
    </w:p>
    <w:p>
      <w:pPr>
        <w:widowControl/>
        <w:tabs>
          <w:tab w:val="left" w:pos="360"/>
        </w:tabs>
        <w:autoSpaceDE w:val="0"/>
        <w:autoSpaceDN w:val="0"/>
        <w:spacing w:line="360" w:lineRule="auto"/>
        <w:jc w:val="left"/>
        <w:textAlignment w:val="bottom"/>
        <w:rPr>
          <w:rFonts w:ascii="宋体" w:hAnsi="宋体"/>
          <w:color w:val="auto"/>
          <w:szCs w:val="21"/>
        </w:rPr>
      </w:pPr>
      <w:bookmarkStart w:id="28" w:name="_Toc144974480"/>
      <w:bookmarkEnd w:id="28"/>
      <w:bookmarkStart w:id="29" w:name="_Toc247527535"/>
      <w:bookmarkEnd w:id="29"/>
      <w:bookmarkStart w:id="30" w:name="_Toc361508578"/>
      <w:bookmarkEnd w:id="30"/>
      <w:bookmarkStart w:id="31" w:name="_Toc19794"/>
      <w:bookmarkEnd w:id="31"/>
      <w:bookmarkStart w:id="32" w:name="_Toc247513948"/>
      <w:bookmarkEnd w:id="32"/>
      <w:bookmarkStart w:id="33" w:name="_Toc361508562"/>
      <w:bookmarkEnd w:id="33"/>
      <w:bookmarkStart w:id="34" w:name="_Toc30817"/>
      <w:bookmarkEnd w:id="34"/>
      <w:bookmarkStart w:id="35" w:name="_Toc369531509"/>
      <w:bookmarkEnd w:id="35"/>
      <w:bookmarkStart w:id="36" w:name="_Toc152042301"/>
      <w:bookmarkEnd w:id="36"/>
      <w:bookmarkStart w:id="37" w:name="_Toc144974493"/>
      <w:bookmarkEnd w:id="37"/>
      <w:bookmarkStart w:id="38" w:name="_Toc152045525"/>
      <w:bookmarkEnd w:id="38"/>
      <w:bookmarkStart w:id="39" w:name="_Toc300834930"/>
      <w:bookmarkEnd w:id="39"/>
      <w:bookmarkStart w:id="40" w:name="_Toc352691467"/>
      <w:bookmarkEnd w:id="40"/>
      <w:bookmarkStart w:id="41" w:name="_Toc247513934"/>
      <w:bookmarkEnd w:id="41"/>
      <w:bookmarkStart w:id="42" w:name="_Toc14865"/>
      <w:bookmarkEnd w:id="42"/>
      <w:bookmarkStart w:id="43" w:name="_Toc247527547"/>
      <w:bookmarkEnd w:id="43"/>
      <w:bookmarkStart w:id="44" w:name="_Toc369531511"/>
      <w:bookmarkEnd w:id="44"/>
      <w:bookmarkStart w:id="45" w:name="_Toc361508563"/>
      <w:bookmarkEnd w:id="45"/>
      <w:bookmarkStart w:id="46" w:name="_Toc152042289"/>
      <w:bookmarkEnd w:id="46"/>
      <w:bookmarkStart w:id="47" w:name="_Toc300834943"/>
      <w:bookmarkEnd w:id="47"/>
      <w:bookmarkStart w:id="48" w:name="_Toc300834929"/>
      <w:bookmarkEnd w:id="48"/>
      <w:bookmarkStart w:id="49" w:name="_Toc10785"/>
      <w:bookmarkEnd w:id="49"/>
      <w:bookmarkStart w:id="50" w:name="_Toc144974481"/>
      <w:bookmarkEnd w:id="50"/>
      <w:bookmarkStart w:id="51" w:name="_Toc247527536"/>
      <w:bookmarkEnd w:id="51"/>
      <w:bookmarkStart w:id="52" w:name="_Toc300834941"/>
      <w:bookmarkEnd w:id="52"/>
      <w:bookmarkStart w:id="53" w:name="_Toc384308203"/>
      <w:bookmarkEnd w:id="53"/>
      <w:bookmarkStart w:id="54" w:name="_Toc369531498"/>
      <w:bookmarkEnd w:id="54"/>
      <w:bookmarkStart w:id="55" w:name="_Toc369531495"/>
      <w:bookmarkEnd w:id="55"/>
      <w:bookmarkStart w:id="56" w:name="_Toc384308185"/>
      <w:bookmarkEnd w:id="56"/>
      <w:bookmarkStart w:id="57" w:name="_Toc361508560"/>
      <w:bookmarkEnd w:id="57"/>
      <w:bookmarkStart w:id="58" w:name="_Toc247527549"/>
      <w:bookmarkEnd w:id="58"/>
      <w:bookmarkStart w:id="59" w:name="_Toc152042299"/>
      <w:bookmarkEnd w:id="59"/>
      <w:bookmarkStart w:id="60" w:name="_Toc369531497"/>
      <w:bookmarkEnd w:id="60"/>
      <w:bookmarkStart w:id="61" w:name="_Toc300834927"/>
      <w:bookmarkEnd w:id="61"/>
      <w:bookmarkStart w:id="62" w:name="_Toc361508580"/>
      <w:bookmarkEnd w:id="62"/>
      <w:bookmarkStart w:id="63" w:name="_Toc144974491"/>
      <w:bookmarkEnd w:id="63"/>
      <w:bookmarkStart w:id="64" w:name="_Toc152042288"/>
      <w:bookmarkEnd w:id="64"/>
      <w:bookmarkStart w:id="65" w:name="_Toc17972"/>
      <w:bookmarkEnd w:id="65"/>
      <w:bookmarkStart w:id="66" w:name="_Toc352691453"/>
      <w:bookmarkEnd w:id="66"/>
      <w:bookmarkStart w:id="67" w:name="_Toc352691456"/>
      <w:bookmarkEnd w:id="67"/>
      <w:bookmarkStart w:id="68" w:name="_Toc384308205"/>
      <w:bookmarkEnd w:id="68"/>
      <w:bookmarkStart w:id="69" w:name="_Toc384308187"/>
      <w:bookmarkEnd w:id="69"/>
      <w:bookmarkStart w:id="70" w:name="_Toc352691455"/>
      <w:bookmarkEnd w:id="70"/>
      <w:bookmarkStart w:id="71" w:name="_Toc352691469"/>
      <w:bookmarkEnd w:id="71"/>
      <w:bookmarkStart w:id="72" w:name="_Toc152045513"/>
      <w:bookmarkEnd w:id="72"/>
      <w:bookmarkStart w:id="73" w:name="_Toc152045512"/>
      <w:bookmarkEnd w:id="73"/>
      <w:bookmarkStart w:id="74" w:name="_Toc384308188"/>
      <w:bookmarkEnd w:id="74"/>
      <w:bookmarkStart w:id="75" w:name="_Toc247513935"/>
      <w:bookmarkEnd w:id="75"/>
      <w:bookmarkStart w:id="76" w:name="_Toc152045523"/>
      <w:bookmarkEnd w:id="76"/>
      <w:bookmarkStart w:id="77" w:name="_Toc247513946"/>
      <w:bookmarkEnd w:id="77"/>
      <w:r>
        <w:rPr>
          <w:rFonts w:hint="eastAsia" w:ascii="宋体" w:hAnsi="宋体"/>
          <w:color w:val="auto"/>
          <w:szCs w:val="21"/>
        </w:rPr>
        <w:t>（1）招标代理机构项目联系人及方式：</w:t>
      </w:r>
    </w:p>
    <w:p>
      <w:pPr>
        <w:widowControl/>
        <w:tabs>
          <w:tab w:val="left" w:pos="360"/>
        </w:tabs>
        <w:autoSpaceDE w:val="0"/>
        <w:autoSpaceDN w:val="0"/>
        <w:spacing w:line="360" w:lineRule="auto"/>
        <w:ind w:firstLine="420" w:firstLineChars="200"/>
        <w:jc w:val="left"/>
        <w:textAlignment w:val="bottom"/>
        <w:rPr>
          <w:rFonts w:hint="eastAsia" w:ascii="宋体" w:hAnsi="宋体"/>
          <w:color w:val="auto"/>
          <w:szCs w:val="21"/>
        </w:rPr>
      </w:pPr>
      <w:r>
        <w:rPr>
          <w:rFonts w:hint="eastAsia" w:ascii="宋体" w:hAnsi="宋体"/>
          <w:color w:val="auto"/>
          <w:szCs w:val="21"/>
        </w:rPr>
        <w:t>名称：国信招标集团股份有限公司</w:t>
      </w:r>
    </w:p>
    <w:p>
      <w:pPr>
        <w:widowControl/>
        <w:tabs>
          <w:tab w:val="left" w:pos="360"/>
        </w:tabs>
        <w:autoSpaceDE w:val="0"/>
        <w:autoSpaceDN w:val="0"/>
        <w:spacing w:line="360" w:lineRule="auto"/>
        <w:ind w:firstLine="420" w:firstLineChars="200"/>
        <w:jc w:val="left"/>
        <w:textAlignment w:val="bottom"/>
        <w:rPr>
          <w:rFonts w:hint="eastAsia" w:ascii="宋体" w:hAnsi="宋体"/>
          <w:color w:val="auto"/>
          <w:szCs w:val="21"/>
        </w:rPr>
      </w:pPr>
      <w:r>
        <w:rPr>
          <w:rFonts w:hint="eastAsia" w:ascii="宋体" w:hAnsi="宋体"/>
          <w:color w:val="auto"/>
          <w:szCs w:val="21"/>
        </w:rPr>
        <w:t>执行机构：国信招标集团股份有限公司广东分公司</w:t>
      </w:r>
    </w:p>
    <w:p>
      <w:pPr>
        <w:widowControl/>
        <w:tabs>
          <w:tab w:val="left" w:pos="360"/>
        </w:tabs>
        <w:autoSpaceDE w:val="0"/>
        <w:autoSpaceDN w:val="0"/>
        <w:spacing w:line="360" w:lineRule="auto"/>
        <w:ind w:firstLine="420" w:firstLineChars="200"/>
        <w:jc w:val="left"/>
        <w:textAlignment w:val="bottom"/>
        <w:rPr>
          <w:rFonts w:hint="eastAsia" w:ascii="宋体" w:hAnsi="宋体"/>
          <w:color w:val="auto"/>
          <w:szCs w:val="21"/>
        </w:rPr>
      </w:pPr>
      <w:r>
        <w:rPr>
          <w:rFonts w:hint="eastAsia" w:ascii="宋体" w:hAnsi="宋体"/>
          <w:color w:val="auto"/>
          <w:szCs w:val="21"/>
        </w:rPr>
        <w:t>地址：广州市东风中路268号广州交易广场903室</w:t>
      </w:r>
    </w:p>
    <w:p>
      <w:pPr>
        <w:widowControl/>
        <w:tabs>
          <w:tab w:val="left" w:pos="360"/>
        </w:tabs>
        <w:autoSpaceDE w:val="0"/>
        <w:autoSpaceDN w:val="0"/>
        <w:spacing w:line="360" w:lineRule="auto"/>
        <w:ind w:firstLine="420" w:firstLineChars="200"/>
        <w:jc w:val="left"/>
        <w:textAlignment w:val="bottom"/>
        <w:rPr>
          <w:rFonts w:hint="eastAsia" w:ascii="宋体" w:hAnsi="宋体"/>
          <w:color w:val="auto"/>
          <w:szCs w:val="21"/>
        </w:rPr>
      </w:pPr>
      <w:r>
        <w:rPr>
          <w:rFonts w:hint="eastAsia" w:ascii="宋体" w:hAnsi="宋体"/>
          <w:color w:val="auto"/>
          <w:szCs w:val="21"/>
        </w:rPr>
        <w:t>传真：020-83183022</w:t>
      </w:r>
    </w:p>
    <w:p>
      <w:pPr>
        <w:widowControl/>
        <w:tabs>
          <w:tab w:val="left" w:pos="360"/>
        </w:tabs>
        <w:autoSpaceDE w:val="0"/>
        <w:autoSpaceDN w:val="0"/>
        <w:spacing w:line="360" w:lineRule="auto"/>
        <w:ind w:firstLine="420" w:firstLineChars="200"/>
        <w:jc w:val="left"/>
        <w:textAlignment w:val="bottom"/>
        <w:rPr>
          <w:rFonts w:hint="eastAsia" w:ascii="宋体" w:hAnsi="宋体"/>
          <w:color w:val="auto"/>
          <w:szCs w:val="21"/>
        </w:rPr>
      </w:pPr>
      <w:r>
        <w:rPr>
          <w:rFonts w:hint="eastAsia" w:ascii="宋体" w:hAnsi="宋体"/>
          <w:color w:val="auto"/>
          <w:szCs w:val="21"/>
        </w:rPr>
        <w:t>电话：020-83180883、</w:t>
      </w:r>
      <w:r>
        <w:rPr>
          <w:rFonts w:ascii="宋体" w:hAnsi="宋体"/>
          <w:color w:val="auto"/>
        </w:rPr>
        <w:t>18813358503、</w:t>
      </w:r>
      <w:r>
        <w:rPr>
          <w:rFonts w:hint="eastAsia" w:ascii="宋体" w:hAnsi="宋体"/>
          <w:color w:val="auto"/>
        </w:rPr>
        <w:t>1</w:t>
      </w:r>
      <w:r>
        <w:rPr>
          <w:rFonts w:ascii="宋体" w:hAnsi="宋体"/>
          <w:color w:val="auto"/>
        </w:rPr>
        <w:t>3570109163</w:t>
      </w:r>
    </w:p>
    <w:p>
      <w:pPr>
        <w:widowControl/>
        <w:tabs>
          <w:tab w:val="left" w:pos="360"/>
        </w:tabs>
        <w:autoSpaceDE w:val="0"/>
        <w:autoSpaceDN w:val="0"/>
        <w:spacing w:line="360" w:lineRule="auto"/>
        <w:ind w:firstLine="420" w:firstLineChars="200"/>
        <w:jc w:val="left"/>
        <w:textAlignment w:val="bottom"/>
        <w:rPr>
          <w:rFonts w:ascii="宋体" w:hAnsi="宋体"/>
          <w:color w:val="auto"/>
          <w:szCs w:val="21"/>
        </w:rPr>
      </w:pPr>
      <w:r>
        <w:rPr>
          <w:rFonts w:hint="eastAsia" w:ascii="宋体" w:hAnsi="宋体"/>
          <w:color w:val="auto"/>
          <w:szCs w:val="21"/>
        </w:rPr>
        <w:t>联系人：王工、冯工</w:t>
      </w:r>
    </w:p>
    <w:p>
      <w:pPr>
        <w:widowControl/>
        <w:tabs>
          <w:tab w:val="left" w:pos="360"/>
        </w:tabs>
        <w:autoSpaceDE w:val="0"/>
        <w:autoSpaceDN w:val="0"/>
        <w:spacing w:line="360" w:lineRule="auto"/>
        <w:ind w:firstLine="420" w:firstLineChars="200"/>
        <w:jc w:val="left"/>
        <w:textAlignment w:val="bottom"/>
        <w:rPr>
          <w:rFonts w:hint="eastAsia" w:ascii="宋体" w:hAnsi="宋体"/>
          <w:color w:val="auto"/>
          <w:szCs w:val="21"/>
        </w:rPr>
      </w:pPr>
      <w:r>
        <w:rPr>
          <w:rFonts w:ascii="宋体" w:hAnsi="宋体"/>
          <w:color w:val="auto"/>
          <w:szCs w:val="21"/>
        </w:rPr>
        <w:t>电子邮箱：2467920974@qq.com</w:t>
      </w:r>
    </w:p>
    <w:p>
      <w:pPr>
        <w:widowControl/>
        <w:tabs>
          <w:tab w:val="left" w:pos="360"/>
        </w:tabs>
        <w:autoSpaceDE w:val="0"/>
        <w:autoSpaceDN w:val="0"/>
        <w:spacing w:line="360" w:lineRule="auto"/>
        <w:jc w:val="left"/>
        <w:textAlignment w:val="bottom"/>
        <w:rPr>
          <w:rFonts w:ascii="宋体" w:hAnsi="宋体"/>
          <w:color w:val="auto"/>
          <w:szCs w:val="21"/>
        </w:rPr>
      </w:pPr>
      <w:r>
        <w:rPr>
          <w:rFonts w:hint="eastAsia" w:ascii="宋体" w:hAnsi="宋体"/>
          <w:color w:val="auto"/>
          <w:szCs w:val="21"/>
        </w:rPr>
        <w:t>（2）招标人联系方式：</w:t>
      </w:r>
    </w:p>
    <w:p>
      <w:pPr>
        <w:spacing w:line="400" w:lineRule="exact"/>
        <w:ind w:firstLine="420" w:firstLineChars="200"/>
        <w:rPr>
          <w:rFonts w:hint="eastAsia"/>
          <w:color w:val="auto"/>
        </w:rPr>
      </w:pPr>
      <w:r>
        <w:rPr>
          <w:rFonts w:hint="eastAsia"/>
          <w:color w:val="auto"/>
        </w:rPr>
        <w:t>名    称：广东能源青洲海上风电有限公司</w:t>
      </w:r>
    </w:p>
    <w:p>
      <w:pPr>
        <w:spacing w:line="400" w:lineRule="exact"/>
        <w:ind w:firstLine="420" w:firstLineChars="200"/>
        <w:rPr>
          <w:rFonts w:hint="eastAsia"/>
          <w:color w:val="auto"/>
        </w:rPr>
      </w:pPr>
      <w:r>
        <w:rPr>
          <w:rFonts w:hint="eastAsia"/>
          <w:color w:val="auto"/>
        </w:rPr>
        <w:t>地    址：广东省阳江市江城区新江北路12号嘉华财智大厦901室</w:t>
      </w:r>
    </w:p>
    <w:p>
      <w:pPr>
        <w:spacing w:line="400" w:lineRule="exact"/>
        <w:ind w:firstLine="420" w:firstLineChars="200"/>
        <w:rPr>
          <w:color w:val="auto"/>
        </w:rPr>
      </w:pPr>
      <w:r>
        <w:rPr>
          <w:rFonts w:hint="eastAsia"/>
          <w:color w:val="auto"/>
        </w:rPr>
        <w:t>联 系 人：邓工</w:t>
      </w:r>
    </w:p>
    <w:p>
      <w:pPr>
        <w:spacing w:line="400" w:lineRule="exact"/>
        <w:ind w:firstLine="420" w:firstLineChars="200"/>
        <w:rPr>
          <w:rFonts w:hint="eastAsia" w:ascii="宋体" w:hAnsi="宋体" w:cs="宋体"/>
          <w:color w:val="auto"/>
        </w:rPr>
      </w:pPr>
      <w:r>
        <w:rPr>
          <w:rFonts w:hint="eastAsia"/>
          <w:color w:val="auto"/>
        </w:rPr>
        <w:t>电    话</w:t>
      </w:r>
      <w:r>
        <w:rPr>
          <w:rFonts w:hint="eastAsia" w:ascii="宋体" w:hAnsi="宋体" w:cs="宋体"/>
          <w:color w:val="auto"/>
        </w:rPr>
        <w:t>：15627258224</w:t>
      </w:r>
    </w:p>
    <w:p>
      <w:pPr>
        <w:spacing w:line="400" w:lineRule="exact"/>
        <w:ind w:firstLine="420" w:firstLineChars="200"/>
        <w:rPr>
          <w:rFonts w:hint="eastAsia" w:ascii="宋体" w:hAnsi="宋体" w:cs="宋体"/>
          <w:color w:val="auto"/>
        </w:rPr>
      </w:pPr>
      <w:r>
        <w:rPr>
          <w:rFonts w:hint="eastAsia" w:ascii="宋体" w:hAnsi="宋体" w:cs="宋体"/>
          <w:color w:val="auto"/>
        </w:rPr>
        <w:t>传    真：0662-2338979</w:t>
      </w:r>
    </w:p>
    <w:p>
      <w:pPr>
        <w:snapToGrid w:val="0"/>
        <w:jc w:val="right"/>
        <w:rPr>
          <w:rFonts w:hint="eastAsia" w:ascii="宋体" w:hAnsi="宋体" w:cs="宋体"/>
          <w:bCs/>
          <w:color w:val="auto"/>
          <w:szCs w:val="21"/>
        </w:rPr>
      </w:pPr>
      <w:r>
        <w:rPr>
          <w:rFonts w:hint="eastAsia" w:ascii="宋体" w:hAnsi="宋体" w:cs="宋体"/>
          <w:bCs/>
          <w:color w:val="auto"/>
          <w:szCs w:val="21"/>
        </w:rPr>
        <w:t>广东能源青洲海上风电有限公司</w:t>
      </w:r>
    </w:p>
    <w:p>
      <w:pPr>
        <w:snapToGrid w:val="0"/>
        <w:jc w:val="right"/>
        <w:rPr>
          <w:rFonts w:ascii="宋体" w:hAnsi="宋体" w:cs="宋体"/>
          <w:bCs/>
          <w:color w:val="auto"/>
          <w:szCs w:val="21"/>
        </w:rPr>
      </w:pPr>
    </w:p>
    <w:p>
      <w:pPr>
        <w:snapToGrid w:val="0"/>
        <w:jc w:val="right"/>
        <w:rPr>
          <w:rFonts w:ascii="宋体" w:hAnsi="宋体" w:cs="宋体"/>
          <w:bCs/>
          <w:color w:val="auto"/>
          <w:szCs w:val="21"/>
        </w:rPr>
      </w:pPr>
      <w:r>
        <w:rPr>
          <w:rFonts w:hint="eastAsia" w:ascii="宋体" w:hAnsi="宋体" w:cs="宋体"/>
          <w:bCs/>
          <w:color w:val="auto"/>
          <w:szCs w:val="21"/>
        </w:rPr>
        <w:t>国信招标集团股份有限公司</w:t>
      </w:r>
    </w:p>
    <w:p>
      <w:pPr>
        <w:snapToGrid w:val="0"/>
        <w:jc w:val="right"/>
        <w:rPr>
          <w:rFonts w:ascii="宋体" w:hAnsi="宋体" w:cs="宋体"/>
          <w:bCs/>
          <w:color w:val="auto"/>
          <w:szCs w:val="21"/>
        </w:rPr>
      </w:pPr>
    </w:p>
    <w:p>
      <w:pPr>
        <w:wordWrap w:val="0"/>
        <w:snapToGrid w:val="0"/>
        <w:jc w:val="right"/>
        <w:rPr>
          <w:rFonts w:ascii="宋体" w:hAnsi="宋体" w:cs="宋体"/>
          <w:bCs/>
          <w:color w:val="auto"/>
          <w:szCs w:val="21"/>
        </w:rPr>
      </w:pPr>
      <w:r>
        <w:rPr>
          <w:rFonts w:hint="eastAsia" w:ascii="宋体" w:hAnsi="宋体" w:cs="宋体"/>
          <w:bCs/>
          <w:color w:val="auto"/>
          <w:szCs w:val="21"/>
        </w:rPr>
        <w:t>2023年</w:t>
      </w:r>
      <w:r>
        <w:rPr>
          <w:rFonts w:hint="eastAsia" w:ascii="宋体" w:hAnsi="宋体" w:cs="宋体"/>
          <w:bCs/>
          <w:color w:val="auto"/>
          <w:szCs w:val="21"/>
          <w:u w:val="single"/>
          <w:lang w:val="en-US" w:eastAsia="zh-CN"/>
        </w:rPr>
        <w:t>5</w:t>
      </w:r>
      <w:r>
        <w:rPr>
          <w:rFonts w:ascii="宋体" w:hAnsi="宋体" w:cs="宋体"/>
          <w:bCs/>
          <w:color w:val="auto"/>
          <w:szCs w:val="21"/>
        </w:rPr>
        <w:t>月</w:t>
      </w:r>
      <w:r>
        <w:rPr>
          <w:rFonts w:hint="eastAsia" w:ascii="宋体" w:hAnsi="宋体" w:cs="宋体"/>
          <w:bCs/>
          <w:color w:val="auto"/>
          <w:szCs w:val="21"/>
          <w:u w:val="single"/>
          <w:lang w:val="en-US" w:eastAsia="zh-CN"/>
        </w:rPr>
        <w:t>17</w:t>
      </w:r>
      <w:r>
        <w:rPr>
          <w:rFonts w:ascii="宋体" w:hAnsi="宋体" w:cs="宋体"/>
          <w:bCs/>
          <w:color w:val="auto"/>
          <w:szCs w:val="21"/>
        </w:rPr>
        <w:t>日</w:t>
      </w:r>
    </w:p>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CD2738"/>
    <w:multiLevelType w:val="multilevel"/>
    <w:tmpl w:val="1CCD2738"/>
    <w:lvl w:ilvl="0" w:tentative="0">
      <w:start w:val="1"/>
      <w:numFmt w:val="decimal"/>
      <w:lvlText w:val="（%1）"/>
      <w:lvlJc w:val="left"/>
      <w:pPr>
        <w:ind w:left="988" w:hanging="420"/>
      </w:pPr>
      <w:rPr>
        <w:rFonts w:hint="eastAsia"/>
        <w:b w:val="0"/>
        <w:color w:val="auto"/>
      </w:rPr>
    </w:lvl>
    <w:lvl w:ilvl="1" w:tentative="0">
      <w:start w:val="1"/>
      <w:numFmt w:val="decimal"/>
      <w:lvlText w:val="%2."/>
      <w:lvlJc w:val="left"/>
      <w:pPr>
        <w:ind w:left="1408" w:hanging="420"/>
      </w:pPr>
      <w:rPr>
        <w:rFonts w:hint="default"/>
      </w:r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1">
    <w:nsid w:val="292D4B4E"/>
    <w:multiLevelType w:val="singleLevel"/>
    <w:tmpl w:val="292D4B4E"/>
    <w:lvl w:ilvl="0" w:tentative="0">
      <w:start w:val="1"/>
      <w:numFmt w:val="decimal"/>
      <w:suff w:val="nothing"/>
      <w:lvlText w:val="%1、"/>
      <w:lvlJc w:val="left"/>
      <w:rPr>
        <w:rFonts w:hint="default"/>
        <w:highlight w:val="none"/>
      </w:rPr>
    </w:lvl>
  </w:abstractNum>
  <w:abstractNum w:abstractNumId="2">
    <w:nsid w:val="29EC6FB4"/>
    <w:multiLevelType w:val="multilevel"/>
    <w:tmpl w:val="29EC6FB4"/>
    <w:lvl w:ilvl="0" w:tentative="0">
      <w:start w:val="1"/>
      <w:numFmt w:val="decimal"/>
      <w:lvlText w:val="（%1）"/>
      <w:lvlJc w:val="left"/>
      <w:pPr>
        <w:ind w:left="988" w:hanging="420"/>
      </w:pPr>
      <w:rPr>
        <w:rFonts w:hint="eastAsia"/>
        <w:b w:val="0"/>
      </w:rPr>
    </w:lvl>
    <w:lvl w:ilvl="1" w:tentative="0">
      <w:start w:val="1"/>
      <w:numFmt w:val="decimal"/>
      <w:lvlText w:val="%2."/>
      <w:lvlJc w:val="left"/>
      <w:pPr>
        <w:ind w:left="1408" w:hanging="420"/>
      </w:pPr>
      <w:rPr>
        <w:rFonts w:hint="default"/>
      </w:r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iMmJjMGUyMDNhMGI0MjllZTc4OTE3ODRjOTBjMWQifQ=="/>
  </w:docVars>
  <w:rsids>
    <w:rsidRoot w:val="00000000"/>
    <w:rsid w:val="11B62100"/>
    <w:rsid w:val="364164F7"/>
    <w:rsid w:val="36C5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index 8"/>
    <w:basedOn w:val="1"/>
    <w:next w:val="1"/>
    <w:qFormat/>
    <w:uiPriority w:val="0"/>
    <w:pPr>
      <w:widowControl/>
      <w:spacing w:line="240" w:lineRule="atLeast"/>
      <w:ind w:left="1400" w:leftChars="1400"/>
    </w:pPr>
    <w:rPr>
      <w:rFonts w:ascii="Arial" w:hAnsi="Arial"/>
      <w:kern w:val="0"/>
      <w:szCs w:val="21"/>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2023-05-17T08:19:14Z</dcterms:created>
  <dc:creator>24679</dc:creator>
  <cp:lastModifiedBy>24679</cp:lastModifiedBy>
  <dcterms:modified xsi:type="dcterms:W3CDTF">2023-05-17T08:20:19Z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AAA72B40138F473687C1D886F09EC5B5_12</vt:lpwstr>
  </property>
</Properties>
</file>