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微软雅黑" w:hAnsi="微软雅黑" w:eastAsia="微软雅黑" w:cs="宋体"/>
          <w:color w:val="auto"/>
          <w:kern w:val="0"/>
          <w:sz w:val="24"/>
          <w:szCs w:val="24"/>
          <w:highlight w:val="none"/>
        </w:rPr>
      </w:pPr>
      <w:r>
        <w:rPr>
          <w:rFonts w:hint="eastAsia" w:ascii="宋体" w:hAnsi="宋体" w:eastAsia="宋体" w:cs="Calibri"/>
          <w:b/>
          <w:bCs/>
          <w:color w:val="auto"/>
          <w:kern w:val="0"/>
          <w:sz w:val="32"/>
          <w:szCs w:val="32"/>
          <w:highlight w:val="none"/>
          <w:lang w:eastAsia="zh-CN"/>
        </w:rPr>
        <w:t>广医大附属口腔医院荔湾院区黄沙大道39号维护维修项目施工</w:t>
      </w:r>
      <w:r>
        <w:rPr>
          <w:rFonts w:hint="eastAsia" w:ascii="宋体" w:hAnsi="宋体" w:eastAsia="宋体" w:cs="Calibri"/>
          <w:b/>
          <w:bCs/>
          <w:color w:val="auto"/>
          <w:kern w:val="0"/>
          <w:sz w:val="32"/>
          <w:szCs w:val="32"/>
          <w:highlight w:val="none"/>
        </w:rPr>
        <w:t>补充</w:t>
      </w:r>
      <w:r>
        <w:rPr>
          <w:rFonts w:hint="eastAsia" w:ascii="宋体" w:hAnsi="宋体" w:eastAsia="宋体" w:cs="宋体"/>
          <w:b/>
          <w:bCs/>
          <w:color w:val="auto"/>
          <w:kern w:val="0"/>
          <w:sz w:val="32"/>
          <w:szCs w:val="32"/>
          <w:highlight w:val="none"/>
        </w:rPr>
        <w:t>公告</w:t>
      </w:r>
    </w:p>
    <w:p>
      <w:pPr>
        <w:rPr>
          <w:color w:val="auto"/>
          <w:highlight w:val="none"/>
        </w:rPr>
      </w:pPr>
    </w:p>
    <w:p>
      <w:pPr>
        <w:widowControl/>
        <w:shd w:val="clear" w:color="auto" w:fill="FFFFFF"/>
        <w:spacing w:line="360" w:lineRule="atLeast"/>
        <w:ind w:firstLine="56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一、广医大附属口腔医院荔湾院区黄沙大道39号维护维修项目施工</w:t>
      </w:r>
      <w:r>
        <w:rPr>
          <w:rFonts w:hint="eastAsia" w:ascii="宋体" w:hAnsi="宋体" w:eastAsia="宋体" w:cs="宋体"/>
          <w:color w:val="auto"/>
          <w:kern w:val="0"/>
          <w:sz w:val="24"/>
          <w:szCs w:val="24"/>
          <w:highlight w:val="none"/>
        </w:rPr>
        <w:t>（项目编号：JG2023-2374），于202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日在广州公共资源交易中心网站发布招标公告，现对原招标公告、招标文件的相关内容调整如下：</w:t>
      </w:r>
    </w:p>
    <w:tbl>
      <w:tblPr>
        <w:tblStyle w:val="15"/>
        <w:tblW w:w="92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
        <w:gridCol w:w="1824"/>
        <w:gridCol w:w="3292"/>
        <w:gridCol w:w="32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default" w:cs="宋体" w:asciiTheme="minorEastAsia" w:hAnsiTheme="minorEastAsia" w:eastAsiaTheme="minorEastAsia"/>
                <w:b/>
                <w:color w:val="auto"/>
                <w:sz w:val="22"/>
                <w:szCs w:val="24"/>
                <w:highlight w:val="none"/>
                <w:lang w:val="en-US" w:eastAsia="zh-CN"/>
              </w:rPr>
            </w:pPr>
            <w:r>
              <w:rPr>
                <w:rFonts w:hint="eastAsia" w:cs="宋体" w:asciiTheme="minorEastAsia" w:hAnsiTheme="minorEastAsia"/>
                <w:b/>
                <w:color w:val="auto"/>
                <w:sz w:val="22"/>
                <w:szCs w:val="24"/>
                <w:highlight w:val="none"/>
                <w:lang w:val="en-US" w:eastAsia="zh-CN"/>
              </w:rPr>
              <w:t>序号</w:t>
            </w: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rFonts w:hint="default" w:cs="宋体" w:asciiTheme="minorEastAsia" w:hAnsiTheme="minorEastAsia" w:eastAsiaTheme="minorEastAsia"/>
                <w:b/>
                <w:color w:val="auto"/>
                <w:sz w:val="22"/>
                <w:szCs w:val="24"/>
                <w:highlight w:val="none"/>
                <w:lang w:val="en-US" w:eastAsia="zh-CN"/>
              </w:rPr>
            </w:pPr>
            <w:r>
              <w:rPr>
                <w:rFonts w:hint="eastAsia" w:cs="宋体" w:asciiTheme="minorEastAsia" w:hAnsiTheme="minorEastAsia"/>
                <w:b/>
                <w:color w:val="auto"/>
                <w:sz w:val="22"/>
                <w:szCs w:val="24"/>
                <w:highlight w:val="none"/>
                <w:lang w:val="en-US" w:eastAsia="zh-CN"/>
              </w:rPr>
              <w:t>条款号</w:t>
            </w:r>
          </w:p>
        </w:tc>
        <w:tc>
          <w:tcPr>
            <w:tcW w:w="3292"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b/>
                <w:color w:val="auto"/>
                <w:sz w:val="22"/>
                <w:szCs w:val="24"/>
                <w:highlight w:val="none"/>
              </w:rPr>
            </w:pPr>
            <w:r>
              <w:rPr>
                <w:rFonts w:hint="eastAsia" w:cs="宋体" w:asciiTheme="minorEastAsia" w:hAnsiTheme="minorEastAsia"/>
                <w:b/>
                <w:color w:val="auto"/>
                <w:sz w:val="22"/>
                <w:szCs w:val="24"/>
                <w:highlight w:val="none"/>
              </w:rPr>
              <w:t>原文</w:t>
            </w:r>
          </w:p>
        </w:tc>
        <w:tc>
          <w:tcPr>
            <w:tcW w:w="3292"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b/>
                <w:color w:val="auto"/>
                <w:sz w:val="22"/>
                <w:szCs w:val="24"/>
                <w:highlight w:val="none"/>
              </w:rPr>
            </w:pPr>
            <w:r>
              <w:rPr>
                <w:rFonts w:hint="eastAsia" w:cs="宋体" w:asciiTheme="minorEastAsia" w:hAnsiTheme="minorEastAsia"/>
                <w:b/>
                <w:color w:val="auto"/>
                <w:sz w:val="22"/>
                <w:szCs w:val="24"/>
                <w:highlight w:val="none"/>
              </w:rPr>
              <w:t>现文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auto"/>
                <w:sz w:val="22"/>
                <w:szCs w:val="24"/>
                <w:highlight w:val="none"/>
                <w:lang w:val="en-US" w:eastAsia="zh-CN"/>
              </w:rPr>
            </w:pPr>
            <w:r>
              <w:rPr>
                <w:rFonts w:hint="eastAsia" w:asciiTheme="minorEastAsia" w:hAnsiTheme="minorEastAsia"/>
                <w:color w:val="auto"/>
                <w:sz w:val="22"/>
                <w:szCs w:val="24"/>
                <w:highlight w:val="none"/>
                <w:lang w:val="en-US" w:eastAsia="zh-CN"/>
              </w:rPr>
              <w:t>1</w:t>
            </w: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default"/>
                <w:lang w:val="en-US" w:eastAsia="zh-CN"/>
              </w:rPr>
              <w:t>投标须知修改表</w:t>
            </w:r>
          </w:p>
          <w:p>
            <w:pPr>
              <w:pStyle w:val="12"/>
              <w:rPr>
                <w:rFonts w:hint="default"/>
                <w:lang w:val="en-US" w:eastAsia="zh-CN"/>
              </w:rPr>
            </w:pPr>
            <w:r>
              <w:rPr>
                <w:rFonts w:hint="default"/>
                <w:lang w:val="en-US" w:eastAsia="zh-CN"/>
              </w:rPr>
              <w:t xml:space="preserve">条款号：11.2 </w:t>
            </w:r>
          </w:p>
        </w:tc>
        <w:tc>
          <w:tcPr>
            <w:tcW w:w="3292" w:type="dxa"/>
            <w:tcBorders>
              <w:top w:val="single" w:color="auto" w:sz="4" w:space="0"/>
              <w:left w:val="single" w:color="auto" w:sz="4" w:space="0"/>
              <w:bottom w:val="single" w:color="auto" w:sz="4" w:space="0"/>
              <w:right w:val="single" w:color="auto" w:sz="4" w:space="0"/>
            </w:tcBorders>
            <w:vAlign w:val="center"/>
          </w:tcPr>
          <w:p>
            <w:pPr>
              <w:pBdr>
                <w:bottom w:val="single" w:color="auto" w:sz="6" w:space="1"/>
              </w:pBdr>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11.2 投标文件技术标部分（含资格审查文件）主要包括下列内容：</w:t>
            </w:r>
          </w:p>
          <w:p>
            <w:pPr>
              <w:pBdr>
                <w:bottom w:val="single" w:color="auto" w:sz="6" w:space="1"/>
              </w:pBdr>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11.2.1技术投标文件</w:t>
            </w:r>
            <w:r>
              <w:rPr>
                <w:rFonts w:hint="eastAsia" w:ascii="宋体" w:hAnsi="宋体" w:cs="宋体"/>
                <w:b w:val="0"/>
                <w:bCs/>
                <w:szCs w:val="21"/>
                <w:highlight w:val="none"/>
                <w:lang w:eastAsia="zh-CN"/>
              </w:rPr>
              <w:t>（</w:t>
            </w:r>
            <w:r>
              <w:rPr>
                <w:rFonts w:hint="eastAsia" w:ascii="宋体" w:hAnsi="宋体" w:cs="宋体"/>
                <w:b w:val="0"/>
                <w:bCs/>
                <w:szCs w:val="21"/>
                <w:highlight w:val="none"/>
              </w:rPr>
              <w:t>按招标文件的要求填写</w:t>
            </w:r>
            <w:r>
              <w:rPr>
                <w:rFonts w:hint="eastAsia" w:ascii="宋体" w:hAnsi="宋体" w:cs="宋体"/>
                <w:b w:val="0"/>
                <w:bCs/>
                <w:szCs w:val="21"/>
                <w:highlight w:val="none"/>
                <w:lang w:eastAsia="zh-CN"/>
              </w:rPr>
              <w:t>）</w:t>
            </w:r>
          </w:p>
          <w:p>
            <w:pPr>
              <w:pBdr>
                <w:bottom w:val="single" w:color="auto" w:sz="6" w:space="1"/>
              </w:pBdr>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11.2.2 资格审查文件：</w:t>
            </w:r>
          </w:p>
          <w:p>
            <w:pPr>
              <w:pBdr>
                <w:bottom w:val="single" w:color="auto" w:sz="6" w:space="1"/>
              </w:pBdr>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 xml:space="preserve">（1）投标人声明（见招标公告附件一）； </w:t>
            </w:r>
          </w:p>
          <w:p>
            <w:pPr>
              <w:pBdr>
                <w:bottom w:val="single" w:color="auto" w:sz="6" w:space="1"/>
              </w:pBdr>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（2）法定代表人证明书、法定代表人签字或盖章的本投标文件授权委托证明书；</w:t>
            </w:r>
          </w:p>
          <w:p>
            <w:pPr>
              <w:pBdr>
                <w:bottom w:val="single" w:color="auto" w:sz="6" w:space="1"/>
              </w:pBdr>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3）企业营业执照（取自平台内上传件）。（提供在中华人民共和国境内注册的法人或其他组织的营业执照或事业单位法人证书或社会团体法人登记证书复印件。分支机构投标，须取得具有法人资格的总公司出具给分支机构的授权书，并提供总公司和分支机构的营业执照（执业许可证）复印件。取得代理权的单位，营业执照或事业单位法人证书或社会团体法人登记证书复印件外，还应提供相关业务代理委托书。）；</w:t>
            </w:r>
          </w:p>
          <w:p>
            <w:pPr>
              <w:pBdr>
                <w:bottom w:val="single" w:color="auto" w:sz="6" w:space="1"/>
              </w:pBdr>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（4）企业资质证书（取自平台内上传件）；</w:t>
            </w:r>
          </w:p>
          <w:p>
            <w:pPr>
              <w:pBdr>
                <w:bottom w:val="single" w:color="auto" w:sz="6" w:space="1"/>
              </w:pBdr>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（5）建筑施工企业安全生产许可证（取自平台内上传件）；</w:t>
            </w:r>
          </w:p>
          <w:p>
            <w:pPr>
              <w:pBdr>
                <w:bottom w:val="single" w:color="auto" w:sz="6" w:space="1"/>
              </w:pBdr>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（6）投标人与本标段前期准备提供设计或咨询服务，或者与本项目设计人，或者为本项目提供咨询服务的机构之间不存在附属关系或关联关系（提供声明函）。</w:t>
            </w:r>
          </w:p>
          <w:p>
            <w:pPr>
              <w:pBdr>
                <w:bottom w:val="single" w:color="auto" w:sz="6" w:space="1"/>
              </w:pBdr>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（7）项目负责人（按网上投标登记时选择拟投标的项目负责人）；</w:t>
            </w:r>
          </w:p>
          <w:p>
            <w:pPr>
              <w:pBdr>
                <w:bottom w:val="single" w:color="auto" w:sz="6" w:space="1"/>
              </w:pBdr>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（8）专职安全员（按网上投标登记时选择拟投标的专职安全员）；</w:t>
            </w:r>
          </w:p>
          <w:p>
            <w:pPr>
              <w:pBdr>
                <w:bottom w:val="single" w:color="auto" w:sz="6" w:space="1"/>
              </w:pBdr>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（9）拟委派技术负责人的职称证书扫描件；</w:t>
            </w:r>
          </w:p>
          <w:p>
            <w:pPr>
              <w:pBdr>
                <w:bottom w:val="single" w:color="auto" w:sz="6" w:space="1"/>
              </w:pBdr>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（10）拟委派项目负责人的</w:t>
            </w:r>
            <w:r>
              <w:rPr>
                <w:rFonts w:hint="eastAsia" w:ascii="宋体" w:hAnsi="宋体" w:cs="宋体"/>
                <w:b w:val="0"/>
                <w:bCs/>
                <w:szCs w:val="21"/>
                <w:highlight w:val="none"/>
                <w:lang w:val="en-US" w:eastAsia="zh-CN"/>
              </w:rPr>
              <w:t>二</w:t>
            </w:r>
            <w:r>
              <w:rPr>
                <w:rFonts w:hint="eastAsia" w:ascii="宋体" w:hAnsi="宋体" w:cs="宋体"/>
                <w:b w:val="0"/>
                <w:bCs/>
                <w:szCs w:val="21"/>
                <w:highlight w:val="none"/>
              </w:rPr>
              <w:t xml:space="preserve">级建造师注册证书（取自平台内上传件）； </w:t>
            </w:r>
          </w:p>
          <w:p>
            <w:pPr>
              <w:pBdr>
                <w:bottom w:val="single" w:color="auto" w:sz="6" w:space="1"/>
              </w:pBdr>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（11）项目负责人安全培训考核合格证（B类）或建筑施工企业项目负责人安全生产考核合格证书；（取自平台内上传件）；</w:t>
            </w:r>
          </w:p>
          <w:p>
            <w:pPr>
              <w:pBdr>
                <w:bottom w:val="single" w:color="auto" w:sz="6" w:space="1"/>
              </w:pBdr>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（12）专职安全员须配备两名，且均须具有在有效期内的安全生产考核合格证（C类）或建筑施工企业专职安全生产管理人员安全生产考核合格证书（C3）（取自平台内上传件）；</w:t>
            </w:r>
          </w:p>
          <w:p>
            <w:pPr>
              <w:pBdr>
                <w:bottom w:val="single" w:color="auto" w:sz="6" w:space="1"/>
              </w:pBdr>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（13）资格审查前，投标人须在广州市住房和城乡建设局建立企业信用档案，拟担任本工程项目负责人、专职安全员须是本企业信用档案中的在册人员；</w:t>
            </w:r>
          </w:p>
          <w:p>
            <w:pPr>
              <w:pBdr>
                <w:bottom w:val="single" w:color="auto" w:sz="6" w:space="1"/>
              </w:pBdr>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（14）投标人应具备的信誉条件及认为应提供的其他资料。</w:t>
            </w:r>
          </w:p>
          <w:p>
            <w:pPr>
              <w:jc w:val="center"/>
              <w:rPr>
                <w:rFonts w:hint="eastAsia" w:ascii="Times New Roman" w:hAnsi="Times New Roman" w:eastAsia="宋体"/>
                <w:color w:val="auto"/>
                <w:sz w:val="21"/>
                <w:szCs w:val="21"/>
                <w:highlight w:val="none"/>
                <w:lang w:eastAsia="zh-CN"/>
              </w:rPr>
            </w:pPr>
          </w:p>
        </w:tc>
        <w:tc>
          <w:tcPr>
            <w:tcW w:w="32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11.2 投标文件技术标部分（含资格审查文件）主要包括下列内容：</w:t>
            </w:r>
          </w:p>
          <w:p>
            <w:pPr>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11.2.1技术投标文件</w:t>
            </w:r>
            <w:r>
              <w:rPr>
                <w:rFonts w:hint="eastAsia" w:asciiTheme="minorEastAsia" w:hAnsi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按招标文件的要求填写</w:t>
            </w:r>
            <w:r>
              <w:rPr>
                <w:rFonts w:hint="eastAsia" w:asciiTheme="minorEastAsia" w:hAnsiTheme="minorEastAsia"/>
                <w:color w:val="auto"/>
                <w:sz w:val="21"/>
                <w:szCs w:val="21"/>
                <w:highlight w:val="none"/>
                <w:lang w:eastAsia="zh-CN"/>
              </w:rPr>
              <w:t>）</w:t>
            </w:r>
          </w:p>
          <w:p>
            <w:pPr>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11.2.2 资格审查文件：</w:t>
            </w:r>
          </w:p>
          <w:p>
            <w:pPr>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（1）投标人声明（见招标公告附件一）； </w:t>
            </w:r>
          </w:p>
          <w:p>
            <w:pPr>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（2）法定代表人证明书、法定代表人签字或盖章的本投标文件授权委托证明书；</w:t>
            </w:r>
          </w:p>
          <w:p>
            <w:pPr>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（3）企业营业执照（取自平台内上传件）。</w:t>
            </w:r>
          </w:p>
          <w:p>
            <w:pPr>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（4）企业资质证书（取自平台内上传件）；</w:t>
            </w:r>
          </w:p>
          <w:p>
            <w:pPr>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（5）建筑施工企业安全生产许可证（取自平台内上传件）；</w:t>
            </w:r>
          </w:p>
          <w:p>
            <w:pPr>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6</w:t>
            </w:r>
            <w:r>
              <w:rPr>
                <w:rFonts w:hint="eastAsia" w:asciiTheme="minorEastAsia" w:hAnsiTheme="minorEastAsia" w:eastAsiaTheme="minorEastAsia"/>
                <w:color w:val="auto"/>
                <w:sz w:val="21"/>
                <w:szCs w:val="21"/>
                <w:highlight w:val="none"/>
                <w:lang w:eastAsia="zh-CN"/>
              </w:rPr>
              <w:t>）项目负责人（按网上投标登记时选择拟投标的项目负责人）；</w:t>
            </w:r>
          </w:p>
          <w:p>
            <w:pPr>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7</w:t>
            </w:r>
            <w:r>
              <w:rPr>
                <w:rFonts w:hint="eastAsia" w:asciiTheme="minorEastAsia" w:hAnsiTheme="minorEastAsia" w:eastAsiaTheme="minorEastAsia"/>
                <w:color w:val="auto"/>
                <w:sz w:val="21"/>
                <w:szCs w:val="21"/>
                <w:highlight w:val="none"/>
                <w:lang w:eastAsia="zh-CN"/>
              </w:rPr>
              <w:t>）专职安全员（按网上投标登记时选择拟投标的专职安全员）；</w:t>
            </w:r>
          </w:p>
          <w:p>
            <w:pPr>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8</w:t>
            </w:r>
            <w:r>
              <w:rPr>
                <w:rFonts w:hint="eastAsia" w:asciiTheme="minorEastAsia" w:hAnsiTheme="minorEastAsia" w:eastAsiaTheme="minorEastAsia"/>
                <w:color w:val="auto"/>
                <w:sz w:val="21"/>
                <w:szCs w:val="21"/>
                <w:highlight w:val="none"/>
                <w:lang w:eastAsia="zh-CN"/>
              </w:rPr>
              <w:t>）拟委派技术负责人的职称证书扫描件；</w:t>
            </w:r>
          </w:p>
          <w:p>
            <w:pPr>
              <w:jc w:val="center"/>
              <w:rPr>
                <w:rFonts w:hint="eastAsia" w:asciiTheme="minorEastAsia" w:hAnsiTheme="minorEastAsia" w:eastAsiaTheme="minorEastAsia"/>
                <w:b/>
                <w:bCs/>
                <w:color w:val="auto"/>
                <w:sz w:val="21"/>
                <w:szCs w:val="21"/>
                <w:highlight w:val="none"/>
                <w:u w:val="single"/>
                <w:lang w:eastAsia="zh-CN"/>
              </w:rPr>
            </w:pPr>
            <w:r>
              <w:rPr>
                <w:rFonts w:hint="eastAsia" w:asciiTheme="minorEastAsia" w:hAnsiTheme="minorEastAsia" w:eastAsiaTheme="minorEastAsia"/>
                <w:b/>
                <w:bCs/>
                <w:color w:val="auto"/>
                <w:sz w:val="21"/>
                <w:szCs w:val="21"/>
                <w:highlight w:val="none"/>
                <w:u w:val="single"/>
                <w:lang w:eastAsia="zh-CN"/>
              </w:rPr>
              <w:t>（</w:t>
            </w:r>
            <w:r>
              <w:rPr>
                <w:rFonts w:hint="eastAsia" w:asciiTheme="minorEastAsia" w:hAnsiTheme="minorEastAsia" w:eastAsiaTheme="minorEastAsia"/>
                <w:b/>
                <w:bCs/>
                <w:color w:val="auto"/>
                <w:sz w:val="21"/>
                <w:szCs w:val="21"/>
                <w:highlight w:val="none"/>
                <w:u w:val="single"/>
                <w:lang w:val="en-US" w:eastAsia="zh-CN"/>
              </w:rPr>
              <w:t>9</w:t>
            </w:r>
            <w:r>
              <w:rPr>
                <w:rFonts w:hint="eastAsia" w:asciiTheme="minorEastAsia" w:hAnsiTheme="minorEastAsia" w:eastAsiaTheme="minorEastAsia"/>
                <w:b/>
                <w:bCs/>
                <w:color w:val="auto"/>
                <w:sz w:val="21"/>
                <w:szCs w:val="21"/>
                <w:highlight w:val="none"/>
                <w:u w:val="single"/>
                <w:lang w:eastAsia="zh-CN"/>
              </w:rPr>
              <w:t>）拟委派项目负责人的建造师注册证书（取自平台内上传件）；</w:t>
            </w:r>
          </w:p>
          <w:p>
            <w:pPr>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bCs/>
                <w:color w:val="auto"/>
                <w:sz w:val="21"/>
                <w:szCs w:val="21"/>
                <w:highlight w:val="none"/>
                <w:u w:val="single"/>
                <w:lang w:eastAsia="zh-CN"/>
              </w:rPr>
              <w:t>（注：打印建造师电子证书后，应在个人签名处手写本人签名再上传广州市住建行业信用平台，上传件未手写签名或与签名图像笔迹不一致的，该电子证书无效。）</w:t>
            </w:r>
            <w:r>
              <w:rPr>
                <w:rFonts w:hint="eastAsia" w:asciiTheme="minorEastAsia" w:hAnsiTheme="minorEastAsia" w:eastAsiaTheme="minorEastAsia"/>
                <w:color w:val="auto"/>
                <w:sz w:val="21"/>
                <w:szCs w:val="21"/>
                <w:highlight w:val="none"/>
                <w:lang w:eastAsia="zh-CN"/>
              </w:rPr>
              <w:t xml:space="preserve"> </w:t>
            </w:r>
          </w:p>
          <w:p>
            <w:pPr>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10</w:t>
            </w:r>
            <w:r>
              <w:rPr>
                <w:rFonts w:hint="eastAsia" w:asciiTheme="minorEastAsia" w:hAnsiTheme="minorEastAsia" w:eastAsiaTheme="minorEastAsia"/>
                <w:color w:val="auto"/>
                <w:sz w:val="21"/>
                <w:szCs w:val="21"/>
                <w:highlight w:val="none"/>
                <w:lang w:eastAsia="zh-CN"/>
              </w:rPr>
              <w:t>）项目负责人安全培训考核合格证（B类）或建筑施工企业项目负责人安全生产考核合格证书；（取自平台内上传件）；</w:t>
            </w:r>
          </w:p>
          <w:p>
            <w:pPr>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bCs/>
                <w:color w:val="auto"/>
                <w:sz w:val="21"/>
                <w:szCs w:val="21"/>
                <w:highlight w:val="none"/>
                <w:u w:val="single"/>
                <w:lang w:eastAsia="zh-CN"/>
              </w:rPr>
              <w:t>（1</w:t>
            </w:r>
            <w:r>
              <w:rPr>
                <w:rFonts w:hint="eastAsia" w:asciiTheme="minorEastAsia" w:hAnsiTheme="minorEastAsia" w:eastAsiaTheme="minorEastAsia"/>
                <w:b/>
                <w:bCs/>
                <w:color w:val="auto"/>
                <w:sz w:val="21"/>
                <w:szCs w:val="21"/>
                <w:highlight w:val="none"/>
                <w:u w:val="single"/>
                <w:lang w:val="en-US" w:eastAsia="zh-CN"/>
              </w:rPr>
              <w:t>1</w:t>
            </w:r>
            <w:r>
              <w:rPr>
                <w:rFonts w:hint="eastAsia" w:asciiTheme="minorEastAsia" w:hAnsiTheme="minorEastAsia" w:eastAsiaTheme="minorEastAsia"/>
                <w:b/>
                <w:bCs/>
                <w:color w:val="auto"/>
                <w:sz w:val="21"/>
                <w:szCs w:val="21"/>
                <w:highlight w:val="none"/>
                <w:u w:val="single"/>
                <w:lang w:eastAsia="zh-CN"/>
              </w:rPr>
              <w:t>）专职安全员须具有在有效期内的安全考核合格证书（C类）或建筑施工企业专职安全生产管理人员安全生产考核合格证书（C3）</w:t>
            </w:r>
            <w:r>
              <w:rPr>
                <w:rFonts w:hint="eastAsia" w:asciiTheme="minorEastAsia" w:hAnsiTheme="minorEastAsia" w:eastAsiaTheme="minorEastAsia"/>
                <w:color w:val="auto"/>
                <w:sz w:val="21"/>
                <w:szCs w:val="21"/>
                <w:highlight w:val="none"/>
                <w:lang w:eastAsia="zh-CN"/>
              </w:rPr>
              <w:t>（取自平台内上传件）；</w:t>
            </w:r>
          </w:p>
          <w:p>
            <w:pPr>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lang w:eastAsia="zh-CN"/>
              </w:rPr>
              <w:t>）资格审查前，投标人须在广州市住房和城乡建设局建立企业信用档案，拟担任本工程项目负责人、专职安全员须是本企业信用档案中的在册人员；</w:t>
            </w:r>
          </w:p>
          <w:p>
            <w:pPr>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lang w:val="en-US" w:eastAsia="zh-CN"/>
              </w:rPr>
              <w:t>3</w:t>
            </w:r>
            <w:r>
              <w:rPr>
                <w:rFonts w:hint="eastAsia" w:asciiTheme="minorEastAsia" w:hAnsiTheme="minorEastAsia" w:eastAsiaTheme="minorEastAsia"/>
                <w:color w:val="auto"/>
                <w:sz w:val="21"/>
                <w:szCs w:val="21"/>
                <w:highlight w:val="none"/>
                <w:lang w:eastAsia="zh-CN"/>
              </w:rPr>
              <w:t>）投标人应具备的信誉条件及认为应提供的其他资料。</w:t>
            </w:r>
          </w:p>
          <w:p>
            <w:pPr>
              <w:jc w:val="center"/>
              <w:rPr>
                <w:rFonts w:hint="eastAsia" w:asciiTheme="minorEastAsia" w:hAnsiTheme="minorEastAsia" w:eastAsiaTheme="minorEastAsia"/>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auto"/>
                <w:sz w:val="22"/>
                <w:szCs w:val="24"/>
                <w:highlight w:val="none"/>
                <w:lang w:val="en-US" w:eastAsia="zh-CN"/>
              </w:rPr>
            </w:pPr>
            <w:r>
              <w:rPr>
                <w:rFonts w:hint="eastAsia" w:asciiTheme="minorEastAsia" w:hAnsiTheme="minorEastAsia"/>
                <w:color w:val="auto"/>
                <w:sz w:val="22"/>
                <w:szCs w:val="24"/>
                <w:highlight w:val="none"/>
                <w:lang w:val="en-US" w:eastAsia="zh-CN"/>
              </w:rPr>
              <w:t>2</w:t>
            </w: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 w:val="22"/>
                <w:szCs w:val="24"/>
                <w:highlight w:val="none"/>
                <w:lang w:val="en-US" w:eastAsia="zh-CN"/>
              </w:rPr>
            </w:pPr>
            <w:r>
              <w:rPr>
                <w:rFonts w:hint="default" w:asciiTheme="minorEastAsia" w:hAnsiTheme="minorEastAsia" w:eastAsiaTheme="minorEastAsia"/>
                <w:color w:val="auto"/>
                <w:sz w:val="22"/>
                <w:szCs w:val="24"/>
                <w:highlight w:val="none"/>
                <w:lang w:val="en-US" w:eastAsia="zh-CN"/>
              </w:rPr>
              <w:t>资格审查表</w:t>
            </w:r>
          </w:p>
        </w:tc>
        <w:tc>
          <w:tcPr>
            <w:tcW w:w="3292" w:type="dxa"/>
            <w:tcBorders>
              <w:top w:val="single" w:color="auto" w:sz="4" w:space="0"/>
              <w:left w:val="single" w:color="auto" w:sz="4" w:space="0"/>
              <w:bottom w:val="single" w:color="auto" w:sz="4" w:space="0"/>
              <w:right w:val="single" w:color="auto" w:sz="4" w:space="0"/>
            </w:tcBorders>
            <w:vAlign w:val="center"/>
          </w:tcPr>
          <w:p>
            <w:pPr>
              <w:jc w:val="center"/>
              <w:rPr>
                <w:color w:val="auto"/>
                <w:sz w:val="22"/>
                <w:szCs w:val="24"/>
                <w:highlight w:val="none"/>
              </w:rPr>
            </w:pPr>
            <w:r>
              <w:rPr>
                <w:rFonts w:hint="eastAsia"/>
                <w:color w:val="auto"/>
                <w:sz w:val="22"/>
                <w:szCs w:val="24"/>
                <w:highlight w:val="none"/>
              </w:rPr>
              <w:t>原文详见原招标文件</w:t>
            </w:r>
          </w:p>
        </w:tc>
        <w:tc>
          <w:tcPr>
            <w:tcW w:w="32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auto"/>
                <w:sz w:val="22"/>
                <w:szCs w:val="24"/>
                <w:highlight w:val="none"/>
                <w:lang w:eastAsia="zh-CN"/>
              </w:rPr>
            </w:pPr>
            <w:r>
              <w:rPr>
                <w:rFonts w:hint="eastAsia" w:asciiTheme="minorEastAsia" w:hAnsiTheme="minorEastAsia"/>
                <w:color w:val="auto"/>
                <w:sz w:val="22"/>
                <w:szCs w:val="24"/>
                <w:highlight w:val="none"/>
              </w:rPr>
              <w:t>详见本补充公告附件</w:t>
            </w:r>
            <w:r>
              <w:rPr>
                <w:rFonts w:hint="eastAsia" w:asciiTheme="minorEastAsia" w:hAnsiTheme="minorEastAsia"/>
                <w:color w:val="auto"/>
                <w:sz w:val="22"/>
                <w:szCs w:val="24"/>
                <w:highlight w:val="none"/>
                <w:lang w:val="en-US" w:eastAsia="zh-CN"/>
              </w:rPr>
              <w:t>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color w:val="auto"/>
                <w:sz w:val="22"/>
                <w:szCs w:val="24"/>
                <w:highlight w:val="none"/>
                <w:lang w:val="en-US" w:eastAsia="zh-CN"/>
              </w:rPr>
            </w:pPr>
            <w:r>
              <w:rPr>
                <w:rFonts w:hint="eastAsia" w:asciiTheme="minorEastAsia" w:hAnsiTheme="minorEastAsia"/>
                <w:color w:val="auto"/>
                <w:sz w:val="22"/>
                <w:szCs w:val="24"/>
                <w:highlight w:val="none"/>
                <w:lang w:val="en-US" w:eastAsia="zh-CN"/>
              </w:rPr>
              <w:t>3</w:t>
            </w: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 w:val="22"/>
                <w:szCs w:val="24"/>
                <w:highlight w:val="none"/>
                <w:lang w:val="en-US" w:eastAsia="zh-CN"/>
              </w:rPr>
            </w:pPr>
            <w:r>
              <w:rPr>
                <w:rFonts w:hint="default" w:asciiTheme="minorEastAsia" w:hAnsiTheme="minorEastAsia" w:eastAsiaTheme="minorEastAsia"/>
                <w:color w:val="auto"/>
                <w:sz w:val="22"/>
                <w:szCs w:val="24"/>
                <w:highlight w:val="none"/>
                <w:lang w:val="en-US" w:eastAsia="zh-CN"/>
              </w:rPr>
              <w:t>技术标有效性审查表</w:t>
            </w:r>
          </w:p>
        </w:tc>
        <w:tc>
          <w:tcPr>
            <w:tcW w:w="3292"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2"/>
                <w:szCs w:val="24"/>
                <w:highlight w:val="none"/>
              </w:rPr>
            </w:pPr>
            <w:r>
              <w:rPr>
                <w:rFonts w:hint="eastAsia"/>
                <w:color w:val="auto"/>
                <w:sz w:val="22"/>
                <w:szCs w:val="24"/>
                <w:highlight w:val="none"/>
              </w:rPr>
              <w:t>原文详见原招标文件</w:t>
            </w:r>
          </w:p>
        </w:tc>
        <w:tc>
          <w:tcPr>
            <w:tcW w:w="32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auto"/>
                <w:sz w:val="22"/>
                <w:szCs w:val="24"/>
                <w:highlight w:val="none"/>
                <w:lang w:val="en-US" w:eastAsia="zh-CN"/>
              </w:rPr>
            </w:pPr>
            <w:r>
              <w:rPr>
                <w:rFonts w:hint="eastAsia" w:asciiTheme="minorEastAsia" w:hAnsiTheme="minorEastAsia"/>
                <w:color w:val="auto"/>
                <w:sz w:val="22"/>
                <w:szCs w:val="24"/>
                <w:highlight w:val="none"/>
              </w:rPr>
              <w:t>详见本补充公告附件</w:t>
            </w:r>
            <w:r>
              <w:rPr>
                <w:rFonts w:hint="eastAsia" w:asciiTheme="minorEastAsia" w:hAnsiTheme="minorEastAsia"/>
                <w:color w:val="auto"/>
                <w:sz w:val="22"/>
                <w:szCs w:val="24"/>
                <w:highlight w:val="none"/>
                <w:lang w:val="en-US" w:eastAsia="zh-CN"/>
              </w:rPr>
              <w:t>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color w:val="auto"/>
                <w:sz w:val="22"/>
                <w:szCs w:val="24"/>
                <w:highlight w:val="none"/>
                <w:lang w:val="en-US" w:eastAsia="zh-CN"/>
              </w:rPr>
            </w:pPr>
            <w:r>
              <w:rPr>
                <w:rFonts w:hint="eastAsia" w:asciiTheme="minorEastAsia" w:hAnsiTheme="minorEastAsia"/>
                <w:color w:val="auto"/>
                <w:sz w:val="22"/>
                <w:szCs w:val="24"/>
                <w:highlight w:val="none"/>
                <w:lang w:val="en-US" w:eastAsia="zh-CN"/>
              </w:rPr>
              <w:t>4</w:t>
            </w: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 w:val="22"/>
                <w:szCs w:val="24"/>
                <w:highlight w:val="none"/>
                <w:lang w:val="en-US" w:eastAsia="zh-CN"/>
              </w:rPr>
            </w:pPr>
            <w:r>
              <w:rPr>
                <w:rFonts w:hint="default" w:asciiTheme="minorEastAsia" w:hAnsiTheme="minorEastAsia" w:eastAsiaTheme="minorEastAsia"/>
                <w:color w:val="auto"/>
                <w:sz w:val="22"/>
                <w:szCs w:val="24"/>
                <w:highlight w:val="none"/>
                <w:lang w:val="en-US" w:eastAsia="zh-CN"/>
              </w:rPr>
              <w:t>经济标有效性审查表</w:t>
            </w:r>
          </w:p>
        </w:tc>
        <w:tc>
          <w:tcPr>
            <w:tcW w:w="3292"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2"/>
                <w:szCs w:val="24"/>
                <w:highlight w:val="none"/>
              </w:rPr>
            </w:pPr>
            <w:r>
              <w:rPr>
                <w:rFonts w:hint="eastAsia"/>
                <w:color w:val="auto"/>
                <w:sz w:val="22"/>
                <w:szCs w:val="24"/>
                <w:highlight w:val="none"/>
              </w:rPr>
              <w:t>原文详见原招标文件</w:t>
            </w:r>
          </w:p>
        </w:tc>
        <w:tc>
          <w:tcPr>
            <w:tcW w:w="32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auto"/>
                <w:sz w:val="22"/>
                <w:szCs w:val="24"/>
                <w:highlight w:val="none"/>
                <w:lang w:val="en-US" w:eastAsia="zh-CN"/>
              </w:rPr>
            </w:pPr>
            <w:r>
              <w:rPr>
                <w:rFonts w:hint="eastAsia" w:asciiTheme="minorEastAsia" w:hAnsiTheme="minorEastAsia"/>
                <w:color w:val="auto"/>
                <w:sz w:val="22"/>
                <w:szCs w:val="24"/>
                <w:highlight w:val="none"/>
              </w:rPr>
              <w:t>详见本补充公告附件</w:t>
            </w:r>
            <w:r>
              <w:rPr>
                <w:rFonts w:hint="eastAsia" w:asciiTheme="minorEastAsia" w:hAnsiTheme="minorEastAsia"/>
                <w:color w:val="auto"/>
                <w:sz w:val="22"/>
                <w:szCs w:val="24"/>
                <w:highlight w:val="none"/>
                <w:lang w:val="en-US" w:eastAsia="zh-CN"/>
              </w:rPr>
              <w:t>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color w:val="auto"/>
                <w:sz w:val="22"/>
                <w:szCs w:val="24"/>
                <w:highlight w:val="none"/>
                <w:lang w:val="en-US" w:eastAsia="zh-CN"/>
              </w:rPr>
            </w:pPr>
            <w:r>
              <w:rPr>
                <w:rFonts w:hint="eastAsia" w:asciiTheme="minorEastAsia" w:hAnsiTheme="minorEastAsia"/>
                <w:color w:val="auto"/>
                <w:sz w:val="22"/>
                <w:szCs w:val="24"/>
                <w:highlight w:val="none"/>
                <w:lang w:val="en-US" w:eastAsia="zh-CN"/>
              </w:rPr>
              <w:t>5</w:t>
            </w: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 w:val="22"/>
                <w:szCs w:val="24"/>
                <w:highlight w:val="none"/>
                <w:lang w:val="en-US" w:eastAsia="zh-CN"/>
              </w:rPr>
            </w:pPr>
            <w:r>
              <w:rPr>
                <w:rFonts w:hint="default" w:asciiTheme="minorEastAsia" w:hAnsiTheme="minorEastAsia" w:eastAsiaTheme="minorEastAsia"/>
                <w:color w:val="auto"/>
                <w:sz w:val="22"/>
                <w:szCs w:val="24"/>
                <w:highlight w:val="none"/>
                <w:lang w:val="en-US" w:eastAsia="zh-CN"/>
              </w:rPr>
              <w:t>技术标详细审查评分表</w:t>
            </w:r>
          </w:p>
          <w:p>
            <w:pPr>
              <w:jc w:val="center"/>
              <w:rPr>
                <w:rFonts w:hint="default" w:asciiTheme="minorEastAsia" w:hAnsiTheme="minorEastAsia" w:eastAsiaTheme="minorEastAsia"/>
                <w:color w:val="auto"/>
                <w:sz w:val="22"/>
                <w:szCs w:val="24"/>
                <w:highlight w:val="none"/>
                <w:lang w:val="en-US" w:eastAsia="zh-CN"/>
              </w:rPr>
            </w:pPr>
          </w:p>
        </w:tc>
        <w:tc>
          <w:tcPr>
            <w:tcW w:w="3292"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2"/>
                <w:szCs w:val="24"/>
                <w:highlight w:val="none"/>
              </w:rPr>
            </w:pPr>
            <w:r>
              <w:rPr>
                <w:rFonts w:hint="eastAsia"/>
                <w:color w:val="auto"/>
                <w:sz w:val="22"/>
                <w:szCs w:val="24"/>
                <w:highlight w:val="none"/>
              </w:rPr>
              <w:t>原文详见原招标文件</w:t>
            </w:r>
          </w:p>
        </w:tc>
        <w:tc>
          <w:tcPr>
            <w:tcW w:w="32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auto"/>
                <w:sz w:val="22"/>
                <w:szCs w:val="24"/>
                <w:highlight w:val="none"/>
                <w:lang w:val="en-US" w:eastAsia="zh-CN"/>
              </w:rPr>
            </w:pPr>
            <w:r>
              <w:rPr>
                <w:rFonts w:hint="eastAsia" w:asciiTheme="minorEastAsia" w:hAnsiTheme="minorEastAsia"/>
                <w:color w:val="auto"/>
                <w:sz w:val="22"/>
                <w:szCs w:val="24"/>
                <w:highlight w:val="none"/>
              </w:rPr>
              <w:t>详见本补充公告附件</w:t>
            </w:r>
            <w:r>
              <w:rPr>
                <w:rFonts w:hint="eastAsia" w:asciiTheme="minorEastAsia" w:hAnsiTheme="minorEastAsia"/>
                <w:color w:val="auto"/>
                <w:sz w:val="22"/>
                <w:szCs w:val="24"/>
                <w:highlight w:val="none"/>
                <w:lang w:val="en-US" w:eastAsia="zh-CN"/>
              </w:rPr>
              <w:t>四</w:t>
            </w:r>
          </w:p>
        </w:tc>
      </w:tr>
    </w:tbl>
    <w:p>
      <w:pPr>
        <w:numPr>
          <w:ilvl w:val="0"/>
          <w:numId w:val="0"/>
        </w:numPr>
        <w:snapToGrid w:val="0"/>
        <w:spacing w:line="360" w:lineRule="auto"/>
        <w:rPr>
          <w:rFonts w:hint="eastAsia" w:ascii="宋体" w:hAnsi="宋体" w:eastAsia="宋体" w:cs="宋体"/>
          <w:color w:val="auto"/>
          <w:kern w:val="0"/>
          <w:sz w:val="24"/>
          <w:szCs w:val="24"/>
          <w:highlight w:val="none"/>
          <w:lang w:eastAsia="zh-CN"/>
        </w:rPr>
      </w:pPr>
    </w:p>
    <w:p>
      <w:pPr>
        <w:rPr>
          <w:rFonts w:hint="eastAsia" w:ascii="宋体" w:hAnsi="宋体" w:eastAsia="宋体" w:cs="宋体"/>
          <w:color w:val="auto"/>
          <w:kern w:val="0"/>
          <w:sz w:val="24"/>
          <w:szCs w:val="24"/>
          <w:highlight w:val="none"/>
          <w:lang w:val="en-US" w:eastAsia="zh-CN"/>
        </w:rPr>
        <w:sectPr>
          <w:pgSz w:w="11906" w:h="16838"/>
          <w:pgMar w:top="1440" w:right="1800" w:bottom="1440" w:left="1800" w:header="851" w:footer="992" w:gutter="0"/>
          <w:cols w:space="425" w:num="1"/>
          <w:docGrid w:type="lines" w:linePitch="312" w:charSpace="0"/>
        </w:sectPr>
      </w:pPr>
    </w:p>
    <w:p>
      <w:pPr>
        <w:widowControl/>
        <w:numPr>
          <w:ilvl w:val="0"/>
          <w:numId w:val="1"/>
        </w:numPr>
        <w:shd w:val="clear" w:color="auto" w:fill="FFFFFF"/>
        <w:spacing w:line="360" w:lineRule="atLeas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原招标公告、招标文件内容与本补充公告内容不一致之处，以本补充公告为准，其他内容不变。</w:t>
      </w:r>
    </w:p>
    <w:p>
      <w:pPr>
        <w:widowControl/>
        <w:numPr>
          <w:ilvl w:val="0"/>
          <w:numId w:val="1"/>
        </w:numPr>
        <w:shd w:val="clear" w:color="auto" w:fill="FFFFFF"/>
        <w:spacing w:line="360" w:lineRule="atLeas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本项目最终开标等时间以交易中心日程安排为准。</w:t>
      </w:r>
    </w:p>
    <w:p>
      <w:pPr>
        <w:pStyle w:val="4"/>
        <w:numPr>
          <w:ilvl w:val="0"/>
          <w:numId w:val="0"/>
        </w:numPr>
        <w:rPr>
          <w:rFonts w:hint="eastAsia"/>
        </w:rPr>
      </w:pPr>
    </w:p>
    <w:p>
      <w:pPr>
        <w:widowControl/>
        <w:shd w:val="clear" w:color="auto" w:fill="FFFFFF"/>
        <w:ind w:left="210" w:firstLine="42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w:t>
      </w:r>
      <w:r>
        <w:rPr>
          <w:rFonts w:hint="eastAsia" w:ascii="宋体" w:hAnsi="宋体" w:eastAsia="宋体" w:cs="宋体"/>
          <w:color w:val="auto"/>
          <w:kern w:val="0"/>
          <w:sz w:val="24"/>
          <w:szCs w:val="24"/>
          <w:highlight w:val="none"/>
          <w:lang w:eastAsia="zh-CN"/>
        </w:rPr>
        <w:t>广州医科大学附属口腔医院</w:t>
      </w:r>
    </w:p>
    <w:p>
      <w:pPr>
        <w:widowControl/>
        <w:shd w:val="clear" w:color="auto" w:fill="FFFFFF"/>
        <w:ind w:left="210" w:firstLine="42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5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 xml:space="preserve"> 16</w:t>
      </w:r>
      <w:r>
        <w:rPr>
          <w:rFonts w:hint="eastAsia" w:ascii="宋体" w:hAnsi="宋体" w:eastAsia="宋体" w:cs="宋体"/>
          <w:color w:val="auto"/>
          <w:kern w:val="0"/>
          <w:sz w:val="24"/>
          <w:szCs w:val="24"/>
          <w:highlight w:val="none"/>
        </w:rPr>
        <w:t>日</w:t>
      </w:r>
    </w:p>
    <w:p>
      <w:pPr>
        <w:rPr>
          <w:color w:val="auto"/>
          <w:highlight w:val="none"/>
        </w:rPr>
      </w:pPr>
    </w:p>
    <w:p>
      <w:pPr>
        <w:rPr>
          <w:color w:val="auto"/>
          <w:highlight w:val="none"/>
        </w:rPr>
      </w:pPr>
    </w:p>
    <w:p>
      <w:pPr>
        <w:rPr>
          <w:rFonts w:hint="eastAsia" w:ascii="宋体" w:hAnsi="宋体" w:eastAsia="宋体" w:cs="宋体"/>
          <w:color w:val="auto"/>
          <w:kern w:val="0"/>
          <w:sz w:val="24"/>
          <w:szCs w:val="24"/>
          <w:highlight w:val="none"/>
          <w:lang w:val="en-US" w:eastAsia="zh-CN"/>
        </w:rPr>
        <w:sectPr>
          <w:pgSz w:w="11906" w:h="16838"/>
          <w:pgMar w:top="1440" w:right="1800" w:bottom="1440" w:left="1800" w:header="851" w:footer="992" w:gutter="0"/>
          <w:cols w:space="425" w:num="1"/>
          <w:docGrid w:type="lines" w:linePitch="312" w:charSpace="0"/>
        </w:sectPr>
      </w:pPr>
    </w:p>
    <w:p>
      <w:pPr>
        <w:widowControl/>
        <w:snapToGrid w:val="0"/>
        <w:ind w:right="102"/>
        <w:jc w:val="left"/>
        <w:rPr>
          <w:rFonts w:hint="default" w:ascii="宋体" w:hAnsi="宋体" w:cs="宋体" w:eastAsiaTheme="minorEastAsia"/>
          <w:b w:val="0"/>
          <w:bCs/>
          <w:sz w:val="18"/>
          <w:szCs w:val="18"/>
          <w:lang w:val="en-US" w:eastAsia="zh-CN"/>
        </w:rPr>
      </w:pPr>
      <w:r>
        <w:rPr>
          <w:rFonts w:hint="eastAsia" w:ascii="宋体" w:hAnsi="宋体" w:cs="宋体"/>
          <w:b w:val="0"/>
          <w:bCs/>
          <w:sz w:val="18"/>
          <w:szCs w:val="18"/>
          <w:lang w:val="en-US" w:eastAsia="zh-CN"/>
        </w:rPr>
        <w:t>附件一：</w:t>
      </w:r>
    </w:p>
    <w:p>
      <w:pPr>
        <w:widowControl/>
        <w:snapToGrid w:val="0"/>
        <w:ind w:right="102"/>
        <w:jc w:val="center"/>
        <w:rPr>
          <w:rFonts w:hint="eastAsia" w:ascii="宋体" w:hAnsi="宋体" w:cs="宋体"/>
          <w:b/>
          <w:sz w:val="28"/>
          <w:szCs w:val="28"/>
        </w:rPr>
      </w:pPr>
      <w:r>
        <w:rPr>
          <w:rFonts w:hint="eastAsia" w:ascii="宋体" w:hAnsi="宋体" w:cs="宋体"/>
          <w:b/>
          <w:sz w:val="28"/>
          <w:szCs w:val="28"/>
        </w:rPr>
        <w:t>资格审查表</w:t>
      </w:r>
    </w:p>
    <w:tbl>
      <w:tblPr>
        <w:tblStyle w:val="15"/>
        <w:tblW w:w="1488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237"/>
        <w:gridCol w:w="666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b/>
                <w:szCs w:val="21"/>
              </w:rPr>
            </w:pPr>
            <w:r>
              <w:rPr>
                <w:rFonts w:hint="eastAsia" w:ascii="宋体" w:hAnsi="宋体" w:cs="宋体"/>
                <w:b/>
                <w:szCs w:val="21"/>
              </w:rPr>
              <w:t>序号</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b/>
                <w:szCs w:val="21"/>
              </w:rPr>
            </w:pPr>
            <w:r>
              <w:rPr>
                <w:rFonts w:hint="eastAsia" w:ascii="宋体" w:hAnsi="宋体" w:cs="宋体"/>
                <w:b/>
                <w:szCs w:val="21"/>
              </w:rPr>
              <w:t>审查项目</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b/>
                <w:szCs w:val="21"/>
              </w:rPr>
            </w:pPr>
            <w:r>
              <w:rPr>
                <w:rFonts w:hint="eastAsia" w:ascii="宋体" w:hAnsi="宋体" w:cs="宋体"/>
                <w:b/>
                <w:szCs w:val="21"/>
              </w:rPr>
              <w:t>须审查的资料</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b/>
                <w:szCs w:val="21"/>
              </w:rPr>
            </w:pPr>
            <w:r>
              <w:rPr>
                <w:rFonts w:hint="eastAsia" w:ascii="宋体" w:hAnsi="宋体" w:cs="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ascii="宋体" w:hAnsi="宋体" w:cs="宋体"/>
                <w:sz w:val="18"/>
                <w:szCs w:val="18"/>
              </w:rPr>
              <w:t>1</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投标人参加投标的意思表达清楚，投标人代表被授权有效</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投标人声明、法定代表人证明书；委托投标的还应提供法人授权委托证明书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ascii="宋体" w:hAnsi="宋体" w:cs="宋体"/>
                <w:sz w:val="18"/>
                <w:szCs w:val="18"/>
              </w:rPr>
              <w:t>2</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投标人均具有独立法人资格，按国家法律经营</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营业执照在</w:t>
            </w:r>
            <w:r>
              <w:rPr>
                <w:rFonts w:hint="eastAsia" w:ascii="宋体" w:hAnsi="宋体" w:cs="宋体"/>
                <w:sz w:val="18"/>
                <w:szCs w:val="18"/>
                <w:u w:val="single"/>
              </w:rPr>
              <w:t>广州市住建行业信用管理平台</w:t>
            </w:r>
            <w:r>
              <w:rPr>
                <w:rFonts w:hint="eastAsia" w:ascii="宋体" w:hAnsi="宋体" w:cs="宋体"/>
                <w:sz w:val="18"/>
                <w:szCs w:val="18"/>
              </w:rPr>
              <w:t>内上传件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ascii="宋体" w:hAnsi="宋体" w:cs="宋体"/>
                <w:sz w:val="18"/>
                <w:szCs w:val="18"/>
              </w:rPr>
              <w:t>3</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投标人均持有建设行政主管部门颁发的企业资质证书及安全生产许可证；投标人资质符合公告要求</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pStyle w:val="3"/>
              <w:jc w:val="center"/>
              <w:rPr>
                <w:sz w:val="18"/>
                <w:szCs w:val="18"/>
              </w:rPr>
            </w:pPr>
            <w:r>
              <w:rPr>
                <w:rFonts w:hint="eastAsia"/>
                <w:sz w:val="18"/>
                <w:szCs w:val="18"/>
              </w:rPr>
              <w:t>资质证书及安全生产许可证在</w:t>
            </w:r>
            <w:r>
              <w:rPr>
                <w:rFonts w:hint="eastAsia" w:ascii="宋体" w:hAnsi="宋体" w:cs="宋体"/>
                <w:kern w:val="2"/>
                <w:sz w:val="18"/>
                <w:szCs w:val="18"/>
                <w:u w:val="single"/>
              </w:rPr>
              <w:t>广州市住建行业信用管理平台</w:t>
            </w:r>
            <w:r>
              <w:rPr>
                <w:rFonts w:hint="eastAsia"/>
                <w:sz w:val="18"/>
                <w:szCs w:val="18"/>
              </w:rPr>
              <w:t>内上传件；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ascii="宋体" w:hAnsi="宋体" w:cs="宋体"/>
                <w:sz w:val="18"/>
                <w:szCs w:val="18"/>
              </w:rPr>
              <w:t>4</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投标人拟担任本工程项目负责人符合公告要求</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pStyle w:val="3"/>
              <w:rPr>
                <w:rFonts w:hint="eastAsia"/>
                <w:sz w:val="18"/>
                <w:szCs w:val="18"/>
              </w:rPr>
            </w:pPr>
            <w:r>
              <w:rPr>
                <w:rFonts w:hint="eastAsia"/>
                <w:sz w:val="18"/>
                <w:szCs w:val="18"/>
              </w:rPr>
              <w:t>使用有效期内的注册建造师注册证书在广州市住建行业信用平台内上传件。</w:t>
            </w:r>
          </w:p>
          <w:p>
            <w:pPr>
              <w:pStyle w:val="3"/>
              <w:rPr>
                <w:rFonts w:hint="eastAsia"/>
                <w:sz w:val="18"/>
                <w:szCs w:val="18"/>
              </w:rPr>
            </w:pPr>
            <w:r>
              <w:rPr>
                <w:rFonts w:hint="eastAsia"/>
                <w:sz w:val="18"/>
                <w:szCs w:val="18"/>
              </w:rPr>
              <w:t>（注：打印建造师电子证书后，应在个人签名处手写本人签名再上传广州市住建行业信用平台，上传件未手写签名或与签名图像笔迹不一致的，该电子证书无效。）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ascii="宋体" w:hAnsi="宋体" w:cs="宋体"/>
                <w:sz w:val="18"/>
                <w:szCs w:val="18"/>
              </w:rPr>
              <w:t>5</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pStyle w:val="36"/>
              <w:ind w:firstLine="0" w:firstLineChars="0"/>
              <w:rPr>
                <w:rFonts w:hint="eastAsia"/>
              </w:rPr>
            </w:pPr>
            <w:r>
              <w:rPr>
                <w:rFonts w:hint="eastAsia" w:hAnsi="宋体" w:cs="宋体"/>
                <w:sz w:val="18"/>
                <w:szCs w:val="18"/>
              </w:rPr>
              <w:t>持有项目负责人安全</w:t>
            </w:r>
            <w:r>
              <w:rPr>
                <w:rFonts w:hint="eastAsia" w:hAnsi="宋体" w:cs="宋体"/>
                <w:sz w:val="18"/>
                <w:szCs w:val="18"/>
                <w:u w:val="single"/>
              </w:rPr>
              <w:t>生产</w:t>
            </w:r>
            <w:r>
              <w:rPr>
                <w:rFonts w:hint="eastAsia" w:hAnsi="宋体" w:cs="宋体"/>
                <w:sz w:val="18"/>
                <w:szCs w:val="18"/>
              </w:rPr>
              <w:t>考核合格证（B类）</w:t>
            </w:r>
            <w:r>
              <w:rPr>
                <w:rFonts w:hint="eastAsia" w:hAnsi="宋体" w:cs="宋体"/>
                <w:sz w:val="18"/>
                <w:szCs w:val="18"/>
                <w:u w:val="single"/>
              </w:rPr>
              <w:t>或建筑施工企业项目负责人安全生产考核合格证</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u w:val="single"/>
              </w:rPr>
            </w:pPr>
            <w:r>
              <w:rPr>
                <w:rFonts w:hint="eastAsia" w:ascii="宋体" w:hAnsi="宋体" w:cs="宋体"/>
                <w:sz w:val="18"/>
                <w:szCs w:val="18"/>
              </w:rPr>
              <w:t>项目负责人安全</w:t>
            </w:r>
            <w:r>
              <w:rPr>
                <w:rFonts w:hint="eastAsia" w:ascii="宋体" w:hAnsi="宋体" w:cs="宋体"/>
                <w:sz w:val="18"/>
                <w:szCs w:val="18"/>
                <w:u w:val="single"/>
              </w:rPr>
              <w:t>生产</w:t>
            </w:r>
            <w:r>
              <w:rPr>
                <w:rFonts w:hint="eastAsia" w:ascii="宋体" w:hAnsi="宋体" w:cs="宋体"/>
                <w:sz w:val="18"/>
                <w:szCs w:val="18"/>
              </w:rPr>
              <w:t>考核合格证（B类）</w:t>
            </w:r>
            <w:r>
              <w:rPr>
                <w:rFonts w:hint="eastAsia" w:ascii="宋体" w:hAnsi="宋体" w:cs="宋体"/>
                <w:sz w:val="18"/>
                <w:szCs w:val="18"/>
                <w:u w:val="single"/>
              </w:rPr>
              <w:t>或建筑施工企业项目负责人安全生产考核合格证在广州市住建行业信用管理平台内上传件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ascii="宋体" w:hAnsi="宋体" w:cs="宋体"/>
                <w:sz w:val="18"/>
                <w:szCs w:val="18"/>
              </w:rPr>
              <w:t>6</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投标人拟担任本工程技术负责人符合公告要求</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hint="default" w:ascii="宋体" w:hAnsi="宋体" w:cs="宋体" w:eastAsiaTheme="minorEastAsia"/>
                <w:sz w:val="18"/>
                <w:szCs w:val="18"/>
                <w:lang w:val="en-US" w:eastAsia="zh-CN"/>
              </w:rPr>
            </w:pPr>
            <w:r>
              <w:rPr>
                <w:rFonts w:hint="eastAsia" w:ascii="宋体" w:hAnsi="宋体" w:cs="宋体"/>
                <w:sz w:val="18"/>
                <w:szCs w:val="18"/>
                <w:highlight w:val="none"/>
              </w:rPr>
              <w:t>拟委托技术负责人的</w:t>
            </w:r>
            <w:r>
              <w:rPr>
                <w:rFonts w:hint="eastAsia" w:ascii="宋体" w:hAnsi="宋体" w:cs="宋体"/>
                <w:sz w:val="18"/>
                <w:szCs w:val="18"/>
                <w:highlight w:val="none"/>
                <w:lang w:val="en-US" w:eastAsia="zh-CN"/>
              </w:rPr>
              <w:t>职称证书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ascii="宋体" w:hAnsi="宋体" w:cs="宋体"/>
                <w:sz w:val="18"/>
                <w:szCs w:val="18"/>
              </w:rPr>
              <w:t>7</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专职安全员须具有安全生产考核合格证（C类）或建筑施工企业专职安全生产管理人员安全生产考核合格证</w:t>
            </w:r>
            <w:r>
              <w:rPr>
                <w:rFonts w:hint="eastAsia" w:ascii="宋体" w:hAnsi="宋体" w:cs="宋体"/>
                <w:sz w:val="18"/>
                <w:szCs w:val="18"/>
                <w:u w:val="single"/>
              </w:rPr>
              <w:t>（C3）</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专职安全员的安全生产考核合格证（C类）或</w:t>
            </w:r>
            <w:r>
              <w:rPr>
                <w:rFonts w:hint="eastAsia" w:ascii="宋体" w:hAnsi="宋体" w:cs="宋体"/>
                <w:sz w:val="18"/>
                <w:szCs w:val="18"/>
                <w:u w:val="single"/>
              </w:rPr>
              <w:t>建筑施工企业专职安全生产管理人员安全生产考核合格证（C3）在广州市住建行业信用管理平台内上传件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ascii="宋体" w:hAnsi="宋体" w:cs="宋体"/>
                <w:sz w:val="18"/>
                <w:szCs w:val="18"/>
              </w:rPr>
              <w:t>8</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投标人提供的投标人声明符合公告要求</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投标人声明</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ascii="宋体" w:hAnsi="宋体" w:cs="宋体"/>
                <w:sz w:val="18"/>
                <w:szCs w:val="18"/>
              </w:rPr>
              <w:t>9</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投标人声明中签字的项目负责人和技术负责人与本项目拟派的项目负责人和技术负责人一致</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网上投标时选择拟投标的项目负责人、资格审查文件中拟委派的技术负责人及投标人声明</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ascii="宋体" w:hAnsi="宋体" w:cs="宋体"/>
                <w:sz w:val="18"/>
                <w:szCs w:val="18"/>
              </w:rPr>
              <w:t>10</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s="宋体"/>
                <w:sz w:val="18"/>
                <w:szCs w:val="18"/>
              </w:rPr>
            </w:pPr>
            <w:r>
              <w:rPr>
                <w:rFonts w:hint="eastAsia" w:ascii="宋体" w:hAnsi="宋体" w:cs="宋体"/>
                <w:sz w:val="18"/>
                <w:szCs w:val="18"/>
                <w:lang w:val="en-US" w:eastAsia="zh-CN"/>
              </w:rPr>
              <w:t>本项目</w:t>
            </w:r>
            <w:r>
              <w:rPr>
                <w:rFonts w:ascii="宋体" w:hAnsi="宋体" w:cs="宋体"/>
                <w:sz w:val="18"/>
                <w:szCs w:val="18"/>
              </w:rPr>
              <w:t>不接受联合体投标</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s="宋体"/>
                <w:sz w:val="18"/>
                <w:szCs w:val="18"/>
              </w:rPr>
            </w:pPr>
            <w:r>
              <w:rPr>
                <w:rFonts w:ascii="宋体" w:hAnsi="宋体" w:cs="宋体"/>
                <w:sz w:val="18"/>
                <w:szCs w:val="18"/>
              </w:rPr>
              <w:t>投标人非联合体投标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ascii="宋体" w:hAnsi="宋体" w:cs="宋体"/>
                <w:sz w:val="18"/>
                <w:szCs w:val="18"/>
              </w:rPr>
              <w:t>11</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资格审查前，投标人须在</w:t>
            </w:r>
            <w:r>
              <w:rPr>
                <w:rFonts w:hint="eastAsia" w:ascii="宋体" w:hAnsi="宋体" w:cs="宋体"/>
                <w:sz w:val="18"/>
                <w:szCs w:val="18"/>
                <w:u w:val="single"/>
              </w:rPr>
              <w:t>广州市住房和城乡建设局建立企业信用档案</w:t>
            </w:r>
            <w:r>
              <w:rPr>
                <w:rFonts w:hint="eastAsia" w:ascii="宋体" w:hAnsi="宋体" w:cs="宋体"/>
                <w:sz w:val="18"/>
                <w:szCs w:val="18"/>
              </w:rPr>
              <w:t>及拟担任本工程项目负责人、专职安全员须是本企业中的在册人员</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投标人在</w:t>
            </w:r>
            <w:r>
              <w:rPr>
                <w:rFonts w:hint="eastAsia" w:ascii="宋体" w:hAnsi="宋体" w:cs="宋体"/>
                <w:sz w:val="18"/>
                <w:szCs w:val="18"/>
                <w:u w:val="single"/>
              </w:rPr>
              <w:t>广州市住建行业信用管理平台</w:t>
            </w:r>
            <w:r>
              <w:rPr>
                <w:rFonts w:hint="eastAsia" w:ascii="宋体" w:hAnsi="宋体" w:cs="宋体"/>
                <w:sz w:val="18"/>
                <w:szCs w:val="18"/>
              </w:rPr>
              <w:t>内</w:t>
            </w:r>
            <w:r>
              <w:rPr>
                <w:rFonts w:hint="eastAsia" w:ascii="宋体" w:hAnsi="宋体" w:cs="宋体"/>
                <w:sz w:val="18"/>
                <w:szCs w:val="18"/>
                <w:u w:val="single"/>
              </w:rPr>
              <w:t>企业信用档案</w:t>
            </w:r>
            <w:r>
              <w:rPr>
                <w:rFonts w:hint="eastAsia" w:ascii="宋体" w:hAnsi="宋体" w:cs="宋体"/>
                <w:sz w:val="18"/>
                <w:szCs w:val="18"/>
              </w:rPr>
              <w:t>的企业和人员信息</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ascii="宋体" w:hAnsi="宋体" w:cs="宋体"/>
                <w:sz w:val="18"/>
                <w:szCs w:val="18"/>
              </w:rPr>
              <w:t>12</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投标人未出现以下情形：与其它投标人的单位负责人为同一人或者存在控股、管理关系的（按投标人提供的《投标人声明》第</w:t>
            </w:r>
            <w:r>
              <w:rPr>
                <w:rFonts w:hint="eastAsia" w:ascii="宋体" w:hAnsi="宋体" w:cs="宋体"/>
                <w:sz w:val="18"/>
                <w:szCs w:val="18"/>
                <w:u w:val="single"/>
              </w:rPr>
              <w:t>八</w:t>
            </w:r>
            <w:r>
              <w:rPr>
                <w:rFonts w:hint="eastAsia" w:ascii="宋体" w:hAnsi="宋体" w:cs="宋体"/>
                <w:sz w:val="18"/>
                <w:szCs w:val="18"/>
              </w:rPr>
              <w:t>条内容进行评审）。</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投标人声明</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r>
              <w:rPr>
                <w:rFonts w:hint="eastAsia" w:ascii="宋体" w:hAnsi="宋体" w:cs="宋体"/>
                <w:sz w:val="18"/>
                <w:szCs w:val="18"/>
              </w:rPr>
              <w:t>13</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eastAsia"/>
                <w:sz w:val="18"/>
                <w:szCs w:val="18"/>
                <w:u w:val="single"/>
              </w:rPr>
            </w:pPr>
            <w:r>
              <w:rPr>
                <w:rFonts w:hint="eastAsia" w:ascii="宋体" w:hAnsi="宋体" w:cs="宋体"/>
                <w:kern w:val="2"/>
                <w:sz w:val="18"/>
                <w:szCs w:val="18"/>
                <w:u w:val="single"/>
              </w:rPr>
              <w:t>未被纳入失信联合惩戒名单且被限制参加财政投资工程或政府投资工程或建设工程投标的（具体名单以递交投标文件截止时间“信用广州”https://credit1.gz.gov.cn/sgs/sgsXkNew公布的“失信黑名单”为准）。</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 w:val="18"/>
                <w:szCs w:val="18"/>
                <w:u w:val="single"/>
              </w:rPr>
            </w:pPr>
            <w:r>
              <w:rPr>
                <w:rFonts w:hint="eastAsia" w:ascii="宋体" w:hAnsi="宋体" w:cs="宋体"/>
                <w:sz w:val="18"/>
                <w:szCs w:val="18"/>
                <w:u w:val="single"/>
              </w:rPr>
              <w:t>投标人无需提供资料，按交易系统比对的结果进行评审。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sz w:val="18"/>
                <w:szCs w:val="18"/>
              </w:rPr>
            </w:pPr>
          </w:p>
        </w:tc>
      </w:tr>
    </w:tbl>
    <w:p>
      <w:pPr>
        <w:ind w:firstLine="399" w:firstLineChars="222"/>
        <w:rPr>
          <w:rFonts w:hint="eastAsia" w:ascii="宋体" w:hAnsi="宋体" w:cs="宋体"/>
          <w:sz w:val="18"/>
          <w:szCs w:val="18"/>
        </w:rPr>
      </w:pPr>
      <w:r>
        <w:rPr>
          <w:rFonts w:hint="eastAsia" w:ascii="宋体" w:hAnsi="宋体" w:cs="宋体"/>
          <w:sz w:val="18"/>
          <w:szCs w:val="18"/>
        </w:rPr>
        <w:t xml:space="preserve">备注：1、每一项目符合的打“○”，不符合的打“×”； </w:t>
      </w:r>
    </w:p>
    <w:p>
      <w:pPr>
        <w:ind w:firstLine="900" w:firstLineChars="500"/>
        <w:rPr>
          <w:rFonts w:hint="eastAsia" w:ascii="宋体" w:hAnsi="宋体" w:cs="宋体"/>
          <w:sz w:val="18"/>
          <w:szCs w:val="18"/>
        </w:rPr>
      </w:pPr>
      <w:r>
        <w:rPr>
          <w:rFonts w:hint="eastAsia" w:ascii="宋体" w:hAnsi="宋体" w:cs="宋体"/>
          <w:sz w:val="18"/>
          <w:szCs w:val="18"/>
        </w:rPr>
        <w:t>2、若评委意见不一致时，则按少数服从多数的原则，作出评审结论。汇总后，出现一个“×”的结论为“不通过”。</w:t>
      </w:r>
    </w:p>
    <w:p>
      <w:pPr>
        <w:ind w:firstLine="904" w:firstLineChars="500"/>
        <w:rPr>
          <w:rFonts w:ascii="宋体" w:hAnsi="宋体" w:cs="宋体"/>
          <w:b/>
          <w:bCs w:val="0"/>
          <w:color w:val="auto"/>
          <w:sz w:val="18"/>
          <w:szCs w:val="18"/>
          <w:u w:val="single"/>
        </w:rPr>
      </w:pPr>
      <w:r>
        <w:rPr>
          <w:rFonts w:hint="eastAsia" w:ascii="宋体" w:hAnsi="宋体" w:cs="宋体"/>
          <w:b/>
          <w:bCs w:val="0"/>
          <w:color w:val="auto"/>
          <w:sz w:val="18"/>
          <w:szCs w:val="18"/>
          <w:u w:val="singl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pStyle w:val="3"/>
        <w:rPr>
          <w:rFonts w:hint="eastAsia"/>
          <w:b/>
          <w:bCs w:val="0"/>
          <w:color w:val="auto"/>
          <w:u w:val="single"/>
          <w:lang w:val="en-US" w:eastAsia="zh-CN"/>
        </w:rPr>
        <w:sectPr>
          <w:pgSz w:w="16838" w:h="11906" w:orient="landscape"/>
          <w:pgMar w:top="1800" w:right="1440" w:bottom="1800" w:left="1440" w:header="851" w:footer="992" w:gutter="0"/>
          <w:cols w:space="425" w:num="1"/>
          <w:docGrid w:type="lines" w:linePitch="312" w:charSpace="0"/>
        </w:sectPr>
      </w:pPr>
    </w:p>
    <w:p>
      <w:pPr>
        <w:rPr>
          <w:rStyle w:val="35"/>
          <w:rFonts w:ascii="宋体" w:hAnsi="宋体"/>
          <w:szCs w:val="21"/>
          <w:highlight w:val="none"/>
        </w:rPr>
      </w:pPr>
      <w:r>
        <w:rPr>
          <w:rStyle w:val="35"/>
          <w:rFonts w:ascii="宋体" w:hAnsi="宋体"/>
          <w:szCs w:val="21"/>
          <w:highlight w:val="none"/>
        </w:rPr>
        <w:t>附</w:t>
      </w:r>
      <w:r>
        <w:rPr>
          <w:rStyle w:val="35"/>
          <w:rFonts w:hint="eastAsia" w:ascii="宋体" w:hAnsi="宋体"/>
          <w:szCs w:val="21"/>
          <w:highlight w:val="none"/>
          <w:lang w:val="en-US" w:eastAsia="zh-CN"/>
        </w:rPr>
        <w:t>件</w:t>
      </w:r>
      <w:r>
        <w:rPr>
          <w:rStyle w:val="35"/>
          <w:rFonts w:ascii="宋体" w:hAnsi="宋体"/>
          <w:szCs w:val="21"/>
          <w:highlight w:val="none"/>
        </w:rPr>
        <w:t>二</w:t>
      </w:r>
    </w:p>
    <w:p>
      <w:pPr>
        <w:jc w:val="center"/>
        <w:rPr>
          <w:rStyle w:val="35"/>
          <w:rFonts w:ascii="宋体" w:hAnsi="宋体"/>
          <w:b/>
          <w:sz w:val="36"/>
          <w:szCs w:val="36"/>
          <w:highlight w:val="none"/>
        </w:rPr>
      </w:pPr>
      <w:r>
        <w:rPr>
          <w:rStyle w:val="35"/>
          <w:rFonts w:ascii="宋体" w:hAnsi="宋体"/>
          <w:b/>
          <w:sz w:val="36"/>
          <w:szCs w:val="36"/>
          <w:highlight w:val="none"/>
        </w:rPr>
        <w:t>技术标有效性审查表</w:t>
      </w:r>
    </w:p>
    <w:p>
      <w:pPr>
        <w:rPr>
          <w:rStyle w:val="35"/>
          <w:rFonts w:ascii="宋体" w:hAnsi="宋体"/>
          <w:szCs w:val="21"/>
          <w:highlight w:val="none"/>
        </w:rPr>
      </w:pPr>
      <w:r>
        <w:rPr>
          <w:rStyle w:val="35"/>
          <w:rFonts w:ascii="宋体" w:hAnsi="宋体"/>
          <w:szCs w:val="21"/>
          <w:highlight w:val="none"/>
        </w:rPr>
        <w:t>工程名称：</w:t>
      </w:r>
    </w:p>
    <w:tbl>
      <w:tblPr>
        <w:tblStyle w:val="15"/>
        <w:tblW w:w="1467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
        <w:gridCol w:w="4370"/>
        <w:gridCol w:w="1630"/>
        <w:gridCol w:w="1630"/>
        <w:gridCol w:w="1630"/>
        <w:gridCol w:w="1630"/>
        <w:gridCol w:w="1630"/>
        <w:gridCol w:w="1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rPr>
                <w:rStyle w:val="35"/>
                <w:rFonts w:ascii="宋体" w:hAnsi="宋体"/>
                <w:szCs w:val="21"/>
                <w:highlight w:val="none"/>
              </w:rPr>
            </w:pPr>
            <w:r>
              <w:rPr>
                <w:rStyle w:val="35"/>
                <w:rFonts w:ascii="宋体" w:hAnsi="宋体"/>
                <w:szCs w:val="21"/>
                <w:highlight w:val="none"/>
              </w:rPr>
              <w:t>序号</w:t>
            </w:r>
          </w:p>
        </w:tc>
        <w:tc>
          <w:tcPr>
            <w:tcW w:w="4370" w:type="dxa"/>
            <w:tcBorders>
              <w:top w:val="single" w:color="auto" w:sz="4" w:space="0"/>
              <w:left w:val="single" w:color="000000" w:sz="4" w:space="0"/>
              <w:bottom w:val="single" w:color="000000" w:sz="4" w:space="0"/>
              <w:right w:val="single" w:color="000000" w:sz="4" w:space="0"/>
              <w:tl2br w:val="single" w:color="auto" w:sz="4" w:space="0"/>
            </w:tcBorders>
            <w:noWrap w:val="0"/>
            <w:vAlign w:val="top"/>
          </w:tcPr>
          <w:p>
            <w:pPr>
              <w:rPr>
                <w:rStyle w:val="35"/>
                <w:rFonts w:ascii="宋体" w:hAnsi="宋体"/>
                <w:szCs w:val="21"/>
                <w:highlight w:val="none"/>
              </w:rPr>
            </w:pPr>
            <w:r>
              <w:rPr>
                <w:rStyle w:val="35"/>
                <w:rFonts w:ascii="宋体" w:hAnsi="宋体"/>
                <w:szCs w:val="21"/>
                <w:highlight w:val="none"/>
              </w:rPr>
              <w:t xml:space="preserve">               </w:t>
            </w:r>
            <w:r>
              <w:rPr>
                <w:rStyle w:val="35"/>
                <w:rFonts w:hint="eastAsia" w:ascii="宋体" w:hAnsi="宋体"/>
                <w:szCs w:val="21"/>
                <w:highlight w:val="none"/>
              </w:rPr>
              <w:t xml:space="preserve">                                                                         </w:t>
            </w:r>
          </w:p>
          <w:p>
            <w:pPr>
              <w:ind w:firstLine="3150" w:firstLineChars="1500"/>
              <w:rPr>
                <w:rStyle w:val="35"/>
                <w:rFonts w:ascii="宋体" w:hAnsi="宋体"/>
                <w:szCs w:val="21"/>
                <w:highlight w:val="none"/>
              </w:rPr>
            </w:pPr>
            <w:r>
              <w:rPr>
                <w:rStyle w:val="35"/>
                <w:rFonts w:ascii="宋体" w:hAnsi="宋体"/>
                <w:szCs w:val="21"/>
                <w:highlight w:val="none"/>
              </w:rPr>
              <w:t>投标人</w:t>
            </w:r>
          </w:p>
          <w:p>
            <w:pPr>
              <w:snapToGrid w:val="0"/>
              <w:rPr>
                <w:rStyle w:val="35"/>
                <w:rFonts w:ascii="宋体" w:hAnsi="宋体"/>
                <w:szCs w:val="21"/>
                <w:highlight w:val="none"/>
              </w:rPr>
            </w:pPr>
            <w:r>
              <w:rPr>
                <w:rStyle w:val="35"/>
                <w:rFonts w:ascii="宋体" w:hAnsi="宋体"/>
                <w:szCs w:val="21"/>
                <w:highlight w:val="none"/>
              </w:rPr>
              <w:t>评审内容</w:t>
            </w:r>
            <w:r>
              <w:rPr>
                <w:rStyle w:val="23"/>
                <w:rFonts w:hint="eastAsia"/>
                <w:highlight w:val="none"/>
              </w:rPr>
              <w:t xml:space="preserve">   </w:t>
            </w:r>
          </w:p>
          <w:p>
            <w:pPr>
              <w:ind w:firstLine="1260" w:firstLineChars="600"/>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35"/>
                <w:rFonts w:ascii="宋体" w:hAnsi="宋体"/>
                <w:szCs w:val="21"/>
                <w:highlight w:val="none"/>
              </w:rPr>
            </w:pPr>
            <w:r>
              <w:rPr>
                <w:rStyle w:val="35"/>
                <w:rFonts w:ascii="宋体" w:hAnsi="宋体"/>
                <w:szCs w:val="21"/>
                <w:highlight w:val="none"/>
              </w:rPr>
              <w:t>1</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pPr>
              <w:adjustRightInd w:val="0"/>
              <w:rPr>
                <w:rFonts w:hint="eastAsia" w:ascii="宋体" w:hAnsi="宋体" w:cs="宋体"/>
                <w:szCs w:val="21"/>
                <w:highlight w:val="none"/>
                <w:u w:val="single"/>
              </w:rPr>
            </w:pPr>
            <w:r>
              <w:rPr>
                <w:rFonts w:hint="eastAsia" w:ascii="宋体" w:hAnsi="宋体" w:cs="宋体"/>
                <w:szCs w:val="21"/>
                <w:highlight w:val="none"/>
                <w:u w:val="single"/>
              </w:rPr>
              <w:t>《广州建设工程施工招标投标书》中的总工期不符合招标文件要求的；</w:t>
            </w: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35"/>
                <w:rFonts w:ascii="宋体" w:hAnsi="宋体"/>
                <w:szCs w:val="21"/>
                <w:highlight w:val="none"/>
              </w:rPr>
            </w:pPr>
            <w:r>
              <w:rPr>
                <w:rStyle w:val="35"/>
                <w:rFonts w:ascii="宋体" w:hAnsi="宋体"/>
                <w:szCs w:val="21"/>
                <w:highlight w:val="none"/>
              </w:rPr>
              <w:t>2</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pPr>
              <w:adjustRightInd w:val="0"/>
              <w:rPr>
                <w:rFonts w:hint="eastAsia" w:ascii="宋体" w:hAnsi="宋体" w:cs="宋体"/>
                <w:szCs w:val="21"/>
                <w:highlight w:val="none"/>
                <w:u w:val="single"/>
              </w:rPr>
            </w:pPr>
            <w:r>
              <w:rPr>
                <w:rFonts w:hint="eastAsia" w:ascii="宋体" w:hAnsi="宋体" w:cs="宋体"/>
                <w:szCs w:val="21"/>
                <w:highlight w:val="none"/>
                <w:u w:val="single"/>
              </w:rPr>
              <w:t>《广州建设工程施工招标投标书》中的工程质量标准不符合招标文件要求的；</w:t>
            </w: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35"/>
                <w:rFonts w:ascii="宋体" w:hAnsi="宋体"/>
                <w:szCs w:val="21"/>
                <w:highlight w:val="none"/>
              </w:rPr>
            </w:pPr>
            <w:r>
              <w:rPr>
                <w:rStyle w:val="35"/>
                <w:rFonts w:ascii="宋体" w:hAnsi="宋体"/>
                <w:szCs w:val="21"/>
                <w:highlight w:val="none"/>
              </w:rPr>
              <w:t>3</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pPr>
              <w:rPr>
                <w:rStyle w:val="35"/>
                <w:rFonts w:ascii="宋体" w:hAnsi="宋体"/>
                <w:szCs w:val="21"/>
                <w:highlight w:val="none"/>
              </w:rPr>
            </w:pPr>
            <w:r>
              <w:rPr>
                <w:rStyle w:val="35"/>
                <w:rFonts w:ascii="宋体" w:hAnsi="宋体"/>
                <w:szCs w:val="21"/>
                <w:highlight w:val="none"/>
              </w:rPr>
              <w:t>投标文件中没有有效的法定代表人证明书，或由委托代理人签署</w:t>
            </w:r>
            <w:r>
              <w:rPr>
                <w:rStyle w:val="35"/>
                <w:rFonts w:ascii="宋体" w:hAnsi="宋体"/>
                <w:szCs w:val="21"/>
                <w:highlight w:val="none"/>
                <w:u w:val="single"/>
              </w:rPr>
              <w:t>或盖章</w:t>
            </w:r>
            <w:r>
              <w:rPr>
                <w:rStyle w:val="35"/>
                <w:rFonts w:ascii="宋体" w:hAnsi="宋体"/>
                <w:szCs w:val="21"/>
                <w:highlight w:val="none"/>
              </w:rPr>
              <w:t>的投标文件中没有法定代表人授权书；</w:t>
            </w: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35"/>
                <w:rFonts w:ascii="宋体" w:hAnsi="宋体"/>
                <w:szCs w:val="21"/>
                <w:highlight w:val="none"/>
              </w:rPr>
            </w:pPr>
            <w:r>
              <w:rPr>
                <w:rStyle w:val="35"/>
                <w:rFonts w:ascii="宋体" w:hAnsi="宋体"/>
                <w:szCs w:val="21"/>
                <w:highlight w:val="none"/>
              </w:rPr>
              <w:t>4</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pPr>
              <w:rPr>
                <w:rStyle w:val="35"/>
                <w:rFonts w:ascii="宋体" w:hAnsi="宋体"/>
                <w:szCs w:val="21"/>
                <w:highlight w:val="none"/>
              </w:rPr>
            </w:pPr>
            <w:r>
              <w:rPr>
                <w:rFonts w:hint="eastAsia" w:ascii="宋体" w:hAnsi="宋体" w:cs="宋体"/>
                <w:szCs w:val="21"/>
                <w:highlight w:val="none"/>
              </w:rPr>
              <w:t>投标文件未按规定的格式填写</w:t>
            </w:r>
            <w:r>
              <w:rPr>
                <w:rFonts w:hint="eastAsia" w:ascii="宋体" w:hAnsi="宋体"/>
                <w:szCs w:val="21"/>
                <w:highlight w:val="none"/>
                <w:u w:val="single"/>
              </w:rPr>
              <w:t>（除带“★”号的必须按招标文件规定的格式进行编制外，其余格式仅供参考不作为投标文件有效性审查的条件）</w:t>
            </w:r>
            <w:r>
              <w:rPr>
                <w:rFonts w:hint="eastAsia" w:ascii="宋体" w:hAnsi="宋体" w:cs="宋体"/>
                <w:szCs w:val="21"/>
                <w:highlight w:val="none"/>
              </w:rPr>
              <w:t>，或主要内容（指投标文件组成内容）不全，或关键字迹模糊、无法辨认的；</w:t>
            </w: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35"/>
                <w:rFonts w:ascii="宋体" w:hAnsi="宋体"/>
                <w:szCs w:val="21"/>
                <w:highlight w:val="none"/>
              </w:rPr>
            </w:pPr>
            <w:r>
              <w:rPr>
                <w:rStyle w:val="35"/>
                <w:rFonts w:ascii="宋体" w:hAnsi="宋体"/>
                <w:szCs w:val="21"/>
                <w:highlight w:val="none"/>
              </w:rPr>
              <w:t>5</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pPr>
              <w:rPr>
                <w:rStyle w:val="35"/>
                <w:rFonts w:ascii="宋体" w:hAnsi="宋体"/>
                <w:szCs w:val="21"/>
                <w:highlight w:val="none"/>
              </w:rPr>
            </w:pPr>
            <w:r>
              <w:rPr>
                <w:rStyle w:val="35"/>
                <w:rFonts w:ascii="宋体" w:hAnsi="宋体"/>
                <w:szCs w:val="21"/>
                <w:highlight w:val="none"/>
              </w:rPr>
              <w:t>投标人之间存在《广东省实施&lt;中华人民共和国招标投标法&gt;》第十六条所禁止的情形的；</w:t>
            </w: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35"/>
                <w:rFonts w:ascii="宋体" w:hAnsi="宋体"/>
                <w:szCs w:val="21"/>
                <w:highlight w:val="none"/>
              </w:rPr>
            </w:pPr>
            <w:r>
              <w:rPr>
                <w:rStyle w:val="35"/>
                <w:rFonts w:ascii="宋体" w:hAnsi="宋体"/>
                <w:szCs w:val="21"/>
                <w:highlight w:val="none"/>
              </w:rPr>
              <w:t>6</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pPr>
              <w:rPr>
                <w:rStyle w:val="35"/>
                <w:rFonts w:ascii="宋体" w:hAnsi="宋体"/>
                <w:szCs w:val="21"/>
                <w:highlight w:val="none"/>
              </w:rPr>
            </w:pPr>
            <w:r>
              <w:rPr>
                <w:rStyle w:val="35"/>
                <w:rFonts w:ascii="宋体" w:hAnsi="宋体"/>
                <w:szCs w:val="21"/>
                <w:highlight w:val="none"/>
              </w:rPr>
              <w:t>无《参与编制技术标投标文件人员名单》的；</w:t>
            </w: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shd w:val="pct10" w:color="auto" w:fill="FFFFFF"/>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shd w:val="pct10" w:color="auto" w:fill="FFFFFF"/>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shd w:val="pct10" w:color="auto" w:fill="FFFFFF"/>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shd w:val="pct10" w:color="auto" w:fill="FFFFFF"/>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shd w:val="pct10" w:color="auto" w:fill="FFFFFF"/>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shd w:val="pct10"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35"/>
                <w:rFonts w:ascii="宋体" w:hAnsi="宋体"/>
                <w:szCs w:val="21"/>
                <w:highlight w:val="none"/>
              </w:rPr>
            </w:pPr>
            <w:r>
              <w:rPr>
                <w:rStyle w:val="35"/>
                <w:rFonts w:ascii="宋体" w:hAnsi="宋体"/>
                <w:szCs w:val="21"/>
                <w:highlight w:val="none"/>
              </w:rPr>
              <w:t>7</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pPr>
              <w:rPr>
                <w:rStyle w:val="35"/>
                <w:rFonts w:ascii="宋体" w:hAnsi="宋体"/>
                <w:szCs w:val="21"/>
                <w:highlight w:val="none"/>
              </w:rPr>
            </w:pPr>
            <w:r>
              <w:rPr>
                <w:rStyle w:val="35"/>
                <w:rFonts w:ascii="宋体" w:hAnsi="宋体"/>
                <w:szCs w:val="21"/>
                <w:highlight w:val="none"/>
              </w:rPr>
              <w:t>投标人未按要求提交投标保证金的；</w:t>
            </w: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35"/>
                <w:rFonts w:ascii="宋体" w:hAnsi="宋体"/>
                <w:szCs w:val="21"/>
                <w:highlight w:val="none"/>
              </w:rPr>
            </w:pPr>
            <w:r>
              <w:rPr>
                <w:rStyle w:val="35"/>
                <w:rFonts w:ascii="宋体" w:hAnsi="宋体"/>
                <w:szCs w:val="21"/>
                <w:highlight w:val="none"/>
              </w:rPr>
              <w:t>8</w:t>
            </w:r>
          </w:p>
        </w:tc>
        <w:tc>
          <w:tcPr>
            <w:tcW w:w="4370" w:type="dxa"/>
            <w:tcBorders>
              <w:top w:val="single" w:color="000000" w:sz="4" w:space="0"/>
              <w:left w:val="single" w:color="000000" w:sz="4" w:space="0"/>
              <w:bottom w:val="single" w:color="000000" w:sz="4" w:space="0"/>
              <w:right w:val="single" w:color="000000" w:sz="4" w:space="0"/>
            </w:tcBorders>
            <w:noWrap w:val="0"/>
            <w:vAlign w:val="center"/>
          </w:tcPr>
          <w:p>
            <w:pPr>
              <w:rPr>
                <w:rStyle w:val="35"/>
                <w:rFonts w:ascii="宋体" w:hAnsi="宋体"/>
                <w:szCs w:val="21"/>
                <w:highlight w:val="none"/>
              </w:rPr>
            </w:pPr>
            <w:r>
              <w:rPr>
                <w:rStyle w:val="35"/>
                <w:rFonts w:ascii="宋体" w:hAnsi="宋体"/>
                <w:szCs w:val="21"/>
                <w:highlight w:val="none"/>
              </w:rPr>
              <w:t>投标人与</w:t>
            </w:r>
            <w:r>
              <w:rPr>
                <w:rFonts w:hint="eastAsia" w:ascii="宋体" w:hAnsi="宋体" w:cs="宋体"/>
                <w:b/>
                <w:bCs w:val="0"/>
                <w:color w:val="auto"/>
                <w:szCs w:val="21"/>
                <w:u w:val="single"/>
              </w:rPr>
              <w:t>本项目</w:t>
            </w:r>
            <w:r>
              <w:rPr>
                <w:rStyle w:val="35"/>
                <w:rFonts w:ascii="宋体" w:hAnsi="宋体"/>
                <w:szCs w:val="21"/>
                <w:highlight w:val="none"/>
              </w:rPr>
              <w:t>其他投标人加密打包投标文件电脑机器特征码一致的</w:t>
            </w:r>
            <w:r>
              <w:rPr>
                <w:rStyle w:val="35"/>
                <w:rFonts w:hint="eastAsia" w:ascii="宋体" w:hAnsi="宋体"/>
                <w:szCs w:val="21"/>
                <w:highlight w:val="none"/>
                <w:lang w:eastAsia="zh-CN"/>
              </w:rPr>
              <w:t>（</w:t>
            </w:r>
            <w:r>
              <w:rPr>
                <w:rStyle w:val="35"/>
                <w:rFonts w:ascii="宋体" w:hAnsi="宋体"/>
                <w:szCs w:val="21"/>
                <w:highlight w:val="none"/>
              </w:rPr>
              <w:t>以</w:t>
            </w:r>
            <w:r>
              <w:rPr>
                <w:rStyle w:val="35"/>
                <w:rFonts w:ascii="宋体" w:hAnsi="宋体"/>
                <w:szCs w:val="21"/>
                <w:highlight w:val="none"/>
                <w:u w:val="single"/>
              </w:rPr>
              <w:t>广州公共资源交易中心</w:t>
            </w:r>
            <w:r>
              <w:rPr>
                <w:rStyle w:val="35"/>
                <w:rFonts w:ascii="宋体" w:hAnsi="宋体"/>
                <w:szCs w:val="21"/>
                <w:highlight w:val="none"/>
              </w:rPr>
              <w:t>交易平台评标系统的检索信息为准)。</w:t>
            </w: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Style w:val="35"/>
                <w:rFonts w:ascii="宋体" w:hAnsi="宋体"/>
                <w:szCs w:val="21"/>
                <w:highlight w:val="none"/>
              </w:rPr>
            </w:pPr>
          </w:p>
        </w:tc>
      </w:tr>
    </w:tbl>
    <w:p>
      <w:pPr>
        <w:spacing w:line="280" w:lineRule="exact"/>
        <w:rPr>
          <w:rFonts w:hint="eastAsia" w:ascii="宋体" w:hAnsi="宋体" w:cs="宋体"/>
          <w:szCs w:val="21"/>
          <w:highlight w:val="none"/>
        </w:rPr>
      </w:pPr>
      <w:r>
        <w:rPr>
          <w:rFonts w:hint="eastAsia" w:ascii="宋体" w:hAnsi="宋体" w:cs="宋体"/>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spacing w:line="280" w:lineRule="exact"/>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b/>
          <w:bCs/>
          <w:color w:val="auto"/>
          <w:szCs w:val="21"/>
          <w:highlight w:val="none"/>
        </w:rPr>
        <w:t xml:space="preserve"> 2.</w:t>
      </w:r>
      <w:r>
        <w:rPr>
          <w:rFonts w:hint="eastAsia"/>
          <w:b/>
          <w:bCs/>
          <w:color w:val="auto"/>
          <w:sz w:val="21"/>
          <w:szCs w:val="21"/>
          <w:u w:val="singl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tabs>
          <w:tab w:val="left" w:pos="567"/>
        </w:tabs>
        <w:ind w:firstLine="420" w:firstLineChars="200"/>
        <w:rPr>
          <w:rFonts w:hint="eastAsia" w:ascii="宋体" w:hAnsi="宋体" w:cs="宋体"/>
          <w:szCs w:val="21"/>
          <w:highlight w:val="none"/>
        </w:rPr>
      </w:pPr>
      <w:r>
        <w:rPr>
          <w:rFonts w:hint="eastAsia" w:ascii="宋体" w:hAnsi="宋体" w:cs="宋体"/>
          <w:szCs w:val="21"/>
          <w:highlight w:val="none"/>
        </w:rPr>
        <w:t>3.凡出现以上任何一项情形</w:t>
      </w:r>
      <w:r>
        <w:rPr>
          <w:rFonts w:hint="eastAsia" w:ascii="宋体" w:hAnsi="宋体" w:cs="宋体"/>
          <w:szCs w:val="21"/>
          <w:highlight w:val="none"/>
          <w:u w:val="single"/>
        </w:rPr>
        <w:t>的打“×”，不存在的打“○”，汇总后，出现一个“×”的</w:t>
      </w:r>
      <w:r>
        <w:rPr>
          <w:rFonts w:hint="eastAsia" w:ascii="宋体" w:hAnsi="宋体" w:cs="宋体"/>
          <w:szCs w:val="21"/>
          <w:highlight w:val="none"/>
        </w:rPr>
        <w:t>结论均为“无效”，否则就为有效。</w:t>
      </w:r>
    </w:p>
    <w:p>
      <w:pPr>
        <w:widowControl w:val="0"/>
        <w:numPr>
          <w:ilvl w:val="0"/>
          <w:numId w:val="2"/>
        </w:numPr>
        <w:spacing w:line="28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如对本表中某种情形的评审意见不一致时，以评标委员会过半数成员的意见作为评标委员会对该情形的认定结论。</w:t>
      </w:r>
    </w:p>
    <w:p>
      <w:pPr>
        <w:rPr>
          <w:rStyle w:val="35"/>
          <w:rFonts w:ascii="宋体" w:hAnsi="宋体"/>
          <w:szCs w:val="21"/>
          <w:highlight w:val="none"/>
        </w:rPr>
      </w:pPr>
      <w:r>
        <w:rPr>
          <w:rStyle w:val="35"/>
          <w:rFonts w:ascii="宋体" w:hAnsi="宋体"/>
          <w:szCs w:val="21"/>
          <w:highlight w:val="none"/>
        </w:rPr>
        <w:t>评委签名：</w:t>
      </w:r>
    </w:p>
    <w:p>
      <w:pPr>
        <w:rPr>
          <w:rFonts w:hint="eastAsia"/>
          <w:lang w:val="en-US" w:eastAsia="zh-CN"/>
        </w:rPr>
        <w:sectPr>
          <w:pgSz w:w="16838" w:h="11906" w:orient="landscape"/>
          <w:pgMar w:top="1800" w:right="1440" w:bottom="1800" w:left="1440" w:header="851" w:footer="992" w:gutter="0"/>
          <w:cols w:space="425" w:num="1"/>
          <w:docGrid w:type="lines" w:linePitch="312" w:charSpace="0"/>
        </w:sectPr>
      </w:pPr>
      <w:r>
        <w:rPr>
          <w:rStyle w:val="35"/>
          <w:rFonts w:ascii="宋体" w:hAnsi="宋体"/>
          <w:highlight w:val="none"/>
        </w:rPr>
        <w:br w:type="page"/>
      </w:r>
    </w:p>
    <w:p>
      <w:pPr>
        <w:keepNext w:val="0"/>
        <w:keepLines w:val="0"/>
        <w:pageBreakBefore w:val="0"/>
        <w:widowControl w:val="0"/>
        <w:kinsoku/>
        <w:wordWrap/>
        <w:overflowPunct/>
        <w:topLinePunct w:val="0"/>
        <w:autoSpaceDE/>
        <w:autoSpaceDN/>
        <w:bidi w:val="0"/>
        <w:adjustRightInd/>
        <w:spacing w:line="360" w:lineRule="auto"/>
        <w:textAlignment w:val="auto"/>
        <w:rPr>
          <w:rStyle w:val="35"/>
          <w:rFonts w:ascii="宋体" w:hAnsi="宋体"/>
          <w:szCs w:val="21"/>
          <w:highlight w:val="none"/>
        </w:rPr>
      </w:pPr>
      <w:r>
        <w:rPr>
          <w:rStyle w:val="35"/>
          <w:rFonts w:ascii="宋体" w:hAnsi="宋体"/>
          <w:szCs w:val="21"/>
          <w:highlight w:val="none"/>
        </w:rPr>
        <w:t>附表三</w:t>
      </w:r>
    </w:p>
    <w:p>
      <w:pPr>
        <w:keepNext w:val="0"/>
        <w:keepLines w:val="0"/>
        <w:pageBreakBefore w:val="0"/>
        <w:widowControl w:val="0"/>
        <w:kinsoku/>
        <w:wordWrap/>
        <w:overflowPunct/>
        <w:topLinePunct w:val="0"/>
        <w:autoSpaceDE/>
        <w:autoSpaceDN/>
        <w:bidi w:val="0"/>
        <w:adjustRightInd/>
        <w:spacing w:line="360" w:lineRule="auto"/>
        <w:jc w:val="center"/>
        <w:textAlignment w:val="auto"/>
        <w:rPr>
          <w:rStyle w:val="35"/>
          <w:rFonts w:ascii="宋体" w:hAnsi="宋体"/>
          <w:b/>
          <w:sz w:val="36"/>
          <w:szCs w:val="36"/>
          <w:highlight w:val="none"/>
        </w:rPr>
      </w:pPr>
      <w:r>
        <w:rPr>
          <w:rStyle w:val="35"/>
          <w:rFonts w:ascii="宋体" w:hAnsi="宋体"/>
          <w:b/>
          <w:sz w:val="36"/>
          <w:szCs w:val="36"/>
          <w:highlight w:val="none"/>
        </w:rPr>
        <w:t>经济标有效性审查表</w:t>
      </w:r>
    </w:p>
    <w:p>
      <w:pPr>
        <w:keepNext w:val="0"/>
        <w:keepLines w:val="0"/>
        <w:pageBreakBefore w:val="0"/>
        <w:widowControl w:val="0"/>
        <w:kinsoku/>
        <w:wordWrap/>
        <w:overflowPunct/>
        <w:topLinePunct w:val="0"/>
        <w:autoSpaceDE/>
        <w:autoSpaceDN/>
        <w:bidi w:val="0"/>
        <w:adjustRightInd/>
        <w:spacing w:line="360" w:lineRule="auto"/>
        <w:textAlignment w:val="auto"/>
        <w:rPr>
          <w:rStyle w:val="35"/>
          <w:rFonts w:hint="eastAsia" w:ascii="宋体" w:hAnsi="宋体"/>
          <w:szCs w:val="21"/>
          <w:highlight w:val="none"/>
        </w:rPr>
      </w:pPr>
      <w:r>
        <w:rPr>
          <w:rStyle w:val="35"/>
          <w:rFonts w:ascii="宋体" w:hAnsi="宋体"/>
          <w:szCs w:val="21"/>
          <w:highlight w:val="none"/>
        </w:rPr>
        <w:t>工程名称：</w:t>
      </w:r>
    </w:p>
    <w:tbl>
      <w:tblPr>
        <w:tblStyle w:val="1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6139"/>
        <w:gridCol w:w="1154"/>
        <w:gridCol w:w="1177"/>
        <w:gridCol w:w="1327"/>
        <w:gridCol w:w="1282"/>
        <w:gridCol w:w="1312"/>
        <w:gridCol w:w="1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r>
              <w:rPr>
                <w:rFonts w:ascii="宋体" w:hAnsi="宋体"/>
                <w:szCs w:val="21"/>
                <w:highlight w:val="none"/>
              </w:rPr>
              <w:t>序号</w:t>
            </w:r>
          </w:p>
        </w:tc>
        <w:tc>
          <w:tcPr>
            <w:tcW w:w="6139" w:type="dxa"/>
            <w:tcBorders>
              <w:top w:val="single" w:color="000000" w:sz="4" w:space="0"/>
              <w:left w:val="single" w:color="000000" w:sz="4" w:space="0"/>
              <w:bottom w:val="single" w:color="000000" w:sz="4" w:space="0"/>
              <w:right w:val="single" w:color="000000" w:sz="4" w:space="0"/>
              <w:tl2br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投标人</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szCs w:val="21"/>
                <w:highlight w:val="none"/>
              </w:rPr>
            </w:pPr>
            <w:r>
              <w:rPr>
                <w:rFonts w:ascii="宋体" w:hAnsi="宋体"/>
                <w:szCs w:val="21"/>
                <w:highlight w:val="none"/>
              </w:rPr>
              <w:t>评审内容</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r>
              <w:rPr>
                <w:rFonts w:hint="eastAsia" w:ascii="宋体" w:hAnsi="宋体"/>
                <w:szCs w:val="21"/>
                <w:highlight w:val="none"/>
              </w:rPr>
              <w:t xml:space="preserve">            </w:t>
            </w:r>
          </w:p>
        </w:tc>
        <w:tc>
          <w:tcPr>
            <w:tcW w:w="11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2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szCs w:val="21"/>
                <w:highlight w:val="none"/>
              </w:rPr>
            </w:pPr>
            <w:r>
              <w:rPr>
                <w:rFonts w:ascii="宋体" w:hAnsi="宋体"/>
                <w:szCs w:val="21"/>
                <w:highlight w:val="none"/>
              </w:rPr>
              <w:t>1</w:t>
            </w:r>
          </w:p>
        </w:tc>
        <w:tc>
          <w:tcPr>
            <w:tcW w:w="6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r>
              <w:rPr>
                <w:rFonts w:ascii="宋体" w:hAnsi="宋体"/>
                <w:szCs w:val="21"/>
                <w:highlight w:val="none"/>
              </w:rPr>
              <w:t>对同一招标项目出现两个或以上的投标报价，且没有申明哪个有效；</w:t>
            </w:r>
          </w:p>
        </w:tc>
        <w:tc>
          <w:tcPr>
            <w:tcW w:w="11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2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szCs w:val="21"/>
                <w:highlight w:val="none"/>
              </w:rPr>
            </w:pPr>
            <w:r>
              <w:rPr>
                <w:rFonts w:ascii="宋体" w:hAnsi="宋体"/>
                <w:szCs w:val="21"/>
                <w:highlight w:val="none"/>
              </w:rPr>
              <w:t>2</w:t>
            </w:r>
          </w:p>
        </w:tc>
        <w:tc>
          <w:tcPr>
            <w:tcW w:w="6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r>
              <w:rPr>
                <w:rFonts w:ascii="宋体" w:hAnsi="宋体"/>
                <w:szCs w:val="21"/>
                <w:highlight w:val="none"/>
              </w:rPr>
              <w:t>投标报价高于最高投标限价的；</w:t>
            </w:r>
          </w:p>
        </w:tc>
        <w:tc>
          <w:tcPr>
            <w:tcW w:w="11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2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szCs w:val="21"/>
                <w:highlight w:val="none"/>
              </w:rPr>
            </w:pPr>
            <w:r>
              <w:rPr>
                <w:rFonts w:ascii="宋体" w:hAnsi="宋体"/>
                <w:szCs w:val="21"/>
                <w:highlight w:val="none"/>
              </w:rPr>
              <w:t>3</w:t>
            </w:r>
          </w:p>
        </w:tc>
        <w:tc>
          <w:tcPr>
            <w:tcW w:w="6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2" w:leftChars="-1"/>
              <w:jc w:val="left"/>
              <w:textAlignment w:val="auto"/>
              <w:rPr>
                <w:rFonts w:ascii="宋体" w:hAnsi="宋体"/>
                <w:szCs w:val="21"/>
                <w:highlight w:val="none"/>
              </w:rPr>
            </w:pPr>
            <w:r>
              <w:rPr>
                <w:rFonts w:ascii="宋体" w:hAnsi="宋体"/>
                <w:szCs w:val="21"/>
                <w:highlight w:val="none"/>
              </w:rPr>
              <w:t>投标报价低于成本的；</w:t>
            </w:r>
          </w:p>
        </w:tc>
        <w:tc>
          <w:tcPr>
            <w:tcW w:w="11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2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szCs w:val="21"/>
                <w:highlight w:val="none"/>
              </w:rPr>
            </w:pPr>
            <w:r>
              <w:rPr>
                <w:rFonts w:ascii="宋体" w:hAnsi="宋体"/>
                <w:szCs w:val="21"/>
                <w:highlight w:val="none"/>
              </w:rPr>
              <w:t>4</w:t>
            </w:r>
          </w:p>
        </w:tc>
        <w:tc>
          <w:tcPr>
            <w:tcW w:w="6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r>
              <w:rPr>
                <w:rFonts w:ascii="宋体" w:hAnsi="宋体"/>
                <w:szCs w:val="21"/>
                <w:highlight w:val="none"/>
              </w:rPr>
              <w:t>算术复核后的投标报价与原投标报价相比存在1%或以上误差的；</w:t>
            </w:r>
          </w:p>
        </w:tc>
        <w:tc>
          <w:tcPr>
            <w:tcW w:w="11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2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szCs w:val="21"/>
                <w:highlight w:val="none"/>
              </w:rPr>
            </w:pPr>
            <w:r>
              <w:rPr>
                <w:rFonts w:ascii="宋体" w:hAnsi="宋体"/>
                <w:szCs w:val="21"/>
                <w:highlight w:val="none"/>
              </w:rPr>
              <w:t>5</w:t>
            </w:r>
          </w:p>
        </w:tc>
        <w:tc>
          <w:tcPr>
            <w:tcW w:w="6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r>
              <w:rPr>
                <w:rFonts w:hint="eastAsia" w:ascii="宋体" w:hAnsi="宋体"/>
                <w:szCs w:val="21"/>
                <w:highlight w:val="none"/>
              </w:rPr>
              <w:t>投标文件未按规定的格式填写</w:t>
            </w:r>
            <w:r>
              <w:rPr>
                <w:rFonts w:hint="eastAsia" w:ascii="宋体" w:hAnsi="宋体"/>
                <w:szCs w:val="21"/>
                <w:highlight w:val="none"/>
                <w:u w:val="single"/>
              </w:rPr>
              <w:t>（除带“★”号的必须按招标文件规定的格式进行编制外，其余格式仅供参考不作为投标文件有效性审查的条件）</w:t>
            </w:r>
            <w:r>
              <w:rPr>
                <w:rFonts w:hint="eastAsia" w:ascii="宋体" w:hAnsi="宋体"/>
                <w:szCs w:val="21"/>
                <w:highlight w:val="none"/>
              </w:rPr>
              <w:t>，或主要内容不全，或关键字迹模糊、无法辨认的；</w:t>
            </w:r>
          </w:p>
        </w:tc>
        <w:tc>
          <w:tcPr>
            <w:tcW w:w="11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2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szCs w:val="21"/>
                <w:highlight w:val="none"/>
              </w:rPr>
            </w:pPr>
            <w:r>
              <w:rPr>
                <w:rFonts w:ascii="宋体" w:hAnsi="宋体"/>
                <w:szCs w:val="21"/>
                <w:highlight w:val="none"/>
              </w:rPr>
              <w:t>6</w:t>
            </w:r>
          </w:p>
        </w:tc>
        <w:tc>
          <w:tcPr>
            <w:tcW w:w="6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r>
              <w:rPr>
                <w:rFonts w:ascii="宋体" w:hAnsi="宋体"/>
                <w:szCs w:val="21"/>
                <w:highlight w:val="none"/>
              </w:rPr>
              <w:t>不同投标人的投标报价中分部分项工程量清单综合单价相似度达到80%及以上的</w:t>
            </w:r>
            <w:r>
              <w:rPr>
                <w:rFonts w:hint="eastAsia" w:ascii="宋体" w:hAnsi="宋体"/>
                <w:szCs w:val="21"/>
                <w:highlight w:val="none"/>
                <w:lang w:eastAsia="zh-CN"/>
              </w:rPr>
              <w:t>（</w:t>
            </w:r>
            <w:r>
              <w:rPr>
                <w:rFonts w:ascii="宋体" w:hAnsi="宋体"/>
                <w:szCs w:val="21"/>
                <w:highlight w:val="none"/>
              </w:rPr>
              <w:t>以</w:t>
            </w:r>
            <w:r>
              <w:rPr>
                <w:rFonts w:ascii="宋体" w:hAnsi="宋体"/>
                <w:szCs w:val="21"/>
                <w:highlight w:val="none"/>
                <w:u w:val="single"/>
              </w:rPr>
              <w:t>广州公共资源交易中心</w:t>
            </w:r>
            <w:r>
              <w:rPr>
                <w:rFonts w:ascii="宋体" w:hAnsi="宋体"/>
                <w:szCs w:val="21"/>
                <w:highlight w:val="none"/>
              </w:rPr>
              <w:t>交易平台评标系统的检索信息为准)；</w:t>
            </w:r>
          </w:p>
        </w:tc>
        <w:tc>
          <w:tcPr>
            <w:tcW w:w="11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2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szCs w:val="21"/>
                <w:highlight w:val="none"/>
              </w:rPr>
            </w:pPr>
            <w:r>
              <w:rPr>
                <w:rFonts w:ascii="宋体" w:hAnsi="宋体"/>
                <w:szCs w:val="21"/>
                <w:highlight w:val="none"/>
              </w:rPr>
              <w:t>7</w:t>
            </w:r>
          </w:p>
        </w:tc>
        <w:tc>
          <w:tcPr>
            <w:tcW w:w="6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r>
              <w:rPr>
                <w:rFonts w:ascii="宋体" w:hAnsi="宋体"/>
                <w:szCs w:val="21"/>
                <w:highlight w:val="none"/>
              </w:rPr>
              <w:t>投标人之间存在《广东省实施&lt;中华人民共和国招标投标法&gt;》第十六条所禁止的情形的；</w:t>
            </w:r>
          </w:p>
        </w:tc>
        <w:tc>
          <w:tcPr>
            <w:tcW w:w="11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2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szCs w:val="21"/>
                <w:highlight w:val="none"/>
              </w:rPr>
            </w:pPr>
            <w:r>
              <w:rPr>
                <w:rFonts w:ascii="宋体" w:hAnsi="宋体"/>
                <w:szCs w:val="21"/>
                <w:highlight w:val="none"/>
              </w:rPr>
              <w:t>8</w:t>
            </w:r>
          </w:p>
        </w:tc>
        <w:tc>
          <w:tcPr>
            <w:tcW w:w="6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r>
              <w:rPr>
                <w:rFonts w:ascii="宋体" w:hAnsi="宋体"/>
                <w:szCs w:val="21"/>
                <w:highlight w:val="none"/>
              </w:rPr>
              <w:t>无《参与编制经济标投标文件人员名单》的；</w:t>
            </w:r>
          </w:p>
        </w:tc>
        <w:tc>
          <w:tcPr>
            <w:tcW w:w="11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2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szCs w:val="21"/>
                <w:highlight w:val="none"/>
              </w:rPr>
            </w:pPr>
            <w:r>
              <w:rPr>
                <w:rFonts w:ascii="宋体" w:hAnsi="宋体"/>
                <w:szCs w:val="21"/>
                <w:highlight w:val="none"/>
              </w:rPr>
              <w:t>9</w:t>
            </w:r>
          </w:p>
        </w:tc>
        <w:tc>
          <w:tcPr>
            <w:tcW w:w="6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r>
              <w:rPr>
                <w:rFonts w:ascii="宋体" w:hAnsi="宋体"/>
                <w:szCs w:val="21"/>
                <w:highlight w:val="none"/>
              </w:rPr>
              <w:t>无《对投标文件编制的承诺》。</w:t>
            </w:r>
          </w:p>
        </w:tc>
        <w:tc>
          <w:tcPr>
            <w:tcW w:w="11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2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szCs w:val="21"/>
                <w:highlight w:val="none"/>
              </w:rPr>
            </w:pPr>
            <w:r>
              <w:rPr>
                <w:rFonts w:hint="eastAsia" w:ascii="宋体" w:hAnsi="宋体"/>
                <w:szCs w:val="21"/>
                <w:highlight w:val="none"/>
              </w:rPr>
              <w:t>10</w:t>
            </w:r>
          </w:p>
        </w:tc>
        <w:tc>
          <w:tcPr>
            <w:tcW w:w="6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r>
              <w:rPr>
                <w:rStyle w:val="35"/>
                <w:rFonts w:hint="eastAsia" w:ascii="宋体" w:hAnsi="宋体"/>
                <w:szCs w:val="21"/>
                <w:highlight w:val="none"/>
              </w:rPr>
              <w:t>投标人与本项目其他投标人的投标文件工程量清单编制机器硬件信息一致的（以交易平台评标系统的检索信息为准）</w:t>
            </w:r>
          </w:p>
        </w:tc>
        <w:tc>
          <w:tcPr>
            <w:tcW w:w="11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2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Cs w:val="21"/>
                <w:highlight w:val="none"/>
              </w:rPr>
            </w:pPr>
          </w:p>
        </w:tc>
      </w:tr>
    </w:tbl>
    <w:p>
      <w:pPr>
        <w:keepNext w:val="0"/>
        <w:keepLines w:val="0"/>
        <w:pageBreakBefore w:val="0"/>
        <w:widowControl w:val="0"/>
        <w:kinsoku/>
        <w:wordWrap/>
        <w:overflowPunct/>
        <w:topLinePunct w:val="0"/>
        <w:autoSpaceDE/>
        <w:autoSpaceDN/>
        <w:bidi w:val="0"/>
        <w:adjustRightInd/>
        <w:spacing w:line="360" w:lineRule="auto"/>
        <w:ind w:firstLine="458"/>
        <w:textAlignment w:val="auto"/>
        <w:rPr>
          <w:rFonts w:hint="eastAsia" w:ascii="宋体" w:hAnsi="宋体" w:cs="宋体"/>
          <w:szCs w:val="21"/>
          <w:highlight w:val="none"/>
        </w:rPr>
      </w:pPr>
      <w:r>
        <w:rPr>
          <w:rFonts w:hint="eastAsia" w:ascii="宋体" w:hAnsi="宋体" w:cs="宋体"/>
          <w:szCs w:val="21"/>
          <w:highlight w:val="none"/>
        </w:rPr>
        <w:t>注：1.本表使用GZZB2018-3招标文件范本，与范本内容不同之处均以下划线标明。</w:t>
      </w:r>
    </w:p>
    <w:p>
      <w:pPr>
        <w:keepNext w:val="0"/>
        <w:keepLines w:val="0"/>
        <w:pageBreakBefore w:val="0"/>
        <w:widowControl w:val="0"/>
        <w:kinsoku/>
        <w:wordWrap/>
        <w:overflowPunct/>
        <w:topLinePunct w:val="0"/>
        <w:autoSpaceDE/>
        <w:autoSpaceDN/>
        <w:bidi w:val="0"/>
        <w:adjustRightInd/>
        <w:spacing w:line="360" w:lineRule="auto"/>
        <w:ind w:firstLine="458"/>
        <w:textAlignment w:val="auto"/>
        <w:rPr>
          <w:rFonts w:hint="eastAsia" w:ascii="宋体" w:hAnsi="宋体" w:cs="宋体"/>
          <w:szCs w:val="21"/>
          <w:highlight w:val="none"/>
        </w:rPr>
      </w:pPr>
      <w:r>
        <w:rPr>
          <w:rFonts w:hint="eastAsia" w:ascii="宋体" w:hAnsi="宋体" w:cs="宋体"/>
          <w:szCs w:val="21"/>
          <w:highlight w:val="none"/>
        </w:rPr>
        <w:t>2. 凡出现以上任何一项情形</w:t>
      </w:r>
      <w:r>
        <w:rPr>
          <w:rFonts w:hint="eastAsia" w:ascii="宋体" w:hAnsi="宋体" w:cs="宋体"/>
          <w:szCs w:val="21"/>
          <w:highlight w:val="none"/>
          <w:u w:val="single"/>
        </w:rPr>
        <w:t>的打“×”，不存在的打“○”，汇总后，出现一个“×”的</w:t>
      </w:r>
      <w:r>
        <w:rPr>
          <w:rFonts w:hint="eastAsia" w:ascii="宋体" w:hAnsi="宋体" w:cs="宋体"/>
          <w:szCs w:val="21"/>
          <w:highlight w:val="none"/>
        </w:rPr>
        <w:t>结论均为“无效”，否则就为有效。</w:t>
      </w:r>
    </w:p>
    <w:p>
      <w:pPr>
        <w:keepNext w:val="0"/>
        <w:keepLines w:val="0"/>
        <w:pageBreakBefore w:val="0"/>
        <w:widowControl w:val="0"/>
        <w:kinsoku/>
        <w:wordWrap/>
        <w:overflowPunct/>
        <w:topLinePunct w:val="0"/>
        <w:autoSpaceDE/>
        <w:autoSpaceDN/>
        <w:bidi w:val="0"/>
        <w:adjustRightInd/>
        <w:spacing w:line="360" w:lineRule="auto"/>
        <w:ind w:firstLine="458"/>
        <w:textAlignment w:val="auto"/>
        <w:rPr>
          <w:rFonts w:hint="eastAsia" w:ascii="宋体" w:hAnsi="宋体" w:cs="宋体"/>
          <w:szCs w:val="21"/>
          <w:highlight w:val="none"/>
        </w:rPr>
      </w:pPr>
      <w:r>
        <w:rPr>
          <w:rFonts w:hint="eastAsia" w:ascii="宋体" w:hAnsi="宋体" w:cs="宋体"/>
          <w:szCs w:val="21"/>
          <w:highlight w:val="none"/>
        </w:rPr>
        <w:t>3.如对本表中某种情形的评审意见不一致时，以评标委员会过半数成员的意见作为评标委员会对该情形的认定结论。</w:t>
      </w:r>
    </w:p>
    <w:p>
      <w:pPr>
        <w:keepNext w:val="0"/>
        <w:keepLines w:val="0"/>
        <w:pageBreakBefore w:val="0"/>
        <w:widowControl w:val="0"/>
        <w:kinsoku/>
        <w:wordWrap/>
        <w:overflowPunct/>
        <w:topLinePunct w:val="0"/>
        <w:autoSpaceDE/>
        <w:autoSpaceDN/>
        <w:bidi w:val="0"/>
        <w:adjustRightInd/>
        <w:spacing w:line="360" w:lineRule="auto"/>
        <w:ind w:firstLine="458"/>
        <w:textAlignment w:val="auto"/>
        <w:rPr>
          <w:rFonts w:ascii="宋体" w:hAnsi="宋体" w:cs="宋体"/>
          <w:b/>
          <w:bCs w:val="0"/>
          <w:color w:val="auto"/>
          <w:szCs w:val="21"/>
          <w:u w:val="single"/>
        </w:rPr>
      </w:pPr>
      <w:r>
        <w:rPr>
          <w:rFonts w:hint="eastAsia" w:ascii="宋体" w:hAnsi="宋体" w:cs="宋体"/>
          <w:b/>
          <w:bCs w:val="0"/>
          <w:color w:val="auto"/>
          <w:szCs w:val="21"/>
          <w:u w:val="singl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10"/>
        <w:keepNext w:val="0"/>
        <w:keepLines w:val="0"/>
        <w:pageBreakBefore w:val="0"/>
        <w:widowControl w:val="0"/>
        <w:kinsoku/>
        <w:wordWrap/>
        <w:overflowPunct/>
        <w:topLinePunct w:val="0"/>
        <w:autoSpaceDE/>
        <w:autoSpaceDN/>
        <w:bidi w:val="0"/>
        <w:adjustRightInd/>
        <w:spacing w:line="360" w:lineRule="auto"/>
        <w:textAlignment w:val="auto"/>
        <w:rPr>
          <w:rFonts w:hint="eastAsia"/>
          <w:b/>
          <w:bCs w:val="0"/>
          <w:color w:val="auto"/>
        </w:rPr>
      </w:pPr>
    </w:p>
    <w:p>
      <w:pPr>
        <w:pStyle w:val="38"/>
        <w:keepNext w:val="0"/>
        <w:keepLines w:val="0"/>
        <w:pageBreakBefore w:val="0"/>
        <w:widowControl w:val="0"/>
        <w:kinsoku/>
        <w:wordWrap/>
        <w:overflowPunct/>
        <w:topLinePunct w:val="0"/>
        <w:autoSpaceDE/>
        <w:autoSpaceDN/>
        <w:bidi w:val="0"/>
        <w:adjustRightInd/>
        <w:spacing w:line="360" w:lineRule="auto"/>
        <w:ind w:firstLine="458"/>
        <w:textAlignment w:val="auto"/>
        <w:rPr>
          <w:rStyle w:val="35"/>
          <w:rFonts w:ascii="宋体" w:hAnsi="宋体"/>
          <w:sz w:val="21"/>
          <w:szCs w:val="21"/>
          <w:highlight w:val="none"/>
        </w:rPr>
        <w:sectPr>
          <w:footerReference r:id="rId4" w:type="first"/>
          <w:footerReference r:id="rId3" w:type="default"/>
          <w:endnotePr>
            <w:numFmt w:val="decimal"/>
          </w:endnotePr>
          <w:pgSz w:w="16838" w:h="11906" w:orient="landscape"/>
          <w:pgMar w:top="1134" w:right="1418" w:bottom="1247" w:left="1418" w:header="851" w:footer="907" w:gutter="0"/>
          <w:pgNumType w:fmt="decimal"/>
          <w:cols w:space="720" w:num="1"/>
          <w:titlePg/>
          <w:docGrid w:type="lines" w:linePitch="312" w:charSpace="0"/>
        </w:sectPr>
      </w:pPr>
      <w:r>
        <w:rPr>
          <w:rStyle w:val="35"/>
          <w:rFonts w:ascii="宋体" w:hAnsi="宋体"/>
          <w:sz w:val="21"/>
          <w:szCs w:val="21"/>
          <w:highlight w:val="none"/>
        </w:rPr>
        <w:t>评委签名：</w:t>
      </w:r>
    </w:p>
    <w:p>
      <w:pPr>
        <w:rPr>
          <w:rFonts w:hint="eastAsia" w:ascii="宋体" w:hAnsi="宋体" w:cs="宋体"/>
          <w:szCs w:val="21"/>
          <w:highlight w:val="none"/>
        </w:rPr>
      </w:pPr>
      <w:r>
        <w:rPr>
          <w:rFonts w:hint="eastAsia" w:ascii="宋体" w:hAnsi="宋体" w:cs="宋体"/>
          <w:szCs w:val="21"/>
          <w:highlight w:val="none"/>
        </w:rPr>
        <w:t>附表四</w:t>
      </w:r>
    </w:p>
    <w:p>
      <w:pPr>
        <w:rPr>
          <w:highlight w:val="none"/>
        </w:rPr>
      </w:pPr>
    </w:p>
    <w:p>
      <w:pPr>
        <w:jc w:val="center"/>
        <w:rPr>
          <w:rFonts w:ascii="宋体" w:hAnsi="宋体"/>
          <w:b/>
          <w:sz w:val="28"/>
          <w:szCs w:val="28"/>
          <w:highlight w:val="none"/>
        </w:rPr>
      </w:pPr>
      <w:r>
        <w:rPr>
          <w:rFonts w:hint="eastAsia" w:ascii="宋体" w:hAnsi="宋体"/>
          <w:b/>
          <w:sz w:val="28"/>
          <w:szCs w:val="28"/>
          <w:highlight w:val="none"/>
        </w:rPr>
        <w:t>技术标详细审查评分表</w:t>
      </w:r>
    </w:p>
    <w:tbl>
      <w:tblPr>
        <w:tblStyle w:val="15"/>
        <w:tblW w:w="14629"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775"/>
        <w:gridCol w:w="1200"/>
        <w:gridCol w:w="652"/>
        <w:gridCol w:w="11499"/>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blHeader/>
          <w:jc w:val="center"/>
        </w:trPr>
        <w:tc>
          <w:tcPr>
            <w:tcW w:w="503" w:type="dxa"/>
            <w:noWrap w:val="0"/>
            <w:vAlign w:val="center"/>
          </w:tcPr>
          <w:p>
            <w:pPr>
              <w:adjustRightInd w:val="0"/>
              <w:snapToGrid w:val="0"/>
              <w:jc w:val="center"/>
              <w:rPr>
                <w:rFonts w:ascii="宋体" w:hAnsi="宋体" w:cs="宋体"/>
                <w:b/>
                <w:sz w:val="18"/>
                <w:szCs w:val="18"/>
                <w:highlight w:val="none"/>
              </w:rPr>
            </w:pPr>
            <w:r>
              <w:rPr>
                <w:rFonts w:hint="eastAsia" w:ascii="宋体" w:hAnsi="宋体" w:cs="宋体"/>
                <w:b/>
                <w:sz w:val="18"/>
                <w:szCs w:val="18"/>
                <w:highlight w:val="none"/>
              </w:rPr>
              <w:t>序号</w:t>
            </w:r>
          </w:p>
        </w:tc>
        <w:tc>
          <w:tcPr>
            <w:tcW w:w="775" w:type="dxa"/>
            <w:noWrap w:val="0"/>
            <w:vAlign w:val="center"/>
          </w:tcPr>
          <w:p>
            <w:pPr>
              <w:adjustRightInd w:val="0"/>
              <w:snapToGrid w:val="0"/>
              <w:jc w:val="center"/>
              <w:rPr>
                <w:rFonts w:ascii="宋体" w:hAnsi="宋体" w:cs="宋体"/>
                <w:b/>
                <w:sz w:val="18"/>
                <w:szCs w:val="18"/>
                <w:highlight w:val="none"/>
              </w:rPr>
            </w:pPr>
            <w:r>
              <w:rPr>
                <w:rFonts w:hint="eastAsia" w:ascii="宋体" w:hAnsi="宋体" w:cs="宋体"/>
                <w:b/>
                <w:sz w:val="18"/>
                <w:szCs w:val="18"/>
                <w:highlight w:val="none"/>
              </w:rPr>
              <w:t>评分</w:t>
            </w:r>
          </w:p>
          <w:p>
            <w:pPr>
              <w:adjustRightInd w:val="0"/>
              <w:snapToGrid w:val="0"/>
              <w:jc w:val="center"/>
              <w:rPr>
                <w:rFonts w:ascii="宋体" w:hAnsi="宋体" w:cs="宋体"/>
                <w:b/>
                <w:sz w:val="18"/>
                <w:szCs w:val="18"/>
                <w:highlight w:val="none"/>
              </w:rPr>
            </w:pPr>
            <w:r>
              <w:rPr>
                <w:rFonts w:hint="eastAsia" w:ascii="宋体" w:hAnsi="宋体" w:cs="宋体"/>
                <w:b/>
                <w:sz w:val="18"/>
                <w:szCs w:val="18"/>
                <w:highlight w:val="none"/>
              </w:rPr>
              <w:t>项目</w:t>
            </w:r>
          </w:p>
        </w:tc>
        <w:tc>
          <w:tcPr>
            <w:tcW w:w="1200" w:type="dxa"/>
            <w:noWrap w:val="0"/>
            <w:vAlign w:val="center"/>
          </w:tcPr>
          <w:p>
            <w:pPr>
              <w:adjustRightInd w:val="0"/>
              <w:snapToGrid w:val="0"/>
              <w:jc w:val="center"/>
              <w:rPr>
                <w:rFonts w:ascii="宋体" w:hAnsi="宋体" w:cs="宋体"/>
                <w:b/>
                <w:sz w:val="18"/>
                <w:szCs w:val="18"/>
                <w:highlight w:val="none"/>
              </w:rPr>
            </w:pPr>
            <w:r>
              <w:rPr>
                <w:rFonts w:hint="eastAsia" w:ascii="宋体" w:hAnsi="宋体" w:cs="宋体"/>
                <w:b/>
                <w:sz w:val="18"/>
                <w:szCs w:val="18"/>
                <w:highlight w:val="none"/>
              </w:rPr>
              <w:t>评分内容</w:t>
            </w:r>
          </w:p>
        </w:tc>
        <w:tc>
          <w:tcPr>
            <w:tcW w:w="652" w:type="dxa"/>
            <w:noWrap w:val="0"/>
            <w:vAlign w:val="center"/>
          </w:tcPr>
          <w:p>
            <w:pPr>
              <w:adjustRightInd w:val="0"/>
              <w:snapToGrid w:val="0"/>
              <w:jc w:val="center"/>
              <w:rPr>
                <w:rFonts w:ascii="宋体" w:hAnsi="宋体" w:cs="宋体"/>
                <w:b/>
                <w:sz w:val="18"/>
                <w:szCs w:val="18"/>
                <w:highlight w:val="none"/>
              </w:rPr>
            </w:pPr>
            <w:r>
              <w:rPr>
                <w:rFonts w:hint="eastAsia" w:ascii="宋体" w:hAnsi="宋体" w:cs="宋体"/>
                <w:b/>
                <w:sz w:val="18"/>
                <w:szCs w:val="18"/>
                <w:highlight w:val="none"/>
              </w:rPr>
              <w:t>分值</w:t>
            </w:r>
          </w:p>
        </w:tc>
        <w:tc>
          <w:tcPr>
            <w:tcW w:w="11499" w:type="dxa"/>
            <w:noWrap w:val="0"/>
            <w:vAlign w:val="center"/>
          </w:tcPr>
          <w:p>
            <w:pPr>
              <w:adjustRightInd w:val="0"/>
              <w:snapToGrid w:val="0"/>
              <w:jc w:val="center"/>
              <w:rPr>
                <w:rFonts w:ascii="宋体" w:hAnsi="宋体" w:cs="宋体"/>
                <w:b/>
                <w:sz w:val="18"/>
                <w:szCs w:val="18"/>
                <w:highlight w:val="none"/>
              </w:rPr>
            </w:pPr>
            <w:r>
              <w:rPr>
                <w:rFonts w:hint="eastAsia" w:ascii="宋体" w:hAnsi="宋体" w:cs="宋体"/>
                <w:b/>
                <w:sz w:val="18"/>
                <w:szCs w:val="18"/>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503" w:type="dxa"/>
            <w:vMerge w:val="restart"/>
            <w:noWrap w:val="0"/>
            <w:vAlign w:val="center"/>
          </w:tcPr>
          <w:p>
            <w:pPr>
              <w:adjustRightInd w:val="0"/>
              <w:snapToGrid w:val="0"/>
              <w:jc w:val="center"/>
              <w:rPr>
                <w:rFonts w:ascii="宋体" w:hAnsi="宋体" w:cs="宋体"/>
                <w:b/>
                <w:sz w:val="18"/>
                <w:szCs w:val="18"/>
                <w:highlight w:val="none"/>
              </w:rPr>
            </w:pPr>
            <w:r>
              <w:rPr>
                <w:rFonts w:hint="eastAsia" w:ascii="宋体" w:hAnsi="宋体" w:cs="宋体"/>
                <w:b/>
                <w:sz w:val="18"/>
                <w:szCs w:val="18"/>
                <w:highlight w:val="none"/>
              </w:rPr>
              <w:t>一</w:t>
            </w:r>
          </w:p>
        </w:tc>
        <w:tc>
          <w:tcPr>
            <w:tcW w:w="775" w:type="dxa"/>
            <w:vMerge w:val="restart"/>
            <w:noWrap w:val="0"/>
            <w:vAlign w:val="center"/>
          </w:tcPr>
          <w:p>
            <w:pPr>
              <w:adjustRightInd w:val="0"/>
              <w:snapToGrid w:val="0"/>
              <w:jc w:val="center"/>
              <w:rPr>
                <w:rFonts w:ascii="宋体" w:hAnsi="宋体" w:cs="宋体"/>
                <w:b/>
                <w:sz w:val="18"/>
                <w:szCs w:val="18"/>
                <w:highlight w:val="none"/>
              </w:rPr>
            </w:pPr>
            <w:r>
              <w:rPr>
                <w:rFonts w:hint="eastAsia" w:ascii="宋体" w:hAnsi="宋体" w:cs="宋体"/>
                <w:b/>
                <w:sz w:val="18"/>
                <w:szCs w:val="18"/>
                <w:highlight w:val="none"/>
              </w:rPr>
              <w:t>项目管理机构</w:t>
            </w:r>
            <w:r>
              <w:rPr>
                <w:rFonts w:hint="eastAsia" w:ascii="宋体" w:hAnsi="宋体" w:cs="宋体"/>
                <w:b/>
                <w:sz w:val="18"/>
                <w:szCs w:val="18"/>
                <w:highlight w:val="none"/>
                <w:lang w:eastAsia="zh-CN"/>
              </w:rPr>
              <w:t>（</w:t>
            </w:r>
            <w:r>
              <w:rPr>
                <w:rFonts w:hint="eastAsia" w:ascii="宋体" w:hAnsi="宋体" w:cs="宋体"/>
                <w:b/>
                <w:sz w:val="18"/>
                <w:szCs w:val="18"/>
                <w:highlight w:val="none"/>
              </w:rPr>
              <w:t>14分)</w:t>
            </w:r>
          </w:p>
        </w:tc>
        <w:tc>
          <w:tcPr>
            <w:tcW w:w="1200" w:type="dxa"/>
            <w:noWrap w:val="0"/>
            <w:vAlign w:val="center"/>
          </w:tcPr>
          <w:p>
            <w:pPr>
              <w:adjustRightInd w:val="0"/>
              <w:snapToGrid w:val="0"/>
              <w:jc w:val="center"/>
              <w:rPr>
                <w:rFonts w:ascii="宋体" w:hAnsi="宋体" w:cs="宋体"/>
                <w:sz w:val="18"/>
                <w:szCs w:val="18"/>
                <w:highlight w:val="none"/>
              </w:rPr>
            </w:pPr>
            <w:r>
              <w:rPr>
                <w:rFonts w:hint="eastAsia" w:ascii="宋体" w:hAnsi="宋体" w:cs="宋体"/>
                <w:b/>
                <w:sz w:val="18"/>
                <w:szCs w:val="18"/>
                <w:highlight w:val="none"/>
              </w:rPr>
              <w:t>项目管理机构-</w:t>
            </w:r>
            <w:r>
              <w:rPr>
                <w:rFonts w:hint="eastAsia" w:ascii="宋体" w:hAnsi="宋体" w:cs="宋体"/>
                <w:sz w:val="18"/>
                <w:szCs w:val="18"/>
                <w:highlight w:val="none"/>
              </w:rPr>
              <w:t>技术负责人</w:t>
            </w:r>
          </w:p>
        </w:tc>
        <w:tc>
          <w:tcPr>
            <w:tcW w:w="652" w:type="dxa"/>
            <w:noWrap w:val="0"/>
            <w:vAlign w:val="center"/>
          </w:tcPr>
          <w:p>
            <w:pPr>
              <w:adjustRightInd w:val="0"/>
              <w:snapToGrid w:val="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2</w:t>
            </w:r>
          </w:p>
        </w:tc>
        <w:tc>
          <w:tcPr>
            <w:tcW w:w="11499" w:type="dxa"/>
            <w:noWrap w:val="0"/>
            <w:vAlign w:val="center"/>
          </w:tcPr>
          <w:p>
            <w:pPr>
              <w:tabs>
                <w:tab w:val="left" w:pos="1526"/>
              </w:tabs>
              <w:snapToGrid w:val="0"/>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1、</w:t>
            </w:r>
            <w:r>
              <w:rPr>
                <w:rFonts w:hint="eastAsia" w:ascii="宋体" w:hAnsi="宋体" w:cs="宋体"/>
                <w:sz w:val="18"/>
                <w:szCs w:val="18"/>
                <w:highlight w:val="none"/>
              </w:rPr>
              <w:t>拟委派的技术负责人自20</w:t>
            </w:r>
            <w:r>
              <w:rPr>
                <w:rFonts w:hint="eastAsia" w:ascii="宋体" w:hAnsi="宋体" w:cs="宋体"/>
                <w:sz w:val="18"/>
                <w:szCs w:val="18"/>
                <w:highlight w:val="none"/>
                <w:lang w:val="en-US" w:eastAsia="zh-CN"/>
              </w:rPr>
              <w:t>20</w:t>
            </w:r>
            <w:r>
              <w:rPr>
                <w:rFonts w:hint="eastAsia" w:ascii="宋体" w:hAnsi="宋体" w:cs="宋体"/>
                <w:sz w:val="18"/>
                <w:szCs w:val="18"/>
                <w:highlight w:val="none"/>
              </w:rPr>
              <w:t>年1月1日至投标截止时间止，作为技术负责人完成过质量合格的类似业绩的，每项得0.5分，本项最高得</w:t>
            </w:r>
            <w:r>
              <w:rPr>
                <w:rFonts w:hint="eastAsia" w:ascii="宋体" w:hAnsi="宋体" w:cs="宋体"/>
                <w:sz w:val="18"/>
                <w:szCs w:val="18"/>
                <w:highlight w:val="none"/>
                <w:lang w:val="en-US" w:eastAsia="zh-CN"/>
              </w:rPr>
              <w:t>1.5</w:t>
            </w:r>
            <w:r>
              <w:rPr>
                <w:rFonts w:hint="eastAsia" w:ascii="宋体" w:hAnsi="宋体" w:cs="宋体"/>
                <w:sz w:val="18"/>
                <w:szCs w:val="18"/>
                <w:highlight w:val="none"/>
              </w:rPr>
              <w:t>分，不满足不得分</w:t>
            </w:r>
            <w:r>
              <w:rPr>
                <w:rFonts w:hint="eastAsia" w:ascii="宋体" w:hAnsi="宋体" w:cs="宋体"/>
                <w:sz w:val="18"/>
                <w:szCs w:val="18"/>
                <w:highlight w:val="none"/>
                <w:lang w:eastAsia="zh-CN"/>
              </w:rPr>
              <w:t>；</w:t>
            </w:r>
          </w:p>
          <w:p>
            <w:pPr>
              <w:tabs>
                <w:tab w:val="left" w:pos="1526"/>
              </w:tabs>
              <w:snapToGrid w:val="0"/>
              <w:rPr>
                <w:rFonts w:ascii="宋体" w:hAnsi="宋体" w:cs="宋体"/>
                <w:sz w:val="18"/>
                <w:szCs w:val="18"/>
                <w:highlight w:val="none"/>
              </w:rPr>
            </w:pPr>
            <w:r>
              <w:rPr>
                <w:rFonts w:hint="eastAsia" w:ascii="宋体" w:hAnsi="宋体" w:cs="宋体"/>
                <w:sz w:val="18"/>
                <w:szCs w:val="18"/>
                <w:highlight w:val="none"/>
                <w:lang w:val="en-US" w:eastAsia="zh-CN"/>
              </w:rPr>
              <w:t>2、</w:t>
            </w:r>
            <w:r>
              <w:rPr>
                <w:rFonts w:hint="eastAsia" w:ascii="宋体" w:hAnsi="宋体"/>
                <w:sz w:val="18"/>
                <w:szCs w:val="18"/>
                <w:highlight w:val="none"/>
              </w:rPr>
              <w:t>具有有效的</w:t>
            </w:r>
            <w:r>
              <w:rPr>
                <w:rFonts w:hint="eastAsia" w:ascii="宋体" w:hAnsi="宋体"/>
                <w:sz w:val="18"/>
                <w:szCs w:val="18"/>
                <w:highlight w:val="none"/>
                <w:lang w:eastAsia="zh-CN"/>
              </w:rPr>
              <w:t>建筑</w:t>
            </w:r>
            <w:r>
              <w:rPr>
                <w:rFonts w:hint="eastAsia" w:ascii="宋体" w:hAnsi="宋体"/>
                <w:sz w:val="18"/>
                <w:szCs w:val="18"/>
                <w:highlight w:val="none"/>
              </w:rPr>
              <w:t>工程专业注册建造师证的</w:t>
            </w:r>
            <w:r>
              <w:rPr>
                <w:rFonts w:hint="eastAsia" w:ascii="宋体" w:hAnsi="宋体"/>
                <w:sz w:val="18"/>
                <w:szCs w:val="18"/>
                <w:highlight w:val="none"/>
                <w:lang w:eastAsia="zh-CN"/>
              </w:rPr>
              <w:t>，得</w:t>
            </w:r>
            <w:r>
              <w:rPr>
                <w:rFonts w:hint="eastAsia" w:ascii="宋体" w:hAnsi="宋体"/>
                <w:sz w:val="18"/>
                <w:szCs w:val="18"/>
                <w:highlight w:val="none"/>
                <w:lang w:val="en-US" w:eastAsia="zh-CN"/>
              </w:rPr>
              <w:t>0.5分</w:t>
            </w:r>
            <w:r>
              <w:rPr>
                <w:rFonts w:hint="eastAsia" w:ascii="宋体" w:hAnsi="宋体" w:cs="宋体"/>
                <w:sz w:val="18"/>
                <w:szCs w:val="18"/>
                <w:highlight w:val="none"/>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503" w:type="dxa"/>
            <w:vMerge w:val="continue"/>
            <w:noWrap w:val="0"/>
            <w:vAlign w:val="center"/>
          </w:tcPr>
          <w:p>
            <w:pPr>
              <w:adjustRightInd w:val="0"/>
              <w:snapToGrid w:val="0"/>
              <w:jc w:val="center"/>
              <w:rPr>
                <w:rFonts w:ascii="宋体" w:hAnsi="宋体" w:cs="宋体"/>
                <w:b/>
                <w:sz w:val="18"/>
                <w:szCs w:val="18"/>
                <w:highlight w:val="none"/>
              </w:rPr>
            </w:pPr>
          </w:p>
        </w:tc>
        <w:tc>
          <w:tcPr>
            <w:tcW w:w="775" w:type="dxa"/>
            <w:vMerge w:val="continue"/>
            <w:noWrap w:val="0"/>
            <w:vAlign w:val="center"/>
          </w:tcPr>
          <w:p>
            <w:pPr>
              <w:adjustRightInd w:val="0"/>
              <w:snapToGrid w:val="0"/>
              <w:jc w:val="center"/>
              <w:rPr>
                <w:rFonts w:ascii="宋体" w:hAnsi="宋体" w:cs="宋体"/>
                <w:b/>
                <w:sz w:val="18"/>
                <w:szCs w:val="18"/>
                <w:highlight w:val="none"/>
              </w:rPr>
            </w:pPr>
          </w:p>
        </w:tc>
        <w:tc>
          <w:tcPr>
            <w:tcW w:w="1200" w:type="dxa"/>
            <w:noWrap w:val="0"/>
            <w:vAlign w:val="center"/>
          </w:tcPr>
          <w:p>
            <w:pPr>
              <w:adjustRightInd w:val="0"/>
              <w:snapToGrid w:val="0"/>
              <w:jc w:val="center"/>
              <w:rPr>
                <w:rFonts w:ascii="宋体" w:hAnsi="宋体" w:cs="宋体"/>
                <w:sz w:val="18"/>
                <w:szCs w:val="18"/>
                <w:highlight w:val="none"/>
              </w:rPr>
            </w:pPr>
            <w:r>
              <w:rPr>
                <w:rFonts w:hint="eastAsia" w:ascii="宋体" w:hAnsi="宋体" w:cs="宋体"/>
                <w:b/>
                <w:sz w:val="18"/>
                <w:szCs w:val="18"/>
                <w:highlight w:val="none"/>
              </w:rPr>
              <w:t>项目管理机构-</w:t>
            </w:r>
            <w:r>
              <w:rPr>
                <w:rFonts w:hint="eastAsia" w:ascii="宋体" w:hAnsi="宋体" w:cs="宋体"/>
                <w:sz w:val="18"/>
                <w:szCs w:val="18"/>
                <w:highlight w:val="none"/>
              </w:rPr>
              <w:t>质量负责人</w:t>
            </w:r>
          </w:p>
        </w:tc>
        <w:tc>
          <w:tcPr>
            <w:tcW w:w="652" w:type="dxa"/>
            <w:noWrap w:val="0"/>
            <w:vAlign w:val="center"/>
          </w:tcPr>
          <w:p>
            <w:pPr>
              <w:adjustRightInd w:val="0"/>
              <w:snapToGrid w:val="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2</w:t>
            </w:r>
          </w:p>
        </w:tc>
        <w:tc>
          <w:tcPr>
            <w:tcW w:w="11499" w:type="dxa"/>
            <w:noWrap w:val="0"/>
            <w:vAlign w:val="center"/>
          </w:tcPr>
          <w:p>
            <w:pPr>
              <w:numPr>
                <w:ilvl w:val="0"/>
                <w:numId w:val="3"/>
              </w:numPr>
              <w:tabs>
                <w:tab w:val="left" w:pos="1526"/>
              </w:tabs>
              <w:snapToGrid w:val="0"/>
              <w:rPr>
                <w:rFonts w:hint="eastAsia" w:ascii="宋体" w:hAnsi="宋体" w:cs="宋体"/>
                <w:sz w:val="18"/>
                <w:szCs w:val="18"/>
                <w:highlight w:val="none"/>
              </w:rPr>
            </w:pPr>
            <w:r>
              <w:rPr>
                <w:rFonts w:hint="eastAsia" w:ascii="宋体" w:hAnsi="宋体" w:cs="宋体"/>
                <w:sz w:val="18"/>
                <w:szCs w:val="18"/>
                <w:highlight w:val="none"/>
              </w:rPr>
              <w:t>拟委派的质量负责人自20</w:t>
            </w:r>
            <w:r>
              <w:rPr>
                <w:rFonts w:hint="eastAsia" w:ascii="宋体" w:hAnsi="宋体" w:cs="宋体"/>
                <w:sz w:val="18"/>
                <w:szCs w:val="18"/>
                <w:highlight w:val="none"/>
                <w:lang w:val="en-US" w:eastAsia="zh-CN"/>
              </w:rPr>
              <w:t>20</w:t>
            </w:r>
            <w:r>
              <w:rPr>
                <w:rFonts w:hint="eastAsia" w:ascii="宋体" w:hAnsi="宋体" w:cs="宋体"/>
                <w:sz w:val="18"/>
                <w:szCs w:val="18"/>
                <w:highlight w:val="none"/>
              </w:rPr>
              <w:t>年1月1日至投标截止时间止，作为质量负责人完成过质量合格的类似业绩的，每项得0.5分，本项最高得</w:t>
            </w:r>
            <w:r>
              <w:rPr>
                <w:rFonts w:hint="eastAsia" w:ascii="宋体" w:hAnsi="宋体" w:cs="宋体"/>
                <w:sz w:val="18"/>
                <w:szCs w:val="18"/>
                <w:highlight w:val="none"/>
                <w:lang w:val="en-US" w:eastAsia="zh-CN"/>
              </w:rPr>
              <w:t>1.5</w:t>
            </w:r>
            <w:r>
              <w:rPr>
                <w:rFonts w:hint="eastAsia" w:ascii="宋体" w:hAnsi="宋体" w:cs="宋体"/>
                <w:sz w:val="18"/>
                <w:szCs w:val="18"/>
                <w:highlight w:val="none"/>
              </w:rPr>
              <w:t>分，不满足不得分</w:t>
            </w:r>
            <w:r>
              <w:rPr>
                <w:rFonts w:hint="eastAsia" w:ascii="宋体" w:hAnsi="宋体" w:cs="宋体"/>
                <w:sz w:val="18"/>
                <w:szCs w:val="18"/>
                <w:highlight w:val="none"/>
                <w:lang w:eastAsia="zh-CN"/>
              </w:rPr>
              <w:t>；</w:t>
            </w:r>
          </w:p>
          <w:p>
            <w:pPr>
              <w:numPr>
                <w:ilvl w:val="0"/>
                <w:numId w:val="3"/>
              </w:numPr>
              <w:tabs>
                <w:tab w:val="left" w:pos="1526"/>
              </w:tabs>
              <w:snapToGrid w:val="0"/>
              <w:rPr>
                <w:rFonts w:ascii="宋体" w:hAnsi="宋体" w:cs="宋体"/>
                <w:sz w:val="18"/>
                <w:szCs w:val="18"/>
                <w:highlight w:val="none"/>
              </w:rPr>
            </w:pPr>
            <w:r>
              <w:rPr>
                <w:rFonts w:hint="eastAsia"/>
                <w:sz w:val="18"/>
                <w:szCs w:val="18"/>
                <w:highlight w:val="none"/>
                <w:lang w:val="en-US" w:eastAsia="zh-CN"/>
              </w:rPr>
              <w:t>工作年限（时间以毕业证的发证日期起算）</w:t>
            </w:r>
            <w:r>
              <w:rPr>
                <w:rFonts w:hint="eastAsia" w:ascii="宋体" w:hAnsi="宋体" w:cs="宋体"/>
                <w:sz w:val="18"/>
                <w:szCs w:val="18"/>
                <w:highlight w:val="none"/>
              </w:rPr>
              <w:t>10年（不含10年）以上的得</w:t>
            </w:r>
            <w:r>
              <w:rPr>
                <w:rFonts w:hint="eastAsia" w:ascii="宋体" w:hAnsi="宋体" w:cs="宋体"/>
                <w:sz w:val="18"/>
                <w:szCs w:val="18"/>
                <w:highlight w:val="none"/>
                <w:lang w:val="en-US" w:eastAsia="zh-CN"/>
              </w:rPr>
              <w:t>0.5</w:t>
            </w:r>
            <w:r>
              <w:rPr>
                <w:rFonts w:hint="eastAsia" w:ascii="宋体" w:hAnsi="宋体" w:cs="宋体"/>
                <w:sz w:val="18"/>
                <w:szCs w:val="18"/>
                <w:highlight w:val="none"/>
              </w:rPr>
              <w:t>分；</w:t>
            </w:r>
            <w:r>
              <w:rPr>
                <w:rFonts w:hint="eastAsia" w:ascii="宋体" w:hAnsi="宋体" w:cs="宋体"/>
                <w:sz w:val="18"/>
                <w:szCs w:val="18"/>
                <w:highlight w:val="none"/>
                <w:lang w:val="en-US" w:eastAsia="zh-CN"/>
              </w:rPr>
              <w:t>10</w:t>
            </w:r>
            <w:r>
              <w:rPr>
                <w:rFonts w:hint="eastAsia" w:ascii="宋体" w:hAnsi="宋体" w:cs="宋体"/>
                <w:sz w:val="18"/>
                <w:szCs w:val="18"/>
                <w:highlight w:val="none"/>
              </w:rPr>
              <w:t>年（含</w:t>
            </w:r>
            <w:r>
              <w:rPr>
                <w:rFonts w:hint="eastAsia" w:ascii="宋体" w:hAnsi="宋体" w:cs="宋体"/>
                <w:sz w:val="18"/>
                <w:szCs w:val="18"/>
                <w:highlight w:val="none"/>
                <w:lang w:val="en-US" w:eastAsia="zh-CN"/>
              </w:rPr>
              <w:t>10</w:t>
            </w:r>
            <w:r>
              <w:rPr>
                <w:rFonts w:hint="eastAsia" w:ascii="宋体" w:hAnsi="宋体" w:cs="宋体"/>
                <w:sz w:val="18"/>
                <w:szCs w:val="18"/>
                <w:highlight w:val="none"/>
              </w:rPr>
              <w:t>年）以下的得</w:t>
            </w:r>
            <w:r>
              <w:rPr>
                <w:rFonts w:hint="eastAsia" w:ascii="宋体" w:hAnsi="宋体" w:cs="宋体"/>
                <w:sz w:val="18"/>
                <w:szCs w:val="18"/>
                <w:highlight w:val="none"/>
                <w:lang w:val="en-US" w:eastAsia="zh-CN"/>
              </w:rPr>
              <w:t>0.2</w:t>
            </w:r>
            <w:bookmarkStart w:id="0" w:name="_GoBack"/>
            <w:bookmarkEnd w:id="0"/>
            <w:r>
              <w:rPr>
                <w:rFonts w:hint="eastAsia" w:ascii="宋体" w:hAnsi="宋体" w:cs="宋体"/>
                <w:sz w:val="18"/>
                <w:szCs w:val="18"/>
                <w:highlight w:val="none"/>
              </w:rPr>
              <w:t>分</w:t>
            </w:r>
            <w:r>
              <w:rPr>
                <w:rFonts w:hint="eastAsia" w:ascii="宋体" w:hAnsi="宋体" w:cs="宋体"/>
                <w:sz w:val="18"/>
                <w:szCs w:val="18"/>
                <w:highlight w:val="none"/>
                <w:lang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4" w:hRule="atLeast"/>
          <w:jc w:val="center"/>
        </w:trPr>
        <w:tc>
          <w:tcPr>
            <w:tcW w:w="503" w:type="dxa"/>
            <w:vMerge w:val="continue"/>
            <w:noWrap w:val="0"/>
            <w:vAlign w:val="center"/>
          </w:tcPr>
          <w:p>
            <w:pPr>
              <w:adjustRightInd w:val="0"/>
              <w:snapToGrid w:val="0"/>
              <w:jc w:val="center"/>
              <w:rPr>
                <w:rFonts w:ascii="宋体" w:hAnsi="宋体" w:cs="宋体"/>
                <w:b/>
                <w:sz w:val="18"/>
                <w:szCs w:val="18"/>
                <w:highlight w:val="none"/>
              </w:rPr>
            </w:pPr>
          </w:p>
        </w:tc>
        <w:tc>
          <w:tcPr>
            <w:tcW w:w="775" w:type="dxa"/>
            <w:vMerge w:val="continue"/>
            <w:noWrap w:val="0"/>
            <w:vAlign w:val="center"/>
          </w:tcPr>
          <w:p>
            <w:pPr>
              <w:adjustRightInd w:val="0"/>
              <w:snapToGrid w:val="0"/>
              <w:jc w:val="center"/>
              <w:rPr>
                <w:rFonts w:ascii="宋体" w:hAnsi="宋体" w:cs="宋体"/>
                <w:b/>
                <w:sz w:val="18"/>
                <w:szCs w:val="18"/>
                <w:highlight w:val="none"/>
              </w:rPr>
            </w:pPr>
          </w:p>
        </w:tc>
        <w:tc>
          <w:tcPr>
            <w:tcW w:w="1200" w:type="dxa"/>
            <w:noWrap w:val="0"/>
            <w:vAlign w:val="center"/>
          </w:tcPr>
          <w:p>
            <w:pPr>
              <w:adjustRightInd w:val="0"/>
              <w:snapToGrid w:val="0"/>
              <w:jc w:val="center"/>
              <w:rPr>
                <w:rFonts w:ascii="宋体" w:hAnsi="宋体" w:cs="宋体"/>
                <w:sz w:val="18"/>
                <w:szCs w:val="18"/>
                <w:highlight w:val="none"/>
              </w:rPr>
            </w:pPr>
            <w:r>
              <w:rPr>
                <w:rFonts w:hint="eastAsia" w:ascii="宋体" w:hAnsi="宋体" w:cs="宋体"/>
                <w:b/>
                <w:sz w:val="18"/>
                <w:szCs w:val="18"/>
                <w:highlight w:val="none"/>
              </w:rPr>
              <w:t>项目管理机构-</w:t>
            </w:r>
            <w:r>
              <w:rPr>
                <w:rFonts w:hint="eastAsia" w:ascii="宋体" w:hAnsi="宋体" w:cs="宋体"/>
                <w:sz w:val="18"/>
                <w:szCs w:val="18"/>
                <w:highlight w:val="none"/>
              </w:rPr>
              <w:t>安全负责人</w:t>
            </w:r>
          </w:p>
        </w:tc>
        <w:tc>
          <w:tcPr>
            <w:tcW w:w="652" w:type="dxa"/>
            <w:noWrap w:val="0"/>
            <w:vAlign w:val="center"/>
          </w:tcPr>
          <w:p>
            <w:pPr>
              <w:adjustRightInd w:val="0"/>
              <w:snapToGrid w:val="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4</w:t>
            </w:r>
          </w:p>
        </w:tc>
        <w:tc>
          <w:tcPr>
            <w:tcW w:w="11499" w:type="dxa"/>
            <w:noWrap w:val="0"/>
            <w:vAlign w:val="center"/>
          </w:tcPr>
          <w:p>
            <w:pPr>
              <w:tabs>
                <w:tab w:val="left" w:pos="1526"/>
              </w:tabs>
              <w:snapToGrid w:val="0"/>
              <w:rPr>
                <w:rFonts w:ascii="宋体" w:hAnsi="宋体" w:cs="宋体"/>
                <w:sz w:val="18"/>
                <w:szCs w:val="18"/>
                <w:highlight w:val="none"/>
              </w:rPr>
            </w:pPr>
            <w:r>
              <w:rPr>
                <w:rFonts w:hint="eastAsia" w:ascii="宋体" w:hAnsi="宋体" w:cs="宋体"/>
                <w:sz w:val="18"/>
                <w:szCs w:val="18"/>
                <w:highlight w:val="none"/>
              </w:rPr>
              <w:t>1、拟委派的安全负责人具有注册安全工程师执业资格10年（不含）以上的得</w:t>
            </w:r>
            <w:r>
              <w:rPr>
                <w:rFonts w:hint="eastAsia" w:ascii="宋体" w:hAnsi="宋体" w:cs="宋体"/>
                <w:sz w:val="18"/>
                <w:szCs w:val="18"/>
                <w:highlight w:val="none"/>
                <w:lang w:val="en-US" w:eastAsia="zh-CN"/>
              </w:rPr>
              <w:t>1.5</w:t>
            </w:r>
            <w:r>
              <w:rPr>
                <w:rFonts w:hint="eastAsia" w:ascii="宋体" w:hAnsi="宋体" w:cs="宋体"/>
                <w:sz w:val="18"/>
                <w:szCs w:val="18"/>
                <w:highlight w:val="none"/>
              </w:rPr>
              <w:t>分；5年（不含）-10年（含）的得</w:t>
            </w:r>
            <w:r>
              <w:rPr>
                <w:rFonts w:hint="eastAsia" w:ascii="宋体" w:hAnsi="宋体" w:cs="宋体"/>
                <w:sz w:val="18"/>
                <w:szCs w:val="18"/>
                <w:highlight w:val="none"/>
                <w:lang w:val="en-US" w:eastAsia="zh-CN"/>
              </w:rPr>
              <w:t>1</w:t>
            </w:r>
            <w:r>
              <w:rPr>
                <w:rFonts w:hint="eastAsia" w:ascii="宋体" w:hAnsi="宋体" w:cs="宋体"/>
                <w:sz w:val="18"/>
                <w:szCs w:val="18"/>
                <w:highlight w:val="none"/>
              </w:rPr>
              <w:t>分；5年（含）或以下的得0.</w:t>
            </w:r>
            <w:r>
              <w:rPr>
                <w:rFonts w:hint="eastAsia" w:ascii="宋体" w:hAnsi="宋体" w:cs="宋体"/>
                <w:sz w:val="18"/>
                <w:szCs w:val="18"/>
                <w:highlight w:val="none"/>
                <w:lang w:val="en-US" w:eastAsia="zh-CN"/>
              </w:rPr>
              <w:t>5</w:t>
            </w:r>
            <w:r>
              <w:rPr>
                <w:rFonts w:hint="eastAsia" w:ascii="宋体" w:hAnsi="宋体" w:cs="宋体"/>
                <w:sz w:val="18"/>
                <w:szCs w:val="18"/>
                <w:highlight w:val="none"/>
              </w:rPr>
              <w:t>分；</w:t>
            </w:r>
          </w:p>
          <w:p>
            <w:pPr>
              <w:tabs>
                <w:tab w:val="left" w:pos="1526"/>
              </w:tabs>
              <w:snapToGrid w:val="0"/>
              <w:rPr>
                <w:rFonts w:ascii="宋体" w:hAnsi="宋体" w:cs="宋体"/>
                <w:sz w:val="18"/>
                <w:szCs w:val="18"/>
                <w:highlight w:val="none"/>
              </w:rPr>
            </w:pPr>
            <w:r>
              <w:rPr>
                <w:rFonts w:hint="eastAsia" w:ascii="宋体" w:hAnsi="宋体" w:cs="宋体"/>
                <w:sz w:val="18"/>
                <w:szCs w:val="18"/>
                <w:highlight w:val="none"/>
              </w:rPr>
              <w:t>注：需同时提供注册安全工程师</w:t>
            </w:r>
            <w:r>
              <w:rPr>
                <w:rFonts w:hint="eastAsia" w:ascii="宋体" w:hAnsi="宋体" w:cs="宋体"/>
                <w:b/>
                <w:bCs/>
                <w:color w:val="auto"/>
                <w:sz w:val="18"/>
                <w:szCs w:val="18"/>
                <w:highlight w:val="none"/>
                <w:lang w:val="en-US" w:eastAsia="zh-CN"/>
              </w:rPr>
              <w:t>执业</w:t>
            </w:r>
            <w:r>
              <w:rPr>
                <w:rFonts w:hint="eastAsia" w:ascii="宋体" w:hAnsi="宋体" w:cs="宋体"/>
                <w:sz w:val="18"/>
                <w:szCs w:val="18"/>
                <w:highlight w:val="none"/>
              </w:rPr>
              <w:t>证书扫描件及“</w:t>
            </w:r>
            <w:r>
              <w:rPr>
                <w:rFonts w:hint="eastAsia" w:ascii="宋体" w:hAnsi="宋体" w:cs="宋体"/>
                <w:color w:val="auto"/>
                <w:sz w:val="18"/>
                <w:szCs w:val="18"/>
                <w:highlight w:val="none"/>
              </w:rPr>
              <w:t>https://zwfw.mem.gov.cn/zwthlw/pages/hlwmh/yyfw/zcaqgcscx/index.html中华人民共和国应急管理部</w:t>
            </w:r>
            <w:r>
              <w:rPr>
                <w:rFonts w:hint="eastAsia" w:ascii="宋体" w:hAnsi="宋体" w:cs="宋体"/>
                <w:sz w:val="18"/>
                <w:szCs w:val="18"/>
                <w:highlight w:val="none"/>
              </w:rPr>
              <w:t>”网页截图并加盖投标单位电子印章。时间以注册安全工程师</w:t>
            </w:r>
            <w:r>
              <w:rPr>
                <w:rFonts w:hint="eastAsia" w:ascii="宋体" w:hAnsi="宋体" w:cs="宋体"/>
                <w:b/>
                <w:bCs/>
                <w:color w:val="auto"/>
                <w:sz w:val="18"/>
                <w:szCs w:val="18"/>
                <w:highlight w:val="none"/>
                <w:lang w:val="en-US" w:eastAsia="zh-CN"/>
              </w:rPr>
              <w:t>执业</w:t>
            </w:r>
            <w:r>
              <w:rPr>
                <w:rFonts w:hint="eastAsia" w:ascii="宋体" w:hAnsi="宋体" w:cs="宋体"/>
                <w:sz w:val="18"/>
                <w:szCs w:val="18"/>
                <w:highlight w:val="none"/>
              </w:rPr>
              <w:t>证书的发证日期起算。</w:t>
            </w:r>
          </w:p>
          <w:p>
            <w:pPr>
              <w:tabs>
                <w:tab w:val="left" w:pos="1526"/>
              </w:tabs>
              <w:snapToGrid w:val="0"/>
              <w:rPr>
                <w:rFonts w:ascii="宋体" w:hAnsi="宋体" w:cs="宋体"/>
                <w:sz w:val="18"/>
                <w:szCs w:val="18"/>
                <w:highlight w:val="none"/>
              </w:rPr>
            </w:pPr>
            <w:r>
              <w:rPr>
                <w:rFonts w:hint="eastAsia" w:ascii="宋体" w:hAnsi="宋体" w:cs="宋体"/>
                <w:sz w:val="18"/>
                <w:szCs w:val="18"/>
                <w:highlight w:val="none"/>
              </w:rPr>
              <w:t>2、拟委派的安全负责人担任安全员工作年限1</w:t>
            </w:r>
            <w:r>
              <w:rPr>
                <w:rFonts w:hint="eastAsia" w:ascii="宋体" w:hAnsi="宋体" w:cs="宋体"/>
                <w:sz w:val="18"/>
                <w:szCs w:val="18"/>
                <w:highlight w:val="none"/>
                <w:lang w:val="en-US" w:eastAsia="zh-CN"/>
              </w:rPr>
              <w:t>5</w:t>
            </w:r>
            <w:r>
              <w:rPr>
                <w:rFonts w:hint="eastAsia" w:ascii="宋体" w:hAnsi="宋体" w:cs="宋体"/>
                <w:sz w:val="18"/>
                <w:szCs w:val="18"/>
                <w:highlight w:val="none"/>
              </w:rPr>
              <w:t>年（含）以上的得1</w:t>
            </w:r>
            <w:r>
              <w:rPr>
                <w:rFonts w:hint="eastAsia" w:ascii="宋体" w:hAnsi="宋体" w:cs="宋体"/>
                <w:sz w:val="18"/>
                <w:szCs w:val="18"/>
                <w:highlight w:val="none"/>
                <w:lang w:val="en-US" w:eastAsia="zh-CN"/>
              </w:rPr>
              <w:t>.5</w:t>
            </w:r>
            <w:r>
              <w:rPr>
                <w:rFonts w:hint="eastAsia" w:ascii="宋体" w:hAnsi="宋体" w:cs="宋体"/>
                <w:sz w:val="18"/>
                <w:szCs w:val="18"/>
                <w:highlight w:val="none"/>
              </w:rPr>
              <w:t>分；</w:t>
            </w:r>
            <w:r>
              <w:rPr>
                <w:rFonts w:hint="eastAsia" w:ascii="宋体" w:hAnsi="宋体" w:cs="宋体"/>
                <w:sz w:val="18"/>
                <w:szCs w:val="18"/>
                <w:highlight w:val="none"/>
                <w:lang w:val="en-US" w:eastAsia="zh-CN"/>
              </w:rPr>
              <w:t>10</w:t>
            </w:r>
            <w:r>
              <w:rPr>
                <w:rFonts w:hint="eastAsia" w:ascii="宋体" w:hAnsi="宋体" w:cs="宋体"/>
                <w:sz w:val="18"/>
                <w:szCs w:val="18"/>
                <w:highlight w:val="none"/>
              </w:rPr>
              <w:t>年（含）-1</w:t>
            </w:r>
            <w:r>
              <w:rPr>
                <w:rFonts w:hint="eastAsia" w:ascii="宋体" w:hAnsi="宋体" w:cs="宋体"/>
                <w:sz w:val="18"/>
                <w:szCs w:val="18"/>
                <w:highlight w:val="none"/>
                <w:lang w:val="en-US" w:eastAsia="zh-CN"/>
              </w:rPr>
              <w:t>5</w:t>
            </w:r>
            <w:r>
              <w:rPr>
                <w:rFonts w:hint="eastAsia" w:ascii="宋体" w:hAnsi="宋体" w:cs="宋体"/>
                <w:sz w:val="18"/>
                <w:szCs w:val="18"/>
                <w:highlight w:val="none"/>
              </w:rPr>
              <w:t>年（</w:t>
            </w:r>
            <w:r>
              <w:rPr>
                <w:rFonts w:hint="eastAsia" w:ascii="宋体" w:hAnsi="宋体" w:cs="宋体"/>
                <w:sz w:val="18"/>
                <w:szCs w:val="18"/>
                <w:highlight w:val="none"/>
                <w:lang w:val="en-US" w:eastAsia="zh-CN"/>
              </w:rPr>
              <w:t>不</w:t>
            </w:r>
            <w:r>
              <w:rPr>
                <w:rFonts w:hint="eastAsia" w:ascii="宋体" w:hAnsi="宋体" w:cs="宋体"/>
                <w:sz w:val="18"/>
                <w:szCs w:val="18"/>
                <w:highlight w:val="none"/>
              </w:rPr>
              <w:t>含）的得</w:t>
            </w:r>
            <w:r>
              <w:rPr>
                <w:rFonts w:hint="eastAsia" w:ascii="宋体" w:hAnsi="宋体" w:cs="宋体"/>
                <w:sz w:val="18"/>
                <w:szCs w:val="18"/>
                <w:highlight w:val="none"/>
                <w:lang w:val="en-US" w:eastAsia="zh-CN"/>
              </w:rPr>
              <w:t>1</w:t>
            </w:r>
            <w:r>
              <w:rPr>
                <w:rFonts w:hint="eastAsia" w:ascii="宋体" w:hAnsi="宋体" w:cs="宋体"/>
                <w:sz w:val="18"/>
                <w:szCs w:val="18"/>
                <w:highlight w:val="none"/>
              </w:rPr>
              <w:t>分；</w:t>
            </w:r>
            <w:r>
              <w:rPr>
                <w:rFonts w:hint="eastAsia" w:ascii="宋体" w:hAnsi="宋体" w:cs="宋体"/>
                <w:sz w:val="18"/>
                <w:szCs w:val="18"/>
                <w:highlight w:val="none"/>
                <w:lang w:val="en-US" w:eastAsia="zh-CN"/>
              </w:rPr>
              <w:t>10</w:t>
            </w:r>
            <w:r>
              <w:rPr>
                <w:rFonts w:hint="eastAsia" w:ascii="宋体" w:hAnsi="宋体" w:cs="宋体"/>
                <w:sz w:val="18"/>
                <w:szCs w:val="18"/>
                <w:highlight w:val="none"/>
              </w:rPr>
              <w:t>年（</w:t>
            </w:r>
            <w:r>
              <w:rPr>
                <w:rFonts w:hint="eastAsia" w:ascii="宋体" w:hAnsi="宋体" w:cs="宋体"/>
                <w:sz w:val="18"/>
                <w:szCs w:val="18"/>
                <w:highlight w:val="none"/>
                <w:lang w:val="en-US" w:eastAsia="zh-CN"/>
              </w:rPr>
              <w:t>不</w:t>
            </w:r>
            <w:r>
              <w:rPr>
                <w:rFonts w:hint="eastAsia" w:ascii="宋体" w:hAnsi="宋体" w:cs="宋体"/>
                <w:sz w:val="18"/>
                <w:szCs w:val="18"/>
                <w:highlight w:val="none"/>
              </w:rPr>
              <w:t>含）或以下的得</w:t>
            </w:r>
            <w:r>
              <w:rPr>
                <w:rFonts w:hint="eastAsia" w:ascii="宋体" w:hAnsi="宋体" w:cs="宋体"/>
                <w:sz w:val="18"/>
                <w:szCs w:val="18"/>
                <w:highlight w:val="none"/>
                <w:lang w:val="en-US" w:eastAsia="zh-CN"/>
              </w:rPr>
              <w:t>0.5</w:t>
            </w:r>
            <w:r>
              <w:rPr>
                <w:rFonts w:hint="eastAsia" w:ascii="宋体" w:hAnsi="宋体" w:cs="宋体"/>
                <w:sz w:val="18"/>
                <w:szCs w:val="18"/>
                <w:highlight w:val="none"/>
              </w:rPr>
              <w:t>分；</w:t>
            </w:r>
          </w:p>
          <w:p>
            <w:pPr>
              <w:tabs>
                <w:tab w:val="left" w:pos="1526"/>
              </w:tabs>
              <w:snapToGrid w:val="0"/>
              <w:rPr>
                <w:rFonts w:ascii="宋体" w:hAnsi="宋体" w:cs="宋体"/>
                <w:sz w:val="18"/>
                <w:szCs w:val="18"/>
                <w:highlight w:val="none"/>
              </w:rPr>
            </w:pPr>
            <w:r>
              <w:rPr>
                <w:rFonts w:hint="eastAsia" w:ascii="宋体" w:hAnsi="宋体" w:cs="宋体"/>
                <w:sz w:val="18"/>
                <w:szCs w:val="18"/>
                <w:highlight w:val="none"/>
              </w:rPr>
              <w:t>注：需提供具有在有效期内的安全生产考核合格证（C类）或建筑施工企业专职安全生产管理人员安全生产考核合格证书（C3）扫描件并加盖投标单位电子印章。工作年限以安全生产考核合格证（C类）或建筑施工企业专职安全生产管理人员安全生产考核合格证书（C3）的</w:t>
            </w:r>
            <w:r>
              <w:rPr>
                <w:rFonts w:hint="eastAsia" w:ascii="宋体" w:hAnsi="宋体" w:cs="宋体"/>
                <w:b/>
                <w:bCs/>
                <w:color w:val="auto"/>
                <w:sz w:val="18"/>
                <w:szCs w:val="18"/>
                <w:highlight w:val="none"/>
                <w:lang w:val="en-US" w:eastAsia="zh-CN"/>
              </w:rPr>
              <w:t>发证日期</w:t>
            </w:r>
            <w:r>
              <w:rPr>
                <w:rFonts w:hint="eastAsia" w:ascii="宋体" w:hAnsi="宋体" w:cs="宋体"/>
                <w:sz w:val="18"/>
                <w:szCs w:val="18"/>
                <w:highlight w:val="none"/>
              </w:rPr>
              <w:t>起算。</w:t>
            </w:r>
          </w:p>
          <w:p>
            <w:pPr>
              <w:tabs>
                <w:tab w:val="left" w:pos="1526"/>
              </w:tabs>
              <w:snapToGrid w:val="0"/>
              <w:rPr>
                <w:rFonts w:ascii="宋体" w:hAnsi="宋体" w:cs="宋体"/>
                <w:sz w:val="18"/>
                <w:szCs w:val="18"/>
                <w:highlight w:val="none"/>
              </w:rPr>
            </w:pPr>
            <w:r>
              <w:rPr>
                <w:rFonts w:hint="eastAsia" w:ascii="宋体" w:hAnsi="宋体" w:cs="宋体"/>
                <w:sz w:val="18"/>
                <w:szCs w:val="18"/>
                <w:highlight w:val="none"/>
              </w:rPr>
              <w:t>3、拟委派的安全负责人自20</w:t>
            </w:r>
            <w:r>
              <w:rPr>
                <w:rFonts w:hint="eastAsia" w:ascii="宋体" w:hAnsi="宋体" w:cs="宋体"/>
                <w:sz w:val="18"/>
                <w:szCs w:val="18"/>
                <w:highlight w:val="none"/>
                <w:lang w:val="en-US" w:eastAsia="zh-CN"/>
              </w:rPr>
              <w:t>20</w:t>
            </w:r>
            <w:r>
              <w:rPr>
                <w:rFonts w:hint="eastAsia" w:ascii="宋体" w:hAnsi="宋体" w:cs="宋体"/>
                <w:sz w:val="18"/>
                <w:szCs w:val="18"/>
                <w:highlight w:val="none"/>
              </w:rPr>
              <w:t>年1月1日至投标截止时间止，作为安全负责人完成过</w:t>
            </w:r>
            <w:r>
              <w:rPr>
                <w:rFonts w:hint="eastAsia" w:ascii="宋体" w:hAnsi="宋体" w:cs="宋体"/>
                <w:sz w:val="18"/>
                <w:szCs w:val="18"/>
                <w:highlight w:val="none"/>
                <w:lang w:eastAsia="zh-CN"/>
              </w:rPr>
              <w:t>质量合格</w:t>
            </w:r>
            <w:r>
              <w:rPr>
                <w:rFonts w:hint="eastAsia" w:ascii="宋体" w:hAnsi="宋体" w:cs="宋体"/>
                <w:sz w:val="18"/>
                <w:szCs w:val="18"/>
                <w:highlight w:val="none"/>
              </w:rPr>
              <w:t>的类似业绩的，每项得0.</w:t>
            </w:r>
            <w:r>
              <w:rPr>
                <w:rFonts w:hint="eastAsia" w:ascii="宋体" w:hAnsi="宋体" w:cs="宋体"/>
                <w:sz w:val="18"/>
                <w:szCs w:val="18"/>
                <w:highlight w:val="none"/>
                <w:lang w:val="en-US" w:eastAsia="zh-CN"/>
              </w:rPr>
              <w:t>25</w:t>
            </w:r>
            <w:r>
              <w:rPr>
                <w:rFonts w:hint="eastAsia" w:ascii="宋体" w:hAnsi="宋体" w:cs="宋体"/>
                <w:sz w:val="18"/>
                <w:szCs w:val="18"/>
                <w:highlight w:val="none"/>
              </w:rPr>
              <w:t>分；本项最高得1分，不满足不得分；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503" w:type="dxa"/>
            <w:vMerge w:val="continue"/>
            <w:noWrap w:val="0"/>
            <w:vAlign w:val="center"/>
          </w:tcPr>
          <w:p>
            <w:pPr>
              <w:adjustRightInd w:val="0"/>
              <w:snapToGrid w:val="0"/>
              <w:jc w:val="center"/>
              <w:rPr>
                <w:rFonts w:ascii="宋体" w:hAnsi="宋体" w:cs="宋体"/>
                <w:b/>
                <w:sz w:val="18"/>
                <w:szCs w:val="18"/>
                <w:highlight w:val="none"/>
              </w:rPr>
            </w:pPr>
          </w:p>
        </w:tc>
        <w:tc>
          <w:tcPr>
            <w:tcW w:w="775" w:type="dxa"/>
            <w:vMerge w:val="continue"/>
            <w:noWrap w:val="0"/>
            <w:vAlign w:val="center"/>
          </w:tcPr>
          <w:p>
            <w:pPr>
              <w:adjustRightInd w:val="0"/>
              <w:snapToGrid w:val="0"/>
              <w:jc w:val="center"/>
              <w:rPr>
                <w:rFonts w:ascii="宋体" w:hAnsi="宋体" w:cs="宋体"/>
                <w:b/>
                <w:sz w:val="18"/>
                <w:szCs w:val="18"/>
                <w:highlight w:val="none"/>
              </w:rPr>
            </w:pPr>
          </w:p>
        </w:tc>
        <w:tc>
          <w:tcPr>
            <w:tcW w:w="1200" w:type="dxa"/>
            <w:noWrap w:val="0"/>
            <w:vAlign w:val="center"/>
          </w:tcPr>
          <w:p>
            <w:pPr>
              <w:adjustRightInd w:val="0"/>
              <w:snapToGrid w:val="0"/>
              <w:jc w:val="center"/>
              <w:rPr>
                <w:rFonts w:ascii="宋体" w:hAnsi="宋体" w:cs="宋体"/>
                <w:sz w:val="18"/>
                <w:szCs w:val="18"/>
                <w:highlight w:val="none"/>
              </w:rPr>
            </w:pPr>
            <w:r>
              <w:rPr>
                <w:rFonts w:hint="eastAsia" w:ascii="宋体" w:hAnsi="宋体" w:cs="宋体"/>
                <w:b/>
                <w:sz w:val="18"/>
                <w:szCs w:val="18"/>
                <w:highlight w:val="none"/>
              </w:rPr>
              <w:t>项目管理机构-</w:t>
            </w:r>
            <w:r>
              <w:rPr>
                <w:rFonts w:hint="eastAsia" w:ascii="宋体" w:hAnsi="宋体" w:cs="宋体"/>
                <w:sz w:val="18"/>
                <w:szCs w:val="18"/>
                <w:highlight w:val="none"/>
              </w:rPr>
              <w:t>造价负责人</w:t>
            </w:r>
          </w:p>
        </w:tc>
        <w:tc>
          <w:tcPr>
            <w:tcW w:w="652" w:type="dxa"/>
            <w:noWrap w:val="0"/>
            <w:vAlign w:val="center"/>
          </w:tcPr>
          <w:p>
            <w:pPr>
              <w:adjustRightInd w:val="0"/>
              <w:snapToGrid w:val="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4</w:t>
            </w:r>
          </w:p>
        </w:tc>
        <w:tc>
          <w:tcPr>
            <w:tcW w:w="11499" w:type="dxa"/>
            <w:noWrap w:val="0"/>
            <w:vAlign w:val="center"/>
          </w:tcPr>
          <w:p>
            <w:pPr>
              <w:tabs>
                <w:tab w:val="left" w:pos="1526"/>
              </w:tabs>
              <w:snapToGrid w:val="0"/>
              <w:rPr>
                <w:rFonts w:ascii="宋体" w:hAnsi="宋体" w:cs="宋体"/>
                <w:sz w:val="18"/>
                <w:szCs w:val="18"/>
                <w:highlight w:val="none"/>
              </w:rPr>
            </w:pPr>
            <w:r>
              <w:rPr>
                <w:rFonts w:hint="eastAsia" w:ascii="宋体" w:hAnsi="宋体" w:cs="宋体"/>
                <w:sz w:val="18"/>
                <w:szCs w:val="18"/>
                <w:highlight w:val="none"/>
              </w:rPr>
              <w:t>1、拟委派的造价负责人具有注册造价工程师执业资格15年（含）以上，得</w:t>
            </w:r>
            <w:r>
              <w:rPr>
                <w:rFonts w:hint="eastAsia" w:ascii="宋体" w:hAnsi="宋体" w:cs="宋体"/>
                <w:sz w:val="18"/>
                <w:szCs w:val="18"/>
                <w:highlight w:val="none"/>
                <w:lang w:val="en-US" w:eastAsia="zh-CN"/>
              </w:rPr>
              <w:t>1.5</w:t>
            </w:r>
            <w:r>
              <w:rPr>
                <w:rFonts w:hint="eastAsia" w:ascii="宋体" w:hAnsi="宋体" w:cs="宋体"/>
                <w:sz w:val="18"/>
                <w:szCs w:val="18"/>
                <w:highlight w:val="none"/>
              </w:rPr>
              <w:t>分，10年（含）至15年（</w:t>
            </w:r>
            <w:r>
              <w:rPr>
                <w:rFonts w:hint="eastAsia" w:ascii="宋体" w:hAnsi="宋体" w:cs="宋体"/>
                <w:sz w:val="18"/>
                <w:szCs w:val="18"/>
                <w:highlight w:val="none"/>
                <w:lang w:val="en-US" w:eastAsia="zh-CN"/>
              </w:rPr>
              <w:t>不</w:t>
            </w:r>
            <w:r>
              <w:rPr>
                <w:rFonts w:hint="eastAsia" w:ascii="宋体" w:hAnsi="宋体" w:cs="宋体"/>
                <w:sz w:val="18"/>
                <w:szCs w:val="18"/>
                <w:highlight w:val="none"/>
              </w:rPr>
              <w:t>含）得1分，10年（</w:t>
            </w:r>
            <w:r>
              <w:rPr>
                <w:rFonts w:hint="eastAsia" w:ascii="宋体" w:hAnsi="宋体" w:cs="宋体"/>
                <w:sz w:val="18"/>
                <w:szCs w:val="18"/>
                <w:highlight w:val="none"/>
                <w:lang w:val="en-US" w:eastAsia="zh-CN"/>
              </w:rPr>
              <w:t>不</w:t>
            </w:r>
            <w:r>
              <w:rPr>
                <w:rFonts w:hint="eastAsia" w:ascii="宋体" w:hAnsi="宋体" w:cs="宋体"/>
                <w:sz w:val="18"/>
                <w:szCs w:val="18"/>
                <w:highlight w:val="none"/>
              </w:rPr>
              <w:t>含）以下的得0.5分；</w:t>
            </w:r>
          </w:p>
          <w:p>
            <w:pPr>
              <w:tabs>
                <w:tab w:val="left" w:pos="1526"/>
              </w:tabs>
              <w:snapToGrid w:val="0"/>
              <w:rPr>
                <w:rFonts w:hint="eastAsia" w:ascii="宋体" w:hAnsi="宋体" w:cs="宋体"/>
                <w:sz w:val="18"/>
                <w:szCs w:val="18"/>
                <w:highlight w:val="none"/>
                <w:lang w:eastAsia="zh-CN"/>
              </w:rPr>
            </w:pPr>
            <w:r>
              <w:rPr>
                <w:rFonts w:hint="eastAsia" w:ascii="宋体" w:hAnsi="宋体" w:cs="宋体"/>
                <w:sz w:val="18"/>
                <w:szCs w:val="18"/>
                <w:highlight w:val="none"/>
              </w:rPr>
              <w:t>注：需同时提供注册造价工程师</w:t>
            </w:r>
            <w:r>
              <w:rPr>
                <w:rFonts w:hint="eastAsia" w:ascii="宋体" w:hAnsi="宋体" w:cs="宋体"/>
                <w:b/>
                <w:bCs/>
                <w:color w:val="auto"/>
                <w:sz w:val="18"/>
                <w:szCs w:val="18"/>
                <w:highlight w:val="none"/>
                <w:lang w:val="en-US" w:eastAsia="zh-CN"/>
              </w:rPr>
              <w:t>注册</w:t>
            </w:r>
            <w:r>
              <w:rPr>
                <w:rFonts w:hint="eastAsia" w:ascii="宋体" w:hAnsi="宋体" w:cs="宋体"/>
                <w:sz w:val="18"/>
                <w:szCs w:val="18"/>
                <w:highlight w:val="none"/>
              </w:rPr>
              <w:t>证书扫描件及“http://zaojiasys.jianshe99.com造价师注册信息查询”网页截图并加盖投标单位电子印章。时间以注册造价工程</w:t>
            </w:r>
            <w:r>
              <w:rPr>
                <w:rFonts w:hint="eastAsia" w:ascii="宋体" w:hAnsi="宋体" w:cs="宋体"/>
                <w:b/>
                <w:bCs/>
                <w:color w:val="auto"/>
                <w:sz w:val="18"/>
                <w:szCs w:val="18"/>
                <w:highlight w:val="none"/>
                <w:lang w:val="en-US" w:eastAsia="zh-CN"/>
              </w:rPr>
              <w:t>注册</w:t>
            </w:r>
            <w:r>
              <w:rPr>
                <w:rFonts w:hint="eastAsia" w:ascii="宋体" w:hAnsi="宋体" w:cs="宋体"/>
                <w:sz w:val="18"/>
                <w:szCs w:val="18"/>
                <w:highlight w:val="none"/>
              </w:rPr>
              <w:t>证书的初始注册日期起算。提供资料不齐全不得分</w:t>
            </w:r>
            <w:r>
              <w:rPr>
                <w:rFonts w:hint="eastAsia" w:ascii="宋体" w:hAnsi="宋体" w:cs="宋体"/>
                <w:sz w:val="18"/>
                <w:szCs w:val="18"/>
                <w:highlight w:val="none"/>
                <w:lang w:eastAsia="zh-CN"/>
              </w:rPr>
              <w:t>。</w:t>
            </w:r>
          </w:p>
          <w:p>
            <w:pPr>
              <w:pStyle w:val="8"/>
              <w:rPr>
                <w:rFonts w:hint="default"/>
                <w:highlight w:val="none"/>
                <w:lang w:val="en-US" w:eastAsia="zh-CN"/>
              </w:rPr>
            </w:pPr>
            <w:r>
              <w:rPr>
                <w:rFonts w:hint="eastAsia" w:hAnsi="宋体" w:cs="宋体"/>
                <w:sz w:val="18"/>
                <w:szCs w:val="18"/>
                <w:highlight w:val="none"/>
                <w:lang w:val="en-US" w:eastAsia="zh-CN"/>
              </w:rPr>
              <w:t>2、</w:t>
            </w:r>
            <w:r>
              <w:rPr>
                <w:rFonts w:hint="eastAsia" w:ascii="宋体" w:hAnsi="宋体" w:eastAsia="宋体" w:cs="宋体"/>
                <w:kern w:val="2"/>
                <w:sz w:val="18"/>
                <w:szCs w:val="18"/>
                <w:highlight w:val="none"/>
                <w:lang w:val="en-US" w:eastAsia="zh-CN" w:bidi="ar-SA"/>
              </w:rPr>
              <w:t>拟委派的造价负责人具有造价类高级工程师或以上职称的得1分，具有工程师的得0.5分；</w:t>
            </w:r>
          </w:p>
          <w:p>
            <w:pPr>
              <w:tabs>
                <w:tab w:val="left" w:pos="1526"/>
              </w:tabs>
              <w:snapToGrid w:val="0"/>
              <w:rPr>
                <w:rFonts w:ascii="宋体" w:hAnsi="宋体" w:cs="宋体"/>
                <w:sz w:val="18"/>
                <w:szCs w:val="18"/>
                <w:highlight w:val="none"/>
              </w:rPr>
            </w:pPr>
            <w:r>
              <w:rPr>
                <w:rFonts w:hint="eastAsia" w:ascii="宋体" w:hAnsi="宋体" w:cs="宋体"/>
                <w:sz w:val="18"/>
                <w:szCs w:val="18"/>
                <w:highlight w:val="none"/>
                <w:lang w:val="en-US" w:eastAsia="zh-CN"/>
              </w:rPr>
              <w:t>3</w:t>
            </w:r>
            <w:r>
              <w:rPr>
                <w:rFonts w:hint="eastAsia" w:ascii="宋体" w:hAnsi="宋体" w:cs="宋体"/>
                <w:sz w:val="18"/>
                <w:szCs w:val="18"/>
                <w:highlight w:val="none"/>
              </w:rPr>
              <w:t>、拟委派的造价负责人自20</w:t>
            </w:r>
            <w:r>
              <w:rPr>
                <w:rFonts w:hint="eastAsia" w:ascii="宋体" w:hAnsi="宋体" w:cs="宋体"/>
                <w:sz w:val="18"/>
                <w:szCs w:val="18"/>
                <w:highlight w:val="none"/>
                <w:lang w:val="en-US" w:eastAsia="zh-CN"/>
              </w:rPr>
              <w:t>20</w:t>
            </w:r>
            <w:r>
              <w:rPr>
                <w:rFonts w:hint="eastAsia" w:ascii="宋体" w:hAnsi="宋体" w:cs="宋体"/>
                <w:sz w:val="18"/>
                <w:szCs w:val="18"/>
                <w:highlight w:val="none"/>
              </w:rPr>
              <w:t>年1月1日至投标截止时间止，作为造价负责人完成过</w:t>
            </w:r>
            <w:r>
              <w:rPr>
                <w:rFonts w:hint="eastAsia" w:ascii="宋体" w:hAnsi="宋体" w:cs="宋体"/>
                <w:sz w:val="18"/>
                <w:szCs w:val="18"/>
                <w:highlight w:val="none"/>
                <w:lang w:eastAsia="zh-CN"/>
              </w:rPr>
              <w:t>质量合格</w:t>
            </w:r>
            <w:r>
              <w:rPr>
                <w:rFonts w:hint="eastAsia" w:ascii="宋体" w:hAnsi="宋体" w:cs="宋体"/>
                <w:sz w:val="18"/>
                <w:szCs w:val="18"/>
                <w:highlight w:val="none"/>
              </w:rPr>
              <w:t>的类似业绩每项得0.</w:t>
            </w:r>
            <w:r>
              <w:rPr>
                <w:rFonts w:hint="eastAsia" w:ascii="宋体" w:hAnsi="宋体" w:cs="宋体"/>
                <w:sz w:val="18"/>
                <w:szCs w:val="18"/>
                <w:highlight w:val="none"/>
                <w:lang w:val="en-US" w:eastAsia="zh-CN"/>
              </w:rPr>
              <w:t>5</w:t>
            </w:r>
            <w:r>
              <w:rPr>
                <w:rFonts w:hint="eastAsia" w:ascii="宋体" w:hAnsi="宋体" w:cs="宋体"/>
                <w:sz w:val="18"/>
                <w:szCs w:val="18"/>
                <w:highlight w:val="none"/>
              </w:rPr>
              <w:t>分，本项最高得</w:t>
            </w:r>
            <w:r>
              <w:rPr>
                <w:rFonts w:hint="eastAsia" w:ascii="宋体" w:hAnsi="宋体" w:cs="宋体"/>
                <w:sz w:val="18"/>
                <w:szCs w:val="18"/>
                <w:highlight w:val="none"/>
                <w:lang w:val="en-US" w:eastAsia="zh-CN"/>
              </w:rPr>
              <w:t>1.5</w:t>
            </w:r>
            <w:r>
              <w:rPr>
                <w:rFonts w:hint="eastAsia" w:ascii="宋体" w:hAnsi="宋体" w:cs="宋体"/>
                <w:sz w:val="18"/>
                <w:szCs w:val="18"/>
                <w:highlight w:val="none"/>
              </w:rPr>
              <w:t>分，不满足不得分。</w:t>
            </w:r>
          </w:p>
          <w:p>
            <w:pPr>
              <w:tabs>
                <w:tab w:val="left" w:pos="1526"/>
              </w:tabs>
              <w:snapToGrid w:val="0"/>
              <w:rPr>
                <w:rFonts w:ascii="宋体" w:hAnsi="宋体" w:cs="宋体"/>
                <w:strike/>
                <w:sz w:val="18"/>
                <w:szCs w:val="18"/>
                <w:highlight w:val="none"/>
              </w:rPr>
            </w:pPr>
            <w:r>
              <w:rPr>
                <w:rFonts w:hint="eastAsia" w:ascii="宋体" w:hAnsi="宋体" w:cs="宋体"/>
                <w:sz w:val="18"/>
                <w:szCs w:val="18"/>
                <w:highlight w:val="none"/>
              </w:rPr>
              <w:t>注：注册造价工程师需同时提供“</w:t>
            </w:r>
            <w:r>
              <w:rPr>
                <w:sz w:val="18"/>
                <w:szCs w:val="18"/>
                <w:highlight w:val="none"/>
              </w:rPr>
              <w:fldChar w:fldCharType="begin"/>
            </w:r>
            <w:r>
              <w:rPr>
                <w:sz w:val="18"/>
                <w:szCs w:val="18"/>
                <w:highlight w:val="none"/>
              </w:rPr>
              <w:instrText xml:space="preserve"> HYPERLINK "http://zaojiasys.jianshe99.com" </w:instrText>
            </w:r>
            <w:r>
              <w:rPr>
                <w:sz w:val="18"/>
                <w:szCs w:val="18"/>
                <w:highlight w:val="none"/>
              </w:rPr>
              <w:fldChar w:fldCharType="separate"/>
            </w:r>
            <w:r>
              <w:rPr>
                <w:rFonts w:hint="eastAsia" w:ascii="宋体" w:hAnsi="宋体" w:cs="宋体"/>
                <w:sz w:val="18"/>
                <w:szCs w:val="18"/>
                <w:highlight w:val="none"/>
              </w:rPr>
              <w:t>http://zaojiasys.jianshe99.com</w:t>
            </w:r>
            <w:r>
              <w:rPr>
                <w:rFonts w:ascii="宋体" w:hAnsi="宋体" w:cs="宋体"/>
                <w:sz w:val="18"/>
                <w:szCs w:val="18"/>
                <w:highlight w:val="none"/>
              </w:rPr>
              <w:fldChar w:fldCharType="end"/>
            </w:r>
            <w:r>
              <w:rPr>
                <w:rFonts w:hint="eastAsia" w:ascii="宋体" w:hAnsi="宋体" w:cs="宋体"/>
                <w:sz w:val="18"/>
                <w:szCs w:val="18"/>
                <w:highlight w:val="none"/>
              </w:rPr>
              <w:t>造价师注册信息查询”网页截图，不提供不计分。提供资料不齐全不得分。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503" w:type="dxa"/>
            <w:vMerge w:val="continue"/>
            <w:noWrap w:val="0"/>
            <w:vAlign w:val="center"/>
          </w:tcPr>
          <w:p>
            <w:pPr>
              <w:adjustRightInd w:val="0"/>
              <w:snapToGrid w:val="0"/>
              <w:jc w:val="center"/>
              <w:rPr>
                <w:rFonts w:ascii="宋体" w:hAnsi="宋体" w:cs="宋体"/>
                <w:b/>
                <w:sz w:val="18"/>
                <w:szCs w:val="18"/>
                <w:highlight w:val="none"/>
              </w:rPr>
            </w:pPr>
          </w:p>
        </w:tc>
        <w:tc>
          <w:tcPr>
            <w:tcW w:w="775" w:type="dxa"/>
            <w:vMerge w:val="continue"/>
            <w:noWrap w:val="0"/>
            <w:vAlign w:val="center"/>
          </w:tcPr>
          <w:p>
            <w:pPr>
              <w:adjustRightInd w:val="0"/>
              <w:snapToGrid w:val="0"/>
              <w:jc w:val="center"/>
              <w:rPr>
                <w:rFonts w:ascii="宋体" w:hAnsi="宋体" w:cs="宋体"/>
                <w:b/>
                <w:sz w:val="18"/>
                <w:szCs w:val="18"/>
                <w:highlight w:val="none"/>
              </w:rPr>
            </w:pPr>
          </w:p>
        </w:tc>
        <w:tc>
          <w:tcPr>
            <w:tcW w:w="1200" w:type="dxa"/>
            <w:noWrap w:val="0"/>
            <w:vAlign w:val="center"/>
          </w:tcPr>
          <w:p>
            <w:pPr>
              <w:adjustRightInd w:val="0"/>
              <w:snapToGrid w:val="0"/>
              <w:jc w:val="center"/>
              <w:rPr>
                <w:rFonts w:ascii="宋体" w:hAnsi="宋体" w:cs="宋体"/>
                <w:sz w:val="18"/>
                <w:szCs w:val="18"/>
                <w:highlight w:val="none"/>
              </w:rPr>
            </w:pPr>
            <w:r>
              <w:rPr>
                <w:rFonts w:hint="eastAsia" w:ascii="宋体" w:hAnsi="宋体" w:cs="宋体"/>
                <w:b/>
                <w:sz w:val="18"/>
                <w:szCs w:val="18"/>
                <w:highlight w:val="none"/>
              </w:rPr>
              <w:t>项目管理机构-</w:t>
            </w:r>
            <w:r>
              <w:rPr>
                <w:rFonts w:hint="eastAsia" w:ascii="宋体" w:hAnsi="宋体" w:cs="宋体"/>
                <w:sz w:val="18"/>
                <w:szCs w:val="18"/>
                <w:highlight w:val="none"/>
              </w:rPr>
              <w:t>其它人员</w:t>
            </w:r>
          </w:p>
        </w:tc>
        <w:tc>
          <w:tcPr>
            <w:tcW w:w="652" w:type="dxa"/>
            <w:noWrap w:val="0"/>
            <w:vAlign w:val="center"/>
          </w:tcPr>
          <w:p>
            <w:pPr>
              <w:adjustRightInd w:val="0"/>
              <w:snapToGrid w:val="0"/>
              <w:jc w:val="center"/>
              <w:rPr>
                <w:rFonts w:ascii="宋体" w:hAnsi="宋体" w:cs="宋体"/>
                <w:sz w:val="18"/>
                <w:szCs w:val="18"/>
                <w:highlight w:val="none"/>
              </w:rPr>
            </w:pPr>
            <w:r>
              <w:rPr>
                <w:rFonts w:hint="eastAsia" w:ascii="宋体" w:hAnsi="宋体" w:cs="宋体"/>
                <w:sz w:val="18"/>
                <w:szCs w:val="18"/>
                <w:highlight w:val="none"/>
              </w:rPr>
              <w:t>2</w:t>
            </w:r>
          </w:p>
        </w:tc>
        <w:tc>
          <w:tcPr>
            <w:tcW w:w="11499" w:type="dxa"/>
            <w:noWrap w:val="0"/>
            <w:vAlign w:val="center"/>
          </w:tcPr>
          <w:p>
            <w:pPr>
              <w:tabs>
                <w:tab w:val="left" w:pos="1526"/>
              </w:tabs>
              <w:snapToGrid w:val="0"/>
              <w:rPr>
                <w:rFonts w:hint="eastAsia" w:ascii="宋体" w:hAnsi="宋体" w:cs="宋体"/>
                <w:sz w:val="18"/>
                <w:szCs w:val="18"/>
                <w:highlight w:val="none"/>
                <w:lang w:val="en-US" w:eastAsia="zh-CN"/>
              </w:rPr>
            </w:pPr>
            <w:r>
              <w:rPr>
                <w:rFonts w:hint="eastAsia" w:ascii="宋体" w:hAnsi="宋体" w:cs="宋体"/>
                <w:sz w:val="18"/>
                <w:szCs w:val="18"/>
                <w:highlight w:val="none"/>
              </w:rPr>
              <w:t>除项目负责人、技术负责人、质量负责人、安全负责人、造价负</w:t>
            </w:r>
            <w:r>
              <w:rPr>
                <w:rFonts w:hint="eastAsia" w:ascii="宋体" w:hAnsi="宋体" w:cs="宋体"/>
                <w:sz w:val="18"/>
                <w:szCs w:val="18"/>
                <w:highlight w:val="none"/>
                <w:lang w:val="en-US" w:eastAsia="zh-CN"/>
              </w:rPr>
              <w:t>责人外，拟投入本项目的人员配置完善合理，其中项目管理团队其他人员具备：</w:t>
            </w:r>
          </w:p>
          <w:p>
            <w:pPr>
              <w:tabs>
                <w:tab w:val="left" w:pos="1526"/>
              </w:tabs>
              <w:snapToGrid w:val="0"/>
              <w:rPr>
                <w:rFonts w:ascii="宋体" w:hAnsi="宋体" w:cs="宋体"/>
                <w:strike/>
                <w:sz w:val="18"/>
                <w:szCs w:val="18"/>
                <w:highlight w:val="none"/>
              </w:rPr>
            </w:pPr>
            <w:r>
              <w:rPr>
                <w:rFonts w:hint="eastAsia" w:ascii="宋体" w:hAnsi="宋体" w:cs="宋体"/>
                <w:sz w:val="18"/>
                <w:szCs w:val="18"/>
                <w:highlight w:val="none"/>
                <w:lang w:val="en-US" w:eastAsia="zh-CN"/>
              </w:rPr>
              <w:t>暖通工程相关专业高级工程师或以上职称1人、</w:t>
            </w:r>
            <w:r>
              <w:rPr>
                <w:rFonts w:hint="eastAsia" w:ascii="宋体" w:hAnsi="宋体" w:cs="宋体"/>
                <w:color w:val="auto"/>
                <w:sz w:val="18"/>
                <w:szCs w:val="18"/>
                <w:highlight w:val="none"/>
                <w:lang w:val="en-US" w:eastAsia="zh-CN"/>
              </w:rPr>
              <w:t>机电工程相关专业</w:t>
            </w:r>
            <w:r>
              <w:rPr>
                <w:rFonts w:hint="eastAsia" w:ascii="宋体" w:hAnsi="宋体" w:cs="宋体"/>
                <w:color w:val="auto"/>
                <w:sz w:val="18"/>
                <w:szCs w:val="18"/>
                <w:highlight w:val="none"/>
                <w:lang w:eastAsia="zh-CN"/>
              </w:rPr>
              <w:t>工程师或以上职称</w:t>
            </w:r>
            <w:r>
              <w:rPr>
                <w:rFonts w:hint="eastAsia" w:ascii="宋体" w:hAnsi="宋体" w:cs="宋体"/>
                <w:color w:val="auto"/>
                <w:sz w:val="18"/>
                <w:szCs w:val="18"/>
                <w:highlight w:val="none"/>
                <w:lang w:val="en-US" w:eastAsia="zh-CN"/>
              </w:rPr>
              <w:t>1人、给排水相关专业工程师</w:t>
            </w:r>
            <w:r>
              <w:rPr>
                <w:rFonts w:hint="eastAsia" w:ascii="宋体" w:hAnsi="宋体" w:cs="宋体"/>
                <w:sz w:val="18"/>
                <w:szCs w:val="18"/>
                <w:highlight w:val="none"/>
                <w:lang w:val="en-US" w:eastAsia="zh-CN"/>
              </w:rPr>
              <w:t>或以上职称</w:t>
            </w:r>
            <w:r>
              <w:rPr>
                <w:rFonts w:hint="eastAsia" w:ascii="宋体" w:hAnsi="宋体" w:cs="宋体"/>
                <w:sz w:val="18"/>
                <w:szCs w:val="18"/>
                <w:highlight w:val="none"/>
              </w:rPr>
              <w:t>1人</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一级</w:t>
            </w:r>
            <w:r>
              <w:rPr>
                <w:rFonts w:hint="eastAsia" w:ascii="宋体" w:hAnsi="宋体" w:cs="宋体"/>
                <w:sz w:val="18"/>
                <w:szCs w:val="18"/>
                <w:highlight w:val="none"/>
              </w:rPr>
              <w:t>注册造价工程师（安装工程）1人（以上人员不得兼任）；全部满足的得2分，每少一人扣0.5分，扣至0分为止。</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278" w:type="dxa"/>
            <w:gridSpan w:val="2"/>
            <w:vMerge w:val="restart"/>
            <w:noWrap w:val="0"/>
            <w:vAlign w:val="center"/>
          </w:tcPr>
          <w:p>
            <w:pPr>
              <w:adjustRightInd w:val="0"/>
              <w:snapToGrid w:val="0"/>
              <w:jc w:val="center"/>
              <w:rPr>
                <w:rFonts w:ascii="宋体" w:hAnsi="宋体" w:cs="宋体"/>
                <w:sz w:val="18"/>
                <w:szCs w:val="18"/>
                <w:highlight w:val="none"/>
              </w:rPr>
            </w:pPr>
            <w:r>
              <w:rPr>
                <w:rFonts w:hint="eastAsia" w:ascii="宋体" w:hAnsi="宋体" w:cs="宋体"/>
                <w:sz w:val="18"/>
                <w:szCs w:val="18"/>
                <w:highlight w:val="none"/>
              </w:rPr>
              <w:t>二</w:t>
            </w:r>
          </w:p>
          <w:p>
            <w:pPr>
              <w:adjustRightInd w:val="0"/>
              <w:snapToGrid w:val="0"/>
              <w:jc w:val="center"/>
              <w:rPr>
                <w:rFonts w:ascii="宋体" w:hAnsi="宋体" w:cs="宋体"/>
                <w:b/>
                <w:sz w:val="18"/>
                <w:szCs w:val="18"/>
                <w:highlight w:val="none"/>
              </w:rPr>
            </w:pPr>
            <w:r>
              <w:rPr>
                <w:rFonts w:hint="eastAsia" w:ascii="宋体" w:hAnsi="宋体" w:cs="宋体"/>
                <w:b/>
                <w:sz w:val="18"/>
                <w:szCs w:val="18"/>
                <w:highlight w:val="none"/>
              </w:rPr>
              <w:t>企业资信</w:t>
            </w:r>
          </w:p>
          <w:p>
            <w:pPr>
              <w:adjustRightInd w:val="0"/>
              <w:snapToGrid w:val="0"/>
              <w:jc w:val="center"/>
              <w:rPr>
                <w:rFonts w:ascii="宋体" w:hAnsi="宋体" w:cs="宋体"/>
                <w:b/>
                <w:sz w:val="18"/>
                <w:szCs w:val="18"/>
                <w:highlight w:val="none"/>
              </w:rPr>
            </w:pPr>
            <w:r>
              <w:rPr>
                <w:rFonts w:hint="eastAsia" w:ascii="宋体" w:hAnsi="宋体" w:cs="宋体"/>
                <w:b/>
                <w:sz w:val="18"/>
                <w:szCs w:val="18"/>
                <w:highlight w:val="none"/>
              </w:rPr>
              <w:t>(6分)</w:t>
            </w:r>
          </w:p>
        </w:tc>
        <w:tc>
          <w:tcPr>
            <w:tcW w:w="1200" w:type="dxa"/>
            <w:noWrap w:val="0"/>
            <w:vAlign w:val="center"/>
          </w:tcPr>
          <w:p>
            <w:pPr>
              <w:tabs>
                <w:tab w:val="left" w:pos="1526"/>
              </w:tabs>
              <w:adjustRightInd w:val="0"/>
              <w:snapToGrid w:val="0"/>
              <w:rPr>
                <w:rFonts w:hint="default" w:ascii="宋体" w:hAnsi="宋体" w:eastAsia="宋体" w:cs="宋体"/>
                <w:sz w:val="18"/>
                <w:szCs w:val="18"/>
                <w:highlight w:val="none"/>
                <w:lang w:val="en-US" w:eastAsia="zh-CN"/>
              </w:rPr>
            </w:pPr>
            <w:r>
              <w:rPr>
                <w:rFonts w:hint="eastAsia" w:ascii="宋体" w:hAnsi="宋体" w:cs="宋体"/>
                <w:b/>
                <w:sz w:val="18"/>
                <w:szCs w:val="18"/>
                <w:highlight w:val="none"/>
              </w:rPr>
              <w:t>企业资信-</w:t>
            </w:r>
            <w:r>
              <w:rPr>
                <w:rFonts w:hint="eastAsia" w:ascii="宋体" w:hAnsi="宋体" w:cs="宋体"/>
                <w:sz w:val="18"/>
                <w:szCs w:val="18"/>
                <w:highlight w:val="none"/>
              </w:rPr>
              <w:t>类似业绩</w:t>
            </w:r>
            <w:r>
              <w:rPr>
                <w:rFonts w:hint="eastAsia" w:ascii="宋体" w:hAnsi="宋体" w:cs="宋体"/>
                <w:sz w:val="18"/>
                <w:szCs w:val="18"/>
                <w:highlight w:val="none"/>
                <w:lang w:val="en-US" w:eastAsia="zh-CN"/>
              </w:rPr>
              <w:t>及获奖</w:t>
            </w:r>
          </w:p>
        </w:tc>
        <w:tc>
          <w:tcPr>
            <w:tcW w:w="652" w:type="dxa"/>
            <w:noWrap w:val="0"/>
            <w:vAlign w:val="center"/>
          </w:tcPr>
          <w:p>
            <w:pPr>
              <w:tabs>
                <w:tab w:val="left" w:pos="1526"/>
              </w:tabs>
              <w:adjustRightInd w:val="0"/>
              <w:snapToGrid w:val="0"/>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3</w:t>
            </w:r>
          </w:p>
        </w:tc>
        <w:tc>
          <w:tcPr>
            <w:tcW w:w="11499" w:type="dxa"/>
            <w:noWrap w:val="0"/>
            <w:vAlign w:val="center"/>
          </w:tcPr>
          <w:p>
            <w:pPr>
              <w:adjustRightInd w:val="0"/>
              <w:snapToGrid w:val="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投标人自20</w:t>
            </w:r>
            <w:r>
              <w:rPr>
                <w:rFonts w:hint="eastAsia" w:ascii="宋体" w:hAnsi="宋体" w:eastAsia="宋体" w:cs="宋体"/>
                <w:sz w:val="18"/>
                <w:szCs w:val="18"/>
                <w:highlight w:val="none"/>
                <w:lang w:val="en-US" w:eastAsia="zh-CN"/>
              </w:rPr>
              <w:t>20</w:t>
            </w:r>
            <w:r>
              <w:rPr>
                <w:rFonts w:hint="eastAsia" w:ascii="宋体" w:hAnsi="宋体" w:eastAsia="宋体" w:cs="宋体"/>
                <w:sz w:val="18"/>
                <w:szCs w:val="18"/>
                <w:highlight w:val="none"/>
              </w:rPr>
              <w:t>年1月1日至投标截止时间止，完成过类似业绩的，每项得0.</w:t>
            </w:r>
            <w:r>
              <w:rPr>
                <w:rFonts w:hint="eastAsia" w:ascii="宋体" w:hAnsi="宋体" w:eastAsia="宋体" w:cs="宋体"/>
                <w:sz w:val="18"/>
                <w:szCs w:val="18"/>
                <w:highlight w:val="none"/>
                <w:lang w:val="en-US" w:eastAsia="zh-CN"/>
              </w:rPr>
              <w:t>15</w:t>
            </w:r>
            <w:r>
              <w:rPr>
                <w:rFonts w:hint="eastAsia" w:ascii="宋体" w:hAnsi="宋体" w:eastAsia="宋体" w:cs="宋体"/>
                <w:sz w:val="18"/>
                <w:szCs w:val="18"/>
                <w:highlight w:val="none"/>
              </w:rPr>
              <w:t>分,最高得</w:t>
            </w:r>
            <w:r>
              <w:rPr>
                <w:rFonts w:hint="eastAsia" w:ascii="宋体" w:hAnsi="宋体" w:eastAsia="宋体" w:cs="宋体"/>
                <w:sz w:val="18"/>
                <w:szCs w:val="18"/>
                <w:highlight w:val="none"/>
                <w:lang w:val="en-US" w:eastAsia="zh-CN"/>
              </w:rPr>
              <w:t>1.8</w:t>
            </w:r>
            <w:r>
              <w:rPr>
                <w:rFonts w:hint="eastAsia" w:ascii="宋体" w:hAnsi="宋体" w:eastAsia="宋体" w:cs="宋体"/>
                <w:sz w:val="18"/>
                <w:szCs w:val="18"/>
                <w:highlight w:val="none"/>
              </w:rPr>
              <w:t>分。</w:t>
            </w:r>
          </w:p>
          <w:p>
            <w:pPr>
              <w:adjustRightInd w:val="0"/>
              <w:snapToGrid w:val="0"/>
              <w:rPr>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以上企业工程业绩中，获得过市级或以上奖项的，符合一个得0.</w:t>
            </w:r>
            <w:r>
              <w:rPr>
                <w:rFonts w:hint="eastAsia" w:ascii="宋体" w:hAnsi="宋体" w:cs="宋体"/>
                <w:sz w:val="18"/>
                <w:szCs w:val="18"/>
                <w:highlight w:val="none"/>
                <w:lang w:val="en-US" w:eastAsia="zh-CN"/>
              </w:rPr>
              <w:t>6</w:t>
            </w:r>
            <w:r>
              <w:rPr>
                <w:rFonts w:hint="eastAsia" w:ascii="宋体" w:hAnsi="宋体" w:eastAsia="宋体" w:cs="宋体"/>
                <w:sz w:val="18"/>
                <w:szCs w:val="18"/>
                <w:highlight w:val="none"/>
              </w:rPr>
              <w:t>分，最高得</w:t>
            </w:r>
            <w:r>
              <w:rPr>
                <w:rFonts w:hint="eastAsia" w:ascii="宋体" w:hAnsi="宋体" w:cs="宋体"/>
                <w:sz w:val="18"/>
                <w:szCs w:val="18"/>
                <w:highlight w:val="none"/>
                <w:lang w:val="en-US" w:eastAsia="zh-CN"/>
              </w:rPr>
              <w:t>1.2</w:t>
            </w:r>
            <w:r>
              <w:rPr>
                <w:rFonts w:hint="eastAsia" w:ascii="宋体" w:hAnsi="宋体" w:eastAsia="宋体" w:cs="宋体"/>
                <w:sz w:val="18"/>
                <w:szCs w:val="18"/>
                <w:highlight w:val="none"/>
              </w:rPr>
              <w:t>分。不符合上述条件的不得分。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278" w:type="dxa"/>
            <w:gridSpan w:val="2"/>
            <w:vMerge w:val="continue"/>
            <w:noWrap w:val="0"/>
            <w:vAlign w:val="center"/>
          </w:tcPr>
          <w:p>
            <w:pPr>
              <w:adjustRightInd w:val="0"/>
              <w:snapToGrid w:val="0"/>
              <w:jc w:val="center"/>
              <w:rPr>
                <w:rFonts w:ascii="宋体" w:hAnsi="宋体" w:cs="宋体"/>
                <w:b/>
                <w:sz w:val="18"/>
                <w:szCs w:val="18"/>
                <w:highlight w:val="none"/>
              </w:rPr>
            </w:pPr>
          </w:p>
        </w:tc>
        <w:tc>
          <w:tcPr>
            <w:tcW w:w="1200" w:type="dxa"/>
            <w:noWrap w:val="0"/>
            <w:vAlign w:val="center"/>
          </w:tcPr>
          <w:p>
            <w:pPr>
              <w:adjustRightInd w:val="0"/>
              <w:snapToGrid w:val="0"/>
              <w:jc w:val="center"/>
              <w:rPr>
                <w:rFonts w:hint="default" w:ascii="宋体" w:hAnsi="宋体" w:eastAsia="宋体" w:cs="宋体"/>
                <w:sz w:val="18"/>
                <w:szCs w:val="18"/>
                <w:highlight w:val="none"/>
                <w:lang w:val="en-US" w:eastAsia="zh-CN"/>
              </w:rPr>
            </w:pPr>
            <w:r>
              <w:rPr>
                <w:rFonts w:hint="eastAsia" w:ascii="宋体" w:hAnsi="宋体" w:cs="宋体"/>
                <w:b/>
                <w:sz w:val="18"/>
                <w:szCs w:val="18"/>
                <w:highlight w:val="none"/>
              </w:rPr>
              <w:t>企业资信-</w:t>
            </w:r>
            <w:r>
              <w:rPr>
                <w:rFonts w:hint="eastAsia" w:ascii="宋体" w:hAnsi="宋体" w:eastAsia="宋体" w:cs="宋体"/>
                <w:sz w:val="18"/>
                <w:szCs w:val="18"/>
                <w:highlight w:val="none"/>
                <w:lang w:val="en-US" w:eastAsia="zh-CN"/>
              </w:rPr>
              <w:t>研发能力</w:t>
            </w:r>
          </w:p>
        </w:tc>
        <w:tc>
          <w:tcPr>
            <w:tcW w:w="652" w:type="dxa"/>
            <w:noWrap w:val="0"/>
            <w:vAlign w:val="center"/>
          </w:tcPr>
          <w:p>
            <w:pPr>
              <w:adjustRightInd w:val="0"/>
              <w:snapToGrid w:val="0"/>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0.8</w:t>
            </w:r>
          </w:p>
        </w:tc>
        <w:tc>
          <w:tcPr>
            <w:tcW w:w="11499" w:type="dxa"/>
            <w:noWrap w:val="0"/>
            <w:vAlign w:val="center"/>
          </w:tcPr>
          <w:p>
            <w:pPr>
              <w:adjustRightInd w:val="0"/>
              <w:snapToGrid w:val="0"/>
              <w:rPr>
                <w:rFonts w:ascii="宋体" w:hAnsi="宋体" w:cs="宋体"/>
                <w:sz w:val="18"/>
                <w:szCs w:val="18"/>
                <w:highlight w:val="none"/>
              </w:rPr>
            </w:pPr>
            <w:r>
              <w:rPr>
                <w:rFonts w:hint="eastAsia" w:ascii="宋体" w:hAnsi="宋体" w:eastAsia="宋体" w:cs="宋体"/>
                <w:sz w:val="18"/>
                <w:szCs w:val="18"/>
                <w:highlight w:val="none"/>
                <w:lang w:val="en-US" w:eastAsia="zh-CN"/>
              </w:rPr>
              <w:t>投标人自2020年1月1日至今作为主要完成单位获得过省级或以上工法证书奖项得0.</w:t>
            </w:r>
            <w:r>
              <w:rPr>
                <w:rFonts w:hint="eastAsia" w:ascii="宋体" w:hAnsi="宋体" w:cs="宋体"/>
                <w:sz w:val="18"/>
                <w:szCs w:val="18"/>
                <w:highlight w:val="none"/>
                <w:lang w:val="en-US" w:eastAsia="zh-CN"/>
              </w:rPr>
              <w:t>8</w:t>
            </w:r>
            <w:r>
              <w:rPr>
                <w:rFonts w:hint="eastAsia" w:ascii="宋体" w:hAnsi="宋体" w:eastAsia="宋体" w:cs="宋体"/>
                <w:sz w:val="18"/>
                <w:szCs w:val="18"/>
                <w:highlight w:val="none"/>
                <w:lang w:val="en-US" w:eastAsia="zh-CN"/>
              </w:rPr>
              <w:t>分。</w:t>
            </w:r>
            <w:r>
              <w:rPr>
                <w:rFonts w:hint="eastAsia" w:ascii="宋体" w:hAnsi="宋体" w:eastAsia="宋体" w:cs="宋体"/>
                <w:sz w:val="18"/>
                <w:szCs w:val="18"/>
                <w:highlight w:val="none"/>
              </w:rPr>
              <w:t>不符合上述条件的不得分</w:t>
            </w:r>
            <w:r>
              <w:rPr>
                <w:rFonts w:hint="eastAsia" w:ascii="宋体" w:hAnsi="宋体" w:eastAsia="宋体" w:cs="宋体"/>
                <w:sz w:val="18"/>
                <w:szCs w:val="18"/>
                <w:highlight w:val="none"/>
                <w:lang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278" w:type="dxa"/>
            <w:gridSpan w:val="2"/>
            <w:vMerge w:val="continue"/>
            <w:noWrap w:val="0"/>
            <w:vAlign w:val="center"/>
          </w:tcPr>
          <w:p>
            <w:pPr>
              <w:adjustRightInd w:val="0"/>
              <w:snapToGrid w:val="0"/>
              <w:jc w:val="center"/>
              <w:rPr>
                <w:rFonts w:ascii="宋体" w:hAnsi="宋体" w:cs="宋体"/>
                <w:sz w:val="18"/>
                <w:szCs w:val="18"/>
                <w:highlight w:val="none"/>
              </w:rPr>
            </w:pPr>
          </w:p>
        </w:tc>
        <w:tc>
          <w:tcPr>
            <w:tcW w:w="1200" w:type="dxa"/>
            <w:noWrap w:val="0"/>
            <w:vAlign w:val="center"/>
          </w:tcPr>
          <w:p>
            <w:pPr>
              <w:adjustRightInd w:val="0"/>
              <w:snapToGrid w:val="0"/>
              <w:jc w:val="center"/>
              <w:rPr>
                <w:rFonts w:hint="eastAsia" w:ascii="宋体" w:hAnsi="宋体" w:eastAsia="宋体" w:cs="宋体"/>
                <w:sz w:val="18"/>
                <w:szCs w:val="18"/>
                <w:highlight w:val="none"/>
                <w:lang w:eastAsia="zh-CN"/>
              </w:rPr>
            </w:pPr>
            <w:r>
              <w:rPr>
                <w:rFonts w:hint="eastAsia" w:ascii="宋体" w:hAnsi="宋体" w:cs="宋体"/>
                <w:b/>
                <w:sz w:val="18"/>
                <w:szCs w:val="18"/>
                <w:highlight w:val="none"/>
              </w:rPr>
              <w:t>企业资信-</w:t>
            </w:r>
            <w:r>
              <w:rPr>
                <w:rFonts w:hint="eastAsia" w:ascii="宋体" w:hAnsi="宋体" w:cs="宋体"/>
                <w:sz w:val="18"/>
                <w:szCs w:val="18"/>
                <w:highlight w:val="none"/>
                <w:lang w:eastAsia="zh-CN"/>
              </w:rPr>
              <w:t>第三方评价</w:t>
            </w:r>
          </w:p>
        </w:tc>
        <w:tc>
          <w:tcPr>
            <w:tcW w:w="652" w:type="dxa"/>
            <w:noWrap w:val="0"/>
            <w:vAlign w:val="center"/>
          </w:tcPr>
          <w:p>
            <w:pPr>
              <w:snapToGrid w:val="0"/>
              <w:jc w:val="center"/>
              <w:rPr>
                <w:rFonts w:ascii="宋体" w:hAnsi="宋体" w:cs="宋体"/>
                <w:sz w:val="18"/>
                <w:szCs w:val="18"/>
                <w:highlight w:val="none"/>
              </w:rPr>
            </w:pPr>
            <w:r>
              <w:rPr>
                <w:rFonts w:hint="eastAsia" w:ascii="宋体" w:hAnsi="宋体" w:cs="宋体"/>
                <w:b/>
                <w:bCs/>
                <w:color w:val="auto"/>
                <w:sz w:val="18"/>
                <w:szCs w:val="18"/>
                <w:highlight w:val="none"/>
              </w:rPr>
              <w:t>1</w:t>
            </w:r>
          </w:p>
        </w:tc>
        <w:tc>
          <w:tcPr>
            <w:tcW w:w="11499" w:type="dxa"/>
            <w:noWrap w:val="0"/>
            <w:vAlign w:val="center"/>
          </w:tcPr>
          <w:p>
            <w:pPr>
              <w:adjustRightInd w:val="0"/>
              <w:snapToGrid w:val="0"/>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zh-CN" w:eastAsia="zh-CN"/>
              </w:rPr>
              <w:t>投标人至投标截止时间止，获得“纳税信用等级A级”证书</w:t>
            </w:r>
            <w:r>
              <w:rPr>
                <w:rFonts w:hint="eastAsia" w:ascii="宋体" w:hAnsi="宋体" w:eastAsia="宋体" w:cs="宋体"/>
                <w:b/>
                <w:bCs/>
                <w:color w:val="auto"/>
                <w:sz w:val="18"/>
                <w:szCs w:val="18"/>
                <w:highlight w:val="none"/>
                <w:lang w:val="en-US" w:eastAsia="zh-CN"/>
              </w:rPr>
              <w:t>：</w:t>
            </w:r>
          </w:p>
          <w:p>
            <w:pPr>
              <w:adjustRightInd w:val="0"/>
              <w:snapToGrid w:val="0"/>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（1）连续5年或以上获得（须含2021年度），得1分；</w:t>
            </w:r>
          </w:p>
          <w:p>
            <w:pPr>
              <w:adjustRightInd w:val="0"/>
              <w:snapToGrid w:val="0"/>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（2）连续4年获得（须含2021年度），得0.5分；</w:t>
            </w:r>
          </w:p>
          <w:p>
            <w:pPr>
              <w:adjustRightInd w:val="0"/>
              <w:snapToGrid w:val="0"/>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（3）连续3年获得（须含2021年度），得0.2分</w:t>
            </w:r>
          </w:p>
          <w:p>
            <w:pPr>
              <w:adjustRightInd w:val="0"/>
              <w:snapToGrid w:val="0"/>
              <w:rPr>
                <w:rFonts w:hint="eastAsia" w:eastAsia="宋体"/>
                <w:highlight w:val="none"/>
                <w:lang w:val="en-US" w:eastAsia="zh-CN"/>
              </w:rPr>
            </w:pPr>
            <w:r>
              <w:rPr>
                <w:rFonts w:hint="eastAsia" w:ascii="宋体" w:hAnsi="宋体" w:eastAsia="宋体" w:cs="宋体"/>
                <w:b/>
                <w:bCs/>
                <w:color w:val="auto"/>
                <w:sz w:val="18"/>
                <w:szCs w:val="18"/>
                <w:highlight w:val="none"/>
                <w:lang w:val="en-US" w:eastAsia="zh-CN"/>
              </w:rPr>
              <w:t>（4）不满足上述条件者的，不得分。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278" w:type="dxa"/>
            <w:gridSpan w:val="2"/>
            <w:vMerge w:val="continue"/>
            <w:noWrap w:val="0"/>
            <w:vAlign w:val="center"/>
          </w:tcPr>
          <w:p>
            <w:pPr>
              <w:adjustRightInd w:val="0"/>
              <w:snapToGrid w:val="0"/>
              <w:jc w:val="center"/>
              <w:rPr>
                <w:rFonts w:ascii="宋体" w:hAnsi="宋体" w:cs="宋体"/>
                <w:sz w:val="18"/>
                <w:szCs w:val="18"/>
                <w:highlight w:val="none"/>
              </w:rPr>
            </w:pPr>
          </w:p>
        </w:tc>
        <w:tc>
          <w:tcPr>
            <w:tcW w:w="1200" w:type="dxa"/>
            <w:noWrap w:val="0"/>
            <w:vAlign w:val="center"/>
          </w:tcPr>
          <w:p>
            <w:pPr>
              <w:adjustRightInd w:val="0"/>
              <w:snapToGrid w:val="0"/>
              <w:jc w:val="center"/>
              <w:rPr>
                <w:rFonts w:ascii="宋体" w:hAnsi="宋体" w:cs="宋体"/>
                <w:sz w:val="18"/>
                <w:szCs w:val="18"/>
                <w:highlight w:val="none"/>
              </w:rPr>
            </w:pPr>
            <w:r>
              <w:rPr>
                <w:rFonts w:hint="eastAsia" w:ascii="宋体" w:hAnsi="宋体" w:cs="宋体"/>
                <w:b/>
                <w:sz w:val="18"/>
                <w:szCs w:val="18"/>
                <w:highlight w:val="none"/>
              </w:rPr>
              <w:t>企业资信-</w:t>
            </w:r>
            <w:r>
              <w:rPr>
                <w:rFonts w:hint="eastAsia" w:ascii="宋体" w:hAnsi="宋体" w:cs="宋体"/>
                <w:sz w:val="18"/>
                <w:szCs w:val="18"/>
                <w:highlight w:val="none"/>
              </w:rPr>
              <w:t>财务指标</w:t>
            </w:r>
          </w:p>
        </w:tc>
        <w:tc>
          <w:tcPr>
            <w:tcW w:w="652" w:type="dxa"/>
            <w:noWrap w:val="0"/>
            <w:vAlign w:val="center"/>
          </w:tcPr>
          <w:p>
            <w:pPr>
              <w:snapToGrid w:val="0"/>
              <w:jc w:val="center"/>
              <w:rPr>
                <w:rFonts w:ascii="宋体" w:hAnsi="宋体" w:cs="宋体"/>
                <w:sz w:val="18"/>
                <w:szCs w:val="18"/>
                <w:highlight w:val="none"/>
              </w:rPr>
            </w:pPr>
            <w:r>
              <w:rPr>
                <w:rFonts w:hint="eastAsia" w:ascii="宋体" w:hAnsi="宋体" w:cs="宋体"/>
                <w:sz w:val="18"/>
                <w:szCs w:val="18"/>
                <w:highlight w:val="none"/>
              </w:rPr>
              <w:t>1.2</w:t>
            </w:r>
          </w:p>
        </w:tc>
        <w:tc>
          <w:tcPr>
            <w:tcW w:w="11499" w:type="dxa"/>
            <w:noWrap w:val="0"/>
            <w:vAlign w:val="center"/>
          </w:tcPr>
          <w:p>
            <w:pPr>
              <w:snapToGrid w:val="0"/>
              <w:spacing w:line="280" w:lineRule="exact"/>
              <w:jc w:val="left"/>
              <w:rPr>
                <w:rFonts w:ascii="宋体" w:hAnsi="宋体" w:cs="宋体"/>
                <w:sz w:val="18"/>
                <w:szCs w:val="18"/>
                <w:highlight w:val="none"/>
              </w:rPr>
            </w:pPr>
            <w:r>
              <w:rPr>
                <w:rFonts w:hint="eastAsia" w:ascii="宋体" w:hAnsi="宋体" w:cs="宋体"/>
                <w:sz w:val="18"/>
                <w:szCs w:val="18"/>
                <w:highlight w:val="none"/>
              </w:rPr>
              <w:t>投标人近三年（2019、2020、2021）每年的负债率均＜</w:t>
            </w:r>
            <w:r>
              <w:rPr>
                <w:rFonts w:hint="eastAsia" w:ascii="宋体" w:hAnsi="宋体" w:cs="宋体"/>
                <w:sz w:val="18"/>
                <w:szCs w:val="18"/>
                <w:highlight w:val="none"/>
                <w:lang w:val="en-US" w:eastAsia="zh-CN"/>
              </w:rPr>
              <w:t>40</w:t>
            </w:r>
            <w:r>
              <w:rPr>
                <w:rFonts w:hint="eastAsia" w:ascii="宋体" w:hAnsi="宋体" w:cs="宋体"/>
                <w:sz w:val="18"/>
                <w:szCs w:val="18"/>
                <w:highlight w:val="none"/>
              </w:rPr>
              <w:t>%的得1.2分；</w:t>
            </w:r>
            <w:r>
              <w:rPr>
                <w:rFonts w:hint="eastAsia" w:ascii="宋体" w:hAnsi="宋体" w:cs="宋体"/>
                <w:sz w:val="18"/>
                <w:szCs w:val="18"/>
                <w:highlight w:val="none"/>
                <w:lang w:val="en-US" w:eastAsia="zh-CN"/>
              </w:rPr>
              <w:t>40</w:t>
            </w:r>
            <w:r>
              <w:rPr>
                <w:rFonts w:hint="eastAsia" w:ascii="宋体" w:hAnsi="宋体" w:cs="宋体"/>
                <w:sz w:val="18"/>
                <w:szCs w:val="18"/>
                <w:highlight w:val="none"/>
              </w:rPr>
              <w:t>%≤负债率＜</w:t>
            </w:r>
            <w:r>
              <w:rPr>
                <w:rFonts w:hint="eastAsia" w:ascii="宋体" w:hAnsi="宋体" w:cs="宋体"/>
                <w:sz w:val="18"/>
                <w:szCs w:val="18"/>
                <w:highlight w:val="none"/>
                <w:lang w:val="en-US" w:eastAsia="zh-CN"/>
              </w:rPr>
              <w:t>45</w:t>
            </w:r>
            <w:r>
              <w:rPr>
                <w:rFonts w:hint="eastAsia" w:ascii="宋体" w:hAnsi="宋体" w:cs="宋体"/>
                <w:sz w:val="18"/>
                <w:szCs w:val="18"/>
                <w:highlight w:val="none"/>
              </w:rPr>
              <w:t>%的得0.6分；</w:t>
            </w:r>
            <w:r>
              <w:rPr>
                <w:rFonts w:hint="eastAsia" w:ascii="宋体" w:hAnsi="宋体" w:cs="宋体"/>
                <w:sz w:val="18"/>
                <w:szCs w:val="18"/>
                <w:highlight w:val="none"/>
                <w:lang w:val="en-US" w:eastAsia="zh-CN"/>
              </w:rPr>
              <w:t>4</w:t>
            </w:r>
            <w:r>
              <w:rPr>
                <w:rFonts w:hint="eastAsia" w:ascii="宋体" w:hAnsi="宋体" w:cs="宋体"/>
                <w:sz w:val="18"/>
                <w:szCs w:val="18"/>
                <w:highlight w:val="none"/>
              </w:rPr>
              <w:t>5%≤负债率＜</w:t>
            </w:r>
            <w:r>
              <w:rPr>
                <w:rFonts w:hint="eastAsia" w:ascii="宋体" w:hAnsi="宋体" w:cs="宋体"/>
                <w:sz w:val="18"/>
                <w:szCs w:val="18"/>
                <w:highlight w:val="none"/>
                <w:lang w:val="en-US" w:eastAsia="zh-CN"/>
              </w:rPr>
              <w:t>5</w:t>
            </w:r>
            <w:r>
              <w:rPr>
                <w:rFonts w:hint="eastAsia" w:ascii="宋体" w:hAnsi="宋体" w:cs="宋体"/>
                <w:sz w:val="18"/>
                <w:szCs w:val="18"/>
                <w:highlight w:val="none"/>
              </w:rPr>
              <w:t>0%的得0.3分；负债率</w:t>
            </w:r>
            <w:r>
              <w:rPr>
                <w:rFonts w:hint="eastAsia" w:ascii="宋体" w:hAnsi="宋体" w:cs="宋体"/>
                <w:sz w:val="18"/>
                <w:szCs w:val="18"/>
                <w:highlight w:val="none"/>
                <w:lang w:val="zh-CN"/>
              </w:rPr>
              <w:t>≥</w:t>
            </w:r>
            <w:r>
              <w:rPr>
                <w:rFonts w:hint="eastAsia" w:ascii="宋体" w:hAnsi="宋体" w:cs="宋体"/>
                <w:sz w:val="18"/>
                <w:szCs w:val="18"/>
                <w:highlight w:val="none"/>
                <w:lang w:val="en-US" w:eastAsia="zh-CN"/>
              </w:rPr>
              <w:t>5</w:t>
            </w:r>
            <w:r>
              <w:rPr>
                <w:rFonts w:hint="eastAsia" w:ascii="宋体" w:hAnsi="宋体" w:cs="宋体"/>
                <w:sz w:val="18"/>
                <w:szCs w:val="18"/>
                <w:highlight w:val="none"/>
              </w:rPr>
              <w:t>0%的得0.1分。</w:t>
            </w:r>
          </w:p>
          <w:p>
            <w:pPr>
              <w:adjustRightInd w:val="0"/>
              <w:snapToGrid w:val="0"/>
              <w:rPr>
                <w:rFonts w:ascii="宋体" w:hAnsi="宋体" w:cs="宋体"/>
                <w:sz w:val="18"/>
                <w:szCs w:val="18"/>
                <w:highlight w:val="none"/>
              </w:rPr>
            </w:pPr>
            <w:r>
              <w:rPr>
                <w:rFonts w:hint="eastAsia" w:ascii="宋体" w:hAnsi="宋体" w:cs="宋体"/>
                <w:sz w:val="18"/>
                <w:szCs w:val="18"/>
                <w:highlight w:val="none"/>
              </w:rPr>
              <w:t>注：提供近三年（指2019年度、2020年度、2021年度）会计师事务所出具的财务审计报告扫描件（需提供财务报表审计报告及附表，财务报表附注无需提供）；资产负债率计算公式：资产负债率=期（年）末负债总额÷期（年）末资产总额×100%。 若三年负债率不在同一档次中，则按负债率最高的档次计算得分。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2478" w:type="dxa"/>
            <w:gridSpan w:val="3"/>
            <w:noWrap w:val="0"/>
            <w:vAlign w:val="center"/>
          </w:tcPr>
          <w:p>
            <w:pPr>
              <w:adjustRightInd w:val="0"/>
              <w:snapToGrid w:val="0"/>
              <w:jc w:val="center"/>
              <w:rPr>
                <w:rFonts w:ascii="宋体" w:hAnsi="宋体" w:cs="宋体"/>
                <w:sz w:val="18"/>
                <w:szCs w:val="18"/>
                <w:highlight w:val="none"/>
              </w:rPr>
            </w:pPr>
            <w:r>
              <w:rPr>
                <w:rFonts w:hint="eastAsia" w:ascii="宋体" w:hAnsi="宋体" w:cs="宋体"/>
                <w:sz w:val="18"/>
                <w:szCs w:val="18"/>
                <w:highlight w:val="none"/>
              </w:rPr>
              <w:t>合  计</w:t>
            </w:r>
          </w:p>
        </w:tc>
        <w:tc>
          <w:tcPr>
            <w:tcW w:w="652" w:type="dxa"/>
            <w:noWrap w:val="0"/>
            <w:vAlign w:val="center"/>
          </w:tcPr>
          <w:p>
            <w:pPr>
              <w:adjustRightInd w:val="0"/>
              <w:snapToGrid w:val="0"/>
              <w:jc w:val="center"/>
              <w:rPr>
                <w:rFonts w:ascii="宋体" w:hAnsi="宋体" w:cs="宋体"/>
                <w:sz w:val="18"/>
                <w:szCs w:val="18"/>
                <w:highlight w:val="none"/>
              </w:rPr>
            </w:pPr>
            <w:r>
              <w:rPr>
                <w:rFonts w:hint="eastAsia" w:ascii="宋体" w:hAnsi="宋体" w:cs="宋体"/>
                <w:sz w:val="18"/>
                <w:szCs w:val="18"/>
                <w:highlight w:val="none"/>
              </w:rPr>
              <w:t>20</w:t>
            </w:r>
          </w:p>
        </w:tc>
        <w:tc>
          <w:tcPr>
            <w:tcW w:w="11499" w:type="dxa"/>
            <w:noWrap w:val="0"/>
            <w:vAlign w:val="center"/>
          </w:tcPr>
          <w:p>
            <w:pPr>
              <w:adjustRightInd w:val="0"/>
              <w:snapToGrid w:val="0"/>
              <w:jc w:val="center"/>
              <w:rPr>
                <w:rFonts w:ascii="宋体" w:hAnsi="宋体" w:cs="宋体"/>
                <w:sz w:val="18"/>
                <w:szCs w:val="18"/>
                <w:highlight w:val="none"/>
              </w:rPr>
            </w:pPr>
          </w:p>
        </w:tc>
      </w:tr>
    </w:tbl>
    <w:p>
      <w:pPr>
        <w:rPr>
          <w:rFonts w:ascii="宋体" w:hAnsi="宋体" w:cs="宋体"/>
          <w:b/>
          <w:bCs/>
          <w:sz w:val="18"/>
          <w:szCs w:val="18"/>
          <w:highlight w:val="none"/>
        </w:rPr>
      </w:pPr>
      <w:r>
        <w:rPr>
          <w:rFonts w:hint="eastAsia" w:ascii="宋体" w:hAnsi="宋体" w:cs="宋体"/>
          <w:b/>
          <w:bCs/>
          <w:sz w:val="18"/>
          <w:szCs w:val="18"/>
          <w:highlight w:val="none"/>
        </w:rPr>
        <w:t>技术标详细审查评分表附注：</w:t>
      </w:r>
    </w:p>
    <w:p>
      <w:pPr>
        <w:ind w:firstLine="360" w:firstLineChars="200"/>
        <w:rPr>
          <w:rFonts w:ascii="宋体" w:hAnsi="宋体" w:cs="宋体"/>
          <w:sz w:val="18"/>
          <w:szCs w:val="18"/>
          <w:highlight w:val="none"/>
        </w:rPr>
      </w:pPr>
      <w:r>
        <w:rPr>
          <w:rFonts w:hint="eastAsia" w:ascii="宋体" w:hAnsi="宋体" w:cs="宋体"/>
          <w:sz w:val="18"/>
          <w:szCs w:val="18"/>
          <w:highlight w:val="none"/>
        </w:rPr>
        <w:t>1、项目管理机构：所有人员不得互相兼任，注册类人员须提供注册证扫描件，职称人员须提供职称证书扫描</w:t>
      </w:r>
      <w:r>
        <w:rPr>
          <w:rFonts w:hint="eastAsia" w:ascii="宋体" w:hAnsi="宋体" w:cs="宋体"/>
          <w:sz w:val="18"/>
          <w:szCs w:val="18"/>
          <w:highlight w:val="none"/>
          <w:lang w:val="en-US" w:eastAsia="zh-CN"/>
        </w:rPr>
        <w:t>件</w:t>
      </w:r>
      <w:r>
        <w:rPr>
          <w:rFonts w:hint="eastAsia" w:ascii="宋体" w:hAnsi="宋体" w:cs="宋体"/>
          <w:sz w:val="18"/>
          <w:szCs w:val="18"/>
          <w:highlight w:val="none"/>
        </w:rPr>
        <w:t>，</w:t>
      </w:r>
      <w:r>
        <w:rPr>
          <w:rFonts w:hint="eastAsia" w:ascii="宋体" w:hAnsi="宋体" w:cs="宋体"/>
          <w:sz w:val="18"/>
          <w:szCs w:val="18"/>
          <w:highlight w:val="none"/>
          <w:lang w:eastAsia="zh-CN"/>
        </w:rPr>
        <w:t>学历证明提供毕业证扫描件，</w:t>
      </w:r>
      <w:r>
        <w:rPr>
          <w:rFonts w:hint="eastAsia" w:ascii="宋体" w:hAnsi="宋体" w:cs="宋体"/>
          <w:sz w:val="18"/>
          <w:szCs w:val="18"/>
          <w:highlight w:val="none"/>
        </w:rPr>
        <w:t>项目管理机构人员均须提供身份及近1个月</w:t>
      </w:r>
      <w:r>
        <w:rPr>
          <w:rFonts w:hint="eastAsia" w:ascii="宋体" w:hAnsi="宋体" w:cs="宋体"/>
          <w:sz w:val="18"/>
          <w:szCs w:val="18"/>
          <w:highlight w:val="none"/>
          <w:lang w:eastAsia="zh-CN"/>
        </w:rPr>
        <w:t>（</w:t>
      </w:r>
      <w:r>
        <w:rPr>
          <w:rFonts w:hint="eastAsia" w:ascii="宋体" w:hAnsi="宋体" w:cs="宋体"/>
          <w:sz w:val="18"/>
          <w:szCs w:val="18"/>
          <w:highlight w:val="none"/>
        </w:rPr>
        <w:t>202</w:t>
      </w:r>
      <w:r>
        <w:rPr>
          <w:rFonts w:hint="eastAsia" w:ascii="宋体" w:hAnsi="宋体" w:cs="宋体"/>
          <w:sz w:val="18"/>
          <w:szCs w:val="18"/>
          <w:highlight w:val="none"/>
          <w:lang w:val="en-US" w:eastAsia="zh-CN"/>
        </w:rPr>
        <w:t>3</w:t>
      </w:r>
      <w:r>
        <w:rPr>
          <w:rFonts w:hint="eastAsia" w:ascii="宋体" w:hAnsi="宋体" w:cs="宋体"/>
          <w:sz w:val="18"/>
          <w:szCs w:val="18"/>
          <w:highlight w:val="none"/>
        </w:rPr>
        <w:t>年</w:t>
      </w:r>
      <w:r>
        <w:rPr>
          <w:rFonts w:hint="eastAsia" w:ascii="宋体" w:hAnsi="宋体" w:cs="宋体"/>
          <w:sz w:val="18"/>
          <w:szCs w:val="18"/>
          <w:highlight w:val="none"/>
          <w:lang w:val="en-US" w:eastAsia="zh-CN"/>
        </w:rPr>
        <w:t>4</w:t>
      </w:r>
      <w:r>
        <w:rPr>
          <w:rFonts w:hint="eastAsia" w:ascii="宋体" w:hAnsi="宋体" w:cs="宋体"/>
          <w:sz w:val="18"/>
          <w:szCs w:val="18"/>
          <w:highlight w:val="none"/>
        </w:rPr>
        <w:t>月）的社保证明</w:t>
      </w:r>
      <w:r>
        <w:rPr>
          <w:rFonts w:hint="eastAsia" w:ascii="宋体" w:hAnsi="宋体" w:cs="宋体"/>
          <w:sz w:val="18"/>
          <w:szCs w:val="18"/>
          <w:highlight w:val="none"/>
          <w:lang w:eastAsia="zh-CN"/>
        </w:rPr>
        <w:t>（必须包含基本养老保险）</w:t>
      </w:r>
      <w:r>
        <w:rPr>
          <w:rFonts w:hint="eastAsia" w:ascii="宋体" w:hAnsi="宋体" w:cs="宋体"/>
          <w:b/>
          <w:bCs/>
          <w:color w:val="auto"/>
          <w:sz w:val="18"/>
          <w:szCs w:val="18"/>
          <w:highlight w:val="none"/>
          <w:lang w:val="en-US" w:eastAsia="zh-CN"/>
        </w:rPr>
        <w:t>扫描件加</w:t>
      </w:r>
      <w:r>
        <w:rPr>
          <w:rFonts w:hint="eastAsia" w:ascii="宋体" w:hAnsi="宋体" w:cs="宋体"/>
          <w:b/>
          <w:bCs/>
          <w:color w:val="auto"/>
          <w:sz w:val="18"/>
          <w:szCs w:val="18"/>
          <w:highlight w:val="none"/>
        </w:rPr>
        <w:t>盖</w:t>
      </w:r>
      <w:r>
        <w:rPr>
          <w:rFonts w:hint="eastAsia" w:ascii="宋体" w:hAnsi="宋体" w:cs="宋体"/>
          <w:b/>
          <w:bCs/>
          <w:color w:val="auto"/>
          <w:sz w:val="18"/>
          <w:szCs w:val="18"/>
          <w:highlight w:val="none"/>
          <w:lang w:val="en-US" w:eastAsia="zh-CN"/>
        </w:rPr>
        <w:t>电子印章</w:t>
      </w:r>
      <w:r>
        <w:rPr>
          <w:rFonts w:hint="eastAsia" w:ascii="宋体" w:hAnsi="宋体" w:cs="宋体"/>
          <w:sz w:val="18"/>
          <w:szCs w:val="18"/>
          <w:highlight w:val="none"/>
        </w:rPr>
        <w:t>，提供资料不齐全不得分，管理机构人员职称只按最高级别计分。人员仅指投标人自身人员</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含不具有独立法人资格的分公司人员）</w:t>
      </w:r>
      <w:r>
        <w:rPr>
          <w:rFonts w:hint="eastAsia" w:ascii="宋体" w:hAnsi="宋体" w:cs="宋体"/>
          <w:sz w:val="18"/>
          <w:szCs w:val="18"/>
          <w:highlight w:val="none"/>
        </w:rPr>
        <w:t>，不含子母公司人员；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未按要求提供完整相关资料的人员，该人员不作为评分依据)。证明资料不提供或提供不齐全不得分，所有证明资料的扫描件需加盖投标人</w:t>
      </w:r>
      <w:r>
        <w:rPr>
          <w:rFonts w:hint="eastAsia" w:ascii="宋体" w:hAnsi="宋体" w:cs="宋体"/>
          <w:b/>
          <w:bCs/>
          <w:color w:val="auto"/>
          <w:sz w:val="18"/>
          <w:szCs w:val="18"/>
          <w:highlight w:val="none"/>
          <w:lang w:val="en-US" w:eastAsia="zh-CN"/>
        </w:rPr>
        <w:t>电子</w:t>
      </w:r>
      <w:r>
        <w:rPr>
          <w:rFonts w:hint="eastAsia" w:ascii="宋体" w:hAnsi="宋体" w:cs="宋体"/>
          <w:b/>
          <w:bCs/>
          <w:sz w:val="18"/>
          <w:szCs w:val="18"/>
          <w:highlight w:val="none"/>
          <w:lang w:val="en-US" w:eastAsia="zh-CN"/>
        </w:rPr>
        <w:t>印章</w:t>
      </w:r>
      <w:r>
        <w:rPr>
          <w:rFonts w:hint="eastAsia" w:ascii="宋体" w:hAnsi="宋体" w:cs="宋体"/>
          <w:sz w:val="18"/>
          <w:szCs w:val="18"/>
          <w:highlight w:val="none"/>
        </w:rPr>
        <w:t>。</w:t>
      </w:r>
    </w:p>
    <w:p>
      <w:pPr>
        <w:ind w:firstLine="360" w:firstLineChars="200"/>
        <w:rPr>
          <w:rFonts w:hint="eastAsia" w:ascii="宋体" w:hAnsi="宋体" w:cs="宋体"/>
          <w:sz w:val="18"/>
          <w:szCs w:val="18"/>
          <w:highlight w:val="none"/>
        </w:rPr>
      </w:pPr>
      <w:r>
        <w:rPr>
          <w:rFonts w:hint="eastAsia" w:ascii="宋体" w:hAnsi="宋体" w:cs="宋体"/>
          <w:sz w:val="18"/>
          <w:szCs w:val="18"/>
          <w:highlight w:val="none"/>
          <w:lang w:val="en-US" w:eastAsia="zh-CN"/>
        </w:rPr>
        <w:t>2、</w:t>
      </w:r>
      <w:r>
        <w:rPr>
          <w:rFonts w:hint="eastAsia" w:ascii="宋体" w:hAnsi="宋体" w:cs="宋体"/>
          <w:sz w:val="18"/>
          <w:szCs w:val="18"/>
          <w:highlight w:val="none"/>
        </w:rPr>
        <w:t>人员业绩：类似业绩是指投标人自20</w:t>
      </w:r>
      <w:r>
        <w:rPr>
          <w:rFonts w:hint="eastAsia" w:ascii="宋体" w:hAnsi="宋体" w:cs="宋体"/>
          <w:sz w:val="18"/>
          <w:szCs w:val="18"/>
          <w:highlight w:val="none"/>
          <w:lang w:val="en-US" w:eastAsia="zh-CN"/>
        </w:rPr>
        <w:t>20</w:t>
      </w:r>
      <w:r>
        <w:rPr>
          <w:rFonts w:hint="eastAsia" w:ascii="宋体" w:hAnsi="宋体" w:cs="宋体"/>
          <w:sz w:val="18"/>
          <w:szCs w:val="18"/>
          <w:highlight w:val="none"/>
        </w:rPr>
        <w:t>年1月1日至投标截止时间止完成过质量合格的建筑工程施工总承包业绩。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分别对应不同业绩的，以项目名称对应的业绩为准②项目名称存在对应业绩的，项目编号在平台不存在对应业绩，以项目名称对应的业绩为准③项目名称在平台不存在对应业绩，项目编号存在对应业绩的，以项目编号对应的业绩为准。评标委员会对业绩的评审以投标截止时间在平台业绩上传件为依据。平台中竣工验收文件须有对应职位及该人员的姓名。（如竣工文件无对应职位及该人员姓名的，则投标人需提供体现该人员以对应职位参与过该项目的其他经建设单位盖章确认的证明材料扫描件并加盖投标人电子印章，无提供证明材料不计分）金额以中标通知书为准，中标通知书上没有金额或免招标的，以施工合同（不含补充合同）为准，在平台中“工程对应的企业资质”栏中须登记有与本项目要求相对应的资质【具体资质要求：建筑工程施工总承包（原房屋建筑工程施工总承包）】，完成时间以竣工验收文件为准。验收文件至少具有建设单位、设计、施工和监理单位盖章，平台业绩上传件不符合上述要求的或登记的工程资质内容与施工合同等业绩证明资料不相符的，该项业绩不予认定。</w:t>
      </w:r>
    </w:p>
    <w:p>
      <w:pPr>
        <w:ind w:firstLine="360" w:firstLineChars="200"/>
        <w:rPr>
          <w:rFonts w:ascii="宋体" w:hAnsi="宋体" w:cs="宋体"/>
          <w:sz w:val="18"/>
          <w:szCs w:val="18"/>
          <w:highlight w:val="none"/>
        </w:rPr>
      </w:pPr>
      <w:r>
        <w:rPr>
          <w:rFonts w:hint="eastAsia" w:ascii="宋体" w:hAnsi="宋体" w:cs="宋体"/>
          <w:sz w:val="18"/>
          <w:szCs w:val="18"/>
          <w:highlight w:val="none"/>
          <w:lang w:val="en-US" w:eastAsia="zh-CN"/>
        </w:rPr>
        <w:t>3、</w:t>
      </w:r>
      <w:r>
        <w:rPr>
          <w:rFonts w:hint="eastAsia" w:ascii="宋体" w:hAnsi="宋体" w:cs="宋体"/>
          <w:sz w:val="18"/>
          <w:szCs w:val="18"/>
          <w:highlight w:val="none"/>
          <w:lang w:eastAsia="zh-CN"/>
        </w:rPr>
        <w:t>企业</w:t>
      </w:r>
      <w:r>
        <w:rPr>
          <w:rFonts w:hint="eastAsia" w:ascii="宋体" w:hAnsi="宋体" w:cs="宋体"/>
          <w:sz w:val="18"/>
          <w:szCs w:val="18"/>
          <w:highlight w:val="none"/>
        </w:rPr>
        <w:t>业绩：类似业绩是指投标人自20</w:t>
      </w:r>
      <w:r>
        <w:rPr>
          <w:rFonts w:hint="eastAsia" w:ascii="宋体" w:hAnsi="宋体" w:cs="宋体"/>
          <w:sz w:val="18"/>
          <w:szCs w:val="18"/>
          <w:highlight w:val="none"/>
          <w:lang w:val="en-US" w:eastAsia="zh-CN"/>
        </w:rPr>
        <w:t>20</w:t>
      </w:r>
      <w:r>
        <w:rPr>
          <w:rFonts w:hint="eastAsia" w:ascii="宋体" w:hAnsi="宋体" w:cs="宋体"/>
          <w:sz w:val="18"/>
          <w:szCs w:val="18"/>
          <w:highlight w:val="none"/>
        </w:rPr>
        <w:t>年1月1日至投标截止时间止完成过质量合格的建筑工程施工总承包业绩。</w:t>
      </w:r>
    </w:p>
    <w:p>
      <w:pPr>
        <w:ind w:firstLine="360" w:firstLineChars="200"/>
        <w:rPr>
          <w:rFonts w:ascii="宋体" w:hAnsi="宋体" w:cs="宋体"/>
          <w:sz w:val="18"/>
          <w:szCs w:val="18"/>
          <w:highlight w:val="none"/>
        </w:rPr>
      </w:pPr>
      <w:r>
        <w:rPr>
          <w:rFonts w:hint="eastAsia" w:ascii="宋体" w:hAnsi="宋体" w:cs="宋体"/>
          <w:sz w:val="18"/>
          <w:szCs w:val="18"/>
          <w:highlight w:val="none"/>
        </w:rPr>
        <w:t>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ind w:firstLine="360" w:firstLineChars="200"/>
        <w:rPr>
          <w:rFonts w:hint="eastAsia" w:ascii="宋体" w:hAnsi="宋体" w:cs="宋体"/>
          <w:sz w:val="18"/>
          <w:szCs w:val="18"/>
          <w:highlight w:val="none"/>
        </w:rPr>
      </w:pPr>
      <w:r>
        <w:rPr>
          <w:rFonts w:hint="eastAsia" w:ascii="宋体" w:hAnsi="宋体" w:cs="宋体"/>
          <w:sz w:val="18"/>
          <w:szCs w:val="18"/>
          <w:highlight w:val="none"/>
        </w:rPr>
        <w:t>金额以中标通知书为准，中标通知书上没有金额或免招标的，以施工合同（不含补充合同）为准。完成时间以竣工验收文件为准。验收文件至少具有建设单位、设计、施工和监理单位盖章。平台内业绩上传件不符合上述要求的或登记的工程资质内容与施工合同等业绩证明资料不相符的，该项业绩不予认定。</w:t>
      </w:r>
    </w:p>
    <w:p>
      <w:pPr>
        <w:ind w:firstLine="360" w:firstLineChars="200"/>
        <w:rPr>
          <w:rFonts w:hint="eastAsia" w:ascii="宋体" w:hAnsi="宋体" w:eastAsia="宋体" w:cs="宋体"/>
          <w:b/>
          <w:bCs/>
          <w:color w:val="auto"/>
          <w:sz w:val="18"/>
          <w:szCs w:val="18"/>
          <w:highlight w:val="none"/>
        </w:rPr>
      </w:pPr>
      <w:r>
        <w:rPr>
          <w:rFonts w:hint="eastAsia" w:ascii="宋体" w:hAnsi="宋体" w:cs="宋体"/>
          <w:sz w:val="18"/>
          <w:szCs w:val="18"/>
          <w:highlight w:val="none"/>
        </w:rPr>
        <w:t>企业获奖：</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lang w:val="en-US" w:eastAsia="zh-CN"/>
        </w:rPr>
        <w:t>1</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工程获奖取自广州市住建行业信用管理平台。投标人须提交获奖证书扫描件及广州市住建行业信用管理平台的网页信息截图（网页信息截图须能清晰显示带有“住建行业信用管理平台”名称，并至少包含“项目基本信息”、 “奖项信息”等信息），并加盖投标人电子印章，不符合上述条件或不提供平台内网页信息截图的工程获奖不予评审。</w:t>
      </w:r>
    </w:p>
    <w:p>
      <w:pPr>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lang w:val="en-US" w:eastAsia="zh-CN"/>
        </w:rPr>
        <w:t>2</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时间以获奖证书颁发时间为准。同一项目获得多个奖项的，按最高级别奖项只计一次得分。</w:t>
      </w:r>
    </w:p>
    <w:p>
      <w:pPr>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lang w:val="en-US" w:eastAsia="zh-CN"/>
        </w:rPr>
        <w:t>3</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国家级</w:t>
      </w:r>
      <w:r>
        <w:rPr>
          <w:rFonts w:hint="eastAsia" w:ascii="宋体" w:hAnsi="宋体" w:eastAsia="宋体" w:cs="宋体"/>
          <w:b/>
          <w:bCs/>
          <w:color w:val="auto"/>
          <w:sz w:val="18"/>
          <w:szCs w:val="18"/>
          <w:highlight w:val="none"/>
          <w:lang w:val="en-US" w:eastAsia="zh-CN"/>
        </w:rPr>
        <w:t>奖项</w:t>
      </w:r>
      <w:r>
        <w:rPr>
          <w:rFonts w:hint="eastAsia" w:ascii="宋体" w:hAnsi="宋体" w:eastAsia="宋体" w:cs="宋体"/>
          <w:b/>
          <w:bCs/>
          <w:color w:val="auto"/>
          <w:sz w:val="18"/>
          <w:szCs w:val="18"/>
          <w:highlight w:val="none"/>
        </w:rPr>
        <w:t>包括中国建设工程鲁班奖、国家优质工程金质奖、国家优质工程奖、</w:t>
      </w:r>
      <w:r>
        <w:rPr>
          <w:rFonts w:hint="eastAsia" w:ascii="宋体" w:hAnsi="宋体" w:eastAsia="宋体" w:cs="宋体"/>
          <w:b/>
          <w:bCs/>
          <w:color w:val="auto"/>
          <w:sz w:val="18"/>
          <w:szCs w:val="18"/>
          <w:highlight w:val="none"/>
          <w:lang w:val="en-US" w:eastAsia="zh-CN"/>
        </w:rPr>
        <w:t>中国建筑工程装饰奖、</w:t>
      </w:r>
      <w:r>
        <w:rPr>
          <w:rFonts w:hint="eastAsia" w:ascii="宋体" w:hAnsi="宋体" w:eastAsia="宋体" w:cs="宋体"/>
          <w:b/>
          <w:bCs/>
          <w:color w:val="auto"/>
          <w:sz w:val="18"/>
          <w:szCs w:val="18"/>
          <w:highlight w:val="none"/>
        </w:rPr>
        <w:t>中国土木工程詹天佑奖</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省或市级奖项是指由省、市级建设行政主管部门或行业协会颁发的工程质量类；不包含钢结构、技术创新、QC成果、科技进步及技术应用类等奖项。只计算房建类工程奖项，其他非房建项目，如：路桥、铁路、水利、电力、化工、冶金、市政等获奖不参与计分。</w:t>
      </w:r>
    </w:p>
    <w:p>
      <w:pPr>
        <w:ind w:firstLine="420" w:firstLineChars="200"/>
        <w:rPr>
          <w:rFonts w:hint="eastAsia" w:ascii="宋体" w:hAnsi="宋体" w:eastAsia="宋体" w:cs="宋体"/>
          <w:color w:val="auto"/>
          <w:kern w:val="2"/>
          <w:sz w:val="18"/>
          <w:szCs w:val="18"/>
          <w:highlight w:val="none"/>
          <w:lang w:val="en-US" w:eastAsia="zh-CN" w:bidi="ar-SA"/>
        </w:rPr>
      </w:pPr>
      <w:r>
        <w:rPr>
          <w:rFonts w:hint="eastAsia"/>
          <w:highlight w:val="none"/>
          <w:lang w:val="en-US" w:eastAsia="zh-CN"/>
        </w:rPr>
        <w:t>4、研发能力</w:t>
      </w:r>
      <w:r>
        <w:rPr>
          <w:rFonts w:hint="eastAsia" w:ascii="宋体" w:hAnsi="宋体" w:eastAsia="宋体" w:cs="宋体"/>
          <w:color w:val="auto"/>
          <w:kern w:val="2"/>
          <w:sz w:val="18"/>
          <w:szCs w:val="18"/>
          <w:highlight w:val="none"/>
          <w:lang w:val="en-US" w:eastAsia="zh-CN" w:bidi="ar-SA"/>
        </w:rPr>
        <w:t>：工法奖项投标人所提供的工法证书等证明材料为准。投标人所提供的工法科技成果须成功应用于具体的房建项目，须提交建设行政主管部门或行业协会（行业协会须在民政管理部门登记备案）或其他工法主管部门颁发的工法证书扫描件及可反映工法科技成果成功应用在具体房建项目的科学技术成果鉴定证书扫描件，以上扫描件均需加盖投标单位电子印章。以上要求提供的扫描件缺一不可，否则该工法不能计算有效工法。</w:t>
      </w:r>
    </w:p>
    <w:p>
      <w:pPr>
        <w:ind w:firstLine="360" w:firstLineChars="200"/>
        <w:rPr>
          <w:rFonts w:hint="eastAsia" w:ascii="宋体" w:hAnsi="宋体" w:eastAsia="宋体" w:cs="宋体"/>
          <w:color w:val="FF0000"/>
          <w:sz w:val="18"/>
          <w:szCs w:val="18"/>
          <w:highlight w:val="none"/>
          <w:lang w:val="en-US" w:eastAsia="zh-CN"/>
        </w:rPr>
      </w:pPr>
      <w:r>
        <w:rPr>
          <w:rFonts w:hint="eastAsia" w:ascii="宋体" w:hAnsi="宋体" w:cs="宋体"/>
          <w:sz w:val="18"/>
          <w:szCs w:val="18"/>
          <w:highlight w:val="none"/>
          <w:lang w:val="en-US" w:eastAsia="zh-CN"/>
        </w:rPr>
        <w:t>5</w:t>
      </w:r>
      <w:r>
        <w:rPr>
          <w:rFonts w:hint="eastAsia" w:ascii="宋体" w:hAnsi="宋体" w:cs="宋体"/>
          <w:sz w:val="18"/>
          <w:szCs w:val="18"/>
          <w:highlight w:val="none"/>
        </w:rPr>
        <w:t>、</w:t>
      </w:r>
      <w:r>
        <w:rPr>
          <w:rFonts w:hint="eastAsia" w:ascii="宋体" w:hAnsi="宋体" w:cs="宋体"/>
          <w:sz w:val="18"/>
          <w:szCs w:val="18"/>
          <w:highlight w:val="none"/>
          <w:u w:val="none"/>
        </w:rPr>
        <w:t>第三方评价：</w:t>
      </w:r>
      <w:r>
        <w:rPr>
          <w:rFonts w:hint="eastAsia" w:ascii="宋体" w:hAnsi="宋体" w:eastAsia="宋体" w:cs="宋体"/>
          <w:b/>
          <w:bCs/>
          <w:color w:val="auto"/>
          <w:sz w:val="18"/>
          <w:szCs w:val="18"/>
          <w:highlight w:val="none"/>
          <w:lang w:val="en-US" w:eastAsia="zh-CN"/>
        </w:rPr>
        <w:t>提供由市级（或以上)国家税务局或地方税务局颁发的“纳税信用等级A级”证书原件彩色扫描件和网上查询截图作为评分依据，提供证件原件彩色扫描件，</w:t>
      </w:r>
      <w:r>
        <w:rPr>
          <w:rFonts w:hint="eastAsia" w:ascii="宋体" w:hAnsi="宋体" w:eastAsia="宋体" w:cs="宋体"/>
          <w:b/>
          <w:bCs/>
          <w:color w:val="auto"/>
          <w:sz w:val="18"/>
          <w:szCs w:val="18"/>
          <w:highlight w:val="none"/>
          <w:u w:val="none"/>
          <w:lang w:val="en-US" w:eastAsia="zh-CN"/>
        </w:rPr>
        <w:t>否则不得分，分公司或子公司的纳税等级不计算</w:t>
      </w:r>
      <w:r>
        <w:rPr>
          <w:rFonts w:hint="eastAsia" w:ascii="宋体" w:hAnsi="宋体" w:eastAsia="宋体" w:cs="宋体"/>
          <w:color w:val="auto"/>
          <w:sz w:val="18"/>
          <w:szCs w:val="18"/>
          <w:highlight w:val="none"/>
          <w:lang w:val="en-US" w:eastAsia="zh-CN"/>
        </w:rPr>
        <w:t>。</w:t>
      </w:r>
    </w:p>
    <w:p>
      <w:pPr>
        <w:ind w:firstLine="360" w:firstLineChars="200"/>
        <w:rPr>
          <w:rFonts w:ascii="宋体" w:hAnsi="宋体" w:cs="宋体"/>
          <w:sz w:val="18"/>
          <w:szCs w:val="18"/>
          <w:highlight w:val="none"/>
        </w:rPr>
      </w:pPr>
      <w:r>
        <w:rPr>
          <w:rFonts w:hint="eastAsia" w:ascii="宋体" w:hAnsi="宋体" w:cs="宋体"/>
          <w:sz w:val="18"/>
          <w:szCs w:val="18"/>
          <w:highlight w:val="none"/>
          <w:lang w:val="en-US" w:eastAsia="zh-CN"/>
        </w:rPr>
        <w:t>6</w:t>
      </w:r>
      <w:r>
        <w:rPr>
          <w:rFonts w:hint="eastAsia" w:ascii="宋体" w:hAnsi="宋体" w:cs="宋体"/>
          <w:sz w:val="18"/>
          <w:szCs w:val="18"/>
          <w:highlight w:val="none"/>
        </w:rPr>
        <w:t>、财务指标：投标人须提供经第三方出具的财务审计报告扫描件加盖投标人电子签章，负债率以第三方财务审计报告为准，资产负债率=（负债总额÷资产总额）×100%。（不符合条件的不计分）。</w:t>
      </w:r>
    </w:p>
    <w:p>
      <w:pPr>
        <w:ind w:firstLine="360" w:firstLineChars="200"/>
        <w:rPr>
          <w:rFonts w:ascii="宋体" w:hAnsi="宋体" w:cs="宋体"/>
          <w:sz w:val="18"/>
          <w:szCs w:val="18"/>
          <w:highlight w:val="none"/>
        </w:rPr>
      </w:pPr>
      <w:r>
        <w:rPr>
          <w:rFonts w:hint="eastAsia" w:ascii="宋体" w:hAnsi="宋体" w:cs="宋体"/>
          <w:sz w:val="18"/>
          <w:szCs w:val="18"/>
          <w:highlight w:val="none"/>
          <w:lang w:val="en-US" w:eastAsia="zh-CN"/>
        </w:rPr>
        <w:t>7</w:t>
      </w:r>
      <w:r>
        <w:rPr>
          <w:rFonts w:hint="eastAsia" w:ascii="宋体" w:hAnsi="宋体" w:cs="宋体"/>
          <w:sz w:val="18"/>
          <w:szCs w:val="18"/>
          <w:highlight w:val="none"/>
        </w:rPr>
        <w:t>、评标委员会成员的评分去掉一个最高分和一个最低分后的算术平均值，即为该投标人的评审得分（若分数出现小数点时，保留到小数点后两位，第三位小数四舍五入）。</w:t>
      </w:r>
    </w:p>
    <w:p>
      <w:pPr>
        <w:ind w:firstLine="360" w:firstLineChars="200"/>
        <w:rPr>
          <w:rFonts w:hint="eastAsia"/>
          <w:sz w:val="18"/>
          <w:szCs w:val="18"/>
          <w:highlight w:val="none"/>
        </w:rPr>
      </w:pPr>
      <w:r>
        <w:rPr>
          <w:rFonts w:hint="eastAsia" w:ascii="宋体" w:hAnsi="宋体" w:cs="宋体"/>
          <w:sz w:val="18"/>
          <w:szCs w:val="18"/>
          <w:highlight w:val="none"/>
          <w:lang w:val="en-US" w:eastAsia="zh-CN"/>
        </w:rPr>
        <w:t>8</w:t>
      </w:r>
      <w:r>
        <w:rPr>
          <w:rFonts w:hint="eastAsia" w:ascii="宋体" w:hAnsi="宋体" w:cs="宋体"/>
          <w:sz w:val="18"/>
          <w:szCs w:val="18"/>
          <w:highlight w:val="none"/>
        </w:rPr>
        <w:t>、在评标过程或中标公示期间，在接到招标人或评标委员会通知后须在规定时间内提供以上评审材料的原件核查，若在核查中发现造假的，有权取消中标资格，并依法上报行政主管部门进一步处理。</w:t>
      </w:r>
    </w:p>
    <w:p>
      <w:pPr>
        <w:adjustRightInd w:val="0"/>
        <w:snapToGrid w:val="0"/>
        <w:spacing w:before="78" w:beforeLines="25" w:line="276" w:lineRule="auto"/>
        <w:rPr>
          <w:sz w:val="18"/>
          <w:szCs w:val="18"/>
          <w:highlight w:val="none"/>
        </w:rPr>
      </w:pPr>
    </w:p>
    <w:p>
      <w:pPr>
        <w:pStyle w:val="3"/>
        <w:rPr>
          <w:rFonts w:hint="eastAsia"/>
          <w:sz w:val="18"/>
          <w:szCs w:val="18"/>
          <w:highlight w:val="none"/>
          <w:lang w:val="en-US" w:eastAsia="zh-CN"/>
        </w:rPr>
      </w:pPr>
      <w:r>
        <w:rPr>
          <w:rFonts w:hint="eastAsia" w:ascii="宋体" w:hAnsi="宋体" w:cs="宋体"/>
          <w:sz w:val="18"/>
          <w:szCs w:val="18"/>
          <w:highlight w:val="none"/>
        </w:rPr>
        <w:t xml:space="preserve">评委签名：    </w:t>
      </w:r>
      <w:r>
        <w:rPr>
          <w:rFonts w:hint="eastAsia"/>
          <w:sz w:val="18"/>
          <w:szCs w:val="18"/>
          <w:highlight w:val="none"/>
        </w:rPr>
        <w:t xml:space="preserve">                  </w:t>
      </w:r>
      <w:r>
        <w:rPr>
          <w:rFonts w:hint="eastAsia"/>
          <w:sz w:val="18"/>
          <w:szCs w:val="18"/>
          <w:highlight w:val="none"/>
          <w:lang w:val="en-US" w:eastAsia="zh-CN"/>
        </w:rPr>
        <w:t xml:space="preserve">日期：  </w:t>
      </w:r>
    </w:p>
    <w:p>
      <w:pPr>
        <w:rPr>
          <w:rFonts w:hint="eastAsia"/>
          <w:sz w:val="18"/>
          <w:szCs w:val="18"/>
          <w:highlight w:val="none"/>
          <w:lang w:val="en-US" w:eastAsia="zh-CN"/>
        </w:rPr>
      </w:pPr>
    </w:p>
    <w:p>
      <w:pPr>
        <w:pStyle w:val="3"/>
        <w:rPr>
          <w:rFonts w:hint="default"/>
          <w:sz w:val="18"/>
          <w:szCs w:val="18"/>
          <w:highlight w:val="none"/>
          <w:lang w:val="en-US" w:eastAsia="zh-CN"/>
        </w:rPr>
      </w:pPr>
    </w:p>
    <w:sectPr>
      <w:footerReference r:id="rId5"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92"/>
      <w:jc w:val="right"/>
      <w:rPr>
        <w:rStyle w:val="4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92"/>
      <w:rPr>
        <w:rStyle w:val="35"/>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tbuXfQAAAAAgEAAA8AAAAAAAAAAQAgAAAAIgAAAGRycy9kb3du&#10;cmV2LnhtbFBLAQIUABQAAAAIAIdO4kDPHzzHzgEAAJYDAAAOAAAAAAAAAAEAIAAAAB8BAABkcnMv&#10;ZTJvRG9jLnhtbFBLBQYAAAAABgAGAFkBAABfBQAAAAA=&#10;">
              <v:fill on="f" focussize="0,0"/>
              <v:stroke on="f"/>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Style w:val="18"/>
                            </w:rPr>
                          </w:pPr>
                          <w:r>
                            <w:fldChar w:fldCharType="begin"/>
                          </w:r>
                          <w:r>
                            <w:rPr>
                              <w:rStyle w:val="18"/>
                            </w:rPr>
                            <w:instrText xml:space="preserve">PAGE  </w:instrText>
                          </w:r>
                          <w:r>
                            <w:fldChar w:fldCharType="separate"/>
                          </w:r>
                          <w:r>
                            <w:rPr>
                              <w:rStyle w:val="18"/>
                            </w:rPr>
                            <w:t>18</w:t>
                          </w:r>
                          <w:r>
                            <w:fldChar w:fldCharType="end"/>
                          </w:r>
                        </w:p>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0"/>
                      <w:rPr>
                        <w:rStyle w:val="18"/>
                      </w:rPr>
                    </w:pPr>
                    <w:r>
                      <w:fldChar w:fldCharType="begin"/>
                    </w:r>
                    <w:r>
                      <w:rPr>
                        <w:rStyle w:val="18"/>
                      </w:rPr>
                      <w:instrText xml:space="preserve">PAGE  </w:instrText>
                    </w:r>
                    <w:r>
                      <w:fldChar w:fldCharType="separate"/>
                    </w:r>
                    <w:r>
                      <w:rPr>
                        <w:rStyle w:val="18"/>
                      </w:rPr>
                      <w:t>18</w:t>
                    </w:r>
                    <w:r>
                      <w:fldChar w:fldCharType="end"/>
                    </w:r>
                  </w:p>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D67C9"/>
    <w:multiLevelType w:val="singleLevel"/>
    <w:tmpl w:val="853D67C9"/>
    <w:lvl w:ilvl="0" w:tentative="0">
      <w:start w:val="2"/>
      <w:numFmt w:val="chineseCounting"/>
      <w:suff w:val="nothing"/>
      <w:lvlText w:val="%1、"/>
      <w:lvlJc w:val="left"/>
      <w:rPr>
        <w:rFonts w:hint="eastAsia"/>
      </w:rPr>
    </w:lvl>
  </w:abstractNum>
  <w:abstractNum w:abstractNumId="1">
    <w:nsid w:val="00000006"/>
    <w:multiLevelType w:val="singleLevel"/>
    <w:tmpl w:val="00000006"/>
    <w:lvl w:ilvl="0" w:tentative="0">
      <w:start w:val="4"/>
      <w:numFmt w:val="decimal"/>
      <w:suff w:val="nothing"/>
      <w:lvlText w:val="%1."/>
      <w:lvlJc w:val="left"/>
    </w:lvl>
  </w:abstractNum>
  <w:abstractNum w:abstractNumId="2">
    <w:nsid w:val="6849C1FF"/>
    <w:multiLevelType w:val="singleLevel"/>
    <w:tmpl w:val="6849C1F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YzkyYjk2ZDUxNWFlN2FlMTk1ZjUzNjkzZTRlNzYifQ=="/>
  </w:docVars>
  <w:rsids>
    <w:rsidRoot w:val="000E3667"/>
    <w:rsid w:val="000719E9"/>
    <w:rsid w:val="00090CE8"/>
    <w:rsid w:val="000E3667"/>
    <w:rsid w:val="001B1836"/>
    <w:rsid w:val="0024795C"/>
    <w:rsid w:val="00375D55"/>
    <w:rsid w:val="003A0C8C"/>
    <w:rsid w:val="004945FF"/>
    <w:rsid w:val="005212BD"/>
    <w:rsid w:val="00554FFB"/>
    <w:rsid w:val="005C1D26"/>
    <w:rsid w:val="005C60E9"/>
    <w:rsid w:val="00687EA5"/>
    <w:rsid w:val="006D6E1A"/>
    <w:rsid w:val="007251E1"/>
    <w:rsid w:val="00796A37"/>
    <w:rsid w:val="007E4374"/>
    <w:rsid w:val="008C5D11"/>
    <w:rsid w:val="008F3205"/>
    <w:rsid w:val="00917C7B"/>
    <w:rsid w:val="009A13D5"/>
    <w:rsid w:val="009D0A1B"/>
    <w:rsid w:val="00A2400D"/>
    <w:rsid w:val="00B34ED6"/>
    <w:rsid w:val="00C14779"/>
    <w:rsid w:val="00C5223B"/>
    <w:rsid w:val="00D02645"/>
    <w:rsid w:val="00D808B9"/>
    <w:rsid w:val="00D85F5D"/>
    <w:rsid w:val="00DA761A"/>
    <w:rsid w:val="00DB11A7"/>
    <w:rsid w:val="00E013AA"/>
    <w:rsid w:val="00F008BC"/>
    <w:rsid w:val="00F03286"/>
    <w:rsid w:val="00F321B8"/>
    <w:rsid w:val="00F95377"/>
    <w:rsid w:val="00FB5ED3"/>
    <w:rsid w:val="0D7740D1"/>
    <w:rsid w:val="10DB7D53"/>
    <w:rsid w:val="18C07E36"/>
    <w:rsid w:val="1D680859"/>
    <w:rsid w:val="1E7F4071"/>
    <w:rsid w:val="22842E02"/>
    <w:rsid w:val="248C0EB1"/>
    <w:rsid w:val="24A2027B"/>
    <w:rsid w:val="24D54754"/>
    <w:rsid w:val="25EA31A4"/>
    <w:rsid w:val="26C14C1E"/>
    <w:rsid w:val="26E71865"/>
    <w:rsid w:val="27AC202E"/>
    <w:rsid w:val="30025838"/>
    <w:rsid w:val="323F5F80"/>
    <w:rsid w:val="365915D3"/>
    <w:rsid w:val="38357093"/>
    <w:rsid w:val="43CB1636"/>
    <w:rsid w:val="4C150DF4"/>
    <w:rsid w:val="4C1C210F"/>
    <w:rsid w:val="4C837DE4"/>
    <w:rsid w:val="57386B6E"/>
    <w:rsid w:val="58385224"/>
    <w:rsid w:val="5D270AC3"/>
    <w:rsid w:val="5D8E1EC2"/>
    <w:rsid w:val="5E9967B5"/>
    <w:rsid w:val="5FAF63BE"/>
    <w:rsid w:val="602D7679"/>
    <w:rsid w:val="60987BFF"/>
    <w:rsid w:val="63281479"/>
    <w:rsid w:val="64C90E19"/>
    <w:rsid w:val="652609C5"/>
    <w:rsid w:val="6599339C"/>
    <w:rsid w:val="6F732EB6"/>
    <w:rsid w:val="76B730D1"/>
    <w:rsid w:val="76D17DA0"/>
    <w:rsid w:val="78F7499D"/>
    <w:rsid w:val="79787A58"/>
    <w:rsid w:val="7A8805B9"/>
    <w:rsid w:val="7C163E55"/>
    <w:rsid w:val="7C955572"/>
    <w:rsid w:val="7E400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szCs w:val="24"/>
    </w:rPr>
  </w:style>
  <w:style w:type="paragraph" w:styleId="3">
    <w:name w:val="Body Text"/>
    <w:basedOn w:val="1"/>
    <w:next w:val="1"/>
    <w:qFormat/>
    <w:uiPriority w:val="0"/>
    <w:pPr>
      <w:spacing w:after="120"/>
    </w:pPr>
  </w:style>
  <w:style w:type="paragraph" w:styleId="4">
    <w:name w:val="Normal Indent"/>
    <w:basedOn w:val="1"/>
    <w:next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annotation text"/>
    <w:basedOn w:val="1"/>
    <w:semiHidden/>
    <w:unhideWhenUsed/>
    <w:qFormat/>
    <w:uiPriority w:val="99"/>
    <w:pPr>
      <w:jc w:val="left"/>
    </w:pPr>
  </w:style>
  <w:style w:type="paragraph" w:styleId="6">
    <w:name w:val="Body Text Indent"/>
    <w:basedOn w:val="1"/>
    <w:next w:val="7"/>
    <w:qFormat/>
    <w:uiPriority w:val="0"/>
    <w:pPr>
      <w:ind w:firstLine="570"/>
    </w:pPr>
    <w:rPr>
      <w:rFonts w:ascii="Times New Roman" w:hAnsi="Times New Roman"/>
      <w:kern w:val="0"/>
      <w:sz w:val="28"/>
      <w:szCs w:val="20"/>
    </w:rPr>
  </w:style>
  <w:style w:type="paragraph" w:styleId="7">
    <w:name w:val="envelope return"/>
    <w:basedOn w:val="1"/>
    <w:qFormat/>
    <w:uiPriority w:val="0"/>
    <w:pPr>
      <w:snapToGrid w:val="0"/>
    </w:pPr>
    <w:rPr>
      <w:rFonts w:ascii="Arial" w:hAnsi="Arial" w:eastAsia="宋体" w:cs="Times New Roman"/>
      <w:szCs w:val="24"/>
      <w:lang w:bidi="ar-SA"/>
    </w:rPr>
  </w:style>
  <w:style w:type="paragraph" w:styleId="8">
    <w:name w:val="Plain Text"/>
    <w:basedOn w:val="1"/>
    <w:next w:val="1"/>
    <w:qFormat/>
    <w:uiPriority w:val="0"/>
    <w:rPr>
      <w:rFonts w:ascii="等线" w:hAnsi="Courier New" w:eastAsia="等线"/>
      <w:szCs w:val="22"/>
    </w:rPr>
  </w:style>
  <w:style w:type="paragraph" w:styleId="9">
    <w:name w:val="Balloon Text"/>
    <w:basedOn w:val="1"/>
    <w:link w:val="30"/>
    <w:semiHidden/>
    <w:unhideWhenUsed/>
    <w:qFormat/>
    <w:uiPriority w:val="99"/>
    <w:rPr>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210"/>
      <w:jc w:val="left"/>
    </w:pPr>
    <w:rPr>
      <w:smallCaps/>
      <w:sz w:val="20"/>
      <w:szCs w:val="20"/>
    </w:rPr>
  </w:style>
  <w:style w:type="paragraph" w:styleId="13">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4">
    <w:name w:val="Body Text First Indent 2"/>
    <w:basedOn w:val="6"/>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character" w:styleId="17">
    <w:name w:val="Strong"/>
    <w:basedOn w:val="16"/>
    <w:qFormat/>
    <w:uiPriority w:val="22"/>
    <w:rPr>
      <w:b/>
      <w:bCs/>
    </w:rPr>
  </w:style>
  <w:style w:type="character" w:styleId="18">
    <w:name w:val="page number"/>
    <w:basedOn w:val="16"/>
    <w:qFormat/>
    <w:uiPriority w:val="0"/>
  </w:style>
  <w:style w:type="character" w:styleId="19">
    <w:name w:val="FollowedHyperlink"/>
    <w:basedOn w:val="16"/>
    <w:semiHidden/>
    <w:unhideWhenUsed/>
    <w:qFormat/>
    <w:uiPriority w:val="99"/>
    <w:rPr>
      <w:rFonts w:hint="eastAsia" w:ascii="微软雅黑" w:hAnsi="微软雅黑" w:eastAsia="微软雅黑" w:cs="微软雅黑"/>
      <w:color w:val="337AB7"/>
      <w:u w:val="none"/>
    </w:rPr>
  </w:style>
  <w:style w:type="character" w:styleId="20">
    <w:name w:val="HTML Definition"/>
    <w:basedOn w:val="16"/>
    <w:semiHidden/>
    <w:unhideWhenUsed/>
    <w:qFormat/>
    <w:uiPriority w:val="99"/>
    <w:rPr>
      <w:rFonts w:ascii="sans-serif" w:hAnsi="sans-serif" w:eastAsia="sans-serif" w:cs="sans-serif"/>
      <w:i/>
      <w:iCs/>
      <w:color w:val="FFFFFF"/>
      <w:sz w:val="14"/>
      <w:szCs w:val="14"/>
      <w:vertAlign w:val="baseline"/>
    </w:rPr>
  </w:style>
  <w:style w:type="character" w:styleId="21">
    <w:name w:val="Hyperlink"/>
    <w:basedOn w:val="16"/>
    <w:semiHidden/>
    <w:unhideWhenUsed/>
    <w:qFormat/>
    <w:uiPriority w:val="99"/>
    <w:rPr>
      <w:rFonts w:hint="default" w:ascii="微软雅黑" w:hAnsi="微软雅黑" w:eastAsia="微软雅黑" w:cs="微软雅黑"/>
      <w:color w:val="337AB7"/>
      <w:u w:val="none"/>
    </w:rPr>
  </w:style>
  <w:style w:type="character" w:styleId="22">
    <w:name w:val="HTML Code"/>
    <w:basedOn w:val="16"/>
    <w:semiHidden/>
    <w:unhideWhenUsed/>
    <w:qFormat/>
    <w:uiPriority w:val="99"/>
    <w:rPr>
      <w:rFonts w:hint="default" w:ascii="Consolas" w:hAnsi="Consolas" w:eastAsia="Consolas" w:cs="Consolas"/>
      <w:color w:val="C7254E"/>
      <w:sz w:val="21"/>
      <w:szCs w:val="21"/>
      <w:bdr w:val="single" w:color="E1E1E1" w:sz="4" w:space="0"/>
      <w:shd w:val="clear" w:fill="F9F2F4"/>
    </w:rPr>
  </w:style>
  <w:style w:type="character" w:styleId="23">
    <w:name w:val="annotation reference"/>
    <w:qFormat/>
    <w:uiPriority w:val="0"/>
    <w:rPr>
      <w:sz w:val="21"/>
      <w:szCs w:val="21"/>
    </w:rPr>
  </w:style>
  <w:style w:type="character" w:styleId="24">
    <w:name w:val="HTML Keyboard"/>
    <w:basedOn w:val="16"/>
    <w:semiHidden/>
    <w:unhideWhenUsed/>
    <w:qFormat/>
    <w:uiPriority w:val="99"/>
    <w:rPr>
      <w:rFonts w:ascii="Consolas" w:hAnsi="Consolas" w:eastAsia="Consolas" w:cs="Consolas"/>
      <w:color w:val="FFFFFF"/>
      <w:sz w:val="21"/>
      <w:szCs w:val="21"/>
      <w:shd w:val="clear" w:fill="333333"/>
    </w:rPr>
  </w:style>
  <w:style w:type="character" w:styleId="25">
    <w:name w:val="HTML Sample"/>
    <w:basedOn w:val="16"/>
    <w:semiHidden/>
    <w:unhideWhenUsed/>
    <w:qFormat/>
    <w:uiPriority w:val="99"/>
    <w:rPr>
      <w:rFonts w:hint="default" w:ascii="Consolas" w:hAnsi="Consolas" w:eastAsia="Consolas" w:cs="Consolas"/>
      <w:sz w:val="21"/>
      <w:szCs w:val="21"/>
    </w:rPr>
  </w:style>
  <w:style w:type="character" w:customStyle="1" w:styleId="26">
    <w:name w:val="页眉 Char"/>
    <w:basedOn w:val="16"/>
    <w:link w:val="11"/>
    <w:qFormat/>
    <w:uiPriority w:val="99"/>
    <w:rPr>
      <w:sz w:val="18"/>
      <w:szCs w:val="18"/>
    </w:rPr>
  </w:style>
  <w:style w:type="character" w:customStyle="1" w:styleId="27">
    <w:name w:val="页脚 Char"/>
    <w:basedOn w:val="16"/>
    <w:link w:val="10"/>
    <w:qFormat/>
    <w:uiPriority w:val="99"/>
    <w:rPr>
      <w:sz w:val="18"/>
      <w:szCs w:val="18"/>
    </w:rPr>
  </w:style>
  <w:style w:type="paragraph" w:customStyle="1" w:styleId="28">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0">
    <w:name w:val="批注框文本 Char"/>
    <w:basedOn w:val="16"/>
    <w:link w:val="9"/>
    <w:semiHidden/>
    <w:qFormat/>
    <w:uiPriority w:val="99"/>
    <w:rPr>
      <w:sz w:val="18"/>
      <w:szCs w:val="18"/>
    </w:rPr>
  </w:style>
  <w:style w:type="paragraph" w:customStyle="1" w:styleId="31">
    <w:name w:val="_Style 3"/>
    <w:qFormat/>
    <w:uiPriority w:val="0"/>
    <w:pPr>
      <w:widowControl w:val="0"/>
      <w:jc w:val="both"/>
    </w:pPr>
    <w:rPr>
      <w:rFonts w:ascii="等线" w:hAnsi="等线" w:eastAsia="等线" w:cs="Times New Roman"/>
      <w:kern w:val="2"/>
      <w:sz w:val="21"/>
      <w:szCs w:val="22"/>
      <w:lang w:val="en-US" w:eastAsia="zh-CN" w:bidi="ar-SA"/>
    </w:rPr>
  </w:style>
  <w:style w:type="character" w:customStyle="1" w:styleId="32">
    <w:name w:val="s2"/>
    <w:qFormat/>
    <w:uiPriority w:val="0"/>
  </w:style>
  <w:style w:type="character" w:customStyle="1" w:styleId="33">
    <w:name w:val="username"/>
    <w:basedOn w:val="16"/>
    <w:qFormat/>
    <w:uiPriority w:val="0"/>
  </w:style>
  <w:style w:type="character" w:customStyle="1" w:styleId="34">
    <w:name w:val="title26"/>
    <w:basedOn w:val="16"/>
    <w:qFormat/>
    <w:uiPriority w:val="0"/>
  </w:style>
  <w:style w:type="character" w:customStyle="1" w:styleId="35">
    <w:name w:val="NormalCharacter"/>
    <w:qFormat/>
    <w:uiPriority w:val="0"/>
  </w:style>
  <w:style w:type="paragraph" w:customStyle="1" w:styleId="36">
    <w:name w:val="普通正文"/>
    <w:basedOn w:val="37"/>
    <w:qFormat/>
    <w:uiPriority w:val="0"/>
    <w:pPr>
      <w:ind w:firstLine="200" w:firstLineChars="200"/>
    </w:pPr>
    <w:rPr>
      <w:kern w:val="2"/>
    </w:rPr>
  </w:style>
  <w:style w:type="paragraph" w:customStyle="1" w:styleId="37">
    <w:name w:val="正文1"/>
    <w:next w:val="36"/>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38">
    <w:name w:val="BodyText1I"/>
    <w:basedOn w:val="39"/>
    <w:qFormat/>
    <w:uiPriority w:val="0"/>
    <w:pPr>
      <w:ind w:firstLine="420"/>
    </w:pPr>
  </w:style>
  <w:style w:type="paragraph" w:customStyle="1" w:styleId="39">
    <w:name w:val="BodyText"/>
    <w:basedOn w:val="1"/>
    <w:qFormat/>
    <w:uiPriority w:val="0"/>
    <w:pPr>
      <w:spacing w:after="120"/>
    </w:pPr>
    <w:rPr>
      <w:kern w:val="0"/>
      <w:sz w:val="20"/>
      <w:szCs w:val="20"/>
    </w:rPr>
  </w:style>
  <w:style w:type="character" w:customStyle="1" w:styleId="40">
    <w:name w:val="PageNumber"/>
    <w:qFormat/>
    <w:uiPriority w:val="0"/>
  </w:style>
  <w:style w:type="paragraph" w:customStyle="1" w:styleId="41">
    <w:name w:val="样式 宋体 行距: 1.5 倍行距"/>
    <w:basedOn w:val="1"/>
    <w:qFormat/>
    <w:uiPriority w:val="0"/>
    <w:pPr>
      <w:jc w:val="center"/>
    </w:pPr>
    <w:rPr>
      <w:rFonts w:ascii="Times New Roman" w:hAnsi="Times New Roman"/>
      <w:b/>
      <w:bCs/>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8235</Words>
  <Characters>8652</Characters>
  <Lines>16</Lines>
  <Paragraphs>4</Paragraphs>
  <TotalTime>1</TotalTime>
  <ScaleCrop>false</ScaleCrop>
  <LinksUpToDate>false</LinksUpToDate>
  <CharactersWithSpaces>8849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2022-12-06T08:02:00Z</dcterms:created>
  <dc:creator>S</dc:creator>
  <cp:lastModifiedBy>WPS_1481265839</cp:lastModifiedBy>
  <cp:lastPrinted>2022-12-09T08:11:00Z</cp:lastPrinted>
  <dcterms:modified xsi:type="dcterms:W3CDTF">2023-05-16T08:36:48Z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987969DFAC984DCCBE4B9446D34B79F7_13</vt:lpwstr>
  </property>
</Properties>
</file>