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b/>
          <w:bCs/>
          <w:color w:val="auto"/>
          <w:spacing w:val="40"/>
          <w:sz w:val="44"/>
          <w:szCs w:val="44"/>
          <w:highlight w:val="none"/>
        </w:rPr>
      </w:pPr>
    </w:p>
    <w:p>
      <w:pPr>
        <w:spacing w:line="360" w:lineRule="auto"/>
        <w:rPr>
          <w:rFonts w:ascii="宋体" w:hAnsi="宋体"/>
          <w:b/>
          <w:bCs/>
          <w:color w:val="auto"/>
          <w:spacing w:val="40"/>
          <w:sz w:val="44"/>
          <w:szCs w:val="44"/>
          <w:highlight w:val="none"/>
        </w:rPr>
      </w:pPr>
    </w:p>
    <w:p>
      <w:pPr>
        <w:spacing w:line="360" w:lineRule="auto"/>
        <w:rPr>
          <w:rFonts w:ascii="宋体" w:hAnsi="宋体"/>
          <w:b/>
          <w:bCs/>
          <w:color w:val="auto"/>
          <w:spacing w:val="40"/>
          <w:sz w:val="44"/>
          <w:szCs w:val="44"/>
          <w:highlight w:val="none"/>
        </w:rPr>
      </w:pPr>
    </w:p>
    <w:p>
      <w:pPr>
        <w:spacing w:line="360" w:lineRule="auto"/>
        <w:ind w:right="0" w:rightChars="0" w:firstLine="0"/>
        <w:jc w:val="center"/>
        <w:rPr>
          <w:rFonts w:hint="eastAsia" w:ascii="宋体" w:hAnsi="宋体"/>
          <w:b/>
          <w:color w:val="auto"/>
          <w:sz w:val="48"/>
          <w:szCs w:val="48"/>
          <w:highlight w:val="none"/>
          <w:lang w:eastAsia="zh-CN"/>
        </w:rPr>
      </w:pPr>
      <w:r>
        <w:rPr>
          <w:rFonts w:hint="eastAsia" w:ascii="宋体" w:hAnsi="宋体"/>
          <w:b/>
          <w:color w:val="auto"/>
          <w:sz w:val="48"/>
          <w:szCs w:val="48"/>
          <w:highlight w:val="none"/>
          <w:lang w:eastAsia="zh-CN"/>
        </w:rPr>
        <w:t>粤海江门甘化厂项目</w:t>
      </w:r>
    </w:p>
    <w:p>
      <w:pPr>
        <w:spacing w:line="360" w:lineRule="auto"/>
        <w:ind w:right="57" w:rightChars="27" w:hanging="231"/>
        <w:jc w:val="center"/>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新宁街道路及天桥工程</w:t>
      </w:r>
    </w:p>
    <w:p>
      <w:pPr>
        <w:spacing w:line="360" w:lineRule="auto"/>
        <w:rPr>
          <w:rFonts w:ascii="宋体" w:hAnsi="宋体"/>
          <w:b/>
          <w:color w:val="auto"/>
          <w:sz w:val="48"/>
          <w:szCs w:val="48"/>
          <w:highlight w:val="none"/>
        </w:rPr>
      </w:pPr>
    </w:p>
    <w:p>
      <w:pPr>
        <w:spacing w:line="360" w:lineRule="auto"/>
        <w:jc w:val="center"/>
        <w:rPr>
          <w:rFonts w:ascii="宋体" w:hAnsi="宋体"/>
          <w:color w:val="auto"/>
          <w:sz w:val="36"/>
          <w:highlight w:val="none"/>
          <w:u w:val="single"/>
        </w:rPr>
      </w:pPr>
    </w:p>
    <w:p>
      <w:pPr>
        <w:spacing w:line="360" w:lineRule="auto"/>
        <w:jc w:val="center"/>
        <w:rPr>
          <w:rFonts w:ascii="宋体" w:hAnsi="宋体"/>
          <w:b/>
          <w:bCs/>
          <w:color w:val="auto"/>
          <w:spacing w:val="26"/>
          <w:sz w:val="110"/>
          <w:szCs w:val="110"/>
          <w:highlight w:val="none"/>
        </w:rPr>
      </w:pPr>
    </w:p>
    <w:p>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110"/>
          <w:szCs w:val="110"/>
          <w:highlight w:val="none"/>
        </w:rPr>
        <w:t>招标文件</w:t>
      </w:r>
    </w:p>
    <w:p>
      <w:pPr>
        <w:spacing w:line="360" w:lineRule="auto"/>
        <w:jc w:val="center"/>
        <w:rPr>
          <w:rFonts w:ascii="宋体" w:hAnsi="宋体"/>
          <w:color w:val="auto"/>
          <w:sz w:val="32"/>
          <w:highlight w:val="none"/>
        </w:rPr>
      </w:pPr>
    </w:p>
    <w:p>
      <w:pPr>
        <w:spacing w:line="360" w:lineRule="auto"/>
        <w:ind w:firstLine="2560" w:firstLineChars="800"/>
        <w:rPr>
          <w:rFonts w:ascii="宋体" w:hAnsi="宋体"/>
          <w:color w:val="auto"/>
          <w:sz w:val="32"/>
          <w:highlight w:val="none"/>
        </w:rPr>
      </w:pPr>
    </w:p>
    <w:p>
      <w:pPr>
        <w:spacing w:line="360" w:lineRule="auto"/>
        <w:rPr>
          <w:rFonts w:ascii="宋体" w:hAnsi="宋体"/>
          <w:color w:val="auto"/>
          <w:sz w:val="52"/>
          <w:highlight w:val="none"/>
        </w:rPr>
      </w:pPr>
    </w:p>
    <w:p>
      <w:pPr>
        <w:spacing w:line="360" w:lineRule="auto"/>
        <w:rPr>
          <w:rFonts w:ascii="宋体" w:hAnsi="宋体"/>
          <w:color w:val="auto"/>
          <w:sz w:val="52"/>
          <w:highlight w:val="none"/>
        </w:rPr>
      </w:pPr>
    </w:p>
    <w:p>
      <w:pPr>
        <w:spacing w:line="360" w:lineRule="auto"/>
        <w:ind w:firstLine="900" w:firstLineChars="300"/>
        <w:rPr>
          <w:rFonts w:ascii="宋体" w:hAnsi="宋体"/>
          <w:color w:val="auto"/>
          <w:sz w:val="30"/>
          <w:szCs w:val="30"/>
          <w:highlight w:val="none"/>
        </w:rPr>
      </w:pPr>
    </w:p>
    <w:p>
      <w:pPr>
        <w:spacing w:line="360" w:lineRule="auto"/>
        <w:ind w:firstLine="900" w:firstLineChars="300"/>
        <w:rPr>
          <w:rFonts w:hint="eastAsia" w:ascii="宋体" w:hAnsi="宋体" w:eastAsia="宋体"/>
          <w:color w:val="auto"/>
          <w:sz w:val="30"/>
          <w:szCs w:val="30"/>
          <w:highlight w:val="none"/>
          <w:u w:val="single"/>
          <w:lang w:eastAsia="zh-CN"/>
        </w:rPr>
      </w:pPr>
      <w:r>
        <w:rPr>
          <w:rFonts w:hint="eastAsia" w:ascii="宋体" w:hAnsi="宋体"/>
          <w:color w:val="auto"/>
          <w:sz w:val="30"/>
          <w:szCs w:val="30"/>
          <w:highlight w:val="none"/>
        </w:rPr>
        <w:t>招标单位：</w:t>
      </w:r>
      <w:r>
        <w:rPr>
          <w:rFonts w:hint="eastAsia" w:ascii="宋体" w:hAnsi="宋体"/>
          <w:color w:val="auto"/>
          <w:sz w:val="30"/>
          <w:szCs w:val="30"/>
          <w:highlight w:val="none"/>
          <w:u w:val="single"/>
          <w:lang w:eastAsia="zh-CN"/>
        </w:rPr>
        <w:t>江门粤海置地有限公司</w:t>
      </w:r>
    </w:p>
    <w:p>
      <w:pPr>
        <w:spacing w:line="360" w:lineRule="auto"/>
        <w:ind w:firstLine="900" w:firstLineChars="300"/>
        <w:rPr>
          <w:rFonts w:hint="eastAsia" w:ascii="宋体" w:hAnsi="宋体" w:eastAsia="宋体"/>
          <w:color w:val="auto"/>
          <w:sz w:val="30"/>
          <w:szCs w:val="30"/>
          <w:highlight w:val="none"/>
          <w:u w:val="single"/>
          <w:lang w:eastAsia="zh-CN"/>
        </w:rPr>
      </w:pPr>
      <w:r>
        <w:rPr>
          <w:rFonts w:hint="eastAsia" w:ascii="宋体" w:hAnsi="宋体"/>
          <w:color w:val="auto"/>
          <w:sz w:val="30"/>
          <w:szCs w:val="30"/>
          <w:highlight w:val="none"/>
        </w:rPr>
        <w:t>招标代理单位：</w:t>
      </w:r>
      <w:r>
        <w:rPr>
          <w:rFonts w:hint="eastAsia" w:ascii="宋体" w:hAnsi="宋体"/>
          <w:color w:val="auto"/>
          <w:sz w:val="30"/>
          <w:szCs w:val="30"/>
          <w:highlight w:val="none"/>
          <w:u w:val="single"/>
          <w:lang w:eastAsia="zh-CN"/>
        </w:rPr>
        <w:t>广东省机电设备招标有限公司</w:t>
      </w:r>
    </w:p>
    <w:p>
      <w:pPr>
        <w:adjustRightInd w:val="0"/>
        <w:spacing w:line="360" w:lineRule="auto"/>
        <w:ind w:firstLine="900" w:firstLineChars="300"/>
        <w:rPr>
          <w:rFonts w:hint="eastAsia" w:ascii="宋体" w:hAnsi="宋体" w:eastAsia="宋体"/>
          <w:color w:val="auto"/>
          <w:sz w:val="30"/>
          <w:szCs w:val="30"/>
          <w:highlight w:val="none"/>
          <w:u w:val="single"/>
          <w:lang w:eastAsia="zh-CN"/>
        </w:rPr>
      </w:pPr>
      <w:r>
        <w:rPr>
          <w:rFonts w:hint="eastAsia" w:ascii="宋体" w:hAnsi="宋体"/>
          <w:color w:val="auto"/>
          <w:sz w:val="30"/>
          <w:szCs w:val="30"/>
          <w:highlight w:val="none"/>
        </w:rPr>
        <w:t>日期：</w:t>
      </w:r>
      <w:r>
        <w:rPr>
          <w:rFonts w:hint="eastAsia" w:ascii="宋体" w:hAnsi="宋体"/>
          <w:color w:val="auto"/>
          <w:sz w:val="30"/>
          <w:szCs w:val="30"/>
          <w:highlight w:val="none"/>
          <w:u w:val="single"/>
          <w:lang w:eastAsia="zh-CN"/>
        </w:rPr>
        <w:t>2023年</w:t>
      </w:r>
      <w:r>
        <w:rPr>
          <w:rFonts w:hint="eastAsia" w:ascii="宋体" w:hAnsi="宋体"/>
          <w:color w:val="auto"/>
          <w:sz w:val="30"/>
          <w:szCs w:val="30"/>
          <w:highlight w:val="none"/>
          <w:u w:val="single"/>
          <w:lang w:val="en-US" w:eastAsia="zh-CN"/>
        </w:rPr>
        <w:t>5</w:t>
      </w:r>
      <w:r>
        <w:rPr>
          <w:rFonts w:hint="eastAsia" w:ascii="宋体" w:hAnsi="宋体"/>
          <w:color w:val="auto"/>
          <w:sz w:val="30"/>
          <w:szCs w:val="30"/>
          <w:highlight w:val="none"/>
          <w:u w:val="single"/>
          <w:lang w:eastAsia="zh-CN"/>
        </w:rPr>
        <w:t>月</w:t>
      </w:r>
    </w:p>
    <w:p>
      <w:pPr>
        <w:jc w:val="center"/>
        <w:rPr>
          <w:rStyle w:val="41"/>
          <w:rFonts w:ascii="宋体" w:hAnsi="宋体"/>
          <w:b/>
          <w:bCs/>
          <w:color w:val="auto"/>
          <w:sz w:val="28"/>
          <w:szCs w:val="28"/>
          <w:highlight w:val="none"/>
          <w:u w:val="none"/>
        </w:rPr>
      </w:pPr>
      <w:r>
        <w:rPr>
          <w:rStyle w:val="41"/>
          <w:rFonts w:ascii="宋体" w:hAnsi="宋体"/>
          <w:b/>
          <w:bCs/>
          <w:color w:val="auto"/>
          <w:highlight w:val="none"/>
        </w:rPr>
        <w:br w:type="page"/>
      </w:r>
      <w:r>
        <w:rPr>
          <w:rStyle w:val="41"/>
          <w:rFonts w:hint="eastAsia" w:ascii="宋体" w:hAnsi="宋体"/>
          <w:b/>
          <w:bCs/>
          <w:color w:val="auto"/>
          <w:sz w:val="28"/>
          <w:szCs w:val="28"/>
          <w:highlight w:val="none"/>
          <w:u w:val="none"/>
        </w:rPr>
        <w:t>目录</w:t>
      </w:r>
    </w:p>
    <w:p>
      <w:pPr>
        <w:jc w:val="center"/>
        <w:rPr>
          <w:rFonts w:ascii="宋体" w:hAnsi="宋体"/>
          <w:b/>
          <w:caps/>
          <w:color w:val="auto"/>
          <w:kern w:val="0"/>
          <w:highlight w:val="none"/>
        </w:rPr>
      </w:pPr>
    </w:p>
    <w:p>
      <w:pPr>
        <w:pStyle w:val="26"/>
        <w:tabs>
          <w:tab w:val="right" w:leader="dot" w:pos="9298"/>
          <w:tab w:val="clear" w:pos="9060"/>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_Toc8952 </w:instrText>
      </w:r>
      <w:r>
        <w:rPr>
          <w:color w:val="auto"/>
          <w:highlight w:val="none"/>
        </w:rPr>
        <w:fldChar w:fldCharType="separate"/>
      </w:r>
      <w:r>
        <w:rPr>
          <w:rFonts w:hint="eastAsia" w:ascii="宋体" w:hAnsi="宋体"/>
          <w:color w:val="auto"/>
          <w:highlight w:val="none"/>
        </w:rPr>
        <w:t>第一章投标须知</w:t>
      </w:r>
      <w:r>
        <w:rPr>
          <w:color w:val="auto"/>
          <w:highlight w:val="none"/>
        </w:rPr>
        <w:tab/>
      </w:r>
      <w:r>
        <w:rPr>
          <w:color w:val="auto"/>
          <w:highlight w:val="none"/>
        </w:rPr>
        <w:fldChar w:fldCharType="begin"/>
      </w:r>
      <w:r>
        <w:rPr>
          <w:color w:val="auto"/>
          <w:highlight w:val="none"/>
        </w:rPr>
        <w:instrText xml:space="preserve"> PAGEREF _Toc8952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9"/>
        <w:tabs>
          <w:tab w:val="right" w:leader="dot" w:pos="9298"/>
        </w:tabs>
        <w:rPr>
          <w:color w:val="auto"/>
          <w:highlight w:val="none"/>
        </w:rPr>
      </w:pPr>
      <w:r>
        <w:rPr>
          <w:color w:val="auto"/>
          <w:highlight w:val="none"/>
        </w:rPr>
        <w:fldChar w:fldCharType="begin"/>
      </w:r>
      <w:r>
        <w:rPr>
          <w:color w:val="auto"/>
          <w:highlight w:val="none"/>
        </w:rPr>
        <w:instrText xml:space="preserve"> HYPERLINK \l _Toc32365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_Toc32365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9"/>
        <w:tabs>
          <w:tab w:val="right" w:leader="dot" w:pos="9298"/>
        </w:tabs>
        <w:rPr>
          <w:color w:val="auto"/>
          <w:highlight w:val="none"/>
        </w:rPr>
      </w:pPr>
      <w:r>
        <w:rPr>
          <w:color w:val="auto"/>
          <w:highlight w:val="none"/>
        </w:rPr>
        <w:fldChar w:fldCharType="begin"/>
      </w:r>
      <w:r>
        <w:rPr>
          <w:color w:val="auto"/>
          <w:highlight w:val="none"/>
        </w:rPr>
        <w:instrText xml:space="preserve"> HYPERLINK \l _Toc13683 </w:instrText>
      </w:r>
      <w:r>
        <w:rPr>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_Toc13683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9"/>
        <w:tabs>
          <w:tab w:val="right" w:leader="dot" w:pos="9298"/>
        </w:tabs>
        <w:rPr>
          <w:color w:val="auto"/>
          <w:highlight w:val="none"/>
        </w:rPr>
      </w:pPr>
      <w:r>
        <w:rPr>
          <w:color w:val="auto"/>
          <w:highlight w:val="none"/>
        </w:rPr>
        <w:fldChar w:fldCharType="begin"/>
      </w:r>
      <w:r>
        <w:rPr>
          <w:color w:val="auto"/>
          <w:highlight w:val="none"/>
        </w:rPr>
        <w:instrText xml:space="preserve"> HYPERLINK \l _Toc22207 </w:instrText>
      </w:r>
      <w:r>
        <w:rPr>
          <w:color w:val="auto"/>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_Toc22207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9"/>
        <w:tabs>
          <w:tab w:val="right" w:leader="dot" w:pos="9298"/>
        </w:tabs>
        <w:rPr>
          <w:color w:val="auto"/>
          <w:highlight w:val="none"/>
        </w:rPr>
      </w:pPr>
      <w:r>
        <w:rPr>
          <w:color w:val="auto"/>
          <w:highlight w:val="none"/>
        </w:rPr>
        <w:fldChar w:fldCharType="begin"/>
      </w:r>
      <w:r>
        <w:rPr>
          <w:color w:val="auto"/>
          <w:highlight w:val="none"/>
        </w:rPr>
        <w:instrText xml:space="preserve"> HYPERLINK \l _Toc24815 </w:instrText>
      </w:r>
      <w:r>
        <w:rPr>
          <w:color w:val="auto"/>
          <w:highlight w:val="none"/>
        </w:rPr>
        <w:fldChar w:fldCharType="separate"/>
      </w:r>
      <w:r>
        <w:rPr>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_Toc24815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9"/>
        <w:tabs>
          <w:tab w:val="right" w:leader="dot" w:pos="9298"/>
        </w:tabs>
        <w:rPr>
          <w:color w:val="auto"/>
          <w:highlight w:val="none"/>
        </w:rPr>
      </w:pPr>
      <w:r>
        <w:rPr>
          <w:color w:val="auto"/>
          <w:highlight w:val="none"/>
        </w:rPr>
        <w:fldChar w:fldCharType="begin"/>
      </w:r>
      <w:r>
        <w:rPr>
          <w:color w:val="auto"/>
          <w:highlight w:val="none"/>
        </w:rPr>
        <w:instrText xml:space="preserve"> HYPERLINK \l _Toc29844 </w:instrText>
      </w:r>
      <w:r>
        <w:rPr>
          <w:color w:val="auto"/>
          <w:highlight w:val="none"/>
        </w:rPr>
        <w:fldChar w:fldCharType="separate"/>
      </w:r>
      <w:r>
        <w:rPr>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_Toc29844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6"/>
        <w:tabs>
          <w:tab w:val="right" w:leader="dot" w:pos="9298"/>
          <w:tab w:val="clear" w:pos="9060"/>
        </w:tabs>
        <w:rPr>
          <w:color w:val="auto"/>
          <w:highlight w:val="none"/>
        </w:rPr>
      </w:pPr>
      <w:r>
        <w:rPr>
          <w:color w:val="auto"/>
          <w:highlight w:val="none"/>
        </w:rPr>
        <w:fldChar w:fldCharType="begin"/>
      </w:r>
      <w:r>
        <w:rPr>
          <w:color w:val="auto"/>
          <w:highlight w:val="none"/>
        </w:rPr>
        <w:instrText xml:space="preserve"> HYPERLINK \l _Toc28091 </w:instrText>
      </w:r>
      <w:r>
        <w:rPr>
          <w:color w:val="auto"/>
          <w:highlight w:val="none"/>
        </w:rPr>
        <w:fldChar w:fldCharType="separate"/>
      </w:r>
      <w:r>
        <w:rPr>
          <w:rFonts w:hint="eastAsia" w:ascii="宋体" w:hAnsi="宋体"/>
          <w:color w:val="auto"/>
          <w:highlight w:val="none"/>
        </w:rPr>
        <w:t>第二章开标、评标及定标办法</w:t>
      </w:r>
      <w:r>
        <w:rPr>
          <w:color w:val="auto"/>
          <w:highlight w:val="none"/>
        </w:rPr>
        <w:tab/>
      </w:r>
      <w:r>
        <w:rPr>
          <w:color w:val="auto"/>
          <w:highlight w:val="none"/>
        </w:rPr>
        <w:fldChar w:fldCharType="begin"/>
      </w:r>
      <w:r>
        <w:rPr>
          <w:color w:val="auto"/>
          <w:highlight w:val="none"/>
        </w:rPr>
        <w:instrText xml:space="preserve"> PAGEREF _Toc28091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9"/>
        <w:tabs>
          <w:tab w:val="right" w:leader="dot" w:pos="9298"/>
        </w:tabs>
        <w:rPr>
          <w:color w:val="auto"/>
          <w:highlight w:val="none"/>
        </w:rPr>
      </w:pPr>
      <w:r>
        <w:rPr>
          <w:color w:val="auto"/>
          <w:highlight w:val="none"/>
        </w:rPr>
        <w:fldChar w:fldCharType="begin"/>
      </w:r>
      <w:r>
        <w:rPr>
          <w:color w:val="auto"/>
          <w:highlight w:val="none"/>
        </w:rPr>
        <w:instrText xml:space="preserve"> HYPERLINK \l _Toc3234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_Toc3234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9"/>
        <w:tabs>
          <w:tab w:val="right" w:leader="dot" w:pos="9298"/>
        </w:tabs>
        <w:rPr>
          <w:color w:val="auto"/>
          <w:highlight w:val="none"/>
        </w:rPr>
      </w:pPr>
      <w:r>
        <w:rPr>
          <w:color w:val="auto"/>
          <w:highlight w:val="none"/>
        </w:rPr>
        <w:fldChar w:fldCharType="begin"/>
      </w:r>
      <w:r>
        <w:rPr>
          <w:color w:val="auto"/>
          <w:highlight w:val="none"/>
        </w:rPr>
        <w:instrText xml:space="preserve"> HYPERLINK \l _Toc8292 </w:instrText>
      </w:r>
      <w:r>
        <w:rPr>
          <w:color w:val="auto"/>
          <w:highlight w:val="none"/>
        </w:rPr>
        <w:fldChar w:fldCharType="separate"/>
      </w:r>
      <w:r>
        <w:rPr>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_Toc8292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6"/>
        <w:tabs>
          <w:tab w:val="right" w:leader="dot" w:pos="9298"/>
          <w:tab w:val="clear" w:pos="9060"/>
        </w:tabs>
        <w:rPr>
          <w:color w:val="auto"/>
          <w:highlight w:val="none"/>
        </w:rPr>
      </w:pPr>
      <w:r>
        <w:rPr>
          <w:color w:val="auto"/>
          <w:highlight w:val="none"/>
        </w:rPr>
        <w:fldChar w:fldCharType="begin"/>
      </w:r>
      <w:r>
        <w:rPr>
          <w:color w:val="auto"/>
          <w:highlight w:val="none"/>
        </w:rPr>
        <w:instrText xml:space="preserve"> HYPERLINK \l _Toc15933 </w:instrText>
      </w:r>
      <w:r>
        <w:rPr>
          <w:color w:val="auto"/>
          <w:highlight w:val="none"/>
        </w:rPr>
        <w:fldChar w:fldCharType="separate"/>
      </w:r>
      <w:r>
        <w:rPr>
          <w:rFonts w:hint="eastAsia" w:ascii="宋体" w:hAnsi="宋体"/>
          <w:color w:val="auto"/>
          <w:highlight w:val="none"/>
        </w:rPr>
        <w:t>第三章合同条款</w:t>
      </w:r>
      <w:r>
        <w:rPr>
          <w:color w:val="auto"/>
          <w:highlight w:val="none"/>
        </w:rPr>
        <w:tab/>
      </w:r>
      <w:r>
        <w:rPr>
          <w:color w:val="auto"/>
          <w:highlight w:val="none"/>
        </w:rPr>
        <w:fldChar w:fldCharType="begin"/>
      </w:r>
      <w:r>
        <w:rPr>
          <w:color w:val="auto"/>
          <w:highlight w:val="none"/>
        </w:rPr>
        <w:instrText xml:space="preserve"> PAGEREF _Toc15933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26"/>
        <w:tabs>
          <w:tab w:val="right" w:leader="dot" w:pos="9298"/>
          <w:tab w:val="clear" w:pos="9060"/>
        </w:tabs>
        <w:rPr>
          <w:color w:val="auto"/>
          <w:highlight w:val="none"/>
        </w:rPr>
      </w:pPr>
      <w:r>
        <w:rPr>
          <w:color w:val="auto"/>
          <w:highlight w:val="none"/>
        </w:rPr>
        <w:fldChar w:fldCharType="begin"/>
      </w:r>
      <w:r>
        <w:rPr>
          <w:color w:val="auto"/>
          <w:highlight w:val="none"/>
        </w:rPr>
        <w:instrText xml:space="preserve"> HYPERLINK \l _Toc15547 </w:instrText>
      </w:r>
      <w:r>
        <w:rPr>
          <w:color w:val="auto"/>
          <w:highlight w:val="none"/>
        </w:rPr>
        <w:fldChar w:fldCharType="separate"/>
      </w:r>
      <w:r>
        <w:rPr>
          <w:rFonts w:hint="eastAsia" w:ascii="宋体" w:hAnsi="宋体"/>
          <w:color w:val="auto"/>
          <w:highlight w:val="none"/>
        </w:rPr>
        <w:t>第四章投标文件格式</w:t>
      </w:r>
      <w:r>
        <w:rPr>
          <w:color w:val="auto"/>
          <w:highlight w:val="none"/>
        </w:rPr>
        <w:tab/>
      </w:r>
      <w:r>
        <w:rPr>
          <w:color w:val="auto"/>
          <w:highlight w:val="none"/>
        </w:rPr>
        <w:fldChar w:fldCharType="begin"/>
      </w:r>
      <w:r>
        <w:rPr>
          <w:color w:val="auto"/>
          <w:highlight w:val="none"/>
        </w:rPr>
        <w:instrText xml:space="preserve"> PAGEREF _Toc15547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29"/>
        <w:tabs>
          <w:tab w:val="right" w:leader="dot" w:pos="9298"/>
          <w:tab w:val="clear" w:pos="9060"/>
        </w:tabs>
        <w:rPr>
          <w:color w:val="auto"/>
          <w:highlight w:val="none"/>
        </w:rPr>
      </w:pPr>
      <w:r>
        <w:rPr>
          <w:color w:val="auto"/>
          <w:highlight w:val="none"/>
        </w:rPr>
        <w:fldChar w:fldCharType="begin"/>
      </w:r>
      <w:r>
        <w:rPr>
          <w:color w:val="auto"/>
          <w:highlight w:val="none"/>
        </w:rPr>
        <w:instrText xml:space="preserve"> HYPERLINK \l _Toc2914 </w:instrText>
      </w:r>
      <w:r>
        <w:rPr>
          <w:color w:val="auto"/>
          <w:highlight w:val="none"/>
        </w:rPr>
        <w:fldChar w:fldCharType="separate"/>
      </w:r>
      <w:r>
        <w:rPr>
          <w:rFonts w:hint="eastAsia" w:ascii="宋体" w:hAnsi="宋体" w:eastAsia="宋体" w:cs="宋体"/>
          <w:color w:val="auto"/>
          <w:highlight w:val="none"/>
        </w:rPr>
        <w:t>一、技术标投标文件格式</w:t>
      </w:r>
      <w:r>
        <w:rPr>
          <w:color w:val="auto"/>
          <w:highlight w:val="none"/>
        </w:rPr>
        <w:tab/>
      </w:r>
      <w:r>
        <w:rPr>
          <w:color w:val="auto"/>
          <w:highlight w:val="none"/>
        </w:rPr>
        <w:fldChar w:fldCharType="begin"/>
      </w:r>
      <w:r>
        <w:rPr>
          <w:color w:val="auto"/>
          <w:highlight w:val="none"/>
        </w:rPr>
        <w:instrText xml:space="preserve"> PAGEREF _Toc2914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29"/>
        <w:tabs>
          <w:tab w:val="right" w:leader="dot" w:pos="9298"/>
          <w:tab w:val="clear" w:pos="9060"/>
        </w:tabs>
        <w:rPr>
          <w:color w:val="auto"/>
          <w:highlight w:val="none"/>
        </w:rPr>
      </w:pPr>
      <w:r>
        <w:rPr>
          <w:color w:val="auto"/>
          <w:highlight w:val="none"/>
        </w:rPr>
        <w:fldChar w:fldCharType="begin"/>
      </w:r>
      <w:r>
        <w:rPr>
          <w:color w:val="auto"/>
          <w:highlight w:val="none"/>
        </w:rPr>
        <w:instrText xml:space="preserve"> HYPERLINK \l _Toc5120 </w:instrText>
      </w:r>
      <w:r>
        <w:rPr>
          <w:color w:val="auto"/>
          <w:highlight w:val="none"/>
        </w:rPr>
        <w:fldChar w:fldCharType="separate"/>
      </w:r>
      <w:r>
        <w:rPr>
          <w:rFonts w:hint="eastAsia" w:ascii="宋体" w:hAnsi="宋体" w:eastAsia="宋体" w:cs="宋体"/>
          <w:color w:val="auto"/>
          <w:highlight w:val="none"/>
        </w:rPr>
        <w:t>二、经济标投标文件格式</w:t>
      </w:r>
      <w:r>
        <w:rPr>
          <w:color w:val="auto"/>
          <w:highlight w:val="none"/>
        </w:rPr>
        <w:tab/>
      </w:r>
      <w:r>
        <w:rPr>
          <w:color w:val="auto"/>
          <w:highlight w:val="none"/>
        </w:rPr>
        <w:fldChar w:fldCharType="begin"/>
      </w:r>
      <w:r>
        <w:rPr>
          <w:color w:val="auto"/>
          <w:highlight w:val="none"/>
        </w:rPr>
        <w:instrText xml:space="preserve"> PAGEREF _Toc5120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pPr>
        <w:pStyle w:val="26"/>
        <w:tabs>
          <w:tab w:val="right" w:leader="dot" w:pos="9298"/>
          <w:tab w:val="clear" w:pos="9060"/>
        </w:tabs>
        <w:rPr>
          <w:color w:val="auto"/>
          <w:highlight w:val="none"/>
        </w:rPr>
      </w:pPr>
      <w:r>
        <w:rPr>
          <w:color w:val="auto"/>
          <w:highlight w:val="none"/>
        </w:rPr>
        <w:fldChar w:fldCharType="begin"/>
      </w:r>
      <w:r>
        <w:rPr>
          <w:color w:val="auto"/>
          <w:highlight w:val="none"/>
        </w:rPr>
        <w:instrText xml:space="preserve"> HYPERLINK \l _Toc3231 </w:instrText>
      </w:r>
      <w:r>
        <w:rPr>
          <w:color w:val="auto"/>
          <w:highlight w:val="none"/>
        </w:rPr>
        <w:fldChar w:fldCharType="separate"/>
      </w:r>
      <w:r>
        <w:rPr>
          <w:rFonts w:hint="eastAsia"/>
          <w:color w:val="auto"/>
          <w:highlight w:val="none"/>
        </w:rPr>
        <w:t>第五章技术条件（工程建设标准）</w:t>
      </w:r>
      <w:r>
        <w:rPr>
          <w:color w:val="auto"/>
          <w:highlight w:val="none"/>
        </w:rPr>
        <w:tab/>
      </w:r>
      <w:r>
        <w:rPr>
          <w:color w:val="auto"/>
          <w:highlight w:val="none"/>
        </w:rPr>
        <w:fldChar w:fldCharType="begin"/>
      </w:r>
      <w:r>
        <w:rPr>
          <w:color w:val="auto"/>
          <w:highlight w:val="none"/>
        </w:rPr>
        <w:instrText xml:space="preserve"> PAGEREF _Toc3231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26"/>
        <w:tabs>
          <w:tab w:val="right" w:leader="dot" w:pos="9298"/>
          <w:tab w:val="clear" w:pos="9060"/>
        </w:tabs>
        <w:rPr>
          <w:color w:val="auto"/>
          <w:highlight w:val="none"/>
        </w:rPr>
      </w:pPr>
      <w:r>
        <w:rPr>
          <w:color w:val="auto"/>
          <w:highlight w:val="none"/>
        </w:rPr>
        <w:fldChar w:fldCharType="begin"/>
      </w:r>
      <w:r>
        <w:rPr>
          <w:color w:val="auto"/>
          <w:highlight w:val="none"/>
        </w:rPr>
        <w:instrText xml:space="preserve"> HYPERLINK \l _Toc591 </w:instrText>
      </w:r>
      <w:r>
        <w:rPr>
          <w:color w:val="auto"/>
          <w:highlight w:val="none"/>
        </w:rPr>
        <w:fldChar w:fldCharType="separate"/>
      </w:r>
      <w:r>
        <w:rPr>
          <w:rFonts w:hint="eastAsia" w:ascii="宋体" w:hAnsi="宋体"/>
          <w:color w:val="auto"/>
          <w:highlight w:val="none"/>
        </w:rPr>
        <w:t>第六章图纸及勘察资料</w:t>
      </w:r>
      <w:r>
        <w:rPr>
          <w:color w:val="auto"/>
          <w:highlight w:val="none"/>
        </w:rPr>
        <w:tab/>
      </w:r>
      <w:r>
        <w:rPr>
          <w:color w:val="auto"/>
          <w:highlight w:val="none"/>
        </w:rPr>
        <w:fldChar w:fldCharType="begin"/>
      </w:r>
      <w:r>
        <w:rPr>
          <w:color w:val="auto"/>
          <w:highlight w:val="none"/>
        </w:rPr>
        <w:instrText xml:space="preserve"> PAGEREF _Toc591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26"/>
        <w:tabs>
          <w:tab w:val="right" w:leader="dot" w:pos="9298"/>
          <w:tab w:val="clear" w:pos="9060"/>
        </w:tabs>
        <w:rPr>
          <w:color w:val="auto"/>
          <w:highlight w:val="none"/>
        </w:rPr>
      </w:pPr>
      <w:r>
        <w:rPr>
          <w:color w:val="auto"/>
          <w:highlight w:val="none"/>
        </w:rPr>
        <w:fldChar w:fldCharType="begin"/>
      </w:r>
      <w:r>
        <w:rPr>
          <w:color w:val="auto"/>
          <w:highlight w:val="none"/>
        </w:rPr>
        <w:instrText xml:space="preserve"> HYPERLINK \l _Toc4245 </w:instrText>
      </w:r>
      <w:r>
        <w:rPr>
          <w:color w:val="auto"/>
          <w:highlight w:val="none"/>
        </w:rPr>
        <w:fldChar w:fldCharType="separate"/>
      </w:r>
      <w:r>
        <w:rPr>
          <w:rFonts w:hint="eastAsia" w:ascii="宋体" w:hAnsi="宋体"/>
          <w:color w:val="auto"/>
          <w:highlight w:val="none"/>
        </w:rPr>
        <w:t>第七章工程量清单</w:t>
      </w:r>
      <w:r>
        <w:rPr>
          <w:color w:val="auto"/>
          <w:highlight w:val="none"/>
        </w:rPr>
        <w:tab/>
      </w:r>
      <w:r>
        <w:rPr>
          <w:color w:val="auto"/>
          <w:highlight w:val="none"/>
        </w:rPr>
        <w:fldChar w:fldCharType="begin"/>
      </w:r>
      <w:r>
        <w:rPr>
          <w:color w:val="auto"/>
          <w:highlight w:val="none"/>
        </w:rPr>
        <w:instrText xml:space="preserve"> PAGEREF _Toc4245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pPr>
        <w:pStyle w:val="26"/>
        <w:tabs>
          <w:tab w:val="right" w:leader="dot" w:pos="9298"/>
          <w:tab w:val="clear" w:pos="9060"/>
        </w:tabs>
        <w:rPr>
          <w:color w:val="auto"/>
          <w:highlight w:val="none"/>
        </w:rPr>
      </w:pPr>
      <w:r>
        <w:rPr>
          <w:color w:val="auto"/>
          <w:highlight w:val="none"/>
        </w:rPr>
        <w:fldChar w:fldCharType="begin"/>
      </w:r>
      <w:r>
        <w:rPr>
          <w:color w:val="auto"/>
          <w:highlight w:val="none"/>
        </w:rPr>
        <w:instrText xml:space="preserve"> HYPERLINK \l _Toc15863 </w:instrText>
      </w:r>
      <w:r>
        <w:rPr>
          <w:color w:val="auto"/>
          <w:highlight w:val="none"/>
        </w:rPr>
        <w:fldChar w:fldCharType="separate"/>
      </w:r>
      <w:r>
        <w:rPr>
          <w:rFonts w:hint="eastAsia" w:ascii="宋体" w:hAnsi="宋体" w:cs="宋体"/>
          <w:color w:val="auto"/>
          <w:highlight w:val="none"/>
        </w:rPr>
        <w:t>第八章最高投标限价</w:t>
      </w:r>
      <w:r>
        <w:rPr>
          <w:color w:val="auto"/>
          <w:highlight w:val="none"/>
        </w:rPr>
        <w:tab/>
      </w:r>
      <w:r>
        <w:rPr>
          <w:color w:val="auto"/>
          <w:highlight w:val="none"/>
        </w:rPr>
        <w:fldChar w:fldCharType="begin"/>
      </w:r>
      <w:r>
        <w:rPr>
          <w:color w:val="auto"/>
          <w:highlight w:val="none"/>
        </w:rPr>
        <w:instrText xml:space="preserve"> PAGEREF _Toc15863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rPr>
          <w:color w:val="auto"/>
          <w:highlight w:val="none"/>
        </w:rPr>
      </w:pPr>
      <w:r>
        <w:rPr>
          <w:color w:val="auto"/>
          <w:highlight w:val="none"/>
        </w:rPr>
        <w:fldChar w:fldCharType="end"/>
      </w:r>
    </w:p>
    <w:p>
      <w:pPr>
        <w:pStyle w:val="5"/>
        <w:rPr>
          <w:rFonts w:ascii="宋体" w:hAnsi="宋体"/>
          <w:color w:val="auto"/>
          <w:kern w:val="44"/>
          <w:sz w:val="28"/>
          <w:szCs w:val="28"/>
          <w:highlight w:val="none"/>
        </w:rPr>
      </w:pPr>
      <w:r>
        <w:rPr>
          <w:rFonts w:ascii="宋体" w:hAnsi="宋体"/>
          <w:color w:val="auto"/>
          <w:highlight w:val="none"/>
        </w:rPr>
        <w:br w:type="page"/>
      </w:r>
    </w:p>
    <w:p>
      <w:pPr>
        <w:pStyle w:val="3"/>
        <w:rPr>
          <w:rFonts w:ascii="宋体" w:hAnsi="宋体"/>
          <w:color w:val="auto"/>
          <w:highlight w:val="none"/>
        </w:rPr>
      </w:pPr>
      <w:bookmarkStart w:id="0" w:name="_Toc8952"/>
      <w:r>
        <w:rPr>
          <w:rFonts w:hint="eastAsia" w:ascii="宋体" w:hAnsi="宋体"/>
          <w:color w:val="auto"/>
          <w:highlight w:val="none"/>
        </w:rPr>
        <w:t>第一章投标须知</w:t>
      </w:r>
      <w:bookmarkEnd w:id="0"/>
    </w:p>
    <w:p>
      <w:pPr>
        <w:pStyle w:val="7"/>
        <w:rPr>
          <w:rFonts w:ascii="宋体" w:hAnsi="宋体"/>
          <w:color w:val="auto"/>
          <w:highlight w:val="none"/>
        </w:rPr>
      </w:pPr>
      <w:bookmarkStart w:id="1" w:name="_Toc3060"/>
      <w:r>
        <w:rPr>
          <w:rFonts w:hint="eastAsia" w:ascii="宋体" w:hAnsi="宋体"/>
          <w:color w:val="auto"/>
          <w:highlight w:val="none"/>
        </w:rPr>
        <w:t>一、投标须知前附表</w:t>
      </w:r>
      <w:bookmarkEnd w:id="1"/>
    </w:p>
    <w:p>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并不适用。</w:t>
      </w:r>
    </w:p>
    <w:tbl>
      <w:tblPr>
        <w:tblStyle w:val="34"/>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color w:val="auto"/>
                <w:kern w:val="2"/>
                <w:sz w:val="21"/>
                <w:szCs w:val="21"/>
                <w:highlight w:val="none"/>
                <w:lang w:val="en-US"/>
              </w:rPr>
            </w:pPr>
            <w:r>
              <w:rPr>
                <w:rFonts w:hint="eastAsia" w:ascii="宋体" w:hAnsi="宋体"/>
                <w:color w:val="auto"/>
                <w:kern w:val="2"/>
                <w:sz w:val="21"/>
                <w:szCs w:val="21"/>
                <w:highlight w:val="none"/>
                <w:lang w:val="en-US"/>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rFonts w:hint="eastAsia"/>
                <w:color w:val="auto"/>
                <w:highlight w:val="none"/>
              </w:rPr>
              <w:t>招标人（即发包人）：江门粤海置地有限公司</w:t>
            </w:r>
          </w:p>
          <w:p>
            <w:pPr>
              <w:rPr>
                <w:rFonts w:hint="eastAsia"/>
                <w:color w:val="auto"/>
                <w:highlight w:val="none"/>
                <w:lang w:eastAsia="zh-CN"/>
              </w:rPr>
            </w:pPr>
            <w:r>
              <w:rPr>
                <w:rFonts w:hint="eastAsia"/>
                <w:color w:val="auto"/>
                <w:highlight w:val="none"/>
              </w:rPr>
              <w:t>招标代理：</w:t>
            </w:r>
            <w:r>
              <w:rPr>
                <w:rFonts w:hint="eastAsia"/>
                <w:color w:val="auto"/>
                <w:highlight w:val="none"/>
                <w:lang w:eastAsia="zh-CN"/>
              </w:rPr>
              <w:t>广东省机电设备招标有限公司</w:t>
            </w:r>
          </w:p>
          <w:p>
            <w:pPr>
              <w:rPr>
                <w:rFonts w:hint="default" w:eastAsia="宋体"/>
                <w:color w:val="auto"/>
                <w:highlight w:val="none"/>
                <w:lang w:val="en-US" w:eastAsia="zh-CN"/>
              </w:rPr>
            </w:pPr>
            <w:r>
              <w:rPr>
                <w:rFonts w:hint="eastAsia"/>
                <w:color w:val="auto"/>
                <w:highlight w:val="none"/>
                <w:lang w:val="en-US" w:eastAsia="zh-CN"/>
              </w:rPr>
              <w:t>新宁街道路</w:t>
            </w:r>
            <w:r>
              <w:rPr>
                <w:rFonts w:hint="eastAsia"/>
                <w:color w:val="auto"/>
                <w:highlight w:val="none"/>
              </w:rPr>
              <w:t>设计单位：</w:t>
            </w:r>
            <w:r>
              <w:rPr>
                <w:rFonts w:hint="eastAsia"/>
                <w:color w:val="auto"/>
                <w:highlight w:val="none"/>
                <w:lang w:val="en-US" w:eastAsia="zh-CN"/>
              </w:rPr>
              <w:t>广东中咨工程设计有限公司</w:t>
            </w:r>
          </w:p>
          <w:p>
            <w:pPr>
              <w:rPr>
                <w:rFonts w:hint="default"/>
                <w:color w:val="auto"/>
                <w:highlight w:val="none"/>
                <w:lang w:val="en-US" w:eastAsia="zh-CN"/>
              </w:rPr>
            </w:pPr>
            <w:r>
              <w:rPr>
                <w:rFonts w:hint="eastAsia"/>
                <w:color w:val="auto"/>
                <w:highlight w:val="none"/>
                <w:lang w:val="en-US" w:eastAsia="zh-CN"/>
              </w:rPr>
              <w:t>新宁街天桥设计单位：中亿通达设计咨询集团有限公司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粤海江门甘化厂项目新宁街道路及天桥工程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江门市蓬江区白沙街道甘北路东侧、西江西侧、泮边街南侧、北新街北侧地段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1</w:t>
            </w:r>
            <w:r>
              <w:rPr>
                <w:rFonts w:hint="eastAsia" w:ascii="宋体" w:hAnsi="宋体" w:eastAsia="宋体" w:cs="Times New Roman"/>
                <w:color w:val="auto"/>
                <w:highlight w:val="none"/>
                <w:u w:val="single"/>
                <w:lang w:val="en-US" w:eastAsia="zh-CN"/>
              </w:rPr>
              <w:t>.按照本</w:t>
            </w:r>
            <w:r>
              <w:rPr>
                <w:rFonts w:hint="eastAsia" w:ascii="宋体" w:hAnsi="宋体" w:cs="Times New Roman"/>
                <w:color w:val="auto"/>
                <w:highlight w:val="none"/>
                <w:u w:val="single"/>
                <w:lang w:val="en-US" w:eastAsia="zh-CN"/>
              </w:rPr>
              <w:t>招标文件</w:t>
            </w:r>
            <w:r>
              <w:rPr>
                <w:rFonts w:hint="eastAsia" w:ascii="宋体" w:hAnsi="宋体" w:eastAsia="宋体" w:cs="Times New Roman"/>
                <w:color w:val="auto"/>
                <w:highlight w:val="none"/>
                <w:u w:val="single"/>
                <w:lang w:val="en-US" w:eastAsia="zh-CN"/>
              </w:rPr>
              <w:t>约定范围、</w:t>
            </w:r>
            <w:r>
              <w:rPr>
                <w:rFonts w:hint="eastAsia" w:ascii="宋体" w:hAnsi="宋体" w:cs="Times New Roman"/>
                <w:color w:val="auto"/>
                <w:highlight w:val="none"/>
                <w:u w:val="single"/>
                <w:lang w:val="en-US" w:eastAsia="zh-CN"/>
              </w:rPr>
              <w:t>合同条款</w:t>
            </w:r>
            <w:r>
              <w:rPr>
                <w:rFonts w:hint="eastAsia" w:ascii="宋体" w:hAnsi="宋体" w:eastAsia="宋体" w:cs="Times New Roman"/>
                <w:color w:val="auto"/>
                <w:highlight w:val="none"/>
                <w:u w:val="single"/>
                <w:lang w:val="en-US" w:eastAsia="zh-CN"/>
              </w:rPr>
              <w:t>、图纸内容、工程技术文件、工程量清单等有关资料及说明实行工程施工总承包模式，</w:t>
            </w:r>
            <w:r>
              <w:rPr>
                <w:rFonts w:ascii="Times New Roman" w:hAnsi="Times New Roman"/>
                <w:bCs/>
                <w:color w:val="auto"/>
                <w:sz w:val="21"/>
                <w:szCs w:val="21"/>
                <w:highlight w:val="none"/>
                <w:u w:val="single"/>
              </w:rPr>
              <w:t>即包括但不限于包深化设计（优化设计）、包人工、包材料</w:t>
            </w:r>
            <w:r>
              <w:rPr>
                <w:rFonts w:hint="eastAsia" w:ascii="Times New Roman" w:hAnsi="Times New Roman" w:eastAsia="宋体"/>
                <w:bCs/>
                <w:color w:val="auto"/>
                <w:kern w:val="2"/>
                <w:sz w:val="21"/>
                <w:szCs w:val="21"/>
                <w:highlight w:val="none"/>
                <w:u w:val="single"/>
                <w:lang w:eastAsia="zh-CN"/>
              </w:rPr>
              <w:t>、</w:t>
            </w:r>
            <w:r>
              <w:rPr>
                <w:rFonts w:ascii="Times New Roman" w:hAnsi="Times New Roman"/>
                <w:bCs/>
                <w:color w:val="auto"/>
                <w:sz w:val="21"/>
                <w:szCs w:val="21"/>
                <w:highlight w:val="none"/>
                <w:u w:val="single"/>
              </w:rPr>
              <w:t>包机械、包工期、包质量、包安全生产、包文明施工、包材料检验检测、包</w:t>
            </w:r>
            <w:r>
              <w:rPr>
                <w:rFonts w:hint="eastAsia" w:ascii="Times New Roman" w:hAnsi="Times New Roman"/>
                <w:bCs/>
                <w:color w:val="auto"/>
                <w:sz w:val="21"/>
                <w:szCs w:val="21"/>
                <w:highlight w:val="none"/>
                <w:u w:val="single"/>
                <w:lang w:eastAsia="zh-CN"/>
              </w:rPr>
              <w:t>与本工程相关的第三方检测、</w:t>
            </w:r>
            <w:r>
              <w:rPr>
                <w:rFonts w:ascii="Times New Roman" w:hAnsi="Times New Roman"/>
                <w:bCs/>
                <w:color w:val="auto"/>
                <w:sz w:val="21"/>
                <w:szCs w:val="21"/>
                <w:highlight w:val="none"/>
                <w:u w:val="single"/>
              </w:rPr>
              <w:t>包成品保护、包施工用水用电、包措施费、</w:t>
            </w:r>
            <w:r>
              <w:rPr>
                <w:rFonts w:hint="eastAsia" w:ascii="Times New Roman" w:hAnsi="Times New Roman"/>
                <w:bCs/>
                <w:color w:val="auto"/>
                <w:sz w:val="21"/>
                <w:szCs w:val="21"/>
                <w:highlight w:val="none"/>
                <w:u w:val="single"/>
                <w:lang w:val="en-US" w:eastAsia="zh-CN"/>
              </w:rPr>
              <w:t>包</w:t>
            </w:r>
            <w:r>
              <w:rPr>
                <w:rFonts w:hint="eastAsia" w:ascii="Times New Roman" w:hAnsi="Times New Roman"/>
                <w:bCs/>
                <w:color w:val="auto"/>
                <w:sz w:val="21"/>
                <w:szCs w:val="21"/>
                <w:highlight w:val="none"/>
                <w:u w:val="single"/>
                <w:lang w:eastAsia="zh-CN"/>
              </w:rPr>
              <w:t>围挡的拆改迁移及新建、</w:t>
            </w:r>
            <w:r>
              <w:rPr>
                <w:rFonts w:hint="eastAsia" w:ascii="Times New Roman" w:hAnsi="Times New Roman"/>
                <w:bCs/>
                <w:color w:val="auto"/>
                <w:sz w:val="21"/>
                <w:szCs w:val="21"/>
                <w:highlight w:val="none"/>
                <w:u w:val="single"/>
                <w:lang w:val="en-US" w:eastAsia="zh-CN"/>
              </w:rPr>
              <w:t>包专家论证费、包交通疏导和交通调节费、</w:t>
            </w:r>
            <w:r>
              <w:rPr>
                <w:rFonts w:ascii="Times New Roman" w:hAnsi="Times New Roman"/>
                <w:bCs/>
                <w:color w:val="auto"/>
                <w:sz w:val="21"/>
                <w:szCs w:val="21"/>
                <w:highlight w:val="none"/>
                <w:u w:val="single"/>
              </w:rPr>
              <w:t>包利润及税金、包承包范围内工程竣工验收及竣工验收备案通过、包移交</w:t>
            </w:r>
            <w:r>
              <w:rPr>
                <w:rFonts w:hint="eastAsia" w:ascii="Times New Roman" w:hAnsi="Times New Roman"/>
                <w:bCs/>
                <w:color w:val="auto"/>
                <w:sz w:val="21"/>
                <w:szCs w:val="21"/>
                <w:highlight w:val="none"/>
                <w:u w:val="single"/>
                <w:lang w:val="en-US" w:eastAsia="zh-CN"/>
              </w:rPr>
              <w:t>发包人及政府相关部门</w:t>
            </w:r>
            <w:r>
              <w:rPr>
                <w:rFonts w:ascii="Times New Roman" w:hAnsi="Times New Roman"/>
                <w:bCs/>
                <w:color w:val="auto"/>
                <w:sz w:val="21"/>
                <w:szCs w:val="21"/>
                <w:highlight w:val="none"/>
                <w:u w:val="single"/>
              </w:rPr>
              <w:t>、包结算、包保修和资料整理、包施工管理和现场组织、</w:t>
            </w:r>
            <w:r>
              <w:rPr>
                <w:rFonts w:hint="eastAsia" w:ascii="Times New Roman" w:hAnsi="Times New Roman"/>
                <w:bCs/>
                <w:color w:val="auto"/>
                <w:sz w:val="21"/>
                <w:szCs w:val="21"/>
                <w:highlight w:val="none"/>
                <w:u w:val="single"/>
                <w:lang w:val="en-US" w:eastAsia="zh-CN"/>
              </w:rPr>
              <w:t>包</w:t>
            </w:r>
            <w:r>
              <w:rPr>
                <w:rFonts w:hint="eastAsia" w:ascii="Times New Roman" w:hAnsi="Times New Roman" w:eastAsia="宋体"/>
                <w:bCs/>
                <w:color w:val="auto"/>
                <w:kern w:val="2"/>
                <w:sz w:val="21"/>
                <w:szCs w:val="21"/>
                <w:highlight w:val="none"/>
                <w:u w:val="single"/>
              </w:rPr>
              <w:t>办理</w:t>
            </w:r>
            <w:r>
              <w:rPr>
                <w:rFonts w:hint="eastAsia" w:ascii="Times New Roman" w:hAnsi="Times New Roman"/>
                <w:bCs/>
                <w:color w:val="auto"/>
                <w:kern w:val="2"/>
                <w:sz w:val="21"/>
                <w:szCs w:val="21"/>
                <w:highlight w:val="none"/>
                <w:u w:val="single"/>
                <w:lang w:val="en-US" w:eastAsia="zh-CN"/>
              </w:rPr>
              <w:t>政府相关</w:t>
            </w:r>
            <w:r>
              <w:rPr>
                <w:rFonts w:hint="eastAsia" w:ascii="Times New Roman" w:hAnsi="Times New Roman" w:eastAsia="宋体"/>
                <w:bCs/>
                <w:color w:val="auto"/>
                <w:kern w:val="2"/>
                <w:sz w:val="21"/>
                <w:szCs w:val="21"/>
                <w:highlight w:val="none"/>
                <w:u w:val="single"/>
              </w:rPr>
              <w:t>部门规定的从开工至竣工验收符合合同要求所需的各种手续</w:t>
            </w:r>
            <w:r>
              <w:rPr>
                <w:rFonts w:hint="eastAsia" w:ascii="Times New Roman" w:hAnsi="Times New Roman" w:eastAsia="宋体"/>
                <w:bCs/>
                <w:color w:val="auto"/>
                <w:kern w:val="2"/>
                <w:sz w:val="21"/>
                <w:szCs w:val="21"/>
                <w:highlight w:val="none"/>
                <w:u w:val="single"/>
                <w:lang w:eastAsia="zh-CN"/>
              </w:rPr>
              <w:t>、</w:t>
            </w:r>
            <w:r>
              <w:rPr>
                <w:rFonts w:ascii="Times New Roman" w:hAnsi="Times New Roman"/>
                <w:bCs/>
                <w:color w:val="auto"/>
                <w:sz w:val="21"/>
                <w:szCs w:val="21"/>
                <w:highlight w:val="none"/>
                <w:u w:val="single"/>
              </w:rPr>
              <w:t>包对本工程相关的其他各专业工程提供协调及配合服务等与本工程相关的一切内容</w:t>
            </w:r>
            <w:r>
              <w:rPr>
                <w:rFonts w:hint="eastAsia" w:ascii="宋体" w:hAnsi="宋体" w:eastAsia="宋体" w:cs="Times New Roman"/>
                <w:color w:val="auto"/>
                <w:szCs w:val="21"/>
                <w:highlight w:val="none"/>
                <w:u w:val="single"/>
              </w:rPr>
              <w:t>。</w:t>
            </w:r>
          </w:p>
          <w:p>
            <w:pPr>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2</w:t>
            </w:r>
            <w:r>
              <w:rPr>
                <w:rFonts w:hint="default" w:ascii="宋体" w:hAnsi="宋体" w:eastAsia="宋体" w:cs="Times New Roman"/>
                <w:color w:val="auto"/>
                <w:highlight w:val="none"/>
                <w:u w:val="single"/>
              </w:rPr>
              <w:t>.</w:t>
            </w:r>
            <w:r>
              <w:rPr>
                <w:rFonts w:hint="eastAsia" w:ascii="Times New Roman" w:hAnsi="Times New Roman"/>
                <w:bCs/>
                <w:color w:val="auto"/>
                <w:sz w:val="21"/>
                <w:szCs w:val="21"/>
                <w:highlight w:val="none"/>
                <w:u w:val="single"/>
              </w:rPr>
              <w:t>本工程暂定总价采用分部分项工程清单综合单价包干；措施项目费（除以费率计算的绿色施工安全防护措施费</w:t>
            </w:r>
            <w:r>
              <w:rPr>
                <w:rFonts w:hint="eastAsia" w:ascii="Times New Roman" w:hAnsi="Times New Roman"/>
                <w:bCs/>
                <w:color w:val="auto"/>
                <w:sz w:val="21"/>
                <w:szCs w:val="21"/>
                <w:highlight w:val="none"/>
                <w:u w:val="single"/>
                <w:lang w:val="en-US" w:eastAsia="zh-CN"/>
              </w:rPr>
              <w:t>及围挡相关费用</w:t>
            </w:r>
            <w:r>
              <w:rPr>
                <w:rFonts w:hint="eastAsia" w:ascii="Times New Roman" w:hAnsi="Times New Roman"/>
                <w:bCs/>
                <w:color w:val="auto"/>
                <w:sz w:val="21"/>
                <w:szCs w:val="21"/>
                <w:highlight w:val="none"/>
                <w:u w:val="single"/>
              </w:rPr>
              <w:t>外）固定总价包干（特别地，临时支撑相关费用在措施项目费中单独列项，总价包干；交通疏导和</w:t>
            </w:r>
            <w:r>
              <w:rPr>
                <w:rFonts w:hint="eastAsia" w:ascii="Times New Roman" w:hAnsi="Times New Roman"/>
                <w:bCs/>
                <w:color w:val="auto"/>
                <w:sz w:val="21"/>
                <w:szCs w:val="21"/>
                <w:highlight w:val="none"/>
                <w:u w:val="single"/>
                <w:lang w:eastAsia="zh-CN"/>
              </w:rPr>
              <w:t>交通调节</w:t>
            </w:r>
            <w:r>
              <w:rPr>
                <w:rFonts w:hint="eastAsia" w:ascii="Times New Roman" w:hAnsi="Times New Roman"/>
                <w:bCs/>
                <w:color w:val="auto"/>
                <w:sz w:val="21"/>
                <w:szCs w:val="21"/>
                <w:highlight w:val="none"/>
                <w:u w:val="single"/>
              </w:rPr>
              <w:t>费包含在固定总价包干的措施项目费中，不再单独计取）；其他项目费和发包人供应材料设备的保管费以费率包干的承包方式；以费率计算的绿色施工安全防护措施费如按合同计算的费率超出定额规定的费率时，进度支付和结算按定额规定的费率计算；如按合同计算的费率低于定额规定的费率时，则按合同计算的费率计算</w:t>
            </w:r>
            <w:r>
              <w:rPr>
                <w:rFonts w:hint="eastAsia" w:ascii="宋体" w:hAnsi="宋体" w:eastAsia="宋体" w:cs="Times New Roman"/>
                <w:color w:val="auto"/>
                <w:highlight w:val="none"/>
                <w:u w:val="single"/>
              </w:rPr>
              <w:t>。</w:t>
            </w:r>
          </w:p>
          <w:p>
            <w:pPr>
              <w:rPr>
                <w:rFonts w:hint="eastAsia" w:eastAsia="宋体"/>
                <w:color w:val="auto"/>
                <w:szCs w:val="21"/>
                <w:highlight w:val="none"/>
                <w:u w:val="single"/>
                <w:lang w:val="en-US" w:eastAsia="zh-CN"/>
              </w:rPr>
            </w:pPr>
            <w:r>
              <w:rPr>
                <w:rFonts w:hint="eastAsia" w:ascii="宋体" w:hAnsi="宋体" w:eastAsia="宋体" w:cs="Times New Roman"/>
                <w:color w:val="auto"/>
                <w:highlight w:val="none"/>
                <w:u w:val="single"/>
                <w:lang w:eastAsia="zh-CN"/>
              </w:rPr>
              <w:t>详见</w:t>
            </w:r>
            <w:r>
              <w:rPr>
                <w:rFonts w:hint="eastAsia" w:ascii="宋体" w:hAnsi="宋体" w:cs="Times New Roman"/>
                <w:color w:val="auto"/>
                <w:highlight w:val="none"/>
                <w:u w:val="single"/>
                <w:lang w:val="en-US" w:eastAsia="zh-CN"/>
              </w:rPr>
              <w:t>招标文件所附</w:t>
            </w:r>
            <w:r>
              <w:rPr>
                <w:rFonts w:hint="eastAsia" w:ascii="宋体" w:hAnsi="宋体" w:eastAsia="宋体" w:cs="Times New Roman"/>
                <w:color w:val="auto"/>
                <w:highlight w:val="none"/>
                <w:u w:val="single"/>
                <w:lang w:eastAsia="zh-CN"/>
              </w:rPr>
              <w:t>合同条款的约定。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pStyle w:val="7"/>
              <w:numPr>
                <w:ilvl w:val="0"/>
                <w:numId w:val="0"/>
              </w:numPr>
              <w:spacing w:line="240" w:lineRule="auto"/>
              <w:jc w:val="left"/>
              <w:rPr>
                <w:rFonts w:hint="eastAsia" w:ascii="宋体" w:hAnsi="宋体" w:eastAsia="宋体" w:cs="Times New Roman"/>
                <w:b w:val="0"/>
                <w:color w:val="auto"/>
                <w:kern w:val="2"/>
                <w:sz w:val="21"/>
                <w:szCs w:val="22"/>
                <w:highlight w:val="none"/>
                <w:u w:val="single"/>
                <w:lang w:val="en-US" w:eastAsia="zh-CN" w:bidi="ar-SA"/>
              </w:rPr>
            </w:pPr>
            <w:bookmarkStart w:id="2" w:name="_Toc14502"/>
            <w:r>
              <w:rPr>
                <w:rFonts w:hint="eastAsia" w:ascii="宋体" w:hAnsi="宋体" w:eastAsia="宋体" w:cs="Times New Roman"/>
                <w:b w:val="0"/>
                <w:color w:val="auto"/>
                <w:kern w:val="2"/>
                <w:sz w:val="21"/>
                <w:szCs w:val="22"/>
                <w:highlight w:val="none"/>
                <w:u w:val="single"/>
                <w:lang w:val="en-US" w:eastAsia="zh-CN" w:bidi="ar-SA"/>
              </w:rPr>
              <w:t>1.应达到</w:t>
            </w:r>
            <w:r>
              <w:rPr>
                <w:rFonts w:hint="eastAsia" w:ascii="宋体" w:hAnsi="宋体"/>
                <w:b w:val="0"/>
                <w:color w:val="auto"/>
                <w:kern w:val="2"/>
                <w:sz w:val="21"/>
                <w:szCs w:val="22"/>
                <w:highlight w:val="none"/>
                <w:u w:val="single"/>
                <w:lang w:val="en-US"/>
              </w:rPr>
              <w:t>《建筑工程质量标准》、《建筑工程施工质量验收统一标准》、《建筑装饰装修工程质量验收规范》</w:t>
            </w:r>
            <w:r>
              <w:rPr>
                <w:rFonts w:hint="eastAsia" w:ascii="宋体" w:hAnsi="宋体"/>
                <w:b w:val="0"/>
                <w:color w:val="auto"/>
                <w:kern w:val="2"/>
                <w:sz w:val="21"/>
                <w:szCs w:val="22"/>
                <w:highlight w:val="none"/>
                <w:u w:val="single"/>
                <w:lang w:val="en-US" w:eastAsia="zh-CN"/>
              </w:rPr>
              <w:t>、</w:t>
            </w:r>
            <w:r>
              <w:rPr>
                <w:rFonts w:hint="eastAsia" w:ascii="宋体" w:hAnsi="宋体"/>
                <w:b w:val="0"/>
                <w:color w:val="auto"/>
                <w:kern w:val="2"/>
                <w:sz w:val="21"/>
                <w:szCs w:val="22"/>
                <w:highlight w:val="none"/>
                <w:u w:val="single"/>
                <w:lang w:val="en-US"/>
              </w:rPr>
              <w:t>《城市桥梁工程施工与质量验收规范》</w:t>
            </w:r>
            <w:r>
              <w:rPr>
                <w:rFonts w:hint="eastAsia" w:ascii="宋体" w:hAnsi="宋体"/>
                <w:b w:val="0"/>
                <w:color w:val="auto"/>
                <w:kern w:val="2"/>
                <w:sz w:val="21"/>
                <w:szCs w:val="22"/>
                <w:highlight w:val="none"/>
                <w:u w:val="single"/>
                <w:lang w:val="en-US" w:eastAsia="zh-CN"/>
              </w:rPr>
              <w:t>、</w:t>
            </w:r>
            <w:r>
              <w:rPr>
                <w:rFonts w:hint="eastAsia" w:ascii="宋体" w:hAnsi="宋体"/>
                <w:b w:val="0"/>
                <w:color w:val="auto"/>
                <w:kern w:val="2"/>
                <w:sz w:val="21"/>
                <w:szCs w:val="22"/>
                <w:highlight w:val="none"/>
                <w:u w:val="single"/>
                <w:lang w:val="en-US"/>
              </w:rPr>
              <w:t>《城镇道路工程施工与质量验收规范》</w:t>
            </w:r>
            <w:r>
              <w:rPr>
                <w:rFonts w:hint="eastAsia" w:ascii="宋体" w:hAnsi="宋体" w:eastAsia="宋体" w:cs="Times New Roman"/>
                <w:b w:val="0"/>
                <w:color w:val="auto"/>
                <w:kern w:val="2"/>
                <w:sz w:val="21"/>
                <w:szCs w:val="22"/>
                <w:highlight w:val="none"/>
                <w:u w:val="single"/>
                <w:lang w:val="en-US" w:eastAsia="zh-CN" w:bidi="ar-SA"/>
              </w:rPr>
              <w:t>等国家规范、行业标准、地方标准等相关要求，确保分部分项工程达到100%合格，一次性验收合格并通过竣工备案，达到合格质量标准。</w:t>
            </w:r>
            <w:bookmarkEnd w:id="2"/>
          </w:p>
          <w:p>
            <w:pPr>
              <w:pStyle w:val="7"/>
              <w:numPr>
                <w:ilvl w:val="0"/>
                <w:numId w:val="0"/>
              </w:numPr>
              <w:spacing w:line="240" w:lineRule="auto"/>
              <w:jc w:val="left"/>
              <w:rPr>
                <w:rFonts w:ascii="宋体" w:hAnsi="宋体"/>
                <w:color w:val="auto"/>
                <w:szCs w:val="21"/>
                <w:highlight w:val="none"/>
                <w:u w:val="single"/>
              </w:rPr>
            </w:pPr>
            <w:bookmarkStart w:id="3" w:name="_Toc13710"/>
            <w:r>
              <w:rPr>
                <w:rFonts w:hint="eastAsia" w:ascii="宋体" w:hAnsi="宋体" w:eastAsia="宋体" w:cs="Times New Roman"/>
                <w:b w:val="0"/>
                <w:color w:val="auto"/>
                <w:kern w:val="2"/>
                <w:sz w:val="21"/>
                <w:szCs w:val="22"/>
                <w:highlight w:val="none"/>
                <w:u w:val="single"/>
                <w:lang w:val="en-US" w:eastAsia="zh-CN" w:bidi="ar-SA"/>
              </w:rPr>
              <w:t>2.如技术文件、设计图纸（含设计说明）中确定适用的技术标准或规范要求、检验测试要求及验收要求不一致时，本工程实施按其中标准较高、要求较严格的要求执行。</w:t>
            </w:r>
            <w:bookmarkEnd w:id="3"/>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153</w:t>
            </w:r>
            <w:r>
              <w:rPr>
                <w:rFonts w:hint="eastAsia" w:ascii="宋体" w:hAnsi="宋体"/>
                <w:color w:val="auto"/>
                <w:szCs w:val="21"/>
                <w:highlight w:val="non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r>
              <w:rPr>
                <w:rFonts w:hint="eastAsia" w:ascii="宋体" w:hAnsi="宋体"/>
                <w:color w:val="auto"/>
                <w:szCs w:val="21"/>
                <w:highlight w:val="none"/>
                <w:lang w:val="en-US" w:eastAsia="zh-CN"/>
              </w:rPr>
              <w:t>详见</w:t>
            </w:r>
            <w:r>
              <w:rPr>
                <w:rFonts w:hint="eastAsia" w:ascii="宋体" w:hAnsi="宋体"/>
                <w:color w:val="auto"/>
                <w:szCs w:val="21"/>
                <w:highlight w:val="none"/>
              </w:rPr>
              <w:t>招标文件所附合同条款的约定。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120</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1、投标保证金额度：</w:t>
            </w:r>
            <w:r>
              <w:rPr>
                <w:rFonts w:hint="eastAsia"/>
                <w:color w:val="auto"/>
                <w:szCs w:val="21"/>
                <w:highlight w:val="none"/>
                <w:u w:val="single"/>
                <w:lang w:val="en-US" w:eastAsia="zh-CN"/>
              </w:rPr>
              <w:t>10</w:t>
            </w:r>
            <w:r>
              <w:rPr>
                <w:rFonts w:hint="eastAsia"/>
                <w:color w:val="auto"/>
                <w:szCs w:val="21"/>
                <w:highlight w:val="none"/>
              </w:rPr>
              <w:t>万元人民币。</w:t>
            </w:r>
          </w:p>
          <w:p>
            <w:pPr>
              <w:rPr>
                <w:color w:val="auto"/>
                <w:szCs w:val="21"/>
                <w:highlight w:val="none"/>
                <w:u w:val="single"/>
              </w:rPr>
            </w:pPr>
            <w:r>
              <w:rPr>
                <w:rFonts w:hint="eastAsia"/>
                <w:color w:val="auto"/>
                <w:szCs w:val="21"/>
                <w:highlight w:val="none"/>
              </w:rPr>
              <w:t>2、</w:t>
            </w:r>
            <w:r>
              <w:rPr>
                <w:rFonts w:hint="eastAsia" w:hAnsi="宋体" w:cs="宋体"/>
                <w:color w:val="auto"/>
                <w:szCs w:val="21"/>
                <w:highlight w:val="none"/>
              </w:rPr>
              <w:t>投标保证金可采用现金、支票、投标保函、投标保证保险的形式递交，须在递交投标文件截止时间前完成缴纳。</w:t>
            </w:r>
            <w:r>
              <w:rPr>
                <w:rFonts w:hint="eastAsia" w:cs="宋体"/>
                <w:color w:val="auto"/>
                <w:szCs w:val="21"/>
                <w:highlight w:val="none"/>
              </w:rPr>
              <w:br w:type="textWrapping"/>
            </w:r>
            <w:r>
              <w:rPr>
                <w:rFonts w:hint="eastAsia"/>
                <w:color w:val="auto"/>
                <w:szCs w:val="21"/>
                <w:highlight w:val="none"/>
              </w:rPr>
              <w:t xml:space="preserve">   ①</w:t>
            </w:r>
            <w:r>
              <w:rPr>
                <w:rFonts w:hint="eastAsia" w:hAnsi="宋体" w:cs="宋体"/>
                <w:color w:val="auto"/>
                <w:szCs w:val="21"/>
                <w:highlight w:val="none"/>
              </w:rPr>
              <w:t>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ind w:firstLine="315" w:firstLineChars="150"/>
              <w:rPr>
                <w:rFonts w:hAnsi="宋体" w:cs="宋体"/>
                <w:color w:val="auto"/>
                <w:szCs w:val="21"/>
                <w:highlight w:val="none"/>
              </w:rPr>
            </w:pPr>
            <w:r>
              <w:rPr>
                <w:rFonts w:hint="eastAsia"/>
                <w:color w:val="auto"/>
                <w:szCs w:val="21"/>
                <w:highlight w:val="none"/>
              </w:rPr>
              <w:t>②如采用非电子形式的投标保函或投标保证保险提交投标保证金的</w:t>
            </w:r>
            <w:r>
              <w:rPr>
                <w:color w:val="auto"/>
                <w:szCs w:val="21"/>
                <w:highlight w:val="none"/>
              </w:rPr>
              <w:t>，</w:t>
            </w:r>
            <w:r>
              <w:rPr>
                <w:rFonts w:hint="eastAsia" w:hAnsi="宋体" w:cs="宋体"/>
                <w:color w:val="auto"/>
                <w:szCs w:val="21"/>
                <w:highlight w:val="none"/>
              </w:rPr>
              <w:t>在开标前不强制要求投标人提交纸质原件，由中标候选人在中标候选人公示前提交，投标人应在投标文件中提交投标保函或投标保证保险扫描件并加盖投标人电子印章。</w:t>
            </w:r>
          </w:p>
          <w:p>
            <w:pPr>
              <w:ind w:firstLine="315" w:firstLineChars="150"/>
              <w:rPr>
                <w:rFonts w:ascii="宋体" w:hAnsi="宋体"/>
                <w:color w:val="auto"/>
                <w:szCs w:val="21"/>
                <w:highlight w:val="none"/>
                <w:u w:val="single"/>
              </w:rPr>
            </w:pPr>
            <w:r>
              <w:rPr>
                <w:rFonts w:hint="eastAsia"/>
                <w:color w:val="auto"/>
                <w:szCs w:val="21"/>
                <w:highlight w:val="none"/>
              </w:rPr>
              <w:t>③如采用电子保函方式提交投标保证金，具体操作详见《广州公共资源交易中心关于开通电子保函服务功能的通知》（http://www.gzggzy.cn/jtgg/822128.jhtml）。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rFonts w:ascii="宋体" w:hAnsi="宋体"/>
                <w:color w:val="auto"/>
                <w:kern w:val="2"/>
                <w:sz w:val="21"/>
                <w:szCs w:val="21"/>
                <w:highlight w:val="none"/>
                <w:u w:val="single"/>
                <w:lang w:val="en-US"/>
              </w:rPr>
            </w:pPr>
            <w:r>
              <w:rPr>
                <w:rFonts w:hint="eastAsia" w:ascii="宋体" w:hAnsi="宋体"/>
                <w:color w:val="auto"/>
                <w:kern w:val="2"/>
                <w:sz w:val="21"/>
                <w:szCs w:val="21"/>
                <w:highlight w:val="none"/>
                <w:u w:val="single"/>
                <w:lang w:val="en-US"/>
              </w:rPr>
              <w:t>时间：自招标公告发布之日起具备现场踏勘条件；</w:t>
            </w:r>
          </w:p>
          <w:p>
            <w:pPr>
              <w:pStyle w:val="20"/>
              <w:rPr>
                <w:rFonts w:ascii="宋体" w:hAnsi="宋体"/>
                <w:color w:val="auto"/>
                <w:kern w:val="2"/>
                <w:sz w:val="21"/>
                <w:szCs w:val="21"/>
                <w:highlight w:val="none"/>
                <w:u w:val="single"/>
                <w:lang w:val="en-US"/>
              </w:rPr>
            </w:pPr>
            <w:r>
              <w:rPr>
                <w:rFonts w:hint="eastAsia" w:ascii="宋体" w:hAnsi="宋体"/>
                <w:color w:val="auto"/>
                <w:kern w:val="2"/>
                <w:sz w:val="21"/>
                <w:szCs w:val="21"/>
                <w:highlight w:val="none"/>
                <w:u w:val="single"/>
                <w:lang w:val="en-US"/>
              </w:rPr>
              <w:t>方式：招标人不集中组织，由投标人自行踏勘；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1、疑问提交时间：</w:t>
            </w:r>
            <w:r>
              <w:rPr>
                <w:rFonts w:hint="eastAsia"/>
                <w:color w:val="auto"/>
                <w:szCs w:val="21"/>
                <w:highlight w:val="none"/>
                <w:u w:val="single"/>
              </w:rPr>
              <w:t>在递交投标文件截止日期前18日</w:t>
            </w:r>
            <w:r>
              <w:rPr>
                <w:rFonts w:hint="eastAsia"/>
                <w:color w:val="auto"/>
                <w:szCs w:val="21"/>
                <w:highlight w:val="none"/>
              </w:rPr>
              <w:t>；</w:t>
            </w:r>
          </w:p>
          <w:p>
            <w:pPr>
              <w:rPr>
                <w:color w:val="auto"/>
                <w:szCs w:val="21"/>
                <w:highlight w:val="none"/>
              </w:rPr>
            </w:pPr>
            <w:r>
              <w:rPr>
                <w:rFonts w:hint="eastAsia"/>
                <w:color w:val="auto"/>
                <w:szCs w:val="21"/>
                <w:highlight w:val="none"/>
              </w:rPr>
              <w:t>2、形式：投标人的疑问通过</w:t>
            </w:r>
            <w:r>
              <w:rPr>
                <w:rFonts w:hint="eastAsia"/>
                <w:color w:val="auto"/>
                <w:szCs w:val="21"/>
                <w:highlight w:val="none"/>
                <w:u w:val="single"/>
              </w:rPr>
              <w:t>广州公共资源交易中心</w:t>
            </w:r>
            <w:r>
              <w:rPr>
                <w:rFonts w:hint="eastAsia"/>
                <w:color w:val="auto"/>
                <w:szCs w:val="21"/>
                <w:highlight w:val="none"/>
              </w:rPr>
              <w:t>交易平台提交。</w:t>
            </w:r>
          </w:p>
          <w:p>
            <w:pPr>
              <w:rPr>
                <w:color w:val="auto"/>
                <w:szCs w:val="21"/>
                <w:highlight w:val="none"/>
              </w:rPr>
            </w:pPr>
            <w:r>
              <w:rPr>
                <w:rFonts w:hint="eastAsia"/>
                <w:color w:val="auto"/>
                <w:szCs w:val="21"/>
                <w:highlight w:val="none"/>
              </w:rPr>
              <w:t>3、招标人澄清、修补或答疑期限：在递交投标文件截止日期前</w:t>
            </w:r>
            <w:r>
              <w:rPr>
                <w:color w:val="auto"/>
                <w:szCs w:val="21"/>
                <w:highlight w:val="none"/>
                <w:u w:val="single"/>
              </w:rPr>
              <w:t>15</w:t>
            </w:r>
            <w:r>
              <w:rPr>
                <w:rFonts w:hint="eastAsia"/>
                <w:color w:val="auto"/>
                <w:szCs w:val="21"/>
                <w:highlight w:val="none"/>
              </w:rPr>
              <w:t>日；</w:t>
            </w:r>
          </w:p>
          <w:p>
            <w:pPr>
              <w:rPr>
                <w:color w:val="auto"/>
                <w:szCs w:val="21"/>
                <w:highlight w:val="none"/>
              </w:rPr>
            </w:pPr>
            <w:r>
              <w:rPr>
                <w:rFonts w:hint="eastAsia"/>
                <w:color w:val="auto"/>
                <w:szCs w:val="21"/>
                <w:highlight w:val="none"/>
              </w:rPr>
              <w:t>4、</w:t>
            </w:r>
            <w:r>
              <w:rPr>
                <w:rFonts w:hint="eastAsia" w:hAnsi="宋体" w:cs="宋体"/>
                <w:color w:val="auto"/>
                <w:szCs w:val="21"/>
                <w:highlight w:val="none"/>
              </w:rPr>
              <w:t>网上答疑的操作</w:t>
            </w:r>
            <w:r>
              <w:rPr>
                <w:rFonts w:hint="eastAsia" w:ascii="宋体" w:hAnsi="宋体"/>
                <w:color w:val="auto"/>
                <w:szCs w:val="21"/>
                <w:highlight w:val="none"/>
              </w:rPr>
              <w:t>具体要求：按照</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交易平台关于全流程电子化项目的相关指南进行操作，详见：</w:t>
            </w:r>
            <w:r>
              <w:rPr>
                <w:rFonts w:hint="eastAsia" w:ascii="宋体" w:hAnsi="宋体"/>
                <w:color w:val="auto"/>
                <w:szCs w:val="21"/>
                <w:highlight w:val="none"/>
                <w:u w:val="single"/>
              </w:rPr>
              <w:t>广州公共资源交易中心网站(http://ggzy.gz.gov.cn/)服务指南栏目</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具体</w:t>
            </w:r>
            <w:r>
              <w:rPr>
                <w:rFonts w:hint="eastAsia" w:ascii="宋体" w:hAnsi="宋体"/>
                <w:color w:val="auto"/>
                <w:szCs w:val="21"/>
                <w:highlight w:val="none"/>
                <w:u w:val="single"/>
                <w:lang w:eastAsia="zh-CN"/>
              </w:rPr>
              <w:t>时间</w:t>
            </w:r>
            <w:r>
              <w:rPr>
                <w:rFonts w:ascii="宋体" w:hAnsi="宋体"/>
                <w:color w:val="auto"/>
                <w:szCs w:val="21"/>
                <w:highlight w:val="none"/>
                <w:u w:val="single"/>
              </w:rPr>
              <w:t>请投标人自行登录广州公共资源交易中心网查询</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none"/>
                <w:u w:val="single"/>
              </w:rPr>
            </w:pPr>
            <w:r>
              <w:rPr>
                <w:rFonts w:hint="eastAsia" w:ascii="宋体" w:hAnsi="宋体"/>
                <w:color w:val="auto"/>
                <w:szCs w:val="21"/>
                <w:highlight w:val="none"/>
              </w:rPr>
              <w:t>1、开标开始时间：</w:t>
            </w:r>
            <w:r>
              <w:rPr>
                <w:rFonts w:ascii="宋体" w:hAnsi="宋体"/>
                <w:color w:val="auto"/>
                <w:szCs w:val="21"/>
                <w:highlight w:val="none"/>
                <w:u w:val="single"/>
              </w:rPr>
              <w:t>具体</w:t>
            </w:r>
            <w:r>
              <w:rPr>
                <w:rFonts w:hint="eastAsia" w:ascii="宋体" w:hAnsi="宋体"/>
                <w:color w:val="auto"/>
                <w:szCs w:val="21"/>
                <w:highlight w:val="none"/>
                <w:u w:val="single"/>
                <w:lang w:eastAsia="zh-CN"/>
              </w:rPr>
              <w:t>时间</w:t>
            </w:r>
            <w:r>
              <w:rPr>
                <w:rFonts w:ascii="宋体" w:hAnsi="宋体"/>
                <w:color w:val="auto"/>
                <w:szCs w:val="21"/>
                <w:highlight w:val="none"/>
                <w:u w:val="single"/>
              </w:rPr>
              <w:t>请投标人自行登录广州公共资源交易中心网查询</w:t>
            </w:r>
            <w:r>
              <w:rPr>
                <w:rFonts w:hint="eastAsia" w:ascii="宋体" w:hAnsi="宋体"/>
                <w:color w:val="auto"/>
                <w:szCs w:val="21"/>
                <w:highlight w:val="none"/>
              </w:rPr>
              <w:t>（与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olor w:val="auto"/>
                <w:szCs w:val="21"/>
                <w:highlight w:val="none"/>
                <w:u w:val="single"/>
              </w:rPr>
              <w:t>广州公共资源交易中心开标室</w:t>
            </w:r>
            <w:r>
              <w:rPr>
                <w:rFonts w:hint="eastAsia" w:ascii="宋体" w:hAnsi="宋体"/>
                <w:color w:val="auto"/>
                <w:szCs w:val="21"/>
                <w:highlight w:val="none"/>
                <w:u w:val="single"/>
                <w:lang w:eastAsia="zh-CN"/>
              </w:rPr>
              <w:t>，</w:t>
            </w:r>
            <w:r>
              <w:rPr>
                <w:rFonts w:ascii="宋体" w:hAnsi="宋体"/>
                <w:color w:val="auto"/>
                <w:szCs w:val="21"/>
                <w:highlight w:val="none"/>
                <w:u w:val="single"/>
              </w:rPr>
              <w:t>具体开标室请投标人自行登录广州公共资源交易中心网查询</w:t>
            </w:r>
            <w:r>
              <w:rPr>
                <w:rFonts w:hint="eastAsia" w:ascii="宋体" w:hAnsi="宋体" w:cs="宋体"/>
                <w:color w:val="auto"/>
                <w:szCs w:val="21"/>
                <w:highlight w:val="none"/>
                <w:u w:val="single"/>
              </w:rPr>
              <w:t>。</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numPr>
                <w:ilvl w:val="0"/>
                <w:numId w:val="3"/>
              </w:numPr>
              <w:rPr>
                <w:rFonts w:ascii="宋体" w:hAnsi="宋体"/>
                <w:color w:val="auto"/>
                <w:szCs w:val="21"/>
                <w:highlight w:val="none"/>
                <w:u w:val="single"/>
              </w:rPr>
            </w:pPr>
            <w:r>
              <w:rPr>
                <w:rFonts w:hint="eastAsia" w:ascii="宋体" w:hAnsi="宋体"/>
                <w:color w:val="auto"/>
                <w:szCs w:val="21"/>
                <w:highlight w:val="none"/>
              </w:rPr>
              <w:t>递交投标文件备用</w:t>
            </w:r>
            <w:r>
              <w:rPr>
                <w:rFonts w:hint="eastAsia" w:ascii="宋体" w:hAnsi="宋体"/>
                <w:color w:val="auto"/>
                <w:szCs w:val="21"/>
                <w:highlight w:val="none"/>
                <w:lang w:val="en-US" w:eastAsia="zh-CN"/>
              </w:rPr>
              <w:t>U</w:t>
            </w:r>
            <w:r>
              <w:rPr>
                <w:rFonts w:hint="eastAsia" w:ascii="宋体" w:hAnsi="宋体"/>
                <w:color w:val="auto"/>
                <w:szCs w:val="21"/>
                <w:highlight w:val="none"/>
              </w:rPr>
              <w:t>盘</w:t>
            </w:r>
            <w:r>
              <w:rPr>
                <w:rFonts w:hint="eastAsia" w:ascii="宋体" w:hAnsi="宋体"/>
                <w:color w:val="auto"/>
                <w:szCs w:val="21"/>
                <w:highlight w:val="none"/>
                <w:lang w:eastAsia="zh-CN"/>
              </w:rPr>
              <w:t>及纸质文件</w:t>
            </w:r>
            <w:r>
              <w:rPr>
                <w:rFonts w:hint="eastAsia" w:ascii="宋体" w:hAnsi="宋体"/>
                <w:color w:val="auto"/>
                <w:szCs w:val="21"/>
                <w:highlight w:val="none"/>
              </w:rPr>
              <w:t>时间：</w:t>
            </w:r>
            <w:r>
              <w:rPr>
                <w:rFonts w:ascii="宋体" w:hAnsi="宋体"/>
                <w:color w:val="auto"/>
                <w:szCs w:val="21"/>
                <w:highlight w:val="none"/>
                <w:u w:val="single"/>
              </w:rPr>
              <w:t>具体</w:t>
            </w:r>
            <w:r>
              <w:rPr>
                <w:rFonts w:hint="eastAsia" w:ascii="宋体" w:hAnsi="宋体"/>
                <w:color w:val="auto"/>
                <w:szCs w:val="21"/>
                <w:highlight w:val="none"/>
                <w:u w:val="single"/>
                <w:lang w:eastAsia="zh-CN"/>
              </w:rPr>
              <w:t>时间</w:t>
            </w:r>
            <w:r>
              <w:rPr>
                <w:rFonts w:ascii="宋体" w:hAnsi="宋体"/>
                <w:color w:val="auto"/>
                <w:szCs w:val="21"/>
                <w:highlight w:val="none"/>
                <w:u w:val="single"/>
              </w:rPr>
              <w:t>请投标人自行登录广州公共资源交易中心网查询</w:t>
            </w:r>
            <w:r>
              <w:rPr>
                <w:rFonts w:hint="eastAsia" w:ascii="宋体" w:hAnsi="宋体"/>
                <w:color w:val="auto"/>
                <w:szCs w:val="21"/>
                <w:highlight w:val="none"/>
              </w:rPr>
              <w:t>；递交地点：</w:t>
            </w:r>
            <w:r>
              <w:rPr>
                <w:rFonts w:hint="eastAsia" w:ascii="宋体" w:hAnsi="宋体"/>
                <w:color w:val="auto"/>
                <w:szCs w:val="21"/>
                <w:highlight w:val="none"/>
                <w:u w:val="single"/>
              </w:rPr>
              <w:t>广州公共资源交易中心开标室</w:t>
            </w:r>
            <w:r>
              <w:rPr>
                <w:rFonts w:hint="eastAsia" w:ascii="宋体" w:hAnsi="宋体"/>
                <w:color w:val="auto"/>
                <w:szCs w:val="21"/>
                <w:highlight w:val="none"/>
                <w:u w:val="single"/>
                <w:lang w:eastAsia="zh-CN"/>
              </w:rPr>
              <w:t>，</w:t>
            </w:r>
            <w:r>
              <w:rPr>
                <w:rFonts w:ascii="宋体" w:hAnsi="宋体"/>
                <w:color w:val="auto"/>
                <w:szCs w:val="21"/>
                <w:highlight w:val="none"/>
                <w:u w:val="single"/>
              </w:rPr>
              <w:t>具体开标室请投标人自行登录广州公共资源交易中心网查询</w:t>
            </w:r>
            <w:r>
              <w:rPr>
                <w:rFonts w:hint="eastAsia" w:ascii="宋体" w:hAnsi="宋体" w:cs="宋体"/>
                <w:color w:val="auto"/>
                <w:szCs w:val="21"/>
                <w:highlight w:val="none"/>
                <w:u w:val="single"/>
              </w:rPr>
              <w:t>。</w:t>
            </w:r>
          </w:p>
          <w:p>
            <w:pPr>
              <w:ind w:left="-27" w:leftChars="-13" w:right="-59" w:rightChars="-28"/>
              <w:rPr>
                <w:rFonts w:ascii="宋体" w:hAnsi="宋体"/>
                <w:color w:val="auto"/>
                <w:szCs w:val="21"/>
                <w:highlight w:val="none"/>
                <w:u w:val="single"/>
              </w:rPr>
            </w:pPr>
            <w:r>
              <w:rPr>
                <w:rFonts w:hint="eastAsia" w:ascii="宋体" w:hAnsi="宋体"/>
                <w:color w:val="auto"/>
                <w:highlight w:val="none"/>
              </w:rPr>
              <w:t>3、</w:t>
            </w:r>
            <w:r>
              <w:rPr>
                <w:rFonts w:hint="eastAsia" w:ascii="宋体" w:hAnsi="宋体" w:cs="宋体"/>
                <w:color w:val="auto"/>
                <w:szCs w:val="21"/>
                <w:highlight w:val="none"/>
                <w:u w:val="single"/>
              </w:rPr>
              <w:t>本项目不设置项目负责人签到。</w:t>
            </w:r>
          </w:p>
          <w:p>
            <w:pPr>
              <w:rPr>
                <w:rFonts w:ascii="宋体" w:hAnsi="宋体"/>
                <w:color w:val="auto"/>
                <w:szCs w:val="21"/>
                <w:highlight w:val="none"/>
              </w:rPr>
            </w:pPr>
            <w:r>
              <w:rPr>
                <w:rFonts w:hint="eastAsia" w:ascii="宋体" w:hAnsi="宋体" w:cs="仿宋_GB2312"/>
                <w:color w:val="auto"/>
                <w:highlight w:val="non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ascii="宋体" w:hAnsi="宋体"/>
                <w:color w:val="auto"/>
                <w:kern w:val="2"/>
                <w:sz w:val="21"/>
                <w:highlight w:val="none"/>
                <w:lang w:val="en-US"/>
              </w:rPr>
            </w:pPr>
            <w:r>
              <w:rPr>
                <w:rFonts w:hint="eastAsia" w:ascii="宋体" w:hAnsi="宋体"/>
                <w:color w:val="auto"/>
                <w:kern w:val="2"/>
                <w:sz w:val="21"/>
                <w:highlight w:val="none"/>
                <w:lang w:val="en-US"/>
              </w:rPr>
              <w:t>采用评定分离定标办法。</w:t>
            </w:r>
          </w:p>
          <w:p>
            <w:pPr>
              <w:pStyle w:val="5"/>
              <w:spacing w:after="0"/>
              <w:ind w:firstLine="0"/>
              <w:rPr>
                <w:rFonts w:ascii="宋体" w:hAnsi="宋体"/>
                <w:color w:val="auto"/>
                <w:kern w:val="2"/>
                <w:sz w:val="21"/>
                <w:highlight w:val="none"/>
                <w:lang w:val="en-US"/>
              </w:rPr>
            </w:pPr>
            <w:r>
              <w:rPr>
                <w:rFonts w:hint="eastAsia" w:ascii="宋体" w:hAnsi="宋体"/>
                <w:color w:val="auto"/>
                <w:kern w:val="2"/>
                <w:sz w:val="21"/>
                <w:highlight w:val="none"/>
                <w:lang w:val="en-US"/>
              </w:rPr>
              <w:t>评标办法：定性评审法，详见第二章开标、评标及定标办法。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ascii="宋体" w:hAnsi="宋体"/>
                <w:color w:val="auto"/>
                <w:kern w:val="2"/>
                <w:sz w:val="21"/>
                <w:highlight w:val="none"/>
                <w:lang w:val="en-US"/>
              </w:rPr>
            </w:pPr>
            <w:r>
              <w:rPr>
                <w:rFonts w:hint="eastAsia" w:ascii="宋体" w:hAnsi="宋体"/>
                <w:color w:val="auto"/>
                <w:kern w:val="2"/>
                <w:sz w:val="21"/>
                <w:highlight w:val="none"/>
                <w:lang w:val="en-US"/>
              </w:rPr>
              <w:t>中标人提供的履约保函为中标价款的10%。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i w:val="0"/>
                <w:iCs w:val="0"/>
                <w:color w:val="auto"/>
                <w:szCs w:val="21"/>
                <w:highlight w:val="none"/>
                <w:u w:val="single"/>
              </w:rPr>
              <w:t>本项目最高限价为</w:t>
            </w:r>
            <w:r>
              <w:rPr>
                <w:rFonts w:hint="eastAsia" w:ascii="Times New Roman" w:hAnsi="Times New Roman" w:eastAsia="宋体" w:cs="Times New Roman"/>
                <w:b w:val="0"/>
                <w:bCs w:val="0"/>
                <w:i w:val="0"/>
                <w:iCs w:val="0"/>
                <w:caps w:val="0"/>
                <w:color w:val="auto"/>
                <w:spacing w:val="0"/>
                <w:sz w:val="21"/>
                <w:szCs w:val="21"/>
                <w:highlight w:val="none"/>
                <w:u w:val="single"/>
                <w:shd w:val="clear"/>
              </w:rPr>
              <w:t>6,189,441.61</w:t>
            </w:r>
            <w:r>
              <w:rPr>
                <w:rFonts w:hint="eastAsia" w:ascii="宋体" w:hAnsi="宋体" w:cs="宋体"/>
                <w:i w:val="0"/>
                <w:iCs w:val="0"/>
                <w:color w:val="auto"/>
                <w:szCs w:val="21"/>
                <w:highlight w:val="none"/>
                <w:u w:val="singl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Times New Roman" w:hAnsi="Times New Roman" w:cs="Times New Roman"/>
                <w:color w:val="auto"/>
                <w:szCs w:val="21"/>
                <w:highlight w:val="none"/>
                <w:u w:val="single"/>
                <w:lang w:val="en-US" w:eastAsia="zh-CN"/>
              </w:rPr>
              <w:t>/</w:t>
            </w:r>
            <w:r>
              <w:rPr>
                <w:rFonts w:hint="eastAsia" w:ascii="宋体" w:hAnsi="宋体"/>
                <w:color w:val="auto"/>
                <w:szCs w:val="21"/>
                <w:highlight w:val="none"/>
              </w:rPr>
              <w:t>元，暂列金额为</w:t>
            </w:r>
            <w:r>
              <w:rPr>
                <w:rFonts w:hint="eastAsia" w:ascii="宋体" w:hAnsi="宋体"/>
                <w:color w:val="auto"/>
                <w:szCs w:val="21"/>
                <w:highlight w:val="none"/>
                <w:u w:val="single"/>
                <w:lang w:val="en-US" w:eastAsia="zh-CN"/>
              </w:rPr>
              <w:t>/</w:t>
            </w:r>
            <w:r>
              <w:rPr>
                <w:rFonts w:hint="eastAsia" w:ascii="宋体" w:hAnsi="宋体"/>
                <w:color w:val="auto"/>
                <w:szCs w:val="21"/>
                <w:highlight w:val="none"/>
              </w:rPr>
              <w:t>元，暂估价为</w:t>
            </w:r>
            <w:r>
              <w:rPr>
                <w:rFonts w:hint="eastAsia" w:ascii="宋体" w:hAnsi="宋体"/>
                <w:color w:val="auto"/>
                <w:szCs w:val="21"/>
                <w:highlight w:val="none"/>
                <w:u w:val="single"/>
                <w:lang w:val="en-US" w:eastAsia="zh-CN"/>
              </w:rPr>
              <w:t>/</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详见招标文件所附合同条款约定。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本项目不采用企业诚信综合评价分数。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MS Mincho" w:eastAsia="MS Mincho" w:cs="MS Mincho"/>
                <w:color w:val="auto"/>
                <w:kern w:val="0"/>
                <w:szCs w:val="21"/>
                <w:highlight w:val="none"/>
                <w:lang w:val="zh-CN"/>
              </w:rPr>
              <w:t>□</w:t>
            </w:r>
            <w:r>
              <w:rPr>
                <w:rFonts w:hint="eastAsia" w:ascii="宋体" w:hAnsi="宋体"/>
                <w:color w:val="auto"/>
                <w:kern w:val="0"/>
                <w:szCs w:val="21"/>
                <w:highlight w:val="none"/>
                <w:lang w:val="zh-CN"/>
              </w:rPr>
              <w:t>不允许；</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sym w:font="Wingdings 2" w:char="0052"/>
            </w:r>
            <w:r>
              <w:rPr>
                <w:rFonts w:hint="eastAsia" w:ascii="宋体" w:hAnsi="宋体"/>
                <w:color w:val="auto"/>
                <w:kern w:val="0"/>
                <w:szCs w:val="21"/>
                <w:highlight w:val="none"/>
                <w:lang w:val="zh-CN"/>
              </w:rPr>
              <w:t>允许：</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中标人不得将其承包的全部工程转包给第三人，不得将工程主体、关键性工作分包给第三人，或将其承包的全部工程肢解后以分包的名义转包给第三人。中标人将非工程主体、非关键性工作分包给第三人的，须取得招标人的书面同意后方可进行，否则不允许进场。</w:t>
            </w:r>
            <w:r>
              <w:rPr>
                <w:rFonts w:hint="eastAsia" w:ascii="宋体" w:hAnsi="宋体"/>
                <w:color w:val="auto"/>
                <w:szCs w:val="21"/>
                <w:highlight w:val="none"/>
                <w:u w:val="single"/>
                <w:lang w:eastAsia="zh-CN"/>
              </w:rPr>
              <w:t>）</w:t>
            </w:r>
            <w:r>
              <w:rPr>
                <w:rFonts w:hint="eastAsia" w:ascii="宋体" w:hAnsi="宋体"/>
                <w:color w:val="auto"/>
                <w:kern w:val="0"/>
                <w:szCs w:val="21"/>
                <w:highlight w:val="none"/>
                <w:u w:val="single"/>
                <w:lang w:val="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cs="Courier New"/>
                <w:color w:val="auto"/>
                <w:szCs w:val="21"/>
                <w:highlight w:val="none"/>
              </w:rPr>
            </w:pPr>
            <w:r>
              <w:rPr>
                <w:rFonts w:hint="eastAsia" w:cs="Courier New"/>
                <w:color w:val="auto"/>
                <w:szCs w:val="21"/>
                <w:highlight w:val="none"/>
              </w:rPr>
              <w:t>1、按照</w:t>
            </w:r>
            <w:r>
              <w:rPr>
                <w:rFonts w:hint="eastAsia" w:ascii="宋体" w:hAnsi="宋体" w:cs="Courier New"/>
                <w:color w:val="auto"/>
                <w:szCs w:val="21"/>
                <w:highlight w:val="none"/>
                <w:u w:val="single"/>
              </w:rPr>
              <w:t>广州公共资源交易中心</w:t>
            </w:r>
            <w:r>
              <w:rPr>
                <w:rFonts w:hint="eastAsia" w:cs="Courier New"/>
                <w:color w:val="auto"/>
                <w:szCs w:val="21"/>
                <w:highlight w:val="none"/>
              </w:rPr>
              <w:t>交易平台关于全流程电子化项目的相关指南进行操作。详见：</w:t>
            </w:r>
            <w:r>
              <w:rPr>
                <w:rFonts w:hint="eastAsia" w:cs="Courier New"/>
                <w:color w:val="auto"/>
                <w:szCs w:val="21"/>
                <w:highlight w:val="none"/>
                <w:u w:val="single"/>
              </w:rPr>
              <w:t>《房屋建筑和市政基础设施工程全流程电子化项目专章》</w:t>
            </w:r>
            <w:r>
              <w:rPr>
                <w:rFonts w:hint="eastAsia"/>
                <w:color w:val="auto"/>
                <w:szCs w:val="21"/>
                <w:highlight w:val="none"/>
                <w:u w:val="single"/>
              </w:rPr>
              <w:t xml:space="preserve"> </w:t>
            </w:r>
            <w:r>
              <w:rPr>
                <w:rFonts w:hint="eastAsia" w:cs="Courier New"/>
                <w:color w:val="auto"/>
                <w:szCs w:val="21"/>
                <w:highlight w:val="none"/>
              </w:rPr>
              <w:t>。</w:t>
            </w:r>
          </w:p>
          <w:p>
            <w:pPr>
              <w:spacing w:line="276" w:lineRule="auto"/>
              <w:rPr>
                <w:rFonts w:cs="Courier New"/>
                <w:color w:val="auto"/>
                <w:szCs w:val="21"/>
                <w:highlight w:val="none"/>
              </w:rPr>
            </w:pPr>
            <w:r>
              <w:rPr>
                <w:rFonts w:hint="eastAsia" w:cs="Courier New"/>
                <w:color w:val="auto"/>
                <w:szCs w:val="21"/>
                <w:highlight w:val="none"/>
              </w:rPr>
              <w:t>2、提交投标文件</w:t>
            </w:r>
            <w:r>
              <w:rPr>
                <w:rFonts w:hint="eastAsia" w:cs="Courier New"/>
                <w:color w:val="auto"/>
                <w:szCs w:val="21"/>
                <w:highlight w:val="none"/>
                <w:lang w:val="en-US" w:eastAsia="zh-CN"/>
              </w:rPr>
              <w:t>U</w:t>
            </w:r>
            <w:r>
              <w:rPr>
                <w:rFonts w:hint="eastAsia" w:cs="Courier New"/>
                <w:color w:val="auto"/>
                <w:szCs w:val="21"/>
                <w:highlight w:val="none"/>
              </w:rPr>
              <w:t>盘备用</w:t>
            </w:r>
          </w:p>
          <w:p>
            <w:pPr>
              <w:spacing w:line="276" w:lineRule="auto"/>
              <w:rPr>
                <w:rFonts w:cs="Courier New"/>
                <w:color w:val="auto"/>
                <w:szCs w:val="21"/>
                <w:highlight w:val="none"/>
              </w:rPr>
            </w:pPr>
            <w:r>
              <w:rPr>
                <w:rFonts w:hint="eastAsia" w:cs="Courier New"/>
                <w:color w:val="auto"/>
                <w:szCs w:val="21"/>
                <w:highlight w:val="none"/>
              </w:rPr>
              <w:t>投标人</w:t>
            </w:r>
            <w:r>
              <w:rPr>
                <w:rFonts w:hint="eastAsia" w:cs="Courier New"/>
                <w:color w:val="auto"/>
                <w:szCs w:val="21"/>
                <w:highlight w:val="none"/>
                <w:lang w:eastAsia="zh-CN"/>
              </w:rPr>
              <w:t>需</w:t>
            </w:r>
            <w:r>
              <w:rPr>
                <w:rFonts w:hint="eastAsia" w:cs="Courier New"/>
                <w:color w:val="auto"/>
                <w:szCs w:val="21"/>
                <w:highlight w:val="none"/>
              </w:rPr>
              <w:t>制作非加密的电子投标文件</w:t>
            </w:r>
            <w:r>
              <w:rPr>
                <w:rFonts w:hint="eastAsia" w:cs="Courier New"/>
                <w:color w:val="auto"/>
                <w:szCs w:val="21"/>
                <w:highlight w:val="none"/>
                <w:lang w:eastAsia="zh-CN"/>
              </w:rPr>
              <w:t>【</w:t>
            </w:r>
            <w:r>
              <w:rPr>
                <w:rFonts w:hint="eastAsia" w:cs="Courier New"/>
                <w:color w:val="auto"/>
                <w:szCs w:val="21"/>
                <w:highlight w:val="none"/>
                <w:lang w:val="en-US" w:eastAsia="zh-CN"/>
              </w:rPr>
              <w:t>Word、Excel（适用于报价清单）、</w:t>
            </w:r>
            <w:r>
              <w:rPr>
                <w:rFonts w:hint="eastAsia" w:cs="Courier New"/>
                <w:color w:val="auto"/>
                <w:szCs w:val="21"/>
                <w:highlight w:val="none"/>
              </w:rPr>
              <w:t>PDF</w:t>
            </w:r>
            <w:r>
              <w:rPr>
                <w:rFonts w:hint="eastAsia" w:cs="Courier New"/>
                <w:color w:val="auto"/>
                <w:szCs w:val="21"/>
                <w:highlight w:val="none"/>
                <w:lang w:val="en-US" w:eastAsia="zh-CN"/>
              </w:rPr>
              <w:t>三</w:t>
            </w:r>
            <w:r>
              <w:rPr>
                <w:rFonts w:hint="eastAsia" w:cs="Courier New"/>
                <w:color w:val="auto"/>
                <w:szCs w:val="21"/>
                <w:highlight w:val="none"/>
                <w:lang w:eastAsia="zh-CN"/>
              </w:rPr>
              <w:t>种</w:t>
            </w:r>
            <w:r>
              <w:rPr>
                <w:rFonts w:hint="eastAsia" w:cs="Courier New"/>
                <w:color w:val="auto"/>
                <w:szCs w:val="21"/>
                <w:highlight w:val="none"/>
              </w:rPr>
              <w:t>格式</w:t>
            </w:r>
            <w:r>
              <w:rPr>
                <w:rFonts w:hint="eastAsia" w:cs="Courier New"/>
                <w:color w:val="auto"/>
                <w:szCs w:val="21"/>
                <w:highlight w:val="none"/>
                <w:lang w:eastAsia="zh-CN"/>
              </w:rPr>
              <w:t>】</w:t>
            </w:r>
            <w:r>
              <w:rPr>
                <w:rFonts w:hint="eastAsia" w:cs="Courier New"/>
                <w:color w:val="auto"/>
                <w:szCs w:val="21"/>
                <w:highlight w:val="none"/>
              </w:rPr>
              <w:t>刻入</w:t>
            </w:r>
            <w:r>
              <w:rPr>
                <w:rFonts w:hint="eastAsia" w:cs="Courier New"/>
                <w:color w:val="auto"/>
                <w:szCs w:val="21"/>
                <w:highlight w:val="none"/>
                <w:lang w:val="en-US" w:eastAsia="zh-CN"/>
              </w:rPr>
              <w:t>U盘</w:t>
            </w:r>
            <w:r>
              <w:rPr>
                <w:rFonts w:hint="eastAsia" w:cs="Courier New"/>
                <w:color w:val="auto"/>
                <w:szCs w:val="21"/>
                <w:highlight w:val="none"/>
              </w:rPr>
              <w:t>（</w:t>
            </w:r>
            <w:r>
              <w:rPr>
                <w:rFonts w:hint="eastAsia" w:cs="Courier New"/>
                <w:color w:val="auto"/>
                <w:szCs w:val="21"/>
                <w:highlight w:val="none"/>
                <w:lang w:val="en-US" w:eastAsia="zh-CN"/>
              </w:rPr>
              <w:t>2个U盘，各一套完整的资料</w:t>
            </w:r>
            <w:r>
              <w:rPr>
                <w:rFonts w:hint="eastAsia" w:cs="Courier New"/>
                <w:color w:val="auto"/>
                <w:szCs w:val="21"/>
                <w:highlight w:val="none"/>
              </w:rPr>
              <w:t>），在投标须知前附表第18项规定的时间、地点提交备用。</w:t>
            </w:r>
            <w:r>
              <w:rPr>
                <w:rFonts w:hint="eastAsia" w:cs="Courier New"/>
                <w:color w:val="auto"/>
                <w:szCs w:val="21"/>
                <w:highlight w:val="none"/>
                <w:lang w:eastAsia="zh-CN"/>
              </w:rPr>
              <w:t>备用</w:t>
            </w:r>
            <w:r>
              <w:rPr>
                <w:rFonts w:hint="eastAsia" w:cs="Courier New"/>
                <w:color w:val="auto"/>
                <w:szCs w:val="21"/>
                <w:highlight w:val="none"/>
              </w:rPr>
              <w:t>电子投标文件密封在密封袋中，并在封口处加盖投标人单位公章。密封袋上应写明项目名称和招标人名称。递交的</w:t>
            </w:r>
            <w:r>
              <w:rPr>
                <w:rFonts w:hint="eastAsia" w:cs="Courier New"/>
                <w:color w:val="auto"/>
                <w:szCs w:val="21"/>
                <w:highlight w:val="none"/>
                <w:lang w:eastAsia="zh-CN"/>
              </w:rPr>
              <w:t>备用</w:t>
            </w:r>
            <w:r>
              <w:rPr>
                <w:rFonts w:hint="eastAsia" w:cs="Courier New"/>
                <w:color w:val="auto"/>
                <w:szCs w:val="21"/>
                <w:highlight w:val="none"/>
              </w:rPr>
              <w:t>电子投标文件不得加密。</w:t>
            </w:r>
            <w:r>
              <w:rPr>
                <w:rFonts w:hint="eastAsia" w:cs="Courier New"/>
                <w:color w:val="auto"/>
                <w:szCs w:val="21"/>
                <w:highlight w:val="none"/>
                <w:lang w:eastAsia="zh-CN"/>
              </w:rPr>
              <w:t>备用</w:t>
            </w:r>
            <w:r>
              <w:rPr>
                <w:rFonts w:hint="eastAsia" w:cs="Courier New"/>
                <w:color w:val="auto"/>
                <w:szCs w:val="21"/>
                <w:highlight w:val="none"/>
              </w:rPr>
              <w:t>电子投标文件无法读取或导入的，则视为未提交</w:t>
            </w:r>
            <w:r>
              <w:rPr>
                <w:rFonts w:hint="eastAsia" w:cs="Courier New"/>
                <w:color w:val="auto"/>
                <w:szCs w:val="21"/>
                <w:highlight w:val="none"/>
                <w:lang w:eastAsia="zh-CN"/>
              </w:rPr>
              <w:t>备用</w:t>
            </w:r>
            <w:r>
              <w:rPr>
                <w:rFonts w:hint="eastAsia" w:cs="Courier New"/>
                <w:color w:val="auto"/>
                <w:szCs w:val="21"/>
                <w:highlight w:val="none"/>
              </w:rPr>
              <w:t>电子投标文件。如果投标人没有按规定通过交易平台网上递交电子投标文件的，不再读取提交的</w:t>
            </w:r>
            <w:r>
              <w:rPr>
                <w:rFonts w:hint="eastAsia" w:cs="Courier New"/>
                <w:color w:val="auto"/>
                <w:szCs w:val="21"/>
                <w:highlight w:val="none"/>
                <w:lang w:eastAsia="zh-CN"/>
              </w:rPr>
              <w:t>备用</w:t>
            </w:r>
            <w:r>
              <w:rPr>
                <w:rFonts w:hint="eastAsia" w:cs="Courier New"/>
                <w:color w:val="auto"/>
                <w:szCs w:val="21"/>
                <w:highlight w:val="none"/>
              </w:rPr>
              <w:t>电子投标文件</w:t>
            </w:r>
            <w:r>
              <w:rPr>
                <w:rFonts w:hint="eastAsia" w:cs="Courier New"/>
                <w:color w:val="auto"/>
                <w:szCs w:val="21"/>
                <w:highlight w:val="none"/>
                <w:lang w:val="en-US" w:eastAsia="zh-CN"/>
              </w:rPr>
              <w:t>U</w:t>
            </w:r>
            <w:r>
              <w:rPr>
                <w:rFonts w:hint="eastAsia" w:cs="Courier New"/>
                <w:color w:val="auto"/>
                <w:szCs w:val="21"/>
                <w:highlight w:val="none"/>
              </w:rPr>
              <w:t>盘。</w:t>
            </w:r>
          </w:p>
          <w:p>
            <w:pPr>
              <w:spacing w:line="276" w:lineRule="auto"/>
              <w:rPr>
                <w:rFonts w:cs="Courier New"/>
                <w:color w:val="auto"/>
                <w:szCs w:val="21"/>
                <w:highlight w:val="none"/>
              </w:rPr>
            </w:pPr>
            <w:r>
              <w:rPr>
                <w:rFonts w:hint="eastAsia" w:cs="Courier New"/>
                <w:color w:val="auto"/>
                <w:szCs w:val="21"/>
                <w:highlight w:val="none"/>
              </w:rPr>
              <w:t xml:space="preserve"> 3、补救方案</w:t>
            </w:r>
          </w:p>
          <w:p>
            <w:pPr>
              <w:spacing w:line="276" w:lineRule="auto"/>
              <w:rPr>
                <w:rFonts w:cs="Courier New"/>
                <w:color w:val="auto"/>
                <w:szCs w:val="21"/>
                <w:highlight w:val="none"/>
              </w:rPr>
            </w:pPr>
            <w:r>
              <w:rPr>
                <w:rFonts w:hint="eastAsia" w:cs="Courier New"/>
                <w:color w:val="auto"/>
                <w:szCs w:val="21"/>
                <w:highlight w:val="none"/>
              </w:rPr>
              <w:t>（1）投标文件解密失败的补救方案：</w:t>
            </w:r>
          </w:p>
          <w:p>
            <w:pPr>
              <w:spacing w:line="276" w:lineRule="auto"/>
              <w:rPr>
                <w:rFonts w:cs="Courier New"/>
                <w:color w:val="auto"/>
                <w:szCs w:val="21"/>
                <w:highlight w:val="none"/>
              </w:rPr>
            </w:pPr>
            <w:r>
              <w:rPr>
                <w:rFonts w:hint="eastAsia" w:cs="Courier New"/>
                <w:color w:val="auto"/>
                <w:szCs w:val="21"/>
                <w:highlight w:val="none"/>
              </w:rPr>
              <w:t>在规定时间内，因投标人之外原因(指网络瘫痪、服务器损坏、交易系统故障短期无法恢复)导致的电子投标文件解密失败，在开标现场读取</w:t>
            </w:r>
            <w:r>
              <w:rPr>
                <w:rFonts w:hint="eastAsia" w:cs="Courier New"/>
                <w:color w:val="auto"/>
                <w:szCs w:val="21"/>
                <w:highlight w:val="none"/>
                <w:lang w:eastAsia="zh-CN"/>
              </w:rPr>
              <w:t>备用</w:t>
            </w:r>
            <w:r>
              <w:rPr>
                <w:rFonts w:hint="eastAsia" w:cs="Courier New"/>
                <w:color w:val="auto"/>
                <w:szCs w:val="21"/>
                <w:highlight w:val="none"/>
              </w:rPr>
              <w:t>电子投标文件</w:t>
            </w:r>
            <w:r>
              <w:rPr>
                <w:rFonts w:hint="eastAsia" w:cs="Courier New"/>
                <w:color w:val="auto"/>
                <w:szCs w:val="21"/>
                <w:highlight w:val="none"/>
                <w:lang w:val="en-US" w:eastAsia="zh-CN"/>
              </w:rPr>
              <w:t>U盘</w:t>
            </w:r>
            <w:r>
              <w:rPr>
                <w:rFonts w:hint="eastAsia" w:cs="Courier New"/>
                <w:color w:val="auto"/>
                <w:szCs w:val="21"/>
                <w:highlight w:val="none"/>
              </w:rPr>
              <w:t>内容，继续开标程序。评标委员会对其投标文件的评审以</w:t>
            </w:r>
            <w:r>
              <w:rPr>
                <w:rFonts w:hint="eastAsia" w:cs="Courier New"/>
                <w:color w:val="auto"/>
                <w:szCs w:val="21"/>
                <w:highlight w:val="none"/>
                <w:lang w:eastAsia="zh-CN"/>
              </w:rPr>
              <w:t>备用</w:t>
            </w:r>
            <w:r>
              <w:rPr>
                <w:rFonts w:hint="eastAsia" w:cs="Courier New"/>
                <w:color w:val="auto"/>
                <w:szCs w:val="21"/>
                <w:highlight w:val="none"/>
              </w:rPr>
              <w:t>电子投标文件</w:t>
            </w:r>
            <w:r>
              <w:rPr>
                <w:rFonts w:hint="eastAsia" w:cs="Courier New"/>
                <w:color w:val="auto"/>
                <w:szCs w:val="21"/>
                <w:highlight w:val="none"/>
                <w:lang w:val="en-US" w:eastAsia="zh-CN"/>
              </w:rPr>
              <w:t>U盘</w:t>
            </w:r>
            <w:r>
              <w:rPr>
                <w:rFonts w:hint="eastAsia" w:cs="Courier New"/>
                <w:color w:val="auto"/>
                <w:szCs w:val="21"/>
                <w:highlight w:val="none"/>
              </w:rPr>
              <w:t>内容为准。因投标人之外原因解密失败且未递交</w:t>
            </w:r>
            <w:r>
              <w:rPr>
                <w:rFonts w:hint="eastAsia" w:cs="Courier New"/>
                <w:color w:val="auto"/>
                <w:szCs w:val="21"/>
                <w:highlight w:val="none"/>
                <w:lang w:eastAsia="zh-CN"/>
              </w:rPr>
              <w:t>备用</w:t>
            </w:r>
            <w:r>
              <w:rPr>
                <w:rFonts w:hint="eastAsia" w:cs="Courier New"/>
                <w:color w:val="auto"/>
                <w:szCs w:val="21"/>
                <w:highlight w:val="none"/>
              </w:rPr>
              <w:t>电子投标文件</w:t>
            </w:r>
            <w:r>
              <w:rPr>
                <w:rFonts w:hint="eastAsia" w:cs="Courier New"/>
                <w:color w:val="auto"/>
                <w:szCs w:val="21"/>
                <w:highlight w:val="none"/>
                <w:lang w:val="en-US" w:eastAsia="zh-CN"/>
              </w:rPr>
              <w:t>U盘</w:t>
            </w:r>
            <w:r>
              <w:rPr>
                <w:rFonts w:hint="eastAsia" w:cs="Courier New"/>
                <w:color w:val="auto"/>
                <w:szCs w:val="21"/>
                <w:highlight w:val="none"/>
              </w:rPr>
              <w:t>的，视为撤回投标文件。</w:t>
            </w:r>
          </w:p>
          <w:p>
            <w:pPr>
              <w:spacing w:line="276" w:lineRule="auto"/>
              <w:rPr>
                <w:rFonts w:cs="Courier New"/>
                <w:color w:val="auto"/>
                <w:szCs w:val="21"/>
                <w:highlight w:val="none"/>
              </w:rPr>
            </w:pPr>
            <w:r>
              <w:rPr>
                <w:rFonts w:hint="eastAsia" w:cs="Courier New"/>
                <w:color w:val="auto"/>
                <w:szCs w:val="21"/>
                <w:highlight w:val="none"/>
              </w:rPr>
              <w:t>（2）评标时突发情况的补救方案</w:t>
            </w:r>
          </w:p>
          <w:p>
            <w:pPr>
              <w:spacing w:line="276" w:lineRule="auto"/>
              <w:rPr>
                <w:rFonts w:cs="Courier New"/>
                <w:color w:val="auto"/>
                <w:szCs w:val="21"/>
                <w:highlight w:val="none"/>
              </w:rPr>
            </w:pPr>
            <w:r>
              <w:rPr>
                <w:rFonts w:hint="eastAsia" w:cs="Courier New"/>
                <w:color w:val="auto"/>
                <w:szCs w:val="21"/>
                <w:highlight w:val="none"/>
              </w:rPr>
              <w:t>若遇不可抗力发生（指网络瘫痪、服务器损坏、交易系统故障短期无法恢复等因素），由评标委员会开启投标人递交的全部</w:t>
            </w:r>
            <w:r>
              <w:rPr>
                <w:rFonts w:hint="eastAsia" w:cs="Courier New"/>
                <w:color w:val="auto"/>
                <w:szCs w:val="21"/>
                <w:highlight w:val="none"/>
                <w:lang w:eastAsia="zh-CN"/>
              </w:rPr>
              <w:t>备用</w:t>
            </w:r>
            <w:r>
              <w:rPr>
                <w:rFonts w:hint="eastAsia" w:cs="Courier New"/>
                <w:color w:val="auto"/>
                <w:szCs w:val="21"/>
                <w:highlight w:val="none"/>
              </w:rPr>
              <w:t>电子投标文件</w:t>
            </w:r>
            <w:r>
              <w:rPr>
                <w:rFonts w:hint="eastAsia" w:cs="Courier New"/>
                <w:color w:val="auto"/>
                <w:szCs w:val="21"/>
                <w:highlight w:val="none"/>
                <w:lang w:val="en-US" w:eastAsia="zh-CN"/>
              </w:rPr>
              <w:t>U</w:t>
            </w:r>
            <w:r>
              <w:rPr>
                <w:rFonts w:hint="eastAsia" w:cs="Courier New"/>
                <w:color w:val="auto"/>
                <w:szCs w:val="21"/>
                <w:highlight w:val="none"/>
              </w:rPr>
              <w:t>盘，并按</w:t>
            </w:r>
            <w:r>
              <w:rPr>
                <w:rFonts w:hint="eastAsia" w:cs="Courier New"/>
                <w:color w:val="auto"/>
                <w:szCs w:val="21"/>
                <w:highlight w:val="none"/>
                <w:lang w:eastAsia="zh-CN"/>
              </w:rPr>
              <w:t>备用</w:t>
            </w:r>
            <w:r>
              <w:rPr>
                <w:rFonts w:hint="eastAsia" w:cs="Courier New"/>
                <w:color w:val="auto"/>
                <w:szCs w:val="21"/>
                <w:highlight w:val="none"/>
              </w:rPr>
              <w:t>电子投标文件</w:t>
            </w:r>
            <w:r>
              <w:rPr>
                <w:rFonts w:hint="eastAsia" w:cs="Courier New"/>
                <w:color w:val="auto"/>
                <w:szCs w:val="21"/>
                <w:highlight w:val="none"/>
                <w:lang w:val="en-US" w:eastAsia="zh-CN"/>
              </w:rPr>
              <w:t>U</w:t>
            </w:r>
            <w:r>
              <w:rPr>
                <w:rFonts w:hint="eastAsia" w:cs="Courier New"/>
                <w:color w:val="auto"/>
                <w:szCs w:val="21"/>
                <w:highlight w:val="none"/>
              </w:rPr>
              <w:t>盘内容进行评审。</w:t>
            </w:r>
          </w:p>
          <w:p>
            <w:pPr>
              <w:spacing w:line="276" w:lineRule="auto"/>
              <w:rPr>
                <w:rFonts w:ascii="宋体" w:hAnsi="宋体" w:cs="Courier New"/>
                <w:color w:val="auto"/>
                <w:szCs w:val="21"/>
                <w:highlight w:val="none"/>
              </w:rPr>
            </w:pPr>
            <w:r>
              <w:rPr>
                <w:rFonts w:hint="eastAsia" w:cs="Courier New"/>
                <w:color w:val="auto"/>
                <w:szCs w:val="21"/>
                <w:highlight w:val="none"/>
              </w:rPr>
              <w:t>（3）除发生上述情况外，开标评标均以投标人通过</w:t>
            </w:r>
            <w:r>
              <w:rPr>
                <w:rFonts w:hint="eastAsia" w:ascii="宋体" w:hAnsi="宋体" w:cs="Courier New"/>
                <w:color w:val="auto"/>
                <w:szCs w:val="21"/>
                <w:highlight w:val="none"/>
                <w:u w:val="single"/>
              </w:rPr>
              <w:t>广州公共资源交易中心</w:t>
            </w:r>
            <w:r>
              <w:rPr>
                <w:rFonts w:hint="eastAsia" w:cs="Courier New"/>
                <w:color w:val="auto"/>
                <w:szCs w:val="21"/>
                <w:highlight w:val="none"/>
              </w:rPr>
              <w:t>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投标文件的组成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投标文件由技术标投标文件（含资格审查文件）和经济标投标文件二部分投标文件组成。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szCs w:val="21"/>
                <w:highlight w:val="none"/>
                <w:u w:val="single"/>
              </w:rPr>
            </w:pPr>
            <w:r>
              <w:rPr>
                <w:rFonts w:ascii="Times New Roman" w:hAnsi="Times New Roman"/>
                <w:color w:val="auto"/>
                <w:szCs w:val="21"/>
                <w:highlight w:val="none"/>
                <w:u w:val="single"/>
              </w:rPr>
              <w:t>投标文件份数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Times New Roman" w:hAnsi="Times New Roman"/>
                <w:color w:val="auto"/>
                <w:szCs w:val="21"/>
                <w:highlight w:val="none"/>
                <w:u w:val="single"/>
              </w:rPr>
            </w:pPr>
            <w:r>
              <w:rPr>
                <w:rFonts w:ascii="Times New Roman" w:hAnsi="Times New Roman"/>
                <w:color w:val="auto"/>
                <w:highlight w:val="none"/>
                <w:u w:val="single"/>
              </w:rPr>
              <w:t>投标文件为含电子签章的加密电子投标文件1套</w:t>
            </w:r>
            <w:r>
              <w:rPr>
                <w:rFonts w:hint="eastAsia" w:ascii="Times New Roman" w:hAnsi="Times New Roman"/>
                <w:color w:val="auto"/>
                <w:highlight w:val="none"/>
                <w:u w:val="single"/>
                <w:lang w:eastAsia="zh-CN"/>
              </w:rPr>
              <w:t>，</w:t>
            </w:r>
            <w:r>
              <w:rPr>
                <w:rFonts w:hint="eastAsia" w:ascii="Times New Roman" w:hAnsi="Times New Roman"/>
                <w:b/>
                <w:bCs/>
                <w:color w:val="auto"/>
                <w:highlight w:val="none"/>
                <w:u w:val="single"/>
                <w:lang w:eastAsia="zh-CN"/>
              </w:rPr>
              <w:t>及纸质投标文件一正一副（需签字及加盖投标人公章，</w:t>
            </w:r>
            <w:r>
              <w:rPr>
                <w:rFonts w:hint="eastAsia" w:ascii="Times New Roman" w:hAnsi="Times New Roman"/>
                <w:b w:val="0"/>
                <w:bCs w:val="0"/>
                <w:color w:val="auto"/>
                <w:highlight w:val="none"/>
                <w:u w:val="single"/>
                <w:lang w:eastAsia="zh-CN"/>
              </w:rPr>
              <w:t>副本为正本复印件，提交备用电子投标文件</w:t>
            </w:r>
            <w:r>
              <w:rPr>
                <w:rFonts w:hint="eastAsia" w:ascii="Times New Roman" w:hAnsi="Times New Roman"/>
                <w:b w:val="0"/>
                <w:bCs w:val="0"/>
                <w:color w:val="auto"/>
                <w:highlight w:val="none"/>
                <w:u w:val="single"/>
                <w:lang w:val="en-US" w:eastAsia="zh-CN"/>
              </w:rPr>
              <w:t>U盘时同时密封递交</w:t>
            </w:r>
            <w:r>
              <w:rPr>
                <w:rFonts w:hint="eastAsia" w:ascii="Times New Roman" w:hAnsi="Times New Roman"/>
                <w:b/>
                <w:bCs/>
                <w:color w:val="auto"/>
                <w:highlight w:val="none"/>
                <w:u w:val="single"/>
                <w:lang w:eastAsia="zh-CN"/>
              </w:rPr>
              <w:t>）</w:t>
            </w:r>
            <w:r>
              <w:rPr>
                <w:rFonts w:ascii="Times New Roman" w:hAnsi="Times New Roman"/>
                <w:b/>
                <w:bCs/>
                <w:color w:val="auto"/>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highlight w:val="none"/>
                <w:u w:val="single"/>
              </w:rPr>
            </w:pPr>
            <w:r>
              <w:rPr>
                <w:rFonts w:hint="eastAsia" w:ascii="宋体" w:hAnsi="宋体" w:cs="宋体"/>
                <w:color w:val="auto"/>
                <w:szCs w:val="21"/>
                <w:highlight w:val="none"/>
                <w:u w:val="single"/>
              </w:rPr>
              <w:t>招标人拒绝接收投标文件备用</w:t>
            </w:r>
            <w:r>
              <w:rPr>
                <w:rFonts w:hint="eastAsia" w:ascii="宋体" w:hAnsi="宋体" w:cs="宋体"/>
                <w:color w:val="auto"/>
                <w:szCs w:val="21"/>
                <w:highlight w:val="none"/>
                <w:u w:val="single"/>
                <w:lang w:eastAsia="zh-CN"/>
              </w:rPr>
              <w:t>文件</w:t>
            </w:r>
            <w:r>
              <w:rPr>
                <w:rFonts w:hint="eastAsia" w:ascii="宋体" w:hAnsi="宋体" w:cs="宋体"/>
                <w:color w:val="auto"/>
                <w:szCs w:val="21"/>
                <w:highlight w:val="none"/>
                <w:u w:val="single"/>
              </w:rPr>
              <w:t>的情况</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w:t>
            </w:r>
            <w:r>
              <w:rPr>
                <w:rFonts w:hint="eastAsia" w:ascii="宋体" w:hAnsi="宋体" w:cs="宋体"/>
                <w:color w:val="auto"/>
                <w:szCs w:val="21"/>
                <w:highlight w:val="none"/>
                <w:u w:val="single"/>
                <w:lang w:val="en-US" w:eastAsia="zh-CN"/>
              </w:rPr>
              <w:t>U</w:t>
            </w:r>
            <w:r>
              <w:rPr>
                <w:rFonts w:hint="eastAsia" w:ascii="宋体" w:hAnsi="宋体" w:cs="宋体"/>
                <w:color w:val="auto"/>
                <w:szCs w:val="21"/>
                <w:highlight w:val="none"/>
                <w:u w:val="single"/>
              </w:rPr>
              <w:t>盘</w:t>
            </w:r>
            <w:r>
              <w:rPr>
                <w:rFonts w:hint="eastAsia" w:ascii="宋体" w:hAnsi="宋体" w:cs="宋体"/>
                <w:color w:val="auto"/>
                <w:szCs w:val="21"/>
                <w:highlight w:val="none"/>
                <w:u w:val="single"/>
                <w:lang w:eastAsia="zh-CN"/>
              </w:rPr>
              <w:t>及</w:t>
            </w:r>
            <w:r>
              <w:rPr>
                <w:rFonts w:hint="eastAsia" w:ascii="Times New Roman" w:hAnsi="Times New Roman"/>
                <w:b/>
                <w:bCs/>
                <w:color w:val="auto"/>
                <w:highlight w:val="none"/>
                <w:u w:val="single"/>
                <w:lang w:eastAsia="zh-CN"/>
              </w:rPr>
              <w:t>纸质投标文件（一正一副）的</w:t>
            </w:r>
            <w:r>
              <w:rPr>
                <w:rFonts w:hint="eastAsia" w:ascii="宋体" w:hAnsi="宋体" w:cs="宋体"/>
                <w:color w:val="auto"/>
                <w:szCs w:val="21"/>
                <w:highlight w:val="none"/>
                <w:u w:val="single"/>
              </w:rPr>
              <w:t>；</w:t>
            </w:r>
          </w:p>
          <w:p>
            <w:pPr>
              <w:rPr>
                <w:rFonts w:hint="eastAsia" w:ascii="Times New Roman" w:hAnsi="Times New Roman" w:eastAsia="宋体"/>
                <w:color w:val="auto"/>
                <w:highlight w:val="none"/>
                <w:u w:val="single"/>
                <w:lang w:eastAsia="zh-CN"/>
              </w:rPr>
            </w:pPr>
            <w:r>
              <w:rPr>
                <w:rFonts w:hint="eastAsia" w:ascii="宋体" w:hAnsi="宋体" w:cs="宋体"/>
                <w:color w:val="auto"/>
                <w:szCs w:val="21"/>
                <w:highlight w:val="none"/>
                <w:u w:val="single"/>
              </w:rPr>
              <w:t>2、投标文件备用</w:t>
            </w:r>
            <w:r>
              <w:rPr>
                <w:rFonts w:hint="eastAsia" w:ascii="宋体" w:hAnsi="宋体" w:cs="宋体"/>
                <w:color w:val="auto"/>
                <w:szCs w:val="21"/>
                <w:highlight w:val="none"/>
                <w:u w:val="single"/>
                <w:lang w:val="en-US" w:eastAsia="zh-CN"/>
              </w:rPr>
              <w:t>U</w:t>
            </w:r>
            <w:r>
              <w:rPr>
                <w:rFonts w:hint="eastAsia" w:ascii="宋体" w:hAnsi="宋体" w:cs="宋体"/>
                <w:color w:val="auto"/>
                <w:szCs w:val="21"/>
                <w:highlight w:val="none"/>
                <w:u w:val="single"/>
              </w:rPr>
              <w:t>盘</w:t>
            </w:r>
            <w:r>
              <w:rPr>
                <w:rFonts w:hint="eastAsia" w:ascii="宋体" w:hAnsi="宋体" w:cs="宋体"/>
                <w:color w:val="auto"/>
                <w:szCs w:val="21"/>
                <w:highlight w:val="none"/>
                <w:u w:val="single"/>
                <w:lang w:eastAsia="zh-CN"/>
              </w:rPr>
              <w:t>及</w:t>
            </w:r>
            <w:r>
              <w:rPr>
                <w:rFonts w:hint="eastAsia" w:ascii="Times New Roman" w:hAnsi="Times New Roman"/>
                <w:b/>
                <w:bCs/>
                <w:color w:val="auto"/>
                <w:highlight w:val="none"/>
                <w:u w:val="single"/>
                <w:lang w:eastAsia="zh-CN"/>
              </w:rPr>
              <w:t>纸质投标文件（一正一副）</w:t>
            </w:r>
            <w:r>
              <w:rPr>
                <w:rFonts w:hint="eastAsia" w:ascii="宋体" w:hAnsi="宋体" w:cs="宋体"/>
                <w:color w:val="auto"/>
                <w:szCs w:val="21"/>
                <w:highlight w:val="none"/>
                <w:u w:val="single"/>
              </w:rPr>
              <w:t>未按招标文件要求密封或未在密封处盖章的</w:t>
            </w:r>
            <w:r>
              <w:rPr>
                <w:rFonts w:hint="eastAsia" w:ascii="宋体" w:hAnsi="宋体" w:cs="宋体"/>
                <w:color w:val="auto"/>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highlight w:val="none"/>
                <w:u w:val="single"/>
              </w:rPr>
            </w:pPr>
            <w:r>
              <w:rPr>
                <w:rFonts w:ascii="Times New Roman" w:hAnsi="Times New Roman"/>
                <w:color w:val="auto"/>
                <w:highlight w:val="none"/>
                <w:u w:val="single"/>
              </w:rPr>
              <w:t>进入定标阶段</w:t>
            </w:r>
            <w:r>
              <w:rPr>
                <w:rFonts w:hint="eastAsia" w:ascii="Times New Roman" w:hAnsi="Times New Roman"/>
                <w:color w:val="auto"/>
                <w:highlight w:val="none"/>
                <w:u w:val="single"/>
              </w:rPr>
              <w:t>的</w:t>
            </w:r>
            <w:r>
              <w:rPr>
                <w:rFonts w:ascii="Times New Roman" w:hAnsi="Times New Roman"/>
                <w:color w:val="auto"/>
                <w:highlight w:val="none"/>
                <w:u w:val="single"/>
              </w:rPr>
              <w:t>合格中标候选人</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Times New Roman" w:hAnsi="Times New Roman"/>
                <w:color w:val="auto"/>
                <w:highlight w:val="none"/>
                <w:u w:val="single"/>
              </w:rPr>
            </w:pPr>
            <w:r>
              <w:rPr>
                <w:rFonts w:ascii="Times New Roman" w:hAnsi="Times New Roman"/>
                <w:color w:val="auto"/>
                <w:highlight w:val="none"/>
                <w:u w:val="single"/>
              </w:rPr>
              <w:t>通过技术标</w:t>
            </w:r>
            <w:r>
              <w:rPr>
                <w:rFonts w:hint="eastAsia" w:ascii="Times New Roman" w:hAnsi="Times New Roman"/>
                <w:color w:val="auto"/>
                <w:highlight w:val="none"/>
                <w:u w:val="single"/>
              </w:rPr>
              <w:t>、</w:t>
            </w:r>
            <w:r>
              <w:rPr>
                <w:rFonts w:ascii="Times New Roman" w:hAnsi="Times New Roman"/>
                <w:color w:val="auto"/>
                <w:highlight w:val="none"/>
                <w:u w:val="single"/>
              </w:rPr>
              <w:t>经济标有效性审查的</w:t>
            </w:r>
            <w:r>
              <w:rPr>
                <w:rFonts w:hint="eastAsia" w:ascii="Times New Roman" w:hAnsi="Times New Roman"/>
                <w:color w:val="auto"/>
                <w:highlight w:val="none"/>
                <w:u w:val="single"/>
              </w:rPr>
              <w:t>合格的</w:t>
            </w:r>
            <w:r>
              <w:rPr>
                <w:rFonts w:ascii="Times New Roman" w:hAnsi="Times New Roman"/>
                <w:color w:val="auto"/>
                <w:highlight w:val="none"/>
                <w:u w:val="single"/>
              </w:rPr>
              <w:t>投标人</w:t>
            </w:r>
            <w:r>
              <w:rPr>
                <w:rFonts w:hint="eastAsia" w:ascii="Times New Roman" w:hAnsi="Times New Roman"/>
                <w:color w:val="auto"/>
                <w:highlight w:val="none"/>
                <w:u w:val="single"/>
              </w:rPr>
              <w:t>大于等于3名的，则通过评审的全部投标人全部推荐为合格的中标候选人，合格中标候选人不排序。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4</w:t>
            </w:r>
            <w:r>
              <w:rPr>
                <w:rFonts w:hint="eastAsia" w:ascii="宋体" w:hAnsi="宋体"/>
                <w:color w:val="auto"/>
                <w:szCs w:val="21"/>
                <w:highlight w:val="none"/>
                <w:lang w:val="en-US" w:eastAsia="zh-CN"/>
              </w:rPr>
              <w:t>0</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rPr>
                <w:rFonts w:ascii="Times New Roman" w:hAnsi="Times New Roman"/>
                <w:color w:val="auto"/>
                <w:highlight w:val="none"/>
              </w:rPr>
            </w:pPr>
            <w:r>
              <w:rPr>
                <w:rFonts w:ascii="Times New Roman" w:hAnsi="Times New Roman"/>
                <w:color w:val="auto"/>
                <w:highlight w:val="none"/>
              </w:rPr>
              <w:t>定标委员会人数</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Times New Roman" w:hAnsi="Times New Roman"/>
                <w:color w:val="auto"/>
                <w:highlight w:val="none"/>
              </w:rPr>
            </w:pPr>
            <w:r>
              <w:rPr>
                <w:rFonts w:ascii="Times New Roman" w:hAnsi="Times New Roman"/>
                <w:color w:val="auto"/>
                <w:highlight w:val="none"/>
              </w:rPr>
              <w:t>定标委员会由招标人依法依规</w:t>
            </w:r>
            <w:r>
              <w:rPr>
                <w:rFonts w:hint="eastAsia" w:ascii="Times New Roman" w:hAnsi="Times New Roman"/>
                <w:color w:val="auto"/>
                <w:highlight w:val="none"/>
              </w:rPr>
              <w:t>以及本招标文件的规定</w:t>
            </w:r>
            <w:r>
              <w:rPr>
                <w:rFonts w:ascii="Times New Roman" w:hAnsi="Times New Roman"/>
                <w:color w:val="auto"/>
                <w:highlight w:val="none"/>
              </w:rPr>
              <w:t>组建。</w:t>
            </w:r>
          </w:p>
        </w:tc>
      </w:tr>
    </w:tbl>
    <w:p>
      <w:pPr>
        <w:spacing w:line="480" w:lineRule="auto"/>
        <w:jc w:val="center"/>
        <w:rPr>
          <w:rStyle w:val="54"/>
          <w:color w:val="auto"/>
          <w:highlight w:val="none"/>
        </w:rPr>
      </w:pPr>
      <w:r>
        <w:rPr>
          <w:rFonts w:ascii="宋体" w:hAnsi="宋体"/>
          <w:strike/>
          <w:color w:val="auto"/>
          <w:highlight w:val="none"/>
        </w:rPr>
        <w:br w:type="page"/>
      </w:r>
      <w:r>
        <w:rPr>
          <w:rStyle w:val="54"/>
          <w:rFonts w:hint="eastAsia"/>
          <w:color w:val="auto"/>
          <w:highlight w:val="none"/>
        </w:rPr>
        <w:t>二、投标须知修改表</w:t>
      </w:r>
    </w:p>
    <w:p>
      <w:pPr>
        <w:pStyle w:val="5"/>
        <w:spacing w:line="360" w:lineRule="auto"/>
        <w:rPr>
          <w:rFonts w:ascii="宋体" w:hAnsi="宋体"/>
          <w:b/>
          <w:color w:val="auto"/>
          <w:szCs w:val="21"/>
          <w:highlight w:val="none"/>
        </w:rPr>
      </w:pPr>
      <w:r>
        <w:rPr>
          <w:rFonts w:hint="eastAsia" w:ascii="宋体" w:hAnsi="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宋体" w:hAnsi="宋体"/>
          <w:b/>
          <w:color w:val="auto"/>
          <w:szCs w:val="21"/>
          <w:highlight w:val="none"/>
        </w:rPr>
        <w:t>http://www.gzcc.gov.cn/</w:t>
      </w:r>
      <w:r>
        <w:rPr>
          <w:rFonts w:hint="eastAsia" w:ascii="宋体" w:hAnsi="宋体"/>
          <w:b/>
          <w:color w:val="auto"/>
          <w:szCs w:val="21"/>
          <w:highlight w:val="none"/>
        </w:rPr>
        <w:t>）下载查阅。</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条款号：5.1                                              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1"/>
        </w:pBdr>
        <w:spacing w:line="360" w:lineRule="auto"/>
        <w:ind w:firstLine="422" w:firstLineChars="20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w:t>
      </w:r>
      <w:r>
        <w:rPr>
          <w:rFonts w:hint="eastAsia" w:ascii="宋体" w:hAnsi="宋体"/>
          <w:color w:val="auto"/>
          <w:szCs w:val="21"/>
          <w:highlight w:val="none"/>
        </w:rPr>
        <w:t>一旦中标，这种考察即被认为其结果已在中标文件中得到充分反映。考察现场的费用由投标人自己承担。</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条款号：8.1                                              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8.1投标人若对招标文件（包括招标图纸）中有疑问，可以书面形式通过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olor w:val="auto"/>
          <w:szCs w:val="21"/>
          <w:highlight w:val="none"/>
        </w:rPr>
        <w:t>交易平台提交给招标人或招标代理人，提交形式见本须知前附表第16项。</w:t>
      </w:r>
    </w:p>
    <w:p>
      <w:pPr>
        <w:spacing w:line="360" w:lineRule="auto"/>
        <w:ind w:firstLine="422" w:firstLineChars="200"/>
        <w:rPr>
          <w:rFonts w:ascii="宋体" w:hAnsi="宋体"/>
          <w:color w:val="auto"/>
          <w:szCs w:val="21"/>
          <w:highlight w:val="none"/>
          <w:u w:val="single"/>
        </w:rPr>
      </w:pPr>
      <w:r>
        <w:rPr>
          <w:rFonts w:hint="eastAsia" w:ascii="宋体" w:hAnsi="宋体"/>
          <w:b/>
          <w:color w:val="auto"/>
          <w:szCs w:val="21"/>
          <w:highlight w:val="none"/>
          <w:u w:val="single"/>
        </w:rPr>
        <w:t>现文：</w:t>
      </w:r>
      <w:r>
        <w:rPr>
          <w:rFonts w:hint="eastAsia" w:ascii="宋体" w:hAnsi="宋体"/>
          <w:color w:val="auto"/>
          <w:szCs w:val="21"/>
          <w:highlight w:val="none"/>
          <w:u w:val="single"/>
        </w:rPr>
        <w:t>8.1招标答疑采用网上答疑方式进行。投标人若对招标文件有疑问的，可在规定的时间内通过广州公共资源交易中心网站将问题提交给招标人或招标代理人，提交问题时一律不得署名。</w:t>
      </w:r>
    </w:p>
    <w:p>
      <w:pPr>
        <w:pBdr>
          <w:bottom w:val="single" w:color="auto" w:sz="4" w:space="1"/>
        </w:pBd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网上答疑的操作指南为：按照广州公共资源交易中心交易平台关于全流程电子化项目的相关指南进行操作，详见：广州公共资源交易中心网站(http://ggzy.gz.gov.cn/)服务指南栏目。提问一律不得署名。</w:t>
      </w:r>
    </w:p>
    <w:p>
      <w:pPr>
        <w:spacing w:line="360" w:lineRule="auto"/>
        <w:ind w:firstLine="422" w:firstLineChars="200"/>
        <w:rPr>
          <w:rFonts w:ascii="宋体" w:hAnsi="宋体" w:cs="宋体"/>
          <w:b/>
          <w:color w:val="auto"/>
          <w:szCs w:val="21"/>
          <w:highlight w:val="none"/>
          <w:lang w:bidi="ar"/>
        </w:rPr>
      </w:pPr>
      <w:r>
        <w:rPr>
          <w:rFonts w:hint="eastAsia" w:ascii="宋体" w:hAnsi="宋体" w:cs="宋体"/>
          <w:b/>
          <w:color w:val="auto"/>
          <w:szCs w:val="21"/>
          <w:highlight w:val="none"/>
          <w:lang w:bidi="ar"/>
        </w:rPr>
        <w:t xml:space="preserve">条款号：8.2 </w:t>
      </w:r>
      <w:r>
        <w:rPr>
          <w:rFonts w:ascii="宋体" w:hAnsi="宋体" w:cs="宋体"/>
          <w:b/>
          <w:color w:val="auto"/>
          <w:szCs w:val="21"/>
          <w:highlight w:val="none"/>
          <w:lang w:bidi="ar"/>
        </w:rPr>
        <w:t xml:space="preserve">           </w:t>
      </w:r>
      <w:r>
        <w:rPr>
          <w:rFonts w:hint="eastAsia" w:ascii="宋体" w:hAnsi="宋体" w:cs="宋体"/>
          <w:b/>
          <w:color w:val="auto"/>
          <w:szCs w:val="21"/>
          <w:highlight w:val="none"/>
          <w:lang w:bidi="ar"/>
        </w:rPr>
        <w:t xml:space="preserve">                                </w:t>
      </w:r>
      <w:r>
        <w:rPr>
          <w:rFonts w:ascii="宋体" w:hAnsi="宋体" w:cs="宋体"/>
          <w:b/>
          <w:color w:val="auto"/>
          <w:szCs w:val="21"/>
          <w:highlight w:val="none"/>
          <w:lang w:bidi="ar"/>
        </w:rPr>
        <w:t xml:space="preserve">  </w:t>
      </w:r>
      <w:r>
        <w:rPr>
          <w:rFonts w:hint="eastAsia" w:ascii="宋体" w:hAnsi="宋体" w:cs="宋体"/>
          <w:b/>
          <w:color w:val="auto"/>
          <w:szCs w:val="21"/>
          <w:highlight w:val="none"/>
          <w:lang w:bidi="ar"/>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olor w:val="auto"/>
          <w:szCs w:val="21"/>
          <w:highlight w:val="none"/>
        </w:rPr>
        <w:t>交易平台“项目答疑纪要”专区公开发布。答疑纪要一经在交易平台发布，视作已发放给所有投标人。</w:t>
      </w:r>
    </w:p>
    <w:p>
      <w:pPr>
        <w:pBdr>
          <w:bottom w:val="single" w:color="auto" w:sz="6" w:space="1"/>
        </w:pBdr>
        <w:spacing w:line="360" w:lineRule="auto"/>
        <w:ind w:firstLine="422" w:firstLineChars="200"/>
        <w:rPr>
          <w:rFonts w:ascii="宋体" w:hAnsi="宋体" w:cs="宋体"/>
          <w:b/>
          <w:color w:val="auto"/>
          <w:szCs w:val="21"/>
          <w:highlight w:val="none"/>
          <w:lang w:bidi="ar"/>
        </w:rPr>
      </w:pPr>
      <w:r>
        <w:rPr>
          <w:rFonts w:hint="eastAsia" w:ascii="宋体" w:hAnsi="宋体"/>
          <w:b/>
          <w:color w:val="auto"/>
          <w:szCs w:val="21"/>
          <w:highlight w:val="none"/>
        </w:rPr>
        <w:t>现文：</w:t>
      </w:r>
      <w:r>
        <w:rPr>
          <w:rFonts w:hint="eastAsia" w:ascii="宋体" w:hAnsi="宋体"/>
          <w:color w:val="auto"/>
          <w:szCs w:val="21"/>
          <w:highlight w:val="none"/>
        </w:rPr>
        <w:t>8.2招标答疑会会议纪要将在提交投标文件截止时间15日前在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 “项目答疑纪要”专区公开发布。答疑纪要一经在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交易平台发布，视作已发放给所有投标人。</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条款号：8.</w:t>
      </w:r>
      <w:r>
        <w:rPr>
          <w:rFonts w:ascii="宋体" w:hAnsi="宋体" w:cs="宋体"/>
          <w:b/>
          <w:color w:val="auto"/>
          <w:szCs w:val="21"/>
          <w:highlight w:val="none"/>
        </w:rPr>
        <w:t>4</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pPr>
        <w:pStyle w:val="5"/>
        <w:spacing w:after="0" w:line="360" w:lineRule="auto"/>
        <w:ind w:firstLine="392"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pPr>
        <w:pBdr>
          <w:bottom w:val="single" w:color="auto" w:sz="6" w:space="1"/>
        </w:pBdr>
        <w:spacing w:line="360" w:lineRule="auto"/>
        <w:ind w:firstLine="527"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8.4若招标答疑会会议纪要与招标文件有矛盾，以</w:t>
      </w:r>
      <w:r>
        <w:rPr>
          <w:rFonts w:hint="eastAsia" w:ascii="宋体" w:hAnsi="宋体" w:cs="宋体"/>
          <w:color w:val="auto"/>
          <w:szCs w:val="21"/>
          <w:highlight w:val="none"/>
          <w:u w:val="single"/>
        </w:rPr>
        <w:t>广州公共资源交易中心交易平台最后发布的答疑纪要为准。</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条款号：9</w:t>
      </w:r>
      <w:r>
        <w:rPr>
          <w:rFonts w:ascii="宋体" w:hAnsi="宋体"/>
          <w:b/>
          <w:color w:val="auto"/>
          <w:szCs w:val="21"/>
          <w:highlight w:val="none"/>
        </w:rPr>
        <w:t xml:space="preserve">.2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9.2招标文件的澄清或修改将在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交易平台上网发布时间作为送达时间。</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9.2</w:t>
      </w:r>
      <w:r>
        <w:rPr>
          <w:rFonts w:hint="eastAsia" w:ascii="宋体" w:hAnsi="宋体" w:cs="宋体"/>
          <w:color w:val="auto"/>
          <w:szCs w:val="21"/>
          <w:highlight w:val="none"/>
        </w:rPr>
        <w:t>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color w:val="auto"/>
          <w:szCs w:val="21"/>
          <w:highlight w:val="none"/>
          <w:u w:val="single"/>
        </w:rPr>
        <w:t>“建设工程-</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rPr>
        <w:t>”</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spacing w:line="360" w:lineRule="auto"/>
        <w:ind w:firstLine="422" w:firstLineChars="200"/>
        <w:rPr>
          <w:rFonts w:ascii="宋体" w:hAnsi="宋体" w:cs="宋体"/>
          <w:b/>
          <w:color w:val="auto"/>
          <w:szCs w:val="21"/>
          <w:highlight w:val="none"/>
          <w:lang w:bidi="ar"/>
        </w:rPr>
      </w:pPr>
      <w:r>
        <w:rPr>
          <w:rFonts w:hint="eastAsia" w:ascii="宋体" w:hAnsi="宋体" w:cs="宋体"/>
          <w:b/>
          <w:color w:val="auto"/>
          <w:szCs w:val="21"/>
          <w:highlight w:val="none"/>
          <w:lang w:bidi="ar"/>
        </w:rPr>
        <w:t xml:space="preserve">条款号：9.4 </w:t>
      </w:r>
      <w:r>
        <w:rPr>
          <w:rFonts w:ascii="宋体" w:hAnsi="宋体" w:cs="宋体"/>
          <w:b/>
          <w:color w:val="auto"/>
          <w:szCs w:val="21"/>
          <w:highlight w:val="none"/>
          <w:lang w:bidi="ar"/>
        </w:rPr>
        <w:t xml:space="preserve">   </w:t>
      </w:r>
      <w:r>
        <w:rPr>
          <w:rFonts w:hint="eastAsia" w:ascii="宋体" w:hAnsi="宋体" w:cs="宋体"/>
          <w:b/>
          <w:color w:val="auto"/>
          <w:szCs w:val="21"/>
          <w:highlight w:val="none"/>
          <w:lang w:bidi="ar"/>
        </w:rPr>
        <w:t xml:space="preserve">                                </w:t>
      </w:r>
      <w:r>
        <w:rPr>
          <w:rFonts w:ascii="宋体" w:hAnsi="宋体" w:cs="宋体"/>
          <w:b/>
          <w:color w:val="auto"/>
          <w:szCs w:val="21"/>
          <w:highlight w:val="none"/>
          <w:lang w:bidi="ar"/>
        </w:rPr>
        <w:t xml:space="preserve">          </w:t>
      </w:r>
      <w:r>
        <w:rPr>
          <w:rFonts w:hint="eastAsia" w:ascii="宋体" w:hAnsi="宋体" w:cs="宋体"/>
          <w:b/>
          <w:color w:val="auto"/>
          <w:szCs w:val="21"/>
          <w:highlight w:val="none"/>
          <w:lang w:bidi="ar"/>
        </w:rPr>
        <w:t>修改类型：修改</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9.4招标文件的澄清或修改均以书面形式明确的内容为准。当招标文件的澄清、修改、补充等在同一内容的表述不一致时，以最后发出的书面文件为准。</w:t>
      </w:r>
    </w:p>
    <w:p>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9.4</w:t>
      </w:r>
      <w:r>
        <w:rPr>
          <w:rFonts w:hint="eastAsia" w:ascii="宋体" w:hAnsi="宋体" w:cs="宋体"/>
          <w:color w:val="auto"/>
          <w:szCs w:val="21"/>
          <w:highlight w:val="none"/>
        </w:rPr>
        <w:t>招标文件的澄清或修改均以</w:t>
      </w:r>
      <w:r>
        <w:rPr>
          <w:rFonts w:hint="eastAsia" w:ascii="宋体" w:hAnsi="宋体" w:cs="宋体"/>
          <w:color w:val="auto"/>
          <w:szCs w:val="21"/>
          <w:highlight w:val="none"/>
          <w:u w:val="single"/>
        </w:rPr>
        <w:t>广州公共资源交易中心交易平台最后发布的答疑纪要为准</w:t>
      </w:r>
      <w:r>
        <w:rPr>
          <w:rFonts w:hint="eastAsia" w:ascii="宋体" w:hAnsi="宋体" w:cs="宋体"/>
          <w:color w:val="auto"/>
          <w:szCs w:val="21"/>
          <w:highlight w:val="none"/>
        </w:rPr>
        <w:t>。当招标文件的澄清、修改、补充等在同一内容的表述不一致时，以最后发出的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r>
        <w:rPr>
          <w:rFonts w:hint="eastAsia" w:ascii="宋体" w:hAnsi="宋体"/>
          <w:color w:val="auto"/>
          <w:szCs w:val="21"/>
          <w:highlight w:val="none"/>
        </w:rPr>
        <w:t>。</w:t>
      </w:r>
    </w:p>
    <w:p>
      <w:pPr>
        <w:tabs>
          <w:tab w:val="left" w:pos="112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 xml:space="preserve">条款号：11.1  11.2  11.3                                </w:t>
      </w:r>
      <w:r>
        <w:rPr>
          <w:rFonts w:ascii="宋体" w:hAnsi="宋体" w:cs="宋体"/>
          <w:b/>
          <w:color w:val="auto"/>
          <w:szCs w:val="21"/>
          <w:highlight w:val="none"/>
          <w:lang w:bidi="ar"/>
        </w:rPr>
        <w:t xml:space="preserve"> </w:t>
      </w:r>
      <w:r>
        <w:rPr>
          <w:rFonts w:hint="eastAsia" w:ascii="宋体" w:hAnsi="宋体" w:cs="宋体"/>
          <w:b/>
          <w:color w:val="auto"/>
          <w:szCs w:val="21"/>
          <w:highlight w:val="none"/>
          <w:lang w:bidi="ar"/>
        </w:rPr>
        <w:t>修改类型：修改</w:t>
      </w:r>
    </w:p>
    <w:p>
      <w:pP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11.1 投标文件由技术部分（含资格审查文件）和经济部分二部分投标文件组成。</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11.2投标文件技术标部分主要包括下列内容: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11.2.1 技术投标文件(按招标文件的要求填写)；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11.2.2 资格审查文件：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（1）投标人声明；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（2）法定代表人证明书、法定代表人签字或盖章的本投标文件授权委托证明书；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（3）企业营业执照（取自库内上传件）；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（4）企业资质证书（取自库内上传件）；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（5）建筑施工企业安全生产许可证（取自库内上传件）；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（6）项目负责人（按网上投标登记时选择拟投标的项目负责人）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（7）专职安全员（按网上投标登记时选择拟投标的专职安全员）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（8）拟委托技术负责人的相关证书、资料（具体要求由招标人明确）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（9）拟委派项目负责人的建造师或临时建造师证书或二级注册建造师电子注册证书或小型项目负责人相关证明（取自库内上传件）；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（10）项目负责人安全培训考核合格证明或在有效期内的安全考核合格证书（B类）（取自库内上传件），或提供广东省建筑施工企业管理人员安全生产考核信息系统安全生产管理人员证书信息的网页截图；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（11）专职安全员须具有在有效期内的安全考核合格证书（C类）（取自库内上传件），或提供广东省建筑施工企业管理人员安全生产考核信息系统安全生产管理人员证书信息的网页截图；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（13）资格审查前，投标人须在广州市住房和城乡建设局建立企业诚信档案，拟担任本工程项目负责人须是本企业诚信档案中的在册人员。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（14）列明主办单位的联合体工作协议（采用联合体投标时需递交，投标人拟任本工程项目负责人应为联合体主办方诚信档案中的在册人员，联合体工作协议应明确约定各方拟承担的工作和责任）；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11.2.3项目管理机构配备。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（3）其他辅助说明资料。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11.2.5施工组织设计或施工方案。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11.2.6按照招标文件要求填写的《参与编制技术标投标文件人员名单》。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经济部分投标文件主要包括下列内容：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11.3.1 经济投标文件(按招标文件的要求填写)。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（1）投标总价封面、扉页；</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（2）总说明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（3）工程项目投标报价汇总表；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（4）单项工程投标报价汇总表；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（5）单位工程投标报价汇总表；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（6）分部分项工程清单与计价表；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（7）单价措施项目清单与计价表；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（8）总价措施项目清单与计价表；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（9）综合单价分析表；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（10）其他项目清单与计价汇总表；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（11）暂列金额明细表；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（12）材料（工程设备）暂估价明细表；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（13）专业工程暂估价明细表；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（14）计日工表；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（15）总承包服务计价表；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（16）规费和税金项目计价表；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（17）人工、主要材料和设备一览表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11.3.3按照招标文件要求填写的《参与编制经济标投标文件人员名单》。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adjustRightInd w:val="0"/>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lang w:bidi="ar"/>
        </w:rPr>
        <w:t>现文：</w:t>
      </w:r>
      <w:r>
        <w:rPr>
          <w:rFonts w:ascii="宋体" w:hAnsi="宋体"/>
          <w:color w:val="auto"/>
          <w:szCs w:val="21"/>
          <w:highlight w:val="none"/>
        </w:rPr>
        <w:t xml:space="preserve">11.1 </w:t>
      </w:r>
      <w:r>
        <w:rPr>
          <w:rFonts w:hint="eastAsia" w:ascii="宋体" w:hAnsi="宋体"/>
          <w:color w:val="auto"/>
          <w:szCs w:val="21"/>
          <w:highlight w:val="none"/>
        </w:rPr>
        <w:t>投标文件由</w:t>
      </w:r>
      <w:r>
        <w:rPr>
          <w:rFonts w:hint="eastAsia" w:ascii="宋体" w:hAnsi="宋体"/>
          <w:b/>
          <w:color w:val="auto"/>
          <w:szCs w:val="21"/>
          <w:highlight w:val="none"/>
        </w:rPr>
        <w:t>技术标投标文件</w:t>
      </w:r>
      <w:r>
        <w:rPr>
          <w:rFonts w:hint="eastAsia" w:ascii="宋体" w:hAnsi="宋体"/>
          <w:b/>
          <w:color w:val="auto"/>
          <w:szCs w:val="21"/>
          <w:highlight w:val="none"/>
          <w:u w:val="single"/>
        </w:rPr>
        <w:t>（含资格审查文件）</w:t>
      </w:r>
      <w:r>
        <w:rPr>
          <w:rFonts w:hint="eastAsia" w:ascii="宋体" w:hAnsi="宋体"/>
          <w:b/>
          <w:color w:val="auto"/>
          <w:szCs w:val="21"/>
          <w:highlight w:val="none"/>
        </w:rPr>
        <w:t>和经济标投标文件</w:t>
      </w:r>
      <w:r>
        <w:rPr>
          <w:rFonts w:hint="eastAsia" w:ascii="宋体" w:hAnsi="宋体"/>
          <w:color w:val="auto"/>
          <w:szCs w:val="21"/>
          <w:highlight w:val="none"/>
        </w:rPr>
        <w:t>二部分投标文件组成。</w:t>
      </w:r>
    </w:p>
    <w:p>
      <w:pPr>
        <w:adjustRightInd w:val="0"/>
        <w:spacing w:line="360" w:lineRule="auto"/>
        <w:ind w:firstLine="420" w:firstLineChars="200"/>
        <w:rPr>
          <w:rFonts w:ascii="宋体" w:hAnsi="宋体"/>
          <w:color w:val="auto"/>
          <w:szCs w:val="21"/>
          <w:highlight w:val="none"/>
        </w:rPr>
      </w:pPr>
      <w:r>
        <w:rPr>
          <w:rFonts w:ascii="宋体" w:hAnsi="宋体"/>
          <w:bCs/>
          <w:color w:val="auto"/>
          <w:szCs w:val="21"/>
          <w:highlight w:val="none"/>
        </w:rPr>
        <w:t>11.2</w:t>
      </w:r>
      <w:r>
        <w:rPr>
          <w:rFonts w:hint="eastAsia" w:ascii="宋体" w:hAnsi="宋体"/>
          <w:bCs/>
          <w:color w:val="auto"/>
          <w:szCs w:val="21"/>
          <w:highlight w:val="none"/>
        </w:rPr>
        <w:t>投标文件技术标部分主要包括下列内容</w:t>
      </w:r>
      <w:r>
        <w:rPr>
          <w:rFonts w:hint="eastAsia" w:ascii="宋体" w:hAnsi="宋体" w:cs="宋体"/>
          <w:color w:val="auto"/>
          <w:szCs w:val="21"/>
          <w:highlight w:val="none"/>
          <w:u w:val="single"/>
        </w:rPr>
        <w:t>（除注明原件外，均为清晰扫描件即可）</w:t>
      </w:r>
      <w:r>
        <w:rPr>
          <w:rFonts w:ascii="宋体" w:hAnsi="宋体"/>
          <w:bCs/>
          <w:color w:val="auto"/>
          <w:szCs w:val="21"/>
          <w:highlight w:val="none"/>
        </w:rPr>
        <w:t>:</w:t>
      </w:r>
    </w:p>
    <w:p>
      <w:pPr>
        <w:adjustRightInd w:val="0"/>
        <w:spacing w:line="360" w:lineRule="auto"/>
        <w:ind w:firstLine="420" w:firstLineChars="200"/>
        <w:rPr>
          <w:rFonts w:ascii="宋体" w:hAnsi="宋体"/>
          <w:color w:val="auto"/>
          <w:szCs w:val="21"/>
          <w:highlight w:val="none"/>
        </w:rPr>
      </w:pPr>
      <w:r>
        <w:rPr>
          <w:rFonts w:ascii="宋体" w:hAnsi="宋体"/>
          <w:color w:val="auto"/>
          <w:szCs w:val="21"/>
          <w:highlight w:val="none"/>
        </w:rPr>
        <w:t>11.2.1</w:t>
      </w:r>
      <w:r>
        <w:rPr>
          <w:rFonts w:hint="eastAsia" w:ascii="宋体" w:hAnsi="宋体"/>
          <w:b/>
          <w:bCs/>
          <w:color w:val="auto"/>
          <w:szCs w:val="21"/>
          <w:highlight w:val="none"/>
        </w:rPr>
        <w:t>技术标投标文件</w:t>
      </w:r>
      <w:r>
        <w:rPr>
          <w:rFonts w:hint="eastAsia" w:ascii="宋体" w:hAnsi="宋体"/>
          <w:color w:val="auto"/>
          <w:szCs w:val="21"/>
          <w:highlight w:val="none"/>
          <w:u w:val="single"/>
        </w:rPr>
        <w:t>(按招标文件的要求填写)</w:t>
      </w:r>
      <w:r>
        <w:rPr>
          <w:rFonts w:hint="eastAsia" w:ascii="宋体" w:hAnsi="宋体"/>
          <w:bCs/>
          <w:color w:val="auto"/>
          <w:szCs w:val="21"/>
          <w:highlight w:val="none"/>
        </w:rPr>
        <w:t>；</w:t>
      </w:r>
    </w:p>
    <w:p>
      <w:pPr>
        <w:adjustRightInd w:val="0"/>
        <w:spacing w:line="360" w:lineRule="auto"/>
        <w:ind w:firstLine="422" w:firstLineChars="200"/>
        <w:rPr>
          <w:rFonts w:ascii="宋体" w:hAnsi="宋体"/>
          <w:b/>
          <w:color w:val="auto"/>
          <w:szCs w:val="21"/>
          <w:highlight w:val="none"/>
          <w:u w:val="single"/>
        </w:rPr>
      </w:pPr>
      <w:r>
        <w:rPr>
          <w:rFonts w:ascii="宋体" w:hAnsi="宋体"/>
          <w:b/>
          <w:color w:val="auto"/>
          <w:szCs w:val="21"/>
          <w:highlight w:val="none"/>
          <w:u w:val="single"/>
        </w:rPr>
        <w:t>11.2.</w:t>
      </w:r>
      <w:r>
        <w:rPr>
          <w:rFonts w:hint="eastAsia" w:ascii="宋体" w:hAnsi="宋体"/>
          <w:b/>
          <w:color w:val="auto"/>
          <w:szCs w:val="21"/>
          <w:highlight w:val="none"/>
          <w:u w:val="single"/>
        </w:rPr>
        <w:t>2</w:t>
      </w:r>
      <w:r>
        <w:rPr>
          <w:rFonts w:ascii="宋体" w:hAnsi="宋体"/>
          <w:b/>
          <w:color w:val="auto"/>
          <w:szCs w:val="21"/>
          <w:highlight w:val="none"/>
          <w:u w:val="single"/>
        </w:rPr>
        <w:t xml:space="preserve"> </w:t>
      </w:r>
      <w:r>
        <w:rPr>
          <w:rFonts w:hint="eastAsia" w:ascii="宋体" w:hAnsi="宋体"/>
          <w:b/>
          <w:color w:val="auto"/>
          <w:szCs w:val="21"/>
          <w:highlight w:val="none"/>
          <w:u w:val="single"/>
        </w:rPr>
        <w:t>资格审查文件。</w:t>
      </w:r>
    </w:p>
    <w:p>
      <w:pPr>
        <w:adjustRightIn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）投标人声明（须按本招标公告附件一格式）；</w:t>
      </w:r>
    </w:p>
    <w:p>
      <w:pPr>
        <w:adjustRightIn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）法人代表证明书、法人代表签字或盖章的本投标文件授权委托证明书</w:t>
      </w:r>
      <w:r>
        <w:rPr>
          <w:rFonts w:hint="eastAsia"/>
          <w:color w:val="auto"/>
          <w:szCs w:val="21"/>
          <w:highlight w:val="none"/>
          <w:u w:val="single"/>
        </w:rPr>
        <w:t>；</w:t>
      </w:r>
    </w:p>
    <w:p>
      <w:pPr>
        <w:adjustRightIn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）企业营业执照</w:t>
      </w:r>
      <w:r>
        <w:rPr>
          <w:rFonts w:hint="eastAsia"/>
          <w:color w:val="auto"/>
          <w:szCs w:val="21"/>
          <w:highlight w:val="none"/>
          <w:u w:val="single"/>
        </w:rPr>
        <w:t>；</w:t>
      </w:r>
    </w:p>
    <w:p>
      <w:pPr>
        <w:adjustRightIn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4</w:t>
      </w:r>
      <w:r>
        <w:rPr>
          <w:rFonts w:hint="eastAsia" w:ascii="宋体" w:hAnsi="宋体"/>
          <w:color w:val="auto"/>
          <w:szCs w:val="21"/>
          <w:highlight w:val="none"/>
          <w:u w:val="single"/>
        </w:rPr>
        <w:t>）企业资质证书</w:t>
      </w:r>
      <w:r>
        <w:rPr>
          <w:rFonts w:hint="eastAsia"/>
          <w:color w:val="auto"/>
          <w:szCs w:val="21"/>
          <w:highlight w:val="none"/>
          <w:u w:val="single"/>
        </w:rPr>
        <w:t>；</w:t>
      </w:r>
    </w:p>
    <w:p>
      <w:pPr>
        <w:adjustRightIn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5</w:t>
      </w:r>
      <w:r>
        <w:rPr>
          <w:rFonts w:hint="eastAsia" w:ascii="宋体" w:hAnsi="宋体"/>
          <w:color w:val="auto"/>
          <w:szCs w:val="21"/>
          <w:highlight w:val="none"/>
          <w:u w:val="single"/>
        </w:rPr>
        <w:t>）建筑施工企业安全生产许可证</w:t>
      </w:r>
      <w:r>
        <w:rPr>
          <w:rFonts w:hint="eastAsia"/>
          <w:color w:val="auto"/>
          <w:szCs w:val="21"/>
          <w:highlight w:val="none"/>
          <w:u w:val="single"/>
        </w:rPr>
        <w:t>；</w:t>
      </w:r>
    </w:p>
    <w:p>
      <w:pPr>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（6）项目负责人相关证书；</w:t>
      </w:r>
    </w:p>
    <w:p>
      <w:pPr>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（7）专职安全员相关证书；</w:t>
      </w:r>
    </w:p>
    <w:p>
      <w:pPr>
        <w:adjustRightInd w:val="0"/>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u w:val="single"/>
        </w:rPr>
        <w:t>注：</w:t>
      </w:r>
      <w:r>
        <w:rPr>
          <w:rFonts w:ascii="宋体" w:hAnsi="宋体"/>
          <w:color w:val="auto"/>
          <w:szCs w:val="21"/>
          <w:highlight w:val="none"/>
          <w:u w:val="single"/>
        </w:rPr>
        <w:t>1</w:t>
      </w:r>
      <w:r>
        <w:rPr>
          <w:rFonts w:hint="eastAsia" w:ascii="宋体" w:hAnsi="宋体"/>
          <w:color w:val="auto"/>
          <w:szCs w:val="21"/>
          <w:highlight w:val="none"/>
          <w:u w:val="single"/>
        </w:rPr>
        <w:t>、上述第</w:t>
      </w:r>
      <w:r>
        <w:rPr>
          <w:rFonts w:ascii="宋体" w:hAnsi="宋体"/>
          <w:color w:val="auto"/>
          <w:szCs w:val="21"/>
          <w:highlight w:val="none"/>
          <w:u w:val="single"/>
        </w:rPr>
        <w:t xml:space="preserve"> </w:t>
      </w:r>
      <w:r>
        <w:rPr>
          <w:rFonts w:ascii="宋体" w:hAnsi="宋体"/>
          <w:bCs/>
          <w:color w:val="auto"/>
          <w:szCs w:val="21"/>
          <w:highlight w:val="none"/>
          <w:u w:val="single"/>
        </w:rPr>
        <w:t>11.2.</w:t>
      </w:r>
      <w:r>
        <w:rPr>
          <w:rFonts w:hint="eastAsia" w:ascii="宋体" w:hAnsi="宋体"/>
          <w:bCs/>
          <w:color w:val="auto"/>
          <w:szCs w:val="21"/>
          <w:highlight w:val="none"/>
          <w:u w:val="single"/>
        </w:rPr>
        <w:t>2（</w:t>
      </w:r>
      <w:r>
        <w:rPr>
          <w:rFonts w:ascii="宋体" w:hAnsi="宋体"/>
          <w:bCs/>
          <w:color w:val="auto"/>
          <w:szCs w:val="21"/>
          <w:highlight w:val="none"/>
          <w:u w:val="single"/>
        </w:rPr>
        <w:t>1</w:t>
      </w:r>
      <w:r>
        <w:rPr>
          <w:rFonts w:hint="eastAsia" w:ascii="宋体" w:hAnsi="宋体"/>
          <w:bCs/>
          <w:color w:val="auto"/>
          <w:szCs w:val="21"/>
          <w:highlight w:val="none"/>
          <w:u w:val="single"/>
        </w:rPr>
        <w:t>）</w:t>
      </w:r>
      <w:r>
        <w:rPr>
          <w:rFonts w:ascii="宋体" w:hAnsi="宋体"/>
          <w:bCs/>
          <w:color w:val="auto"/>
          <w:szCs w:val="21"/>
          <w:highlight w:val="none"/>
          <w:u w:val="single"/>
        </w:rPr>
        <w:t>—</w:t>
      </w:r>
      <w:r>
        <w:rPr>
          <w:rFonts w:hint="eastAsia" w:ascii="宋体" w:hAnsi="宋体"/>
          <w:bCs/>
          <w:color w:val="auto"/>
          <w:szCs w:val="21"/>
          <w:highlight w:val="none"/>
          <w:u w:val="single"/>
        </w:rPr>
        <w:t>（</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）条没有要求提交的资料，不作为资格审查不合格的依据。</w:t>
      </w:r>
    </w:p>
    <w:p>
      <w:pPr>
        <w:adjustRightInd w:val="0"/>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11.2.3 项目管理机构配备。</w:t>
      </w:r>
    </w:p>
    <w:p>
      <w:pPr>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（1）投标人应列出该项目工程的施工组织机构构成和画出机构框架图及其负责人；</w:t>
      </w:r>
    </w:p>
    <w:p>
      <w:pPr>
        <w:spacing w:line="420" w:lineRule="exact"/>
        <w:ind w:firstLine="420" w:firstLineChars="200"/>
        <w:rPr>
          <w:rFonts w:ascii="宋体" w:hAnsi="宋体" w:cs="宋体"/>
          <w:bCs/>
          <w:color w:val="auto"/>
          <w:szCs w:val="21"/>
          <w:highlight w:val="none"/>
        </w:rPr>
      </w:pPr>
      <w:r>
        <w:rPr>
          <w:rFonts w:hint="eastAsia" w:ascii="宋体" w:hAnsi="宋体"/>
          <w:bCs/>
          <w:color w:val="auto"/>
          <w:szCs w:val="21"/>
          <w:highlight w:val="none"/>
          <w:u w:val="single"/>
        </w:rPr>
        <w:t>（2）投标人应详细列出该施工组织机构中主要成员的名单、简历资料、职务职称和在本项目中拟担任的职务等资料，并附上有关证明材料扫描件</w:t>
      </w:r>
      <w:r>
        <w:rPr>
          <w:rFonts w:hint="eastAsia" w:ascii="宋体" w:hAnsi="宋体" w:cs="宋体"/>
          <w:color w:val="auto"/>
          <w:szCs w:val="21"/>
          <w:highlight w:val="none"/>
        </w:rPr>
        <w:t>；</w:t>
      </w:r>
    </w:p>
    <w:p>
      <w:pPr>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（3）其他辅助说明资料。</w:t>
      </w:r>
    </w:p>
    <w:p>
      <w:pPr>
        <w:adjustRightInd w:val="0"/>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11.2.</w:t>
      </w:r>
      <w:r>
        <w:rPr>
          <w:rFonts w:ascii="宋体" w:hAnsi="宋体"/>
          <w:bCs/>
          <w:color w:val="auto"/>
          <w:szCs w:val="21"/>
          <w:highlight w:val="none"/>
          <w:u w:val="single"/>
        </w:rPr>
        <w:t xml:space="preserve">4 </w:t>
      </w:r>
      <w:r>
        <w:rPr>
          <w:rFonts w:hint="eastAsia" w:ascii="宋体" w:hAnsi="宋体"/>
          <w:bCs/>
          <w:color w:val="auto"/>
          <w:szCs w:val="21"/>
          <w:highlight w:val="none"/>
          <w:u w:val="single"/>
        </w:rPr>
        <w:t>施工组织设计。</w:t>
      </w:r>
    </w:p>
    <w:p>
      <w:pPr>
        <w:adjustRightInd w:val="0"/>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11.2.</w:t>
      </w:r>
      <w:r>
        <w:rPr>
          <w:rFonts w:ascii="宋体" w:hAnsi="宋体"/>
          <w:bCs/>
          <w:color w:val="auto"/>
          <w:szCs w:val="21"/>
          <w:highlight w:val="none"/>
          <w:u w:val="single"/>
        </w:rPr>
        <w:t>5</w:t>
      </w:r>
      <w:r>
        <w:rPr>
          <w:rFonts w:hint="eastAsia" w:ascii="宋体" w:hAnsi="宋体"/>
          <w:bCs/>
          <w:color w:val="auto"/>
          <w:szCs w:val="21"/>
          <w:highlight w:val="none"/>
          <w:u w:val="single"/>
        </w:rPr>
        <w:t xml:space="preserve"> 招标文件/合同版本响应承诺书。</w:t>
      </w:r>
    </w:p>
    <w:p>
      <w:pPr>
        <w:adjustRightInd w:val="0"/>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11.2.</w:t>
      </w:r>
      <w:r>
        <w:rPr>
          <w:rFonts w:ascii="宋体" w:hAnsi="宋体"/>
          <w:bCs/>
          <w:color w:val="auto"/>
          <w:szCs w:val="21"/>
          <w:highlight w:val="none"/>
          <w:u w:val="single"/>
        </w:rPr>
        <w:t>6</w:t>
      </w:r>
      <w:r>
        <w:rPr>
          <w:rFonts w:hint="eastAsia" w:ascii="宋体" w:hAnsi="宋体"/>
          <w:bCs/>
          <w:color w:val="auto"/>
          <w:szCs w:val="21"/>
          <w:highlight w:val="none"/>
          <w:u w:val="single"/>
        </w:rPr>
        <w:t xml:space="preserve"> 按照招标文件要求填写的《参与编制技术标投标文件人员名单》。</w:t>
      </w:r>
    </w:p>
    <w:p>
      <w:pPr>
        <w:adjustRightInd w:val="0"/>
        <w:spacing w:line="360" w:lineRule="auto"/>
        <w:ind w:firstLine="420" w:firstLineChars="200"/>
        <w:rPr>
          <w:rFonts w:ascii="宋体" w:hAnsi="宋体"/>
          <w:bCs/>
          <w:color w:val="auto"/>
          <w:szCs w:val="21"/>
          <w:highlight w:val="none"/>
          <w:u w:val="single"/>
        </w:rPr>
      </w:pPr>
      <w:r>
        <w:rPr>
          <w:rFonts w:ascii="宋体" w:hAnsi="宋体"/>
          <w:bCs/>
          <w:color w:val="auto"/>
          <w:szCs w:val="21"/>
          <w:highlight w:val="none"/>
          <w:u w:val="single"/>
        </w:rPr>
        <w:t xml:space="preserve">11.2.7 </w:t>
      </w:r>
      <w:r>
        <w:rPr>
          <w:rFonts w:hint="eastAsia" w:ascii="宋体" w:hAnsi="宋体"/>
          <w:bCs/>
          <w:color w:val="auto"/>
          <w:szCs w:val="21"/>
          <w:highlight w:val="none"/>
          <w:u w:val="single"/>
        </w:rPr>
        <w:t>《投标函》。</w:t>
      </w:r>
    </w:p>
    <w:p>
      <w:pPr>
        <w:adjustRightInd w:val="0"/>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11.2.8投标人承接过的类似项目业绩。</w:t>
      </w:r>
    </w:p>
    <w:p>
      <w:pPr>
        <w:adjustRightInd w:val="0"/>
        <w:spacing w:line="360" w:lineRule="auto"/>
        <w:ind w:firstLine="420" w:firstLineChars="200"/>
        <w:rPr>
          <w:rFonts w:ascii="宋体" w:hAnsi="宋体"/>
          <w:bCs/>
          <w:color w:val="auto"/>
          <w:szCs w:val="21"/>
          <w:highlight w:val="none"/>
          <w:u w:val="single"/>
        </w:rPr>
      </w:pPr>
      <w:r>
        <w:rPr>
          <w:rFonts w:ascii="宋体" w:hAnsi="宋体"/>
          <w:bCs/>
          <w:color w:val="auto"/>
          <w:szCs w:val="21"/>
          <w:highlight w:val="none"/>
          <w:u w:val="single"/>
        </w:rPr>
        <w:t xml:space="preserve">11.2.9 </w:t>
      </w:r>
      <w:r>
        <w:rPr>
          <w:rFonts w:hint="eastAsia" w:ascii="宋体" w:hAnsi="宋体" w:cs="宋体"/>
          <w:color w:val="auto"/>
          <w:sz w:val="21"/>
          <w:szCs w:val="21"/>
          <w:highlight w:val="none"/>
          <w:u w:val="single"/>
        </w:rPr>
        <w:t>企业资信</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包括但不限于</w:t>
      </w:r>
      <w:r>
        <w:rPr>
          <w:rFonts w:hint="eastAsia" w:ascii="宋体" w:hAnsi="宋体" w:cs="宋体"/>
          <w:color w:val="auto"/>
          <w:sz w:val="21"/>
          <w:szCs w:val="21"/>
          <w:highlight w:val="none"/>
          <w:u w:val="single"/>
          <w:lang w:eastAsia="zh-CN"/>
        </w:rPr>
        <w:t>投标人业绩（</w:t>
      </w:r>
      <w:r>
        <w:rPr>
          <w:rFonts w:hint="eastAsia" w:ascii="宋体" w:hAnsi="宋体" w:cs="宋体"/>
          <w:color w:val="auto"/>
          <w:sz w:val="21"/>
          <w:szCs w:val="21"/>
          <w:highlight w:val="none"/>
          <w:u w:val="single"/>
          <w:lang w:val="en-US" w:eastAsia="zh-CN"/>
        </w:rPr>
        <w:t>含项目负责人、技术负责人业绩</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获奖、第三方评价、纳税信用评价、</w:t>
      </w:r>
      <w:r>
        <w:rPr>
          <w:rFonts w:hint="default" w:ascii="Times New Roman" w:hAnsi="Times New Roman" w:cs="Times New Roman"/>
          <w:bCs/>
          <w:color w:val="auto"/>
          <w:sz w:val="21"/>
          <w:szCs w:val="21"/>
          <w:highlight w:val="none"/>
          <w:u w:val="single"/>
          <w:lang w:val="en-US" w:eastAsia="zh-CN"/>
        </w:rPr>
        <w:t>信用情况</w:t>
      </w:r>
      <w:r>
        <w:rPr>
          <w:rFonts w:hint="eastAsia" w:ascii="Times New Roman" w:hAnsi="Times New Roman" w:cs="Times New Roman"/>
          <w:bCs/>
          <w:color w:val="auto"/>
          <w:sz w:val="21"/>
          <w:szCs w:val="21"/>
          <w:highlight w:val="none"/>
          <w:u w:val="single"/>
          <w:lang w:val="en-US" w:eastAsia="zh-CN"/>
        </w:rPr>
        <w:t>（</w:t>
      </w:r>
      <w:r>
        <w:rPr>
          <w:rFonts w:hint="default" w:ascii="Times New Roman" w:hAnsi="Times New Roman" w:cs="Times New Roman"/>
          <w:bCs/>
          <w:color w:val="auto"/>
          <w:sz w:val="21"/>
          <w:szCs w:val="21"/>
          <w:highlight w:val="none"/>
          <w:u w:val="single"/>
          <w:lang w:val="en-US" w:eastAsia="zh-CN"/>
        </w:rPr>
        <w:t>信用中国）</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的证明材料</w:t>
      </w:r>
      <w:r>
        <w:rPr>
          <w:rFonts w:hint="eastAsia" w:ascii="宋体" w:hAnsi="宋体" w:cs="宋体"/>
          <w:color w:val="auto"/>
          <w:sz w:val="21"/>
          <w:szCs w:val="21"/>
          <w:highlight w:val="none"/>
          <w:u w:val="single"/>
          <w:lang w:eastAsia="zh-CN"/>
        </w:rPr>
        <w:t>（格式自拟）</w:t>
      </w:r>
      <w:r>
        <w:rPr>
          <w:rFonts w:hint="eastAsia" w:ascii="宋体" w:hAnsi="宋体" w:cs="宋体"/>
          <w:color w:val="auto"/>
          <w:szCs w:val="21"/>
          <w:highlight w:val="none"/>
          <w:u w:val="single"/>
        </w:rPr>
        <w:t>。</w:t>
      </w:r>
    </w:p>
    <w:p>
      <w:pPr>
        <w:adjustRightInd w:val="0"/>
        <w:spacing w:line="360" w:lineRule="auto"/>
        <w:ind w:firstLine="420" w:firstLineChars="200"/>
        <w:rPr>
          <w:rFonts w:ascii="宋体" w:hAnsi="宋体"/>
          <w:bCs/>
          <w:color w:val="auto"/>
          <w:szCs w:val="21"/>
          <w:highlight w:val="none"/>
          <w:u w:val="single"/>
        </w:rPr>
      </w:pPr>
      <w:r>
        <w:rPr>
          <w:rFonts w:ascii="宋体" w:hAnsi="宋体"/>
          <w:bCs/>
          <w:color w:val="auto"/>
          <w:szCs w:val="21"/>
          <w:highlight w:val="none"/>
          <w:u w:val="single"/>
        </w:rPr>
        <w:t>11.2.10</w:t>
      </w:r>
      <w:r>
        <w:rPr>
          <w:rFonts w:hint="eastAsia" w:ascii="宋体" w:hAnsi="宋体"/>
          <w:bCs/>
          <w:color w:val="auto"/>
          <w:szCs w:val="21"/>
          <w:highlight w:val="none"/>
          <w:u w:val="single"/>
        </w:rPr>
        <w:t xml:space="preserve"> 投标人获奖情况表。</w:t>
      </w:r>
    </w:p>
    <w:p>
      <w:pPr>
        <w:adjustRightInd w:val="0"/>
        <w:spacing w:line="360" w:lineRule="auto"/>
        <w:ind w:firstLine="420" w:firstLineChars="200"/>
        <w:rPr>
          <w:rFonts w:ascii="宋体" w:hAnsi="宋体" w:cs="宋体"/>
          <w:bCs/>
          <w:color w:val="auto"/>
          <w:szCs w:val="21"/>
          <w:highlight w:val="none"/>
          <w:u w:val="single"/>
        </w:rPr>
      </w:pPr>
      <w:r>
        <w:rPr>
          <w:rFonts w:ascii="宋体" w:hAnsi="宋体"/>
          <w:bCs/>
          <w:color w:val="auto"/>
          <w:szCs w:val="21"/>
          <w:highlight w:val="none"/>
          <w:u w:val="single"/>
        </w:rPr>
        <w:t>11.2.1</w:t>
      </w: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u w:val="single"/>
        </w:rPr>
        <w:t xml:space="preserve"> 《承诺书》</w:t>
      </w:r>
      <w:r>
        <w:rPr>
          <w:rFonts w:hint="eastAsia" w:ascii="宋体" w:hAnsi="宋体" w:cs="宋体"/>
          <w:bCs/>
          <w:color w:val="auto"/>
          <w:szCs w:val="21"/>
          <w:highlight w:val="none"/>
          <w:u w:val="single"/>
        </w:rPr>
        <w:t>。</w:t>
      </w:r>
    </w:p>
    <w:p>
      <w:pPr>
        <w:adjustRightInd w:val="0"/>
        <w:spacing w:line="360" w:lineRule="auto"/>
        <w:ind w:firstLine="420" w:firstLineChars="200"/>
        <w:rPr>
          <w:rFonts w:ascii="宋体" w:hAnsi="宋体"/>
          <w:bCs/>
          <w:color w:val="auto"/>
          <w:szCs w:val="21"/>
          <w:highlight w:val="none"/>
          <w:u w:val="single"/>
        </w:rPr>
      </w:pPr>
      <w:r>
        <w:rPr>
          <w:rFonts w:ascii="宋体" w:hAnsi="宋体"/>
          <w:bCs/>
          <w:color w:val="auto"/>
          <w:szCs w:val="21"/>
          <w:highlight w:val="none"/>
          <w:u w:val="single"/>
        </w:rPr>
        <w:t>11.2.1</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rPr>
        <w:t xml:space="preserve"> 投标保证金（格式可自定）扫描件。</w:t>
      </w:r>
    </w:p>
    <w:p>
      <w:pPr>
        <w:adjustRightInd w:val="0"/>
        <w:spacing w:line="360" w:lineRule="auto"/>
        <w:ind w:firstLine="420" w:firstLineChars="200"/>
        <w:rPr>
          <w:rFonts w:ascii="宋体" w:hAnsi="宋体"/>
          <w:color w:val="auto"/>
          <w:szCs w:val="21"/>
          <w:highlight w:val="none"/>
          <w:u w:val="single"/>
        </w:rPr>
      </w:pPr>
      <w:r>
        <w:rPr>
          <w:rFonts w:ascii="宋体" w:hAnsi="宋体"/>
          <w:bCs/>
          <w:color w:val="auto"/>
          <w:szCs w:val="21"/>
          <w:highlight w:val="none"/>
          <w:u w:val="single"/>
        </w:rPr>
        <w:t>11.2.</w:t>
      </w:r>
      <w:r>
        <w:rPr>
          <w:rFonts w:hint="eastAsia" w:ascii="宋体" w:hAnsi="宋体"/>
          <w:bCs/>
          <w:color w:val="auto"/>
          <w:szCs w:val="21"/>
          <w:highlight w:val="none"/>
          <w:u w:val="single"/>
          <w:lang w:val="en-US" w:eastAsia="zh-CN"/>
        </w:rPr>
        <w:t>13</w:t>
      </w:r>
      <w:r>
        <w:rPr>
          <w:rFonts w:hint="eastAsia" w:ascii="宋体" w:hAnsi="宋体"/>
          <w:color w:val="auto"/>
          <w:szCs w:val="21"/>
          <w:highlight w:val="none"/>
          <w:u w:val="single"/>
        </w:rPr>
        <w:t>其他资料</w:t>
      </w:r>
      <w:r>
        <w:rPr>
          <w:rFonts w:hint="eastAsia" w:ascii="宋体" w:hAnsi="宋体"/>
          <w:bCs/>
          <w:color w:val="auto"/>
          <w:szCs w:val="21"/>
          <w:highlight w:val="none"/>
          <w:u w:val="single"/>
        </w:rPr>
        <w:t>（其他投标人认为应该提供的资料）。</w:t>
      </w:r>
    </w:p>
    <w:p>
      <w:pPr>
        <w:adjustRightInd w:val="0"/>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 xml:space="preserve">11.3 </w:t>
      </w:r>
      <w:r>
        <w:rPr>
          <w:rFonts w:hint="eastAsia" w:ascii="宋体" w:hAnsi="宋体"/>
          <w:b/>
          <w:bCs/>
          <w:color w:val="auto"/>
          <w:szCs w:val="21"/>
          <w:highlight w:val="none"/>
          <w:u w:val="single"/>
        </w:rPr>
        <w:t>经济部分投标文件</w:t>
      </w:r>
      <w:r>
        <w:rPr>
          <w:rFonts w:hint="eastAsia" w:ascii="宋体" w:hAnsi="宋体"/>
          <w:bCs/>
          <w:color w:val="auto"/>
          <w:szCs w:val="21"/>
          <w:highlight w:val="none"/>
        </w:rPr>
        <w:t>主要包括下列内容:</w:t>
      </w:r>
    </w:p>
    <w:p>
      <w:pPr>
        <w:adjustRightIn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 xml:space="preserve">11.3.1 </w:t>
      </w:r>
      <w:r>
        <w:rPr>
          <w:rFonts w:hint="eastAsia" w:ascii="宋体" w:hAnsi="宋体"/>
          <w:color w:val="auto"/>
          <w:szCs w:val="21"/>
          <w:highlight w:val="none"/>
          <w:u w:val="single"/>
        </w:rPr>
        <w:t>经济投标文件（按招标文件的要求填写）。</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11.3.3 按照招标文件要求填写的《参与编制经济标投标文件人员名单》。</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11.3.4 《对投标文件编制的承诺》。</w:t>
      </w:r>
    </w:p>
    <w:p>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s="宋体"/>
          <w:b/>
          <w:color w:val="auto"/>
          <w:szCs w:val="21"/>
          <w:highlight w:val="none"/>
        </w:rPr>
        <w:t>11.3.</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、1</w:t>
      </w:r>
      <w:r>
        <w:rPr>
          <w:rFonts w:ascii="宋体" w:hAnsi="宋体" w:cs="宋体"/>
          <w:b/>
          <w:color w:val="auto"/>
          <w:szCs w:val="21"/>
          <w:highlight w:val="none"/>
        </w:rPr>
        <w:t>1.3.</w:t>
      </w:r>
      <w:r>
        <w:rPr>
          <w:rFonts w:hint="eastAsia" w:ascii="宋体" w:hAnsi="宋体" w:cs="宋体"/>
          <w:b/>
          <w:color w:val="auto"/>
          <w:szCs w:val="21"/>
          <w:highlight w:val="none"/>
          <w:lang w:val="en-US" w:eastAsia="zh-CN"/>
        </w:rPr>
        <w:t>7</w:t>
      </w:r>
      <w:r>
        <w:rPr>
          <w:rFonts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ascii="宋体" w:hAnsi="宋体" w:cs="宋体"/>
          <w:b/>
          <w:color w:val="auto"/>
          <w:szCs w:val="21"/>
          <w:highlight w:val="none"/>
        </w:rPr>
        <w:t xml:space="preserve">   </w:t>
      </w:r>
      <w:r>
        <w:rPr>
          <w:rFonts w:hint="eastAsia"/>
          <w:b/>
          <w:color w:val="auto"/>
          <w:szCs w:val="21"/>
          <w:highlight w:val="none"/>
        </w:rPr>
        <w:t>修改类型：增加</w:t>
      </w:r>
    </w:p>
    <w:p>
      <w:pPr>
        <w:pBdr>
          <w:bottom w:val="single" w:color="auto" w:sz="6" w:space="1"/>
        </w:pBdr>
        <w:adjustRightInd w:val="0"/>
        <w:spacing w:line="360" w:lineRule="auto"/>
        <w:ind w:firstLine="411" w:firstLineChars="195"/>
        <w:textAlignment w:val="baseline"/>
        <w:rPr>
          <w:rFonts w:ascii="宋体" w:hAnsi="宋体" w:cs="宋体"/>
          <w:b/>
          <w:color w:val="auto"/>
          <w:szCs w:val="21"/>
          <w:highlight w:val="none"/>
        </w:rPr>
      </w:pPr>
      <w:r>
        <w:rPr>
          <w:rFonts w:hint="eastAsia"/>
          <w:b/>
          <w:color w:val="auto"/>
          <w:szCs w:val="21"/>
          <w:highlight w:val="none"/>
        </w:rPr>
        <w:t>现文：</w:t>
      </w:r>
      <w:r>
        <w:rPr>
          <w:rFonts w:ascii="宋体" w:hAnsi="宋体" w:cs="宋体"/>
          <w:b/>
          <w:color w:val="auto"/>
          <w:szCs w:val="21"/>
          <w:highlight w:val="none"/>
        </w:rPr>
        <w:t xml:space="preserve"> </w:t>
      </w:r>
      <w:r>
        <w:rPr>
          <w:rFonts w:hint="eastAsia" w:ascii="宋体" w:hAnsi="宋体" w:cs="宋体"/>
          <w:color w:val="auto"/>
          <w:szCs w:val="21"/>
          <w:highlight w:val="none"/>
          <w:u w:val="single"/>
        </w:rPr>
        <w:t>11.3.</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电子投标管理软件编制的“建设工程施工招标投标书”不作为否决投标的条件，投标人采用电子投标管理软件编制“建设工程施工招标投标书”时无法填写“项目编号”的可以不填写，没有填写“项目编号”也不作为否决投标的条件)；</w:t>
      </w:r>
    </w:p>
    <w:p>
      <w:pPr>
        <w:pBdr>
          <w:bottom w:val="single" w:color="auto" w:sz="6" w:space="1"/>
        </w:pBdr>
        <w:spacing w:line="360" w:lineRule="auto"/>
        <w:ind w:firstLine="525" w:firstLineChars="250"/>
        <w:rPr>
          <w:color w:val="auto"/>
          <w:highlight w:val="none"/>
        </w:rPr>
      </w:pPr>
      <w:r>
        <w:rPr>
          <w:rFonts w:hint="eastAsia" w:ascii="宋体" w:hAnsi="宋体" w:cs="宋体"/>
          <w:color w:val="auto"/>
          <w:szCs w:val="21"/>
          <w:highlight w:val="none"/>
          <w:u w:val="single"/>
        </w:rPr>
        <w:t>11.3.</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投标人认为应提供的其他资料。</w:t>
      </w:r>
    </w:p>
    <w:p>
      <w:pPr>
        <w:pStyle w:val="5"/>
        <w:widowControl/>
        <w:adjustRightInd w:val="0"/>
        <w:spacing w:after="0"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 xml:space="preserve">条款号：12.2  12.3                              </w:t>
      </w:r>
      <w:r>
        <w:rPr>
          <w:rFonts w:ascii="宋体" w:hAnsi="宋体" w:cs="宋体"/>
          <w:b/>
          <w:color w:val="auto"/>
          <w:sz w:val="21"/>
          <w:szCs w:val="21"/>
          <w:highlight w:val="none"/>
        </w:rPr>
        <w:t xml:space="preserve"> </w:t>
      </w:r>
      <w:r>
        <w:rPr>
          <w:rFonts w:hint="eastAsia" w:ascii="宋体" w:hAnsi="宋体" w:cs="宋体"/>
          <w:b/>
          <w:color w:val="auto"/>
          <w:sz w:val="21"/>
          <w:szCs w:val="21"/>
          <w:highlight w:val="none"/>
        </w:rPr>
        <w:t xml:space="preserve">  </w:t>
      </w:r>
      <w:r>
        <w:rPr>
          <w:rFonts w:ascii="宋体" w:hAnsi="宋体" w:cs="宋体"/>
          <w:b/>
          <w:color w:val="auto"/>
          <w:sz w:val="21"/>
          <w:szCs w:val="21"/>
          <w:highlight w:val="none"/>
        </w:rPr>
        <w:t xml:space="preserve">     </w:t>
      </w:r>
      <w:r>
        <w:rPr>
          <w:rFonts w:hint="eastAsia" w:ascii="宋体" w:hAnsi="宋体" w:cs="宋体"/>
          <w:b/>
          <w:color w:val="auto"/>
          <w:sz w:val="21"/>
          <w:szCs w:val="21"/>
          <w:highlight w:val="none"/>
        </w:rPr>
        <w:t xml:space="preserve"> 修改类型：修改</w:t>
      </w:r>
    </w:p>
    <w:p>
      <w:pPr>
        <w:pStyle w:val="5"/>
        <w:spacing w:after="0" w:line="360" w:lineRule="auto"/>
        <w:ind w:firstLine="422" w:firstLineChars="200"/>
        <w:rPr>
          <w:rFonts w:ascii="宋体" w:hAnsi="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pPr>
        <w:pBdr>
          <w:bottom w:val="single" w:color="auto" w:sz="6" w:space="1"/>
        </w:pBd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12.3 </w:t>
      </w:r>
      <w:r>
        <w:rPr>
          <w:rFonts w:hint="eastAsia" w:ascii="宋体" w:hAnsi="宋体"/>
          <w:bCs/>
          <w:color w:val="auto"/>
          <w:szCs w:val="21"/>
          <w:highlight w:val="none"/>
        </w:rPr>
        <w:t>投标文件应按</w:t>
      </w:r>
      <w:r>
        <w:rPr>
          <w:rFonts w:hint="eastAsia" w:ascii="宋体" w:hAnsi="宋体"/>
          <w:color w:val="auto"/>
          <w:szCs w:val="21"/>
          <w:highlight w:val="none"/>
        </w:rPr>
        <w:t>照交易平台关于全流程电子化项目的相关指南进行编制，详见：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Bdr>
          <w:bottom w:val="single" w:color="auto" w:sz="6" w:space="1"/>
        </w:pBd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广州公共资源交易中心网站</w:t>
      </w:r>
      <w:r>
        <w:rPr>
          <w:rFonts w:hint="eastAsia" w:ascii="宋体" w:hAnsi="宋体"/>
          <w:color w:val="auto"/>
          <w:szCs w:val="21"/>
          <w:highlight w:val="none"/>
        </w:rPr>
        <w:t>。</w:t>
      </w:r>
    </w:p>
    <w:p>
      <w:pPr>
        <w:pBdr>
          <w:bottom w:val="single" w:color="auto" w:sz="6" w:space="1"/>
        </w:pBd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12.3</w:t>
      </w:r>
      <w:r>
        <w:rPr>
          <w:rFonts w:hint="eastAsia" w:ascii="宋体" w:hAnsi="宋体"/>
          <w:bCs/>
          <w:color w:val="auto"/>
          <w:szCs w:val="21"/>
          <w:highlight w:val="none"/>
        </w:rPr>
        <w:t>投标文件应按</w:t>
      </w:r>
      <w:r>
        <w:rPr>
          <w:rFonts w:hint="eastAsia" w:ascii="宋体" w:hAnsi="宋体"/>
          <w:color w:val="auto"/>
          <w:szCs w:val="21"/>
          <w:highlight w:val="none"/>
        </w:rPr>
        <w:t>照交易平台关于全流程电子化项目的相关指南进行编制，详见：</w:t>
      </w:r>
      <w:r>
        <w:rPr>
          <w:rFonts w:hint="eastAsia" w:ascii="宋体" w:hAnsi="宋体"/>
          <w:color w:val="auto"/>
          <w:szCs w:val="21"/>
          <w:highlight w:val="none"/>
          <w:u w:val="single"/>
        </w:rPr>
        <w:t>广州公共资源交易中心网站</w:t>
      </w:r>
      <w:r>
        <w:rPr>
          <w:rFonts w:hint="eastAsia" w:ascii="宋体" w:hAnsi="宋体"/>
          <w:color w:val="auto"/>
          <w:szCs w:val="21"/>
          <w:highlight w:val="none"/>
        </w:rPr>
        <w:t>。</w:t>
      </w:r>
    </w:p>
    <w:p>
      <w:pPr>
        <w:pStyle w:val="5"/>
        <w:widowControl/>
        <w:adjustRightInd w:val="0"/>
        <w:spacing w:after="0"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 xml:space="preserve">条款号：13.1 </w:t>
      </w:r>
      <w:r>
        <w:rPr>
          <w:rFonts w:ascii="宋体" w:hAnsi="宋体" w:cs="宋体"/>
          <w:b/>
          <w:color w:val="auto"/>
          <w:sz w:val="21"/>
          <w:szCs w:val="21"/>
          <w:highlight w:val="none"/>
        </w:rPr>
        <w:t xml:space="preserve"> </w:t>
      </w:r>
      <w:r>
        <w:rPr>
          <w:rFonts w:hint="eastAsia" w:ascii="宋体" w:hAnsi="宋体" w:cs="宋体"/>
          <w:b/>
          <w:color w:val="auto"/>
          <w:sz w:val="21"/>
          <w:szCs w:val="21"/>
          <w:highlight w:val="none"/>
          <w:lang w:val="en-US" w:eastAsia="zh-CN"/>
        </w:rPr>
        <w:t>13.3</w:t>
      </w:r>
      <w:r>
        <w:rPr>
          <w:rFonts w:hint="eastAsia" w:ascii="宋体" w:hAnsi="宋体" w:cs="宋体"/>
          <w:b/>
          <w:color w:val="auto"/>
          <w:sz w:val="21"/>
          <w:szCs w:val="21"/>
          <w:highlight w:val="none"/>
        </w:rPr>
        <w:t xml:space="preserve"> </w:t>
      </w:r>
      <w:r>
        <w:rPr>
          <w:rFonts w:ascii="宋体" w:hAnsi="宋体" w:cs="宋体"/>
          <w:b/>
          <w:color w:val="auto"/>
          <w:sz w:val="21"/>
          <w:szCs w:val="21"/>
          <w:highlight w:val="none"/>
        </w:rPr>
        <w:t>13.4   13.5</w:t>
      </w:r>
      <w:r>
        <w:rPr>
          <w:rFonts w:hint="eastAsia" w:ascii="宋体" w:hAnsi="宋体" w:cs="宋体"/>
          <w:b/>
          <w:color w:val="auto"/>
          <w:sz w:val="21"/>
          <w:szCs w:val="21"/>
          <w:highlight w:val="none"/>
        </w:rPr>
        <w:t xml:space="preserve">        </w:t>
      </w:r>
      <w:r>
        <w:rPr>
          <w:rFonts w:ascii="宋体" w:hAnsi="宋体" w:cs="宋体"/>
          <w:b/>
          <w:color w:val="auto"/>
          <w:sz w:val="21"/>
          <w:szCs w:val="21"/>
          <w:highlight w:val="none"/>
        </w:rPr>
        <w:t xml:space="preserve">     </w:t>
      </w:r>
      <w:r>
        <w:rPr>
          <w:rFonts w:hint="eastAsia" w:ascii="宋体" w:hAnsi="宋体" w:cs="宋体"/>
          <w:b/>
          <w:color w:val="auto"/>
          <w:sz w:val="21"/>
          <w:szCs w:val="21"/>
          <w:highlight w:val="none"/>
        </w:rPr>
        <w:t xml:space="preserve">     </w:t>
      </w:r>
      <w:r>
        <w:rPr>
          <w:rFonts w:hint="eastAsia" w:ascii="宋体" w:hAnsi="宋体" w:cs="宋体"/>
          <w:b/>
          <w:color w:val="auto"/>
          <w:sz w:val="21"/>
          <w:szCs w:val="21"/>
          <w:highlight w:val="none"/>
          <w:lang w:val="en-US" w:eastAsia="zh-CN"/>
        </w:rPr>
        <w:t xml:space="preserve">  </w:t>
      </w:r>
      <w:r>
        <w:rPr>
          <w:rFonts w:hint="eastAsia" w:ascii="宋体" w:hAnsi="宋体" w:cs="宋体"/>
          <w:b/>
          <w:color w:val="auto"/>
          <w:sz w:val="21"/>
          <w:szCs w:val="21"/>
          <w:highlight w:val="none"/>
        </w:rPr>
        <w:t>修改类型：修改</w:t>
      </w:r>
    </w:p>
    <w:p>
      <w:pPr>
        <w:pStyle w:val="5"/>
        <w:widowControl/>
        <w:adjustRightIn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13.1本工程的投标报价采用投标须知前附表第12项所规定的方式。投标报价（含单价及总价）精确到“分”。</w:t>
      </w:r>
    </w:p>
    <w:p>
      <w:pPr>
        <w:pStyle w:val="5"/>
        <w:widowControl/>
        <w:adjustRightInd w:val="0"/>
        <w:spacing w:after="0" w:line="360" w:lineRule="auto"/>
        <w:ind w:firstLineChars="200"/>
        <w:rPr>
          <w:rFonts w:hint="eastAsia" w:ascii="宋体" w:hAnsi="宋体" w:cs="宋体"/>
          <w:color w:val="auto"/>
          <w:szCs w:val="21"/>
          <w:highlight w:val="none"/>
        </w:rPr>
      </w:pPr>
      <w:bookmarkStart w:id="4" w:name="_Hlk54472844"/>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widowControl/>
        <w:adjustRightIn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widowControl/>
        <w:adjustRightIn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bookmarkEnd w:id="4"/>
    </w:p>
    <w:p>
      <w:pPr>
        <w:pBdr>
          <w:bottom w:val="single" w:color="auto" w:sz="6" w:space="1"/>
        </w:pBdr>
        <w:adjustRightIn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13.1 本工程的投标报价采用投标须知前附表第12项所规定的方式。</w:t>
      </w:r>
      <w:r>
        <w:rPr>
          <w:rFonts w:hint="eastAsia" w:ascii="宋体" w:hAnsi="宋体" w:cs="宋体"/>
          <w:color w:val="auto"/>
          <w:szCs w:val="21"/>
          <w:highlight w:val="none"/>
          <w:u w:val="single"/>
        </w:rPr>
        <w:t>投标文件中的大写金额和</w:t>
      </w:r>
      <w:r>
        <w:rPr>
          <w:rFonts w:hint="eastAsia" w:ascii="宋体" w:hAnsi="宋体" w:cs="宋体"/>
          <w:bCs/>
          <w:color w:val="auto"/>
          <w:szCs w:val="21"/>
          <w:highlight w:val="none"/>
          <w:u w:val="single"/>
        </w:rPr>
        <w:t>小写</w:t>
      </w:r>
      <w:r>
        <w:rPr>
          <w:rFonts w:hint="eastAsia" w:ascii="宋体" w:hAnsi="宋体" w:cs="宋体"/>
          <w:color w:val="auto"/>
          <w:szCs w:val="21"/>
          <w:highlight w:val="none"/>
          <w:u w:val="single"/>
        </w:rPr>
        <w:t>金额不一致的，以大写金额为准。投标报价精确到“分”。</w:t>
      </w:r>
    </w:p>
    <w:p>
      <w:pPr>
        <w:pBdr>
          <w:bottom w:val="single" w:color="auto" w:sz="6" w:space="1"/>
        </w:pBd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w:t>
      </w:r>
      <w:r>
        <w:rPr>
          <w:rFonts w:hint="eastAsia" w:ascii="宋体" w:hAnsi="宋体" w:cs="宋体"/>
          <w:color w:val="auto"/>
          <w:szCs w:val="21"/>
          <w:highlight w:val="none"/>
          <w:u w:val="single"/>
        </w:rPr>
        <w:t>（含招标的相关资料）</w:t>
      </w:r>
      <w:r>
        <w:rPr>
          <w:rFonts w:hint="eastAsia" w:ascii="宋体" w:hAnsi="宋体" w:cs="宋体"/>
          <w:color w:val="auto"/>
          <w:szCs w:val="21"/>
          <w:highlight w:val="none"/>
        </w:rPr>
        <w:t>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adjustRightInd w:val="0"/>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13.4投标人一旦中标，</w:t>
      </w:r>
      <w:r>
        <w:rPr>
          <w:rFonts w:hint="eastAsia" w:ascii="宋体" w:hAnsi="宋体" w:cs="宋体"/>
          <w:color w:val="auto"/>
          <w:szCs w:val="21"/>
          <w:highlight w:val="none"/>
          <w:u w:val="single"/>
        </w:rPr>
        <w:t>因计算的实际工程量与招标清单工程量出现偏差或因工程变更等原因导致的工程量偏差时</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按照本项目</w:t>
      </w:r>
      <w:r>
        <w:rPr>
          <w:rFonts w:hint="eastAsia" w:ascii="宋体" w:hAnsi="宋体" w:cs="宋体"/>
          <w:color w:val="auto"/>
          <w:szCs w:val="21"/>
          <w:highlight w:val="none"/>
          <w:u w:val="single"/>
        </w:rPr>
        <w:t>合同相关规定执行。</w:t>
      </w:r>
      <w:r>
        <w:rPr>
          <w:rFonts w:hint="eastAsia" w:ascii="宋体" w:hAnsi="宋体" w:cs="宋体"/>
          <w:color w:val="auto"/>
          <w:szCs w:val="21"/>
          <w:highlight w:val="none"/>
          <w:u w:val="single"/>
          <w:lang w:val="en-US" w:eastAsia="zh-CN"/>
        </w:rPr>
        <w:t>具体以招标文件所附合同条款相关约定为准。</w:t>
      </w:r>
    </w:p>
    <w:p>
      <w:pPr>
        <w:pBdr>
          <w:bottom w:val="single" w:color="auto" w:sz="6" w:space="1"/>
        </w:pBd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color w:val="auto"/>
          <w:szCs w:val="21"/>
          <w:highlight w:val="none"/>
          <w:u w:val="single"/>
        </w:rPr>
        <w:t>工程项目实施期间和结算时，设计变更产生的工程项目，按合同变更估价原则确定价格。</w:t>
      </w:r>
      <w:r>
        <w:rPr>
          <w:rFonts w:hint="eastAsia" w:ascii="宋体" w:hAnsi="宋体" w:cs="宋体"/>
          <w:color w:val="auto"/>
          <w:szCs w:val="21"/>
          <w:highlight w:val="none"/>
          <w:u w:val="single"/>
          <w:lang w:val="en-US" w:eastAsia="zh-CN"/>
        </w:rPr>
        <w:t>具体以招标文件所附合同条款相关约定为准。</w:t>
      </w:r>
    </w:p>
    <w:p>
      <w:pPr>
        <w:spacing w:line="360" w:lineRule="auto"/>
        <w:ind w:firstLine="413" w:firstLineChars="196"/>
        <w:rPr>
          <w:rFonts w:ascii="宋体" w:hAnsi="宋体" w:cs="宋体"/>
          <w:b/>
          <w:color w:val="auto"/>
          <w:sz w:val="24"/>
          <w:szCs w:val="24"/>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13.6.2</w:t>
      </w: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 xml:space="preserve">  </w:t>
      </w:r>
      <w:r>
        <w:rPr>
          <w:rFonts w:ascii="宋体" w:hAnsi="宋体" w:cs="宋体"/>
          <w:b/>
          <w:color w:val="auto"/>
          <w:sz w:val="24"/>
          <w:szCs w:val="24"/>
          <w:highlight w:val="none"/>
        </w:rPr>
        <w:t xml:space="preserve"> </w:t>
      </w:r>
      <w:r>
        <w:rPr>
          <w:rFonts w:hint="eastAsia" w:ascii="宋体" w:hAnsi="宋体" w:cs="宋体"/>
          <w:b/>
          <w:color w:val="auto"/>
          <w:szCs w:val="21"/>
          <w:highlight w:val="none"/>
        </w:rPr>
        <w:t>修改类型：修改</w:t>
      </w:r>
    </w:p>
    <w:p>
      <w:pPr>
        <w:pStyle w:val="5"/>
        <w:spacing w:after="0" w:line="360" w:lineRule="auto"/>
        <w:ind w:firstLine="402" w:firstLineChars="200"/>
        <w:rPr>
          <w:rFonts w:ascii="宋体" w:hAnsi="宋体" w:cs="宋体"/>
          <w:color w:val="auto"/>
          <w:sz w:val="24"/>
          <w:szCs w:val="24"/>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spacing w:line="360" w:lineRule="auto"/>
        <w:ind w:firstLine="422" w:firstLineChars="200"/>
        <w:rPr>
          <w:rFonts w:ascii="宋体" w:hAnsi="宋体" w:cs="宋体"/>
          <w:color w:val="auto"/>
          <w:sz w:val="24"/>
          <w:szCs w:val="24"/>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w:t>
      </w:r>
      <w:r>
        <w:rPr>
          <w:rFonts w:hint="eastAsia" w:ascii="宋体" w:hAnsi="宋体" w:cs="宋体"/>
          <w:color w:val="auto"/>
          <w:szCs w:val="21"/>
          <w:highlight w:val="none"/>
          <w:u w:val="single"/>
        </w:rPr>
        <w:t>达到法定招标范围标准的应由招标人招标确定承包人和承包价格。</w:t>
      </w:r>
    </w:p>
    <w:p>
      <w:pPr>
        <w:spacing w:line="360" w:lineRule="auto"/>
        <w:ind w:firstLine="413" w:firstLineChars="196"/>
        <w:rPr>
          <w:rFonts w:ascii="宋体" w:hAnsi="宋体" w:cs="宋体"/>
          <w:b/>
          <w:color w:val="auto"/>
          <w:sz w:val="24"/>
          <w:szCs w:val="24"/>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13.6.4</w:t>
      </w: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lang w:val="en-US" w:eastAsia="zh-CN"/>
        </w:rPr>
        <w:t xml:space="preserve">        </w:t>
      </w:r>
      <w:r>
        <w:rPr>
          <w:rFonts w:ascii="宋体" w:hAnsi="宋体" w:cs="宋体"/>
          <w:b/>
          <w:color w:val="auto"/>
          <w:sz w:val="24"/>
          <w:szCs w:val="24"/>
          <w:highlight w:val="none"/>
        </w:rPr>
        <w:t xml:space="preserve"> </w:t>
      </w:r>
      <w:r>
        <w:rPr>
          <w:rFonts w:hint="eastAsia" w:ascii="宋体" w:hAnsi="宋体" w:cs="宋体"/>
          <w:b/>
          <w:color w:val="auto"/>
          <w:szCs w:val="21"/>
          <w:highlight w:val="none"/>
        </w:rPr>
        <w:t>修改类型：修改</w:t>
      </w:r>
    </w:p>
    <w:p>
      <w:pPr>
        <w:pStyle w:val="5"/>
        <w:spacing w:after="0" w:line="360" w:lineRule="auto"/>
        <w:ind w:firstLine="402" w:firstLineChars="200"/>
        <w:rPr>
          <w:rFonts w:ascii="宋体" w:hAnsi="宋体" w:cs="宋体"/>
          <w:color w:val="auto"/>
          <w:sz w:val="24"/>
          <w:szCs w:val="24"/>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5"/>
        <w:pBdr>
          <w:bottom w:val="single" w:color="auto" w:sz="4" w:space="0"/>
        </w:pBdr>
        <w:spacing w:after="0" w:line="420" w:lineRule="exact"/>
        <w:ind w:left="0" w:leftChars="0" w:firstLine="40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Cs w:val="21"/>
          <w:highlight w:val="none"/>
          <w:u w:val="single"/>
        </w:rPr>
        <w:t>经发包人同意，</w:t>
      </w:r>
      <w:r>
        <w:rPr>
          <w:rFonts w:hint="eastAsia" w:ascii="宋体" w:hAnsi="宋体" w:cs="宋体"/>
          <w:color w:val="auto"/>
          <w:szCs w:val="21"/>
          <w:highlight w:val="none"/>
        </w:rPr>
        <w:t>承包人有法定的承包资格的，由承包人承包，承包人无法定的承包资格但有法定的分包权的，由承包人分包，招标人同承包人结算的价格按</w:t>
      </w:r>
      <w:r>
        <w:rPr>
          <w:rFonts w:hint="eastAsia" w:ascii="宋体" w:hAnsi="宋体" w:cs="宋体"/>
          <w:color w:val="auto"/>
          <w:szCs w:val="21"/>
          <w:highlight w:val="none"/>
          <w:u w:val="single"/>
        </w:rPr>
        <w:t>本</w:t>
      </w:r>
      <w:r>
        <w:rPr>
          <w:rFonts w:hint="eastAsia" w:ascii="宋体" w:hAnsi="宋体" w:cs="宋体"/>
          <w:color w:val="auto"/>
          <w:szCs w:val="21"/>
          <w:highlight w:val="none"/>
          <w:u w:val="single"/>
          <w:lang w:eastAsia="zh-CN"/>
        </w:rPr>
        <w:t>项目合同规定条款</w:t>
      </w:r>
      <w:r>
        <w:rPr>
          <w:rFonts w:hint="eastAsia" w:ascii="宋体" w:hAnsi="宋体" w:cs="宋体"/>
          <w:color w:val="auto"/>
          <w:szCs w:val="21"/>
          <w:highlight w:val="none"/>
        </w:rPr>
        <w:t>确定。</w:t>
      </w:r>
    </w:p>
    <w:p>
      <w:pPr>
        <w:pStyle w:val="5"/>
        <w:spacing w:after="0" w:line="420" w:lineRule="exact"/>
        <w:ind w:left="424" w:leftChars="202" w:firstLine="0"/>
        <w:rPr>
          <w:rFonts w:ascii="宋体" w:hAnsi="宋体" w:cs="宋体"/>
          <w:b/>
          <w:color w:val="auto"/>
          <w:sz w:val="21"/>
          <w:szCs w:val="21"/>
          <w:highlight w:val="none"/>
        </w:rPr>
      </w:pPr>
      <w:r>
        <w:rPr>
          <w:rFonts w:hint="eastAsia" w:ascii="宋体" w:hAnsi="宋体" w:cs="宋体"/>
          <w:b/>
          <w:color w:val="auto"/>
          <w:sz w:val="21"/>
          <w:szCs w:val="21"/>
          <w:highlight w:val="none"/>
        </w:rPr>
        <w:t>条款号：</w:t>
      </w:r>
      <w:r>
        <w:rPr>
          <w:rFonts w:ascii="宋体" w:hAnsi="宋体" w:cs="宋体"/>
          <w:b/>
          <w:bCs/>
          <w:color w:val="auto"/>
          <w:sz w:val="21"/>
          <w:szCs w:val="21"/>
          <w:highlight w:val="none"/>
        </w:rPr>
        <w:t xml:space="preserve">16.1 </w:t>
      </w:r>
      <w:r>
        <w:rPr>
          <w:rFonts w:ascii="宋体" w:hAnsi="宋体" w:cs="宋体"/>
          <w:color w:val="auto"/>
          <w:sz w:val="21"/>
          <w:szCs w:val="21"/>
          <w:highlight w:val="none"/>
        </w:rPr>
        <w:t xml:space="preserve">   </w:t>
      </w:r>
      <w:r>
        <w:rPr>
          <w:rFonts w:ascii="宋体" w:hAnsi="宋体" w:cs="宋体"/>
          <w:b/>
          <w:color w:val="auto"/>
          <w:sz w:val="21"/>
          <w:szCs w:val="21"/>
          <w:highlight w:val="none"/>
        </w:rPr>
        <w:t xml:space="preserve">       </w:t>
      </w:r>
      <w:r>
        <w:rPr>
          <w:rFonts w:hint="eastAsia" w:ascii="宋体" w:hAnsi="宋体" w:cs="宋体"/>
          <w:b/>
          <w:color w:val="auto"/>
          <w:sz w:val="21"/>
          <w:szCs w:val="21"/>
          <w:highlight w:val="none"/>
          <w:lang w:val="en-US" w:eastAsia="zh-CN"/>
        </w:rPr>
        <w:t xml:space="preserve">                         </w:t>
      </w:r>
      <w:r>
        <w:rPr>
          <w:rFonts w:ascii="宋体" w:hAnsi="宋体" w:cs="宋体"/>
          <w:b/>
          <w:color w:val="auto"/>
          <w:sz w:val="21"/>
          <w:szCs w:val="21"/>
          <w:highlight w:val="none"/>
        </w:rPr>
        <w:t xml:space="preserve">  修改类型：修改</w:t>
      </w:r>
    </w:p>
    <w:p>
      <w:pPr>
        <w:pStyle w:val="5"/>
        <w:spacing w:after="0" w:line="42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ascii="宋体" w:hAnsi="宋体" w:cs="宋体"/>
          <w:color w:val="auto"/>
          <w:sz w:val="21"/>
          <w:szCs w:val="21"/>
          <w:highlight w:val="none"/>
        </w:rPr>
        <w:t>16.1投标人应按投标须知前附表第14项所述金额和时间递交投标保证金。投标保证金以现金或者支票形式提交的，必须由投标人的银行基本账户转出。</w:t>
      </w:r>
    </w:p>
    <w:p>
      <w:pPr>
        <w:pStyle w:val="5"/>
        <w:pBdr>
          <w:bottom w:val="single" w:color="auto" w:sz="6" w:space="1"/>
        </w:pBdr>
        <w:spacing w:after="0" w:line="420" w:lineRule="exact"/>
        <w:ind w:firstLine="422" w:firstLineChars="200"/>
        <w:rPr>
          <w:rFonts w:ascii="宋体" w:hAnsi="宋体" w:cs="宋体"/>
          <w:color w:val="auto"/>
          <w:sz w:val="21"/>
          <w:szCs w:val="21"/>
          <w:highlight w:val="none"/>
          <w:u w:val="single"/>
        </w:rPr>
      </w:pPr>
      <w:r>
        <w:rPr>
          <w:rFonts w:hint="eastAsia" w:ascii="宋体" w:hAnsi="宋体" w:cs="宋体"/>
          <w:b/>
          <w:color w:val="auto"/>
          <w:sz w:val="21"/>
          <w:szCs w:val="21"/>
          <w:highlight w:val="none"/>
        </w:rPr>
        <w:t>现文：</w:t>
      </w:r>
      <w:r>
        <w:rPr>
          <w:rFonts w:ascii="宋体" w:hAnsi="宋体" w:cs="宋体"/>
          <w:color w:val="auto"/>
          <w:sz w:val="21"/>
          <w:szCs w:val="21"/>
          <w:highlight w:val="none"/>
        </w:rPr>
        <w:t>16.1投标人应按投标须知前附表第14项所述金额和时间递交投标保证金。</w:t>
      </w:r>
      <w:r>
        <w:rPr>
          <w:rFonts w:hint="eastAsia" w:ascii="宋体" w:hAnsi="宋体" w:cs="宋体"/>
          <w:color w:val="auto"/>
          <w:sz w:val="21"/>
          <w:szCs w:val="21"/>
          <w:highlight w:val="none"/>
          <w:u w:val="single"/>
        </w:rPr>
        <w:t>招标人应当允许投标人自主选择现金、银行保函、保证保险、专业工程担保公司担保等方式缴纳投标保证金。</w:t>
      </w:r>
    </w:p>
    <w:p>
      <w:pPr>
        <w:pStyle w:val="5"/>
        <w:pBdr>
          <w:bottom w:val="single" w:color="auto" w:sz="6" w:space="1"/>
        </w:pBdr>
        <w:spacing w:after="0" w:line="420" w:lineRule="exact"/>
        <w:ind w:firstLineChars="200"/>
        <w:rPr>
          <w:rFonts w:ascii="宋体" w:hAnsi="宋体" w:cs="宋体"/>
          <w:color w:val="auto"/>
          <w:sz w:val="21"/>
          <w:szCs w:val="21"/>
          <w:highlight w:val="none"/>
          <w:u w:val="single"/>
        </w:rPr>
      </w:pPr>
      <w:r>
        <w:rPr>
          <w:rFonts w:ascii="宋体" w:hAnsi="宋体" w:cs="宋体"/>
          <w:color w:val="auto"/>
          <w:sz w:val="21"/>
          <w:szCs w:val="21"/>
          <w:highlight w:val="none"/>
          <w:u w:val="single"/>
        </w:rPr>
        <w:t xml:space="preserve">16.1.1 </w:t>
      </w:r>
      <w:r>
        <w:rPr>
          <w:rFonts w:hint="eastAsia" w:ascii="宋体" w:hAnsi="宋体" w:cs="宋体"/>
          <w:color w:val="auto"/>
          <w:sz w:val="21"/>
          <w:szCs w:val="21"/>
          <w:highlight w:val="none"/>
          <w:u w:val="single"/>
        </w:rPr>
        <w:t>采用现金或者支票形式提交的，投标保证金须从投标人的银行基本账户转出。</w:t>
      </w:r>
    </w:p>
    <w:p>
      <w:pPr>
        <w:pStyle w:val="5"/>
        <w:pBdr>
          <w:bottom w:val="single" w:color="auto" w:sz="6" w:space="1"/>
        </w:pBdr>
        <w:spacing w:after="0" w:line="420" w:lineRule="exact"/>
        <w:ind w:firstLineChars="200"/>
        <w:rPr>
          <w:rFonts w:ascii="宋体" w:hAnsi="宋体" w:cs="宋体"/>
          <w:color w:val="auto"/>
          <w:sz w:val="21"/>
          <w:szCs w:val="21"/>
          <w:highlight w:val="none"/>
          <w:u w:val="single"/>
        </w:rPr>
      </w:pPr>
      <w:r>
        <w:rPr>
          <w:rFonts w:ascii="宋体" w:hAnsi="宋体" w:cs="宋体"/>
          <w:color w:val="auto"/>
          <w:sz w:val="21"/>
          <w:szCs w:val="21"/>
          <w:highlight w:val="none"/>
          <w:u w:val="single"/>
        </w:rPr>
        <w:t xml:space="preserve">16.1.2 </w:t>
      </w:r>
      <w:r>
        <w:rPr>
          <w:rFonts w:hint="eastAsia" w:ascii="宋体" w:hAnsi="宋体" w:cs="宋体"/>
          <w:color w:val="auto"/>
          <w:sz w:val="21"/>
          <w:szCs w:val="21"/>
          <w:highlight w:val="none"/>
          <w:u w:val="single"/>
        </w:rPr>
        <w:t>如采用非电子形式的银行保函、专业工程担保公司担保或保证保险提交投标保证金的，在开标前不强制要求投标人提交纸质原件，由中标候选人在中标候选人公示前提交，投标人应在投标文件中提交保函、担保或保证保险扫描件并加盖投标人电子印章。如投标人存在</w:t>
      </w:r>
      <w:r>
        <w:rPr>
          <w:rFonts w:ascii="宋体" w:hAnsi="宋体" w:cs="宋体"/>
          <w:color w:val="auto"/>
          <w:sz w:val="21"/>
          <w:szCs w:val="21"/>
          <w:highlight w:val="none"/>
          <w:u w:val="single"/>
        </w:rPr>
        <w:t>16.4条款所列情形的，应将纸质原件提交给招标人。</w:t>
      </w:r>
    </w:p>
    <w:p>
      <w:pPr>
        <w:pBdr>
          <w:bottom w:val="single" w:color="auto" w:sz="6" w:space="1"/>
        </w:pBdr>
        <w:spacing w:line="420" w:lineRule="exact"/>
        <w:ind w:firstLine="420" w:firstLineChars="200"/>
        <w:rPr>
          <w:rFonts w:ascii="宋体" w:hAnsi="宋体" w:cs="宋体"/>
          <w:color w:val="auto"/>
          <w:szCs w:val="21"/>
          <w:highlight w:val="none"/>
          <w:u w:val="single"/>
        </w:rPr>
      </w:pPr>
      <w:r>
        <w:rPr>
          <w:rFonts w:ascii="宋体" w:hAnsi="宋体" w:cs="宋体"/>
          <w:color w:val="auto"/>
          <w:szCs w:val="21"/>
          <w:highlight w:val="none"/>
          <w:u w:val="single"/>
        </w:rPr>
        <w:t xml:space="preserve">16.1.3 </w:t>
      </w:r>
      <w:r>
        <w:rPr>
          <w:rFonts w:hint="eastAsia" w:ascii="宋体" w:hAnsi="宋体" w:cs="宋体"/>
          <w:color w:val="auto"/>
          <w:szCs w:val="21"/>
          <w:highlight w:val="none"/>
          <w:u w:val="single"/>
        </w:rPr>
        <w:t>采用电子形式的保函、担保或保证保险提交投标保证金的，具体操作要求详见广州公共资源交易中心有关指引，递交事宜请自行咨询交易中心。</w:t>
      </w:r>
    </w:p>
    <w:p>
      <w:pPr>
        <w:pStyle w:val="5"/>
        <w:spacing w:after="0" w:line="42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条款号：</w:t>
      </w:r>
      <w:r>
        <w:rPr>
          <w:rFonts w:ascii="宋体" w:hAnsi="宋体" w:cs="宋体"/>
          <w:b/>
          <w:color w:val="auto"/>
          <w:sz w:val="21"/>
          <w:szCs w:val="21"/>
          <w:highlight w:val="none"/>
        </w:rPr>
        <w:t xml:space="preserve">16.2-16.7            </w:t>
      </w:r>
      <w:r>
        <w:rPr>
          <w:rFonts w:hint="eastAsia" w:ascii="宋体" w:hAnsi="宋体" w:cs="宋体"/>
          <w:b/>
          <w:color w:val="auto"/>
          <w:sz w:val="21"/>
          <w:szCs w:val="21"/>
          <w:highlight w:val="none"/>
          <w:lang w:val="en-US" w:eastAsia="zh-CN"/>
        </w:rPr>
        <w:t xml:space="preserve">                   </w:t>
      </w:r>
      <w:r>
        <w:rPr>
          <w:rFonts w:ascii="宋体" w:hAnsi="宋体" w:cs="宋体"/>
          <w:b/>
          <w:color w:val="auto"/>
          <w:sz w:val="21"/>
          <w:szCs w:val="21"/>
          <w:highlight w:val="none"/>
        </w:rPr>
        <w:t xml:space="preserve"> </w:t>
      </w:r>
      <w:r>
        <w:rPr>
          <w:rFonts w:hint="eastAsia" w:ascii="宋体" w:hAnsi="宋体" w:cs="宋体"/>
          <w:b/>
          <w:color w:val="auto"/>
          <w:sz w:val="21"/>
          <w:szCs w:val="21"/>
          <w:highlight w:val="none"/>
        </w:rPr>
        <w:t>修改类型：修改</w:t>
      </w:r>
    </w:p>
    <w:p>
      <w:pPr>
        <w:pStyle w:val="5"/>
        <w:spacing w:after="0" w:line="42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ascii="宋体" w:hAnsi="宋体" w:cs="宋体"/>
          <w:color w:val="auto"/>
          <w:sz w:val="21"/>
          <w:szCs w:val="21"/>
          <w:highlight w:val="none"/>
        </w:rPr>
        <w:t>16.2招标人可委托</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交易平台具体实施保证金的收取和退还工作。通过</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交易平台递交投标保证金的相关事宜，请自行咨询</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w:t>
      </w:r>
    </w:p>
    <w:p>
      <w:pPr>
        <w:pStyle w:val="5"/>
        <w:spacing w:after="0" w:line="420" w:lineRule="exact"/>
        <w:ind w:firstLineChars="200"/>
        <w:rPr>
          <w:rFonts w:ascii="宋体" w:hAnsi="宋体" w:cs="宋体"/>
          <w:color w:val="auto"/>
          <w:sz w:val="21"/>
          <w:szCs w:val="21"/>
          <w:highlight w:val="none"/>
        </w:rPr>
      </w:pPr>
      <w:r>
        <w:rPr>
          <w:rFonts w:ascii="宋体" w:hAnsi="宋体" w:cs="宋体"/>
          <w:color w:val="auto"/>
          <w:sz w:val="21"/>
          <w:szCs w:val="21"/>
          <w:highlight w:val="none"/>
        </w:rPr>
        <w:t>16.3</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交易平台代收投标保证金的，其缴纳情况以</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交易平台数据库记录的信息为准。</w:t>
      </w:r>
    </w:p>
    <w:p>
      <w:pPr>
        <w:pStyle w:val="5"/>
        <w:spacing w:after="0" w:line="420" w:lineRule="exact"/>
        <w:ind w:firstLineChars="200"/>
        <w:rPr>
          <w:rFonts w:ascii="宋体" w:hAnsi="宋体" w:cs="宋体"/>
          <w:color w:val="auto"/>
          <w:sz w:val="21"/>
          <w:szCs w:val="21"/>
          <w:highlight w:val="none"/>
        </w:rPr>
      </w:pPr>
      <w:r>
        <w:rPr>
          <w:rFonts w:ascii="宋体" w:hAnsi="宋体" w:cs="宋体"/>
          <w:color w:val="auto"/>
          <w:sz w:val="21"/>
          <w:szCs w:val="21"/>
          <w:highlight w:val="none"/>
        </w:rPr>
        <w:t>16.4开标时投标人没有按要求提供投标保证金的，其投标文件将被否决。</w:t>
      </w:r>
    </w:p>
    <w:p>
      <w:pPr>
        <w:pStyle w:val="5"/>
        <w:spacing w:after="0" w:line="420" w:lineRule="exact"/>
        <w:ind w:firstLineChars="200"/>
        <w:rPr>
          <w:rFonts w:ascii="宋体" w:hAnsi="宋体" w:cs="宋体"/>
          <w:color w:val="auto"/>
          <w:sz w:val="21"/>
          <w:szCs w:val="21"/>
          <w:highlight w:val="none"/>
        </w:rPr>
      </w:pPr>
      <w:r>
        <w:rPr>
          <w:rFonts w:ascii="宋体" w:hAnsi="宋体" w:cs="宋体"/>
          <w:color w:val="auto"/>
          <w:sz w:val="21"/>
          <w:szCs w:val="21"/>
          <w:highlight w:val="none"/>
        </w:rPr>
        <w:t>16.5中标候选人以外的投标人的投标保证金将尽快退还，最迟不超过中标通知书发出之日起五日内。</w:t>
      </w:r>
    </w:p>
    <w:p>
      <w:pPr>
        <w:pStyle w:val="5"/>
        <w:spacing w:after="0" w:line="420" w:lineRule="exact"/>
        <w:ind w:firstLineChars="200"/>
        <w:rPr>
          <w:rFonts w:ascii="宋体" w:hAnsi="宋体" w:cs="宋体"/>
          <w:color w:val="auto"/>
          <w:sz w:val="21"/>
          <w:szCs w:val="21"/>
          <w:highlight w:val="none"/>
        </w:rPr>
      </w:pPr>
      <w:r>
        <w:rPr>
          <w:rFonts w:ascii="宋体" w:hAnsi="宋体" w:cs="宋体"/>
          <w:color w:val="auto"/>
          <w:sz w:val="21"/>
          <w:szCs w:val="21"/>
          <w:highlight w:val="none"/>
        </w:rPr>
        <w:t>16.6中标人和其他中标候选人的投标保证金，在书面合同订立之日起五日内予以退还。</w:t>
      </w:r>
    </w:p>
    <w:p>
      <w:pPr>
        <w:pStyle w:val="5"/>
        <w:spacing w:after="0" w:line="420" w:lineRule="exact"/>
        <w:ind w:firstLineChars="200"/>
        <w:rPr>
          <w:rFonts w:ascii="宋体" w:hAnsi="宋体" w:cs="宋体"/>
          <w:color w:val="auto"/>
          <w:sz w:val="21"/>
          <w:szCs w:val="21"/>
          <w:highlight w:val="none"/>
        </w:rPr>
      </w:pPr>
      <w:r>
        <w:rPr>
          <w:rFonts w:ascii="宋体" w:hAnsi="宋体" w:cs="宋体"/>
          <w:color w:val="auto"/>
          <w:sz w:val="21"/>
          <w:szCs w:val="21"/>
          <w:highlight w:val="none"/>
        </w:rPr>
        <w:t>16.7如有下列情况之一的，招标人不予退还投标保证金：</w:t>
      </w:r>
    </w:p>
    <w:p>
      <w:pPr>
        <w:pStyle w:val="5"/>
        <w:spacing w:after="0" w:line="420" w:lineRule="exact"/>
        <w:ind w:firstLineChars="200"/>
        <w:rPr>
          <w:rFonts w:ascii="宋体" w:hAnsi="宋体" w:cs="宋体"/>
          <w:color w:val="auto"/>
          <w:sz w:val="21"/>
          <w:szCs w:val="21"/>
          <w:highlight w:val="none"/>
        </w:rPr>
      </w:pPr>
      <w:r>
        <w:rPr>
          <w:rFonts w:ascii="宋体" w:hAnsi="宋体" w:cs="宋体"/>
          <w:color w:val="auto"/>
          <w:sz w:val="21"/>
          <w:szCs w:val="21"/>
          <w:highlight w:val="none"/>
        </w:rPr>
        <w:t>16.7.1因投标人原因造成投标文件未解密的；</w:t>
      </w:r>
    </w:p>
    <w:p>
      <w:pPr>
        <w:pStyle w:val="5"/>
        <w:spacing w:after="0" w:line="420" w:lineRule="exact"/>
        <w:ind w:firstLineChars="200"/>
        <w:rPr>
          <w:rFonts w:ascii="宋体" w:hAnsi="宋体" w:cs="宋体"/>
          <w:color w:val="auto"/>
          <w:sz w:val="21"/>
          <w:szCs w:val="21"/>
          <w:highlight w:val="none"/>
        </w:rPr>
      </w:pPr>
      <w:r>
        <w:rPr>
          <w:rFonts w:ascii="宋体" w:hAnsi="宋体" w:cs="宋体"/>
          <w:color w:val="auto"/>
          <w:sz w:val="21"/>
          <w:szCs w:val="21"/>
          <w:highlight w:val="none"/>
        </w:rPr>
        <w:t>16.7.2投标人在投标有效期内撤回投标文件；</w:t>
      </w:r>
    </w:p>
    <w:p>
      <w:pPr>
        <w:pStyle w:val="5"/>
        <w:spacing w:after="0" w:line="420" w:lineRule="exact"/>
        <w:ind w:firstLineChars="200"/>
        <w:rPr>
          <w:rFonts w:ascii="宋体" w:hAnsi="宋体" w:cs="宋体"/>
          <w:color w:val="auto"/>
          <w:sz w:val="21"/>
          <w:szCs w:val="21"/>
          <w:highlight w:val="none"/>
        </w:rPr>
      </w:pPr>
      <w:r>
        <w:rPr>
          <w:rFonts w:ascii="宋体" w:hAnsi="宋体" w:cs="宋体"/>
          <w:color w:val="auto"/>
          <w:sz w:val="21"/>
          <w:szCs w:val="21"/>
          <w:highlight w:val="none"/>
        </w:rPr>
        <w:t>16.7.3中标人未能在规定期限内按要求提交履约担保；</w:t>
      </w:r>
    </w:p>
    <w:p>
      <w:pPr>
        <w:pStyle w:val="5"/>
        <w:pBdr>
          <w:bottom w:val="single" w:color="auto" w:sz="6" w:space="1"/>
        </w:pBdr>
        <w:spacing w:after="0" w:line="420" w:lineRule="exact"/>
        <w:ind w:firstLineChars="200"/>
        <w:rPr>
          <w:rFonts w:ascii="宋体" w:hAnsi="宋体" w:cs="宋体"/>
          <w:color w:val="auto"/>
          <w:sz w:val="21"/>
          <w:szCs w:val="21"/>
          <w:highlight w:val="none"/>
        </w:rPr>
      </w:pPr>
      <w:r>
        <w:rPr>
          <w:rFonts w:ascii="宋体" w:hAnsi="宋体" w:cs="宋体"/>
          <w:color w:val="auto"/>
          <w:sz w:val="21"/>
          <w:szCs w:val="21"/>
          <w:highlight w:val="none"/>
        </w:rPr>
        <w:t>16.7.4中标人未能在规定期限内签署合同协议。</w:t>
      </w:r>
    </w:p>
    <w:p>
      <w:pPr>
        <w:pStyle w:val="5"/>
        <w:pBdr>
          <w:bottom w:val="single" w:color="auto" w:sz="6" w:space="1"/>
        </w:pBdr>
        <w:spacing w:after="0" w:line="420" w:lineRule="exact"/>
        <w:ind w:firstLine="422" w:firstLineChars="200"/>
        <w:rPr>
          <w:rFonts w:ascii="宋体" w:hAnsi="宋体" w:cs="宋体"/>
          <w:color w:val="auto"/>
          <w:sz w:val="21"/>
          <w:szCs w:val="21"/>
          <w:highlight w:val="none"/>
          <w:u w:val="single"/>
        </w:rPr>
      </w:pPr>
      <w:r>
        <w:rPr>
          <w:rFonts w:hint="eastAsia" w:ascii="宋体" w:hAnsi="宋体" w:cs="宋体"/>
          <w:b/>
          <w:color w:val="auto"/>
          <w:sz w:val="21"/>
          <w:szCs w:val="21"/>
          <w:highlight w:val="none"/>
        </w:rPr>
        <w:t>现文：</w:t>
      </w:r>
      <w:r>
        <w:rPr>
          <w:rFonts w:ascii="宋体" w:hAnsi="宋体" w:cs="宋体"/>
          <w:color w:val="auto"/>
          <w:sz w:val="21"/>
          <w:szCs w:val="21"/>
          <w:highlight w:val="none"/>
        </w:rPr>
        <w:t>16.2</w:t>
      </w:r>
      <w:r>
        <w:rPr>
          <w:rFonts w:hint="eastAsia" w:ascii="宋体" w:hAnsi="宋体" w:cs="宋体"/>
          <w:color w:val="auto"/>
          <w:sz w:val="21"/>
          <w:szCs w:val="21"/>
          <w:highlight w:val="none"/>
          <w:u w:val="single"/>
        </w:rPr>
        <w:t>开标时投标人没有按要求提供投标保证金的，其投标文件将被否决。</w:t>
      </w:r>
    </w:p>
    <w:p>
      <w:pPr>
        <w:pStyle w:val="5"/>
        <w:pBdr>
          <w:bottom w:val="single" w:color="auto" w:sz="6" w:space="1"/>
        </w:pBdr>
        <w:spacing w:after="0" w:line="420" w:lineRule="exact"/>
        <w:ind w:firstLineChars="200"/>
        <w:rPr>
          <w:rFonts w:ascii="宋体" w:hAnsi="宋体" w:cs="宋体"/>
          <w:color w:val="auto"/>
          <w:sz w:val="21"/>
          <w:szCs w:val="21"/>
          <w:highlight w:val="none"/>
          <w:u w:val="single"/>
        </w:rPr>
      </w:pPr>
      <w:r>
        <w:rPr>
          <w:rFonts w:ascii="宋体" w:hAnsi="宋体" w:cs="宋体"/>
          <w:color w:val="auto"/>
          <w:sz w:val="21"/>
          <w:szCs w:val="21"/>
          <w:highlight w:val="none"/>
          <w:u w:val="single"/>
        </w:rPr>
        <w:t>16.3投标保证金应依据法律法规的相关规定退还。</w:t>
      </w:r>
    </w:p>
    <w:p>
      <w:pPr>
        <w:pStyle w:val="5"/>
        <w:pBdr>
          <w:bottom w:val="single" w:color="auto" w:sz="6" w:space="1"/>
        </w:pBdr>
        <w:spacing w:after="0" w:line="420" w:lineRule="exact"/>
        <w:ind w:firstLineChars="200"/>
        <w:rPr>
          <w:rFonts w:ascii="宋体" w:hAnsi="宋体" w:cs="宋体"/>
          <w:color w:val="auto"/>
          <w:sz w:val="21"/>
          <w:szCs w:val="21"/>
          <w:highlight w:val="none"/>
          <w:u w:val="single"/>
        </w:rPr>
      </w:pPr>
      <w:r>
        <w:rPr>
          <w:rFonts w:ascii="宋体" w:hAnsi="宋体" w:cs="宋体"/>
          <w:color w:val="auto"/>
          <w:sz w:val="21"/>
          <w:szCs w:val="21"/>
          <w:highlight w:val="none"/>
          <w:u w:val="single"/>
        </w:rPr>
        <w:t>16.4如有下列情况之一的，招标人不予退还投标保证金：</w:t>
      </w:r>
    </w:p>
    <w:p>
      <w:pPr>
        <w:pStyle w:val="5"/>
        <w:pBdr>
          <w:bottom w:val="single" w:color="auto" w:sz="6" w:space="1"/>
        </w:pBdr>
        <w:spacing w:after="0" w:line="420" w:lineRule="exact"/>
        <w:ind w:firstLineChars="200"/>
        <w:rPr>
          <w:rFonts w:ascii="宋体" w:hAnsi="宋体" w:cs="宋体"/>
          <w:color w:val="auto"/>
          <w:sz w:val="21"/>
          <w:szCs w:val="21"/>
          <w:highlight w:val="none"/>
          <w:u w:val="single"/>
        </w:rPr>
      </w:pPr>
      <w:r>
        <w:rPr>
          <w:rFonts w:ascii="宋体" w:hAnsi="宋体" w:cs="宋体"/>
          <w:color w:val="auto"/>
          <w:sz w:val="21"/>
          <w:szCs w:val="21"/>
          <w:highlight w:val="none"/>
          <w:u w:val="single"/>
        </w:rPr>
        <w:t>16.4.1因投标人原因造成投标文件未解密的；</w:t>
      </w:r>
    </w:p>
    <w:p>
      <w:pPr>
        <w:pStyle w:val="5"/>
        <w:pBdr>
          <w:bottom w:val="single" w:color="auto" w:sz="6" w:space="1"/>
        </w:pBdr>
        <w:spacing w:after="0" w:line="420" w:lineRule="exact"/>
        <w:ind w:firstLineChars="200"/>
        <w:rPr>
          <w:rFonts w:ascii="宋体" w:hAnsi="宋体" w:cs="宋体"/>
          <w:color w:val="auto"/>
          <w:sz w:val="21"/>
          <w:szCs w:val="21"/>
          <w:highlight w:val="none"/>
          <w:u w:val="single"/>
        </w:rPr>
      </w:pPr>
      <w:r>
        <w:rPr>
          <w:rFonts w:ascii="宋体" w:hAnsi="宋体" w:cs="宋体"/>
          <w:color w:val="auto"/>
          <w:sz w:val="21"/>
          <w:szCs w:val="21"/>
          <w:highlight w:val="none"/>
          <w:u w:val="single"/>
        </w:rPr>
        <w:t>16.4.2投标人在投标有效期内撤销投标文件；</w:t>
      </w:r>
    </w:p>
    <w:p>
      <w:pPr>
        <w:pStyle w:val="5"/>
        <w:pBdr>
          <w:bottom w:val="single" w:color="auto" w:sz="6" w:space="1"/>
        </w:pBdr>
        <w:spacing w:after="0" w:line="420" w:lineRule="exact"/>
        <w:ind w:firstLineChars="200"/>
        <w:rPr>
          <w:rFonts w:ascii="宋体" w:hAnsi="宋体" w:cs="宋体"/>
          <w:color w:val="auto"/>
          <w:sz w:val="21"/>
          <w:szCs w:val="21"/>
          <w:highlight w:val="none"/>
          <w:u w:val="single"/>
        </w:rPr>
      </w:pPr>
      <w:r>
        <w:rPr>
          <w:rFonts w:ascii="宋体" w:hAnsi="宋体" w:cs="宋体"/>
          <w:color w:val="auto"/>
          <w:sz w:val="21"/>
          <w:szCs w:val="21"/>
          <w:highlight w:val="none"/>
          <w:u w:val="single"/>
        </w:rPr>
        <w:t>16.4.3中标人未能在规定期限内按要求提交履约担保；</w:t>
      </w:r>
    </w:p>
    <w:p>
      <w:pPr>
        <w:pStyle w:val="5"/>
        <w:pBdr>
          <w:bottom w:val="single" w:color="auto" w:sz="6" w:space="1"/>
        </w:pBdr>
        <w:spacing w:after="0" w:line="420" w:lineRule="exact"/>
        <w:ind w:firstLineChars="200"/>
        <w:rPr>
          <w:rFonts w:ascii="宋体" w:hAnsi="宋体" w:cs="宋体"/>
          <w:color w:val="auto"/>
          <w:sz w:val="21"/>
          <w:szCs w:val="21"/>
          <w:highlight w:val="none"/>
          <w:u w:val="single"/>
        </w:rPr>
      </w:pPr>
      <w:r>
        <w:rPr>
          <w:rFonts w:ascii="宋体" w:hAnsi="宋体" w:cs="宋体"/>
          <w:color w:val="auto"/>
          <w:sz w:val="21"/>
          <w:szCs w:val="21"/>
          <w:highlight w:val="none"/>
          <w:u w:val="single"/>
        </w:rPr>
        <w:t>16.4.4中标人未能在规定期限内签署合同协议。</w:t>
      </w:r>
    </w:p>
    <w:p>
      <w:pPr>
        <w:pStyle w:val="5"/>
        <w:pBdr>
          <w:bottom w:val="single" w:color="auto" w:sz="6" w:space="1"/>
        </w:pBdr>
        <w:spacing w:after="0" w:line="420" w:lineRule="exact"/>
        <w:ind w:firstLineChars="200"/>
        <w:rPr>
          <w:rFonts w:ascii="宋体" w:hAnsi="宋体" w:cs="宋体"/>
          <w:color w:val="auto"/>
          <w:sz w:val="21"/>
          <w:szCs w:val="21"/>
          <w:highlight w:val="none"/>
          <w:u w:val="single"/>
        </w:rPr>
      </w:pPr>
      <w:r>
        <w:rPr>
          <w:rFonts w:ascii="宋体" w:hAnsi="宋体" w:cs="宋体"/>
          <w:color w:val="auto"/>
          <w:sz w:val="21"/>
          <w:szCs w:val="21"/>
          <w:highlight w:val="none"/>
          <w:u w:val="single"/>
        </w:rPr>
        <w:t>16.5投标人如存在下列情况之一的，将被拒绝1年内参与招标人后续工程投标：</w:t>
      </w:r>
    </w:p>
    <w:p>
      <w:pPr>
        <w:pStyle w:val="5"/>
        <w:pBdr>
          <w:bottom w:val="single" w:color="auto" w:sz="6" w:space="1"/>
        </w:pBdr>
        <w:spacing w:after="0" w:line="420" w:lineRule="exact"/>
        <w:ind w:firstLineChars="200"/>
        <w:rPr>
          <w:rFonts w:ascii="宋体" w:hAnsi="宋体" w:cs="宋体"/>
          <w:color w:val="auto"/>
          <w:sz w:val="21"/>
          <w:szCs w:val="21"/>
          <w:highlight w:val="none"/>
          <w:u w:val="single"/>
        </w:rPr>
      </w:pPr>
      <w:r>
        <w:rPr>
          <w:rFonts w:ascii="宋体" w:hAnsi="宋体" w:cs="宋体"/>
          <w:color w:val="auto"/>
          <w:sz w:val="21"/>
          <w:szCs w:val="21"/>
          <w:highlight w:val="none"/>
          <w:u w:val="single"/>
        </w:rPr>
        <w:t>16.5.1投标人存在16.4条款所列情形且投标人提交的保函、担保或保证保险无法兑付的；</w:t>
      </w:r>
    </w:p>
    <w:p>
      <w:pPr>
        <w:pBdr>
          <w:bottom w:val="single" w:color="auto" w:sz="6" w:space="1"/>
        </w:pBdr>
        <w:spacing w:line="420" w:lineRule="exact"/>
        <w:ind w:firstLine="420" w:firstLineChars="200"/>
        <w:rPr>
          <w:rFonts w:ascii="宋体" w:hAnsi="宋体" w:cs="宋体"/>
          <w:bCs/>
          <w:color w:val="auto"/>
          <w:szCs w:val="21"/>
          <w:highlight w:val="none"/>
          <w:u w:val="single"/>
        </w:rPr>
      </w:pPr>
      <w:r>
        <w:rPr>
          <w:rFonts w:ascii="宋体" w:hAnsi="宋体" w:cs="宋体"/>
          <w:color w:val="auto"/>
          <w:szCs w:val="21"/>
          <w:highlight w:val="none"/>
          <w:u w:val="single"/>
        </w:rPr>
        <w:t>16.5.2采用非电子形式提交投标保证金的投标人存在16.4条款所列情形，且未按招标人要求补交银行保函、专业工程担保公司担保或保证保险原件的；</w:t>
      </w:r>
    </w:p>
    <w:p>
      <w:pPr>
        <w:pStyle w:val="5"/>
        <w:widowControl/>
        <w:adjustRightInd w:val="0"/>
        <w:spacing w:after="0"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 xml:space="preserve">条款号：17.1                                            </w:t>
      </w:r>
      <w:r>
        <w:rPr>
          <w:rFonts w:ascii="宋体" w:hAnsi="宋体" w:cs="宋体"/>
          <w:b/>
          <w:color w:val="auto"/>
          <w:sz w:val="21"/>
          <w:szCs w:val="21"/>
          <w:highlight w:val="none"/>
        </w:rPr>
        <w:t xml:space="preserve"> </w:t>
      </w:r>
      <w:r>
        <w:rPr>
          <w:rFonts w:hint="eastAsia" w:ascii="宋体" w:hAnsi="宋体" w:cs="宋体"/>
          <w:b/>
          <w:color w:val="auto"/>
          <w:sz w:val="21"/>
          <w:szCs w:val="21"/>
          <w:highlight w:val="none"/>
        </w:rPr>
        <w:t>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17.1投标人应采用单位数字证书，按招标文件要求在相应位置加盖电子印章。投标文件中需个人签字或盖章的，应在线下完成后扫描上传。按照交易平台关于全流程电子化项目的相关指南进行操作。详见： 。</w:t>
      </w:r>
    </w:p>
    <w:p>
      <w:pPr>
        <w:pBdr>
          <w:bottom w:val="single" w:color="auto" w:sz="6" w:space="1"/>
        </w:pBdr>
        <w:adjustRightInd w:val="0"/>
        <w:spacing w:line="360" w:lineRule="auto"/>
        <w:ind w:firstLine="422" w:firstLineChars="20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广州公共资源交易中心网站(http://ggzy.gz.gov.cn/)服务指南栏目</w:t>
      </w:r>
      <w:r>
        <w:rPr>
          <w:rFonts w:hint="eastAsia" w:ascii="宋体" w:hAnsi="宋体"/>
          <w:color w:val="auto"/>
          <w:szCs w:val="21"/>
          <w:highlight w:val="none"/>
          <w:u w:val="single"/>
        </w:rPr>
        <w:t>。</w:t>
      </w:r>
    </w:p>
    <w:p>
      <w:pPr>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条款号：18.1、18.2                                       修改类型：修改</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18.1递交的电子投标文件（不含备用光盘）必须进行加密。按照交易平台关于全流程电子化项目的相关指南进行操作。详见：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18.2 未按要求加密的投标文件，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pPr>
        <w:pBdr>
          <w:bottom w:val="single" w:color="auto" w:sz="6" w:space="1"/>
        </w:pBdr>
        <w:adjustRightIn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18.1递交的电子投标文件（不含备用</w:t>
      </w:r>
      <w:r>
        <w:rPr>
          <w:rFonts w:hint="eastAsia" w:ascii="宋体" w:hAnsi="宋体"/>
          <w:color w:val="auto"/>
          <w:szCs w:val="21"/>
          <w:highlight w:val="none"/>
          <w:u w:val="single"/>
          <w:lang w:val="en-US" w:eastAsia="zh-CN"/>
        </w:rPr>
        <w:t>U</w:t>
      </w:r>
      <w:r>
        <w:rPr>
          <w:rFonts w:hint="eastAsia" w:ascii="宋体" w:hAnsi="宋体"/>
          <w:color w:val="auto"/>
          <w:szCs w:val="21"/>
          <w:highlight w:val="none"/>
          <w:u w:val="none"/>
        </w:rPr>
        <w:t>盘</w:t>
      </w:r>
      <w:r>
        <w:rPr>
          <w:rFonts w:hint="eastAsia" w:ascii="宋体" w:hAnsi="宋体"/>
          <w:color w:val="auto"/>
          <w:szCs w:val="21"/>
          <w:highlight w:val="none"/>
        </w:rPr>
        <w:t>）必须进行加密。按照交易平台关于全流程电子化项目的相关指南进行操作。详见：</w:t>
      </w:r>
      <w:r>
        <w:rPr>
          <w:rFonts w:hint="eastAsia" w:ascii="宋体" w:hAnsi="宋体" w:cs="宋体"/>
          <w:color w:val="auto"/>
          <w:szCs w:val="21"/>
          <w:highlight w:val="none"/>
          <w:u w:val="single"/>
        </w:rPr>
        <w:t>广州公共资源交易中心网站(http://ggzy.gz.gov.cn/)服务指南栏目</w:t>
      </w:r>
      <w:r>
        <w:rPr>
          <w:rFonts w:hint="eastAsia" w:ascii="宋体" w:hAnsi="宋体"/>
          <w:color w:val="auto"/>
          <w:szCs w:val="21"/>
          <w:highlight w:val="none"/>
        </w:rPr>
        <w:t>。</w:t>
      </w:r>
    </w:p>
    <w:p>
      <w:pPr>
        <w:pBdr>
          <w:bottom w:val="single" w:color="auto" w:sz="6" w:space="1"/>
        </w:pBdr>
        <w:adjustRightIn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18.2 未按要求加密的投标文件，</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交易平台将予以拒收。</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19.1</w:t>
      </w:r>
      <w:r>
        <w:rPr>
          <w:rFonts w:hint="eastAsia" w:ascii="宋体" w:hAnsi="宋体"/>
          <w:b/>
          <w:color w:val="auto"/>
          <w:szCs w:val="21"/>
          <w:highlight w:val="none"/>
        </w:rPr>
        <w:t>、</w:t>
      </w:r>
      <w:r>
        <w:rPr>
          <w:rFonts w:ascii="宋体" w:hAnsi="宋体"/>
          <w:b/>
          <w:color w:val="auto"/>
          <w:szCs w:val="21"/>
          <w:highlight w:val="none"/>
        </w:rPr>
        <w:t>19.2</w:t>
      </w:r>
      <w:r>
        <w:rPr>
          <w:rFonts w:hint="eastAsia" w:ascii="宋体" w:hAnsi="宋体"/>
          <w:b/>
          <w:color w:val="auto"/>
          <w:szCs w:val="21"/>
          <w:highlight w:val="none"/>
        </w:rPr>
        <w:t>、</w:t>
      </w:r>
      <w:r>
        <w:rPr>
          <w:rFonts w:ascii="宋体" w:hAnsi="宋体"/>
          <w:b/>
          <w:color w:val="auto"/>
          <w:szCs w:val="21"/>
          <w:highlight w:val="none"/>
        </w:rPr>
        <w:t>19.</w:t>
      </w:r>
      <w:r>
        <w:rPr>
          <w:rFonts w:hint="eastAsia" w:ascii="宋体" w:hAnsi="宋体"/>
          <w:b/>
          <w:color w:val="auto"/>
          <w:szCs w:val="21"/>
          <w:highlight w:val="none"/>
        </w:rPr>
        <w:t>3</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19.1投标人通过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交易平台递交电子投标文件。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19.2投标人完成电子投标文件上传后，</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19.3逾期送达的电子投标文件，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19.1投标人通过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交易平台递交电子投标文件。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19.2投标人完成电子投标文件上传后，</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交易平台即时向投标人发出递交回执通知。递交时间以递交回执通知载明的传输完成时间为准。</w:t>
      </w:r>
    </w:p>
    <w:p>
      <w:pPr>
        <w:pBdr>
          <w:bottom w:val="single" w:color="auto" w:sz="6" w:space="1"/>
        </w:pBdr>
        <w:spacing w:line="360" w:lineRule="auto"/>
        <w:ind w:firstLine="420" w:firstLineChars="200"/>
        <w:rPr>
          <w:rFonts w:ascii="宋体" w:hAnsi="宋体"/>
          <w:color w:val="auto"/>
          <w:highlight w:val="none"/>
        </w:rPr>
      </w:pPr>
      <w:r>
        <w:rPr>
          <w:rFonts w:hint="eastAsia" w:ascii="宋体" w:hAnsi="宋体"/>
          <w:color w:val="auto"/>
          <w:szCs w:val="21"/>
          <w:highlight w:val="none"/>
        </w:rPr>
        <w:t>19.3逾期送达的电子投标文件，</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交易平台将予以拒收。</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条款号：19.5</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19.5如技术标和经济标先后分别开启，</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交易平台将按招标文件规定的时间分别开启技术标和经济标。</w:t>
      </w:r>
    </w:p>
    <w:p>
      <w:pPr>
        <w:pBdr>
          <w:bottom w:val="single" w:color="auto" w:sz="6" w:space="1"/>
        </w:pBdr>
        <w:spacing w:line="360" w:lineRule="auto"/>
        <w:ind w:firstLine="422" w:firstLineChars="20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u w:val="single"/>
        </w:rPr>
        <w:t>19.5</w:t>
      </w:r>
      <w:r>
        <w:rPr>
          <w:rFonts w:ascii="宋体" w:hAnsi="宋体"/>
          <w:color w:val="auto"/>
          <w:szCs w:val="21"/>
          <w:highlight w:val="none"/>
          <w:u w:val="single"/>
        </w:rPr>
        <w:t xml:space="preserve"> </w:t>
      </w:r>
      <w:r>
        <w:rPr>
          <w:rFonts w:hint="eastAsia" w:ascii="宋体" w:hAnsi="宋体"/>
          <w:color w:val="auto"/>
          <w:szCs w:val="21"/>
          <w:highlight w:val="none"/>
          <w:u w:val="single"/>
        </w:rPr>
        <w:t>技术标和经济标同时开启，广州公共资源交易中心交易平台将按招标文件规定的时间同时开启技术标和经济标。</w:t>
      </w:r>
    </w:p>
    <w:p>
      <w:pPr>
        <w:adjustRightIn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 xml:space="preserve">条款号：19.6                                           </w:t>
      </w:r>
      <w:r>
        <w:rPr>
          <w:rFonts w:ascii="宋体" w:hAnsi="宋体"/>
          <w:b/>
          <w:bCs/>
          <w:color w:val="auto"/>
          <w:szCs w:val="21"/>
          <w:highlight w:val="none"/>
        </w:rPr>
        <w:t xml:space="preserve"> </w:t>
      </w:r>
      <w:r>
        <w:rPr>
          <w:rFonts w:hint="eastAsia" w:ascii="宋体" w:hAnsi="宋体"/>
          <w:b/>
          <w:bCs/>
          <w:color w:val="auto"/>
          <w:szCs w:val="21"/>
          <w:highlight w:val="none"/>
        </w:rPr>
        <w:t xml:space="preserve"> 修改类型：</w:t>
      </w:r>
      <w:r>
        <w:rPr>
          <w:rFonts w:hint="eastAsia" w:ascii="宋体" w:hAnsi="宋体" w:cs="宋体"/>
          <w:b/>
          <w:color w:val="auto"/>
          <w:szCs w:val="21"/>
          <w:highlight w:val="none"/>
        </w:rPr>
        <w:t>删除</w:t>
      </w:r>
    </w:p>
    <w:p>
      <w:pPr>
        <w:pBdr>
          <w:bottom w:val="single" w:color="auto" w:sz="6" w:space="1"/>
        </w:pBdr>
        <w:adjustRightInd w:val="0"/>
        <w:spacing w:line="360" w:lineRule="auto"/>
        <w:ind w:firstLine="413" w:firstLineChars="196"/>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b/>
          <w:bCs/>
          <w:color w:val="auto"/>
          <w:szCs w:val="21"/>
          <w:highlight w:val="none"/>
        </w:rPr>
        <w:t>：</w:t>
      </w:r>
      <w:r>
        <w:rPr>
          <w:rFonts w:hint="eastAsia" w:ascii="宋体" w:hAnsi="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21.1                                             </w:t>
      </w:r>
      <w:r>
        <w:rPr>
          <w:rFonts w:hint="eastAsia" w:ascii="宋体" w:hAnsi="宋体"/>
          <w:b/>
          <w:color w:val="auto"/>
          <w:szCs w:val="21"/>
          <w:highlight w:val="none"/>
        </w:rPr>
        <w:t>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21.1 本须知前附表第17项规定的投标截止时间后送达的电子投标文件，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pPr>
        <w:pBdr>
          <w:bottom w:val="single" w:color="auto" w:sz="6" w:space="1"/>
        </w:pBdr>
        <w:spacing w:line="360" w:lineRule="auto"/>
        <w:ind w:firstLine="422" w:firstLineChars="20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21.1 本须知前附表第17项规定的投标截止时间后送达的电子投标文件，</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交易平台将予以拒收。</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27.1</w:t>
      </w:r>
      <w:r>
        <w:rPr>
          <w:rFonts w:hint="eastAsia" w:ascii="宋体" w:hAnsi="宋体"/>
          <w:b/>
          <w:color w:val="auto"/>
          <w:szCs w:val="21"/>
          <w:highlight w:val="none"/>
        </w:rPr>
        <w:t>、2</w:t>
      </w:r>
      <w:r>
        <w:rPr>
          <w:rFonts w:ascii="宋体" w:hAnsi="宋体"/>
          <w:b/>
          <w:color w:val="auto"/>
          <w:szCs w:val="21"/>
          <w:highlight w:val="none"/>
        </w:rPr>
        <w:t xml:space="preserve">7.4                                      </w:t>
      </w:r>
      <w:r>
        <w:rPr>
          <w:rFonts w:hint="eastAsia" w:ascii="宋体" w:hAnsi="宋体"/>
          <w:b/>
          <w:color w:val="auto"/>
          <w:szCs w:val="21"/>
          <w:highlight w:val="none"/>
        </w:rPr>
        <w:t>修改类型：修改</w:t>
      </w:r>
    </w:p>
    <w:p>
      <w:pP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27.1招标人将在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交易平台、广东省招标投标监管网和中国招标投标公共服务平台公示中标候选人，公示期为三天。</w:t>
      </w:r>
    </w:p>
    <w:p>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27.4在产生中标候选人后，招标人将中标候选人的投标文件商务部分文件的所有内容（包括报价清单、人员、业绩、奖项等资料）在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交易平台和广东省招标投标监管网公开。</w:t>
      </w:r>
    </w:p>
    <w:p>
      <w:pP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27.1招标人将在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交易平台、广东省招标投标监管网和中国招标投标公共服务平台公示中标候选人，公示期为三天。</w:t>
      </w:r>
    </w:p>
    <w:p>
      <w:pPr>
        <w:pBdr>
          <w:bottom w:val="single" w:color="auto" w:sz="6" w:space="1"/>
        </w:pBdr>
        <w:spacing w:line="360" w:lineRule="auto"/>
        <w:ind w:firstLine="420" w:firstLineChars="200"/>
        <w:rPr>
          <w:rFonts w:ascii="宋体" w:hAnsi="宋体"/>
          <w:color w:val="auto"/>
          <w:highlight w:val="none"/>
        </w:rPr>
      </w:pPr>
      <w:r>
        <w:rPr>
          <w:rFonts w:hint="eastAsia" w:ascii="宋体" w:hAnsi="宋体"/>
          <w:color w:val="auto"/>
          <w:szCs w:val="21"/>
          <w:highlight w:val="none"/>
        </w:rPr>
        <w:t>27.4在产生合格的中标候选人后，招标人将合格的中标候选人的投标文件商务部分文件的</w:t>
      </w:r>
      <w:r>
        <w:rPr>
          <w:rFonts w:hint="eastAsia" w:ascii="宋体" w:hAnsi="宋体"/>
          <w:color w:val="auto"/>
          <w:szCs w:val="21"/>
          <w:highlight w:val="none"/>
          <w:u w:val="single"/>
        </w:rPr>
        <w:t>人员、业绩、奖项等资料</w:t>
      </w:r>
      <w:r>
        <w:rPr>
          <w:rFonts w:hint="eastAsia" w:ascii="宋体" w:hAnsi="宋体"/>
          <w:color w:val="auto"/>
          <w:szCs w:val="21"/>
          <w:highlight w:val="none"/>
        </w:rPr>
        <w:t>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交易平台公开。</w:t>
      </w:r>
    </w:p>
    <w:p>
      <w:pPr>
        <w:spacing w:line="360" w:lineRule="auto"/>
        <w:ind w:firstLine="420"/>
        <w:rPr>
          <w:rFonts w:ascii="宋体" w:hAnsi="宋体"/>
          <w:b/>
          <w:color w:val="auto"/>
          <w:szCs w:val="21"/>
          <w:highlight w:val="none"/>
        </w:rPr>
      </w:pPr>
      <w:r>
        <w:rPr>
          <w:rFonts w:hint="eastAsia" w:ascii="宋体" w:hAnsi="宋体"/>
          <w:b/>
          <w:color w:val="auto"/>
          <w:szCs w:val="21"/>
          <w:highlight w:val="none"/>
        </w:rPr>
        <w:t xml:space="preserve">条款号：29.1    </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 xml:space="preserve"> 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29.1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pPr>
        <w:pBdr>
          <w:bottom w:val="single" w:color="auto" w:sz="4" w:space="0"/>
        </w:pBdr>
        <w:spacing w:line="360" w:lineRule="auto"/>
        <w:ind w:firstLine="420" w:firstLineChars="0"/>
        <w:rPr>
          <w:rFonts w:hint="eastAsia" w:ascii="宋体" w:hAnsi="宋体"/>
          <w:color w:val="auto"/>
          <w:szCs w:val="21"/>
          <w:highlight w:val="none"/>
          <w:lang w:val="zh-CN"/>
        </w:rPr>
      </w:pPr>
      <w:r>
        <w:rPr>
          <w:rFonts w:hint="eastAsia" w:ascii="宋体" w:hAnsi="宋体"/>
          <w:b/>
          <w:color w:val="auto"/>
          <w:szCs w:val="21"/>
          <w:highlight w:val="none"/>
        </w:rPr>
        <w:t>现文：</w:t>
      </w:r>
      <w:r>
        <w:rPr>
          <w:rFonts w:hint="eastAsia" w:ascii="宋体" w:hAnsi="宋体"/>
          <w:bCs/>
          <w:color w:val="auto"/>
          <w:szCs w:val="21"/>
          <w:highlight w:val="none"/>
        </w:rPr>
        <w:t>29.1</w:t>
      </w:r>
      <w:r>
        <w:rPr>
          <w:rFonts w:hint="eastAsia" w:ascii="宋体" w:hAnsi="宋体"/>
          <w:color w:val="auto"/>
          <w:szCs w:val="21"/>
          <w:highlight w:val="none"/>
          <w:u w:val="single"/>
          <w:lang w:val="zh-CN"/>
        </w:rPr>
        <w:t>中标人应在签订合同</w:t>
      </w:r>
      <w:r>
        <w:rPr>
          <w:rFonts w:hint="eastAsia" w:ascii="宋体" w:hAnsi="宋体"/>
          <w:color w:val="auto"/>
          <w:szCs w:val="21"/>
          <w:highlight w:val="none"/>
          <w:u w:val="single"/>
          <w:lang w:val="en-US" w:eastAsia="zh-CN"/>
        </w:rPr>
        <w:t>后10天内</w:t>
      </w:r>
      <w:r>
        <w:rPr>
          <w:rFonts w:hint="eastAsia" w:ascii="宋体" w:hAnsi="宋体"/>
          <w:color w:val="auto"/>
          <w:szCs w:val="21"/>
          <w:highlight w:val="none"/>
          <w:u w:val="single"/>
          <w:lang w:val="zh-CN"/>
        </w:rPr>
        <w:t>向招标人提交</w:t>
      </w:r>
      <w:r>
        <w:rPr>
          <w:rFonts w:hint="eastAsia" w:ascii="宋体" w:hAnsi="宋体"/>
          <w:color w:val="auto"/>
          <w:szCs w:val="21"/>
          <w:highlight w:val="none"/>
          <w:u w:val="single"/>
        </w:rPr>
        <w:t>履约</w:t>
      </w:r>
      <w:r>
        <w:rPr>
          <w:rFonts w:hint="eastAsia" w:ascii="宋体" w:hAnsi="宋体"/>
          <w:color w:val="auto"/>
          <w:szCs w:val="21"/>
          <w:highlight w:val="none"/>
          <w:u w:val="single"/>
          <w:lang w:val="en-US" w:eastAsia="zh-CN"/>
        </w:rPr>
        <w:t>担保（</w:t>
      </w:r>
      <w:r>
        <w:rPr>
          <w:rFonts w:hint="eastAsia" w:ascii="宋体" w:hAnsi="宋体" w:eastAsia="宋体" w:cs="Times New Roman"/>
          <w:snapToGrid/>
          <w:color w:val="auto"/>
          <w:sz w:val="21"/>
          <w:szCs w:val="21"/>
          <w:highlight w:val="none"/>
          <w:u w:val="single"/>
        </w:rPr>
        <w:t>银行保函</w:t>
      </w:r>
      <w:r>
        <w:rPr>
          <w:rFonts w:hint="eastAsia" w:ascii="宋体" w:hAnsi="宋体" w:cs="Times New Roman"/>
          <w:snapToGrid/>
          <w:color w:val="auto"/>
          <w:sz w:val="21"/>
          <w:szCs w:val="21"/>
          <w:highlight w:val="none"/>
          <w:u w:val="single"/>
          <w:lang w:val="en-US" w:eastAsia="zh-CN"/>
        </w:rPr>
        <w:t>或现金</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lang w:val="en-US"/>
        </w:rPr>
        <w:t>。</w:t>
      </w:r>
    </w:p>
    <w:p>
      <w:pPr>
        <w:spacing w:line="480" w:lineRule="auto"/>
        <w:ind w:firstLine="472" w:firstLineChars="224"/>
        <w:rPr>
          <w:rFonts w:ascii="宋体" w:hAnsi="宋体"/>
          <w:b/>
          <w:bCs/>
          <w:color w:val="auto"/>
          <w:kern w:val="0"/>
          <w:szCs w:val="21"/>
          <w:highlight w:val="none"/>
        </w:rPr>
      </w:pPr>
      <w:r>
        <w:rPr>
          <w:rFonts w:hint="eastAsia" w:ascii="宋体" w:hAnsi="宋体"/>
          <w:b/>
          <w:bCs/>
          <w:color w:val="auto"/>
          <w:kern w:val="0"/>
          <w:szCs w:val="21"/>
          <w:highlight w:val="none"/>
        </w:rPr>
        <w:t xml:space="preserve">条款号：31         </w:t>
      </w:r>
      <w:r>
        <w:rPr>
          <w:rFonts w:ascii="宋体" w:hAnsi="宋体"/>
          <w:b/>
          <w:bCs/>
          <w:color w:val="auto"/>
          <w:kern w:val="0"/>
          <w:szCs w:val="21"/>
          <w:highlight w:val="none"/>
        </w:rPr>
        <w:t xml:space="preserve">                                   </w:t>
      </w:r>
      <w:r>
        <w:rPr>
          <w:rFonts w:hint="eastAsia" w:ascii="宋体" w:hAnsi="宋体"/>
          <w:b/>
          <w:bCs/>
          <w:color w:val="auto"/>
          <w:kern w:val="0"/>
          <w:szCs w:val="21"/>
          <w:highlight w:val="none"/>
        </w:rPr>
        <w:t xml:space="preserve">  修改类型：修改</w:t>
      </w:r>
    </w:p>
    <w:p>
      <w:pPr>
        <w:spacing w:line="360" w:lineRule="auto"/>
        <w:ind w:firstLine="422" w:firstLineChars="200"/>
        <w:rPr>
          <w:rFonts w:ascii="宋体" w:hAnsi="宋体"/>
          <w:color w:val="auto"/>
          <w:kern w:val="0"/>
          <w:szCs w:val="21"/>
          <w:highlight w:val="none"/>
        </w:rPr>
      </w:pPr>
      <w:r>
        <w:rPr>
          <w:rFonts w:hint="eastAsia" w:ascii="宋体" w:hAnsi="宋体"/>
          <w:b/>
          <w:bCs/>
          <w:color w:val="auto"/>
          <w:kern w:val="0"/>
          <w:szCs w:val="21"/>
          <w:highlight w:val="none"/>
        </w:rPr>
        <w:t>原文：</w:t>
      </w:r>
      <w:r>
        <w:rPr>
          <w:rFonts w:hint="eastAsia" w:ascii="宋体" w:hAnsi="宋体"/>
          <w:color w:val="auto"/>
          <w:kern w:val="0"/>
          <w:szCs w:val="21"/>
          <w:highlight w:val="none"/>
        </w:rPr>
        <w:t>31．其它费用</w:t>
      </w:r>
    </w:p>
    <w:p>
      <w:pPr>
        <w:spacing w:line="360" w:lineRule="auto"/>
        <w:ind w:firstLine="422" w:firstLineChars="200"/>
        <w:rPr>
          <w:rFonts w:ascii="宋体" w:hAnsi="宋体"/>
          <w:color w:val="auto"/>
          <w:kern w:val="0"/>
          <w:szCs w:val="21"/>
          <w:highlight w:val="none"/>
        </w:rPr>
      </w:pPr>
      <w:r>
        <w:rPr>
          <w:rFonts w:hint="eastAsia" w:ascii="宋体" w:hAnsi="宋体"/>
          <w:b/>
          <w:bCs/>
          <w:color w:val="auto"/>
          <w:kern w:val="0"/>
          <w:szCs w:val="21"/>
          <w:highlight w:val="none"/>
        </w:rPr>
        <w:t>现文：</w:t>
      </w:r>
      <w:r>
        <w:rPr>
          <w:rFonts w:hint="eastAsia" w:ascii="宋体" w:hAnsi="宋体"/>
          <w:color w:val="auto"/>
          <w:kern w:val="0"/>
          <w:szCs w:val="21"/>
          <w:highlight w:val="none"/>
        </w:rPr>
        <w:t>31．其它费用</w:t>
      </w:r>
    </w:p>
    <w:p>
      <w:pPr>
        <w:pBdr>
          <w:bottom w:val="single" w:color="auto" w:sz="6" w:space="1"/>
        </w:pBdr>
        <w:adjustRightInd w:val="0"/>
        <w:spacing w:line="360" w:lineRule="auto"/>
        <w:ind w:firstLine="472" w:firstLineChars="225"/>
        <w:rPr>
          <w:rFonts w:ascii="宋体" w:hAnsi="宋体"/>
          <w:color w:val="auto"/>
          <w:kern w:val="0"/>
          <w:szCs w:val="21"/>
          <w:highlight w:val="none"/>
          <w:u w:val="single"/>
        </w:rPr>
      </w:pPr>
      <w:r>
        <w:rPr>
          <w:rFonts w:hint="eastAsia" w:ascii="宋体" w:hAnsi="宋体"/>
          <w:color w:val="auto"/>
          <w:kern w:val="0"/>
          <w:szCs w:val="21"/>
          <w:highlight w:val="none"/>
          <w:u w:val="single"/>
        </w:rPr>
        <w:t>（1）本项目招标交易服务费由中标人承担，并向广州公共资源交易中心交纳。</w:t>
      </w:r>
    </w:p>
    <w:p>
      <w:pPr>
        <w:spacing w:line="440" w:lineRule="exact"/>
        <w:ind w:firstLine="422" w:firstLineChars="200"/>
        <w:rPr>
          <w:rFonts w:hint="eastAsia" w:ascii="宋体" w:hAnsi="宋体" w:eastAsia="宋体"/>
          <w:b/>
          <w:color w:val="auto"/>
          <w:szCs w:val="21"/>
          <w:highlight w:val="none"/>
          <w:lang w:val="en-US" w:eastAsia="zh-CN"/>
        </w:rPr>
      </w:pPr>
      <w:r>
        <w:rPr>
          <w:rFonts w:hint="eastAsia" w:ascii="宋体" w:hAnsi="宋体"/>
          <w:b/>
          <w:color w:val="auto"/>
          <w:szCs w:val="21"/>
          <w:highlight w:val="none"/>
        </w:rPr>
        <w:t>条款号：</w:t>
      </w:r>
      <w:r>
        <w:rPr>
          <w:rFonts w:ascii="宋体" w:hAnsi="宋体"/>
          <w:color w:val="auto"/>
          <w:szCs w:val="21"/>
          <w:highlight w:val="none"/>
        </w:rPr>
        <w:t xml:space="preserve">33. 投标人信誉的要求     </w:t>
      </w:r>
      <w:r>
        <w:rPr>
          <w:rFonts w:ascii="宋体" w:hAnsi="宋体"/>
          <w:b/>
          <w:color w:val="auto"/>
          <w:szCs w:val="21"/>
          <w:highlight w:val="none"/>
        </w:rPr>
        <w:t xml:space="preserve">  修改类型：</w:t>
      </w:r>
      <w:r>
        <w:rPr>
          <w:rFonts w:hint="eastAsia" w:ascii="宋体" w:hAnsi="宋体"/>
          <w:b/>
          <w:color w:val="auto"/>
          <w:szCs w:val="21"/>
          <w:highlight w:val="none"/>
          <w:lang w:val="en-US" w:eastAsia="zh-CN"/>
        </w:rPr>
        <w:t>删除</w:t>
      </w:r>
    </w:p>
    <w:p>
      <w:pPr>
        <w:spacing w:line="440" w:lineRule="exact"/>
        <w:ind w:firstLine="422" w:firstLineChars="200"/>
        <w:rPr>
          <w:rFonts w:ascii="宋体" w:hAnsi="宋体"/>
          <w:color w:val="auto"/>
          <w:highlight w:val="none"/>
        </w:rPr>
      </w:pPr>
      <w:r>
        <w:rPr>
          <w:rFonts w:hint="eastAsia" w:ascii="宋体" w:hAnsi="宋体"/>
          <w:b/>
          <w:color w:val="auto"/>
          <w:highlight w:val="none"/>
        </w:rPr>
        <w:t>原文：</w:t>
      </w:r>
      <w:r>
        <w:rPr>
          <w:rFonts w:ascii="宋体" w:hAnsi="宋体"/>
          <w:color w:val="auto"/>
          <w:highlight w:val="none"/>
        </w:rPr>
        <w:t xml:space="preserve">33. </w:t>
      </w:r>
      <w:r>
        <w:rPr>
          <w:rFonts w:hint="eastAsia" w:ascii="宋体" w:hAnsi="宋体"/>
          <w:color w:val="auto"/>
          <w:highlight w:val="none"/>
        </w:rPr>
        <w:t>投标人信誉的要求</w:t>
      </w:r>
    </w:p>
    <w:p>
      <w:pPr>
        <w:spacing w:line="400" w:lineRule="exact"/>
        <w:ind w:firstLine="420" w:firstLineChars="200"/>
        <w:rPr>
          <w:rFonts w:ascii="宋体" w:hAnsi="宋体"/>
          <w:color w:val="auto"/>
          <w:highlight w:val="none"/>
        </w:rPr>
      </w:pPr>
      <w:r>
        <w:rPr>
          <w:rFonts w:hint="eastAsia" w:ascii="宋体" w:hAnsi="宋体"/>
          <w:color w:val="auto"/>
          <w:highlight w:val="none"/>
        </w:rPr>
        <w:t>存在下列情形之一的，招标人可以限制其投标（需在招标文件中明确评定方法）</w:t>
      </w:r>
    </w:p>
    <w:p>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）被住房城乡建设行政主管部门在全国建筑市场监管一体化工作平台列入建筑市场主体“黑名单”；</w:t>
      </w:r>
    </w:p>
    <w:p>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）被发改委、人力资源社会保障、质检总局等有关部门、单位在“信用中国”网站中列入联合惩戒失信黑名单。</w:t>
      </w:r>
    </w:p>
    <w:p>
      <w:pPr>
        <w:pBdr>
          <w:top w:val="single" w:color="auto" w:sz="4"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34                                               </w:t>
      </w:r>
      <w:r>
        <w:rPr>
          <w:rFonts w:hint="eastAsia" w:ascii="宋体" w:hAnsi="宋体"/>
          <w:b/>
          <w:color w:val="auto"/>
          <w:szCs w:val="21"/>
          <w:highlight w:val="none"/>
        </w:rPr>
        <w:t>修改类型：增加</w:t>
      </w:r>
    </w:p>
    <w:p>
      <w:pPr>
        <w:pBdr>
          <w:bottom w:val="single" w:color="auto" w:sz="6" w:space="1"/>
        </w:pBdr>
        <w:spacing w:line="360" w:lineRule="auto"/>
        <w:ind w:firstLine="422" w:firstLineChars="20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u w:val="single"/>
        </w:rPr>
        <w:t>3</w:t>
      </w:r>
      <w:r>
        <w:rPr>
          <w:rFonts w:ascii="宋体" w:hAnsi="宋体"/>
          <w:color w:val="auto"/>
          <w:szCs w:val="21"/>
          <w:highlight w:val="none"/>
          <w:u w:val="single"/>
        </w:rPr>
        <w:t>4</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u w:val="single"/>
        </w:rPr>
        <w:t>招标人（招标代理机构）填报中标候选人公示信息，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pPr>
        <w:spacing w:line="360" w:lineRule="auto"/>
        <w:ind w:firstLine="211" w:firstLineChars="100"/>
        <w:rPr>
          <w:rFonts w:ascii="宋体" w:hAnsi="宋体"/>
          <w:b/>
          <w:color w:val="auto"/>
          <w:szCs w:val="21"/>
          <w:highlight w:val="none"/>
        </w:rPr>
      </w:pPr>
      <w:r>
        <w:rPr>
          <w:rFonts w:hint="eastAsia" w:ascii="宋体" w:hAnsi="宋体" w:cs="宋体"/>
          <w:b/>
          <w:color w:val="auto"/>
          <w:szCs w:val="21"/>
          <w:highlight w:val="none"/>
          <w:lang w:bidi="ar"/>
        </w:rPr>
        <w:t>注：以上修改，仅限于本范本中有可供选择条款的情形。</w:t>
      </w:r>
    </w:p>
    <w:p>
      <w:pPr>
        <w:spacing w:line="360" w:lineRule="auto"/>
        <w:rPr>
          <w:rFonts w:ascii="宋体" w:hAnsi="宋体"/>
          <w:color w:val="auto"/>
          <w:szCs w:val="21"/>
          <w:highlight w:val="none"/>
        </w:rPr>
      </w:pPr>
      <w:r>
        <w:rPr>
          <w:rFonts w:hint="eastAsia" w:ascii="宋体" w:hAnsi="宋体"/>
          <w:b/>
          <w:color w:val="auto"/>
          <w:szCs w:val="21"/>
          <w:highlight w:val="none"/>
        </w:rPr>
        <w:t>（以下无正文）</w:t>
      </w:r>
    </w:p>
    <w:p>
      <w:pPr>
        <w:pStyle w:val="7"/>
        <w:rPr>
          <w:rFonts w:ascii="宋体" w:hAnsi="宋体"/>
          <w:color w:val="auto"/>
          <w:highlight w:val="none"/>
        </w:rPr>
      </w:pPr>
      <w:r>
        <w:rPr>
          <w:rFonts w:ascii="宋体" w:hAnsi="宋体"/>
          <w:color w:val="auto"/>
          <w:highlight w:val="none"/>
        </w:rPr>
        <w:br w:type="page"/>
      </w:r>
      <w:bookmarkStart w:id="5" w:name="_Toc18442"/>
      <w:r>
        <w:rPr>
          <w:rFonts w:hint="eastAsia" w:ascii="宋体" w:hAnsi="宋体"/>
          <w:color w:val="auto"/>
          <w:highlight w:val="none"/>
        </w:rPr>
        <w:t>三、投标须知通用条款</w:t>
      </w:r>
      <w:bookmarkEnd w:id="5"/>
    </w:p>
    <w:p>
      <w:pPr>
        <w:pStyle w:val="8"/>
        <w:spacing w:before="156" w:after="156"/>
        <w:rPr>
          <w:color w:val="auto"/>
          <w:highlight w:val="none"/>
        </w:rPr>
      </w:pPr>
      <w:bookmarkStart w:id="6" w:name="_Toc32365"/>
      <w:r>
        <w:rPr>
          <w:rFonts w:hint="eastAsia"/>
          <w:color w:val="auto"/>
          <w:highlight w:val="none"/>
        </w:rPr>
        <w:t>（一）总则</w:t>
      </w:r>
      <w:bookmarkEnd w:id="6"/>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hAns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hAns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）“招标人”、“项目建设管理单位”（或称“项目代建单位”、“代建人”）、“招标代理”、“设计单位”、“监理单位”均已在投标须知前附表中列明。</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w:t>
      </w:r>
      <w:r>
        <w:rPr>
          <w:rFonts w:hint="eastAsia" w:ascii="宋体" w:hAnsi="宋体"/>
          <w:color w:val="auto"/>
          <w:sz w:val="24"/>
          <w:highlight w:val="none"/>
          <w:lang w:val="en-US" w:eastAsia="zh-CN"/>
        </w:rPr>
        <w:t>招标人</w:t>
      </w:r>
      <w:r>
        <w:rPr>
          <w:rFonts w:hint="eastAsia" w:ascii="宋体" w:hAnsi="宋体"/>
          <w:color w:val="auto"/>
          <w:sz w:val="24"/>
          <w:highlight w:val="none"/>
        </w:rPr>
        <w:t>签订承包合同的</w:t>
      </w:r>
      <w:r>
        <w:rPr>
          <w:rFonts w:hint="eastAsia" w:ascii="宋体" w:hAnsi="宋体"/>
          <w:color w:val="auto"/>
          <w:sz w:val="24"/>
          <w:highlight w:val="none"/>
          <w:lang w:val="en-US" w:eastAsia="zh-CN"/>
        </w:rPr>
        <w:t>承包</w:t>
      </w:r>
      <w:r>
        <w:rPr>
          <w:rFonts w:hint="eastAsia" w:ascii="宋体" w:hAnsi="宋体"/>
          <w:color w:val="auto"/>
          <w:sz w:val="24"/>
          <w:highlight w:val="none"/>
        </w:rPr>
        <w:t>单位。</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hAnsi="宋体"/>
          <w:bCs/>
          <w:color w:val="auto"/>
          <w:sz w:val="24"/>
          <w:highlight w:val="none"/>
          <w:u w:val="single"/>
        </w:rPr>
      </w:pPr>
      <w:r>
        <w:rPr>
          <w:rFonts w:ascii="宋体" w:hAnsi="宋体"/>
          <w:bCs/>
          <w:color w:val="auto"/>
          <w:sz w:val="24"/>
          <w:highlight w:val="none"/>
        </w:rPr>
        <w:t>5.1</w:t>
      </w:r>
      <w:r>
        <w:rPr>
          <w:rFonts w:hint="eastAsia" w:ascii="宋体" w:hAnsi="宋体"/>
          <w:color w:val="auto"/>
          <w:sz w:val="24"/>
          <w:szCs w:val="24"/>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 w:val="24"/>
          <w:szCs w:val="24"/>
          <w:highlight w:val="none"/>
          <w:u w:val="single"/>
        </w:rPr>
        <w:t>投标人不进行踏勘的，视为已熟知现场条件，自行承担相关风险。</w:t>
      </w:r>
      <w:r>
        <w:rPr>
          <w:rFonts w:hint="eastAsia" w:ascii="宋体" w:hAnsi="宋体"/>
          <w:color w:val="auto"/>
          <w:sz w:val="24"/>
          <w:szCs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hAns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spacing w:before="156" w:after="156"/>
        <w:rPr>
          <w:color w:val="auto"/>
          <w:highlight w:val="none"/>
        </w:rPr>
      </w:pPr>
      <w:bookmarkStart w:id="7" w:name="_Toc13683"/>
      <w:r>
        <w:rPr>
          <w:rFonts w:hint="eastAsia"/>
          <w:color w:val="auto"/>
          <w:highlight w:val="none"/>
        </w:rPr>
        <w:t>（二）招标文件</w:t>
      </w:r>
      <w:bookmarkEnd w:id="7"/>
    </w:p>
    <w:p>
      <w:pPr>
        <w:tabs>
          <w:tab w:val="left" w:pos="105"/>
        </w:tabs>
        <w:spacing w:line="360" w:lineRule="auto"/>
        <w:ind w:firstLine="482" w:firstLineChars="200"/>
        <w:rPr>
          <w:rFonts w:ascii="宋体" w:hAns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5"/>
        <w:spacing w:after="0" w:line="360" w:lineRule="auto"/>
        <w:ind w:left="-2" w:firstLine="480" w:firstLineChars="200"/>
        <w:rPr>
          <w:rFonts w:ascii="宋体" w:hAnsi="宋体"/>
          <w:color w:val="auto"/>
          <w:sz w:val="24"/>
          <w:highlight w:val="none"/>
        </w:rPr>
      </w:pPr>
      <w:r>
        <w:rPr>
          <w:rFonts w:hint="eastAsia" w:ascii="宋体" w:hAnsi="宋体"/>
          <w:bCs/>
          <w:color w:val="auto"/>
          <w:sz w:val="24"/>
          <w:highlight w:val="none"/>
        </w:rPr>
        <w:t>第一章</w:t>
      </w:r>
      <w:r>
        <w:rPr>
          <w:rFonts w:hint="eastAsia" w:ascii="宋体" w:hAnsi="宋体"/>
          <w:color w:val="auto"/>
          <w:sz w:val="24"/>
          <w:highlight w:val="none"/>
        </w:rPr>
        <w:t>投标须知</w:t>
      </w:r>
    </w:p>
    <w:p>
      <w:pPr>
        <w:pStyle w:val="5"/>
        <w:spacing w:after="0" w:line="360" w:lineRule="auto"/>
        <w:ind w:left="-2" w:firstLine="480" w:firstLineChars="200"/>
        <w:rPr>
          <w:rFonts w:ascii="宋体" w:hAnsi="宋体"/>
          <w:color w:val="auto"/>
          <w:sz w:val="24"/>
          <w:highlight w:val="none"/>
        </w:rPr>
      </w:pPr>
      <w:r>
        <w:rPr>
          <w:rFonts w:hint="eastAsia" w:ascii="宋体" w:hAnsi="宋体"/>
          <w:bCs/>
          <w:color w:val="auto"/>
          <w:sz w:val="24"/>
          <w:highlight w:val="none"/>
        </w:rPr>
        <w:t>第二章</w:t>
      </w:r>
      <w:r>
        <w:rPr>
          <w:rFonts w:hint="eastAsia" w:ascii="宋体" w:hAnsi="宋体"/>
          <w:color w:val="auto"/>
          <w:sz w:val="24"/>
          <w:highlight w:val="none"/>
        </w:rPr>
        <w:t>开标、评标及定标办法</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第三章合同条款</w:t>
      </w:r>
    </w:p>
    <w:p>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highlight w:val="none"/>
        </w:rPr>
        <w:t>第四章</w:t>
      </w:r>
      <w:r>
        <w:rPr>
          <w:rFonts w:hint="eastAsia" w:ascii="宋体" w:hAnsi="宋体"/>
          <w:color w:val="auto"/>
          <w:sz w:val="24"/>
          <w:highlight w:val="none"/>
        </w:rPr>
        <w:t>投标文件格式</w:t>
      </w:r>
    </w:p>
    <w:p>
      <w:pPr>
        <w:pStyle w:val="5"/>
        <w:spacing w:after="0" w:line="360" w:lineRule="auto"/>
        <w:ind w:left="-2" w:firstLine="480" w:firstLineChars="200"/>
        <w:rPr>
          <w:rFonts w:ascii="宋体" w:hAnsi="宋体"/>
          <w:color w:val="auto"/>
          <w:sz w:val="24"/>
          <w:highlight w:val="none"/>
        </w:rPr>
      </w:pPr>
      <w:r>
        <w:rPr>
          <w:rFonts w:hint="eastAsia" w:ascii="宋体" w:hAnsi="宋体"/>
          <w:bCs/>
          <w:color w:val="auto"/>
          <w:sz w:val="24"/>
          <w:highlight w:val="none"/>
        </w:rPr>
        <w:t>第五章</w:t>
      </w:r>
      <w:r>
        <w:rPr>
          <w:rFonts w:hint="eastAsia" w:ascii="宋体" w:hAnsi="宋体"/>
          <w:color w:val="auto"/>
          <w:sz w:val="24"/>
          <w:highlight w:val="none"/>
        </w:rPr>
        <w:t>技术条件（工程建设标准）（另册）</w:t>
      </w:r>
    </w:p>
    <w:p>
      <w:pPr>
        <w:pStyle w:val="5"/>
        <w:spacing w:after="0" w:line="360" w:lineRule="auto"/>
        <w:ind w:left="-2" w:firstLine="480" w:firstLineChars="200"/>
        <w:rPr>
          <w:rFonts w:ascii="宋体" w:hAnsi="宋体"/>
          <w:color w:val="auto"/>
          <w:sz w:val="24"/>
          <w:highlight w:val="none"/>
        </w:rPr>
      </w:pPr>
      <w:r>
        <w:rPr>
          <w:rFonts w:hint="eastAsia" w:ascii="宋体" w:hAnsi="宋体"/>
          <w:bCs/>
          <w:color w:val="auto"/>
          <w:sz w:val="24"/>
          <w:highlight w:val="none"/>
        </w:rPr>
        <w:t>第六章</w:t>
      </w:r>
      <w:r>
        <w:rPr>
          <w:rFonts w:hint="eastAsia" w:ascii="宋体" w:hAnsi="宋体"/>
          <w:color w:val="auto"/>
          <w:sz w:val="24"/>
          <w:highlight w:val="none"/>
        </w:rPr>
        <w:t>图纸及勘察资料（另册）</w:t>
      </w:r>
    </w:p>
    <w:p>
      <w:pPr>
        <w:pStyle w:val="5"/>
        <w:spacing w:after="0" w:line="360" w:lineRule="auto"/>
        <w:ind w:left="-2" w:firstLine="480" w:firstLineChars="200"/>
        <w:rPr>
          <w:rFonts w:ascii="宋体" w:hAnsi="宋体"/>
          <w:color w:val="auto"/>
          <w:sz w:val="24"/>
          <w:highlight w:val="none"/>
        </w:rPr>
      </w:pPr>
      <w:r>
        <w:rPr>
          <w:rFonts w:hint="eastAsia" w:ascii="宋体" w:hAnsi="宋体"/>
          <w:bCs/>
          <w:color w:val="auto"/>
          <w:sz w:val="24"/>
          <w:highlight w:val="none"/>
        </w:rPr>
        <w:t>第七章招标</w:t>
      </w:r>
      <w:r>
        <w:rPr>
          <w:rFonts w:hint="eastAsia" w:ascii="宋体" w:hAnsi="宋体"/>
          <w:color w:val="auto"/>
          <w:sz w:val="24"/>
          <w:highlight w:val="none"/>
        </w:rPr>
        <w:t>工程量清单（另册）</w:t>
      </w:r>
    </w:p>
    <w:p>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第八章最高投标限价</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8.1</w:t>
      </w:r>
      <w:r>
        <w:rPr>
          <w:rFonts w:hint="eastAsia" w:ascii="宋体" w:hAnsi="宋体"/>
          <w:color w:val="auto"/>
          <w:sz w:val="24"/>
          <w:highlight w:val="none"/>
          <w:u w:val="single"/>
        </w:rPr>
        <w:t>招标答疑采用网上答疑方式进行。投标人若对招标文件有疑问的，可在规定的时间内通过广州公共资源交易中心网站将问题提交给招标人或招标代理人，提交问题时一律不得署名。</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u w:val="single"/>
        </w:rPr>
        <w:t>网上答疑的操作指南为：按照广州公共资源交易中心交易平台关于全流程电子化项目的相关指南进行操作，详见：广州公共资源交易中心网站(http://ggzy.gz.gov.cn/)服务指南栏目。提问一律不得署名。</w:t>
      </w:r>
    </w:p>
    <w:p>
      <w:pPr>
        <w:pStyle w:val="5"/>
        <w:spacing w:after="0" w:line="360" w:lineRule="auto"/>
        <w:ind w:firstLine="480" w:firstLineChars="200"/>
        <w:rPr>
          <w:rFonts w:ascii="宋体" w:hAnsi="宋体"/>
          <w:color w:val="auto"/>
          <w:sz w:val="24"/>
          <w:highlight w:val="none"/>
          <w:u w:val="single"/>
        </w:rPr>
      </w:pPr>
      <w:r>
        <w:rPr>
          <w:rFonts w:ascii="宋体" w:hAnsi="宋体"/>
          <w:color w:val="auto"/>
          <w:sz w:val="24"/>
          <w:highlight w:val="none"/>
        </w:rPr>
        <w:t>8.2</w:t>
      </w:r>
      <w:r>
        <w:rPr>
          <w:rFonts w:hint="eastAsia" w:ascii="宋体" w:hAnsi="宋体"/>
          <w:color w:val="auto"/>
          <w:sz w:val="24"/>
          <w:szCs w:val="24"/>
          <w:highlight w:val="none"/>
        </w:rPr>
        <w:t>招标答疑会会议纪要将在提交投标文件截止时间15日前在</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 “项目答疑纪要”专区公开发布。答疑纪要一经在</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交易平台发布，视作已发放给所有投标人。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w:t>
      </w:r>
      <w:r>
        <w:rPr>
          <w:rFonts w:hint="eastAsia" w:ascii="宋体" w:hAnsi="宋体"/>
          <w:color w:val="auto"/>
          <w:sz w:val="24"/>
          <w:highlight w:val="none"/>
          <w:u w:val="single"/>
        </w:rPr>
        <w:t>广州公共资源交易中心交易平台最后发布的答疑纪要为准。</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hAns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9.2</w:t>
      </w:r>
      <w:r>
        <w:rPr>
          <w:rFonts w:hint="eastAsia" w:ascii="宋体" w:hAnsi="宋体" w:cs="宋体"/>
          <w:color w:val="auto"/>
          <w:sz w:val="24"/>
          <w:szCs w:val="24"/>
          <w:highlight w:val="none"/>
        </w:rPr>
        <w:t>招标文件的澄清或修改将在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szCs w:val="24"/>
          <w:highlight w:val="none"/>
          <w:u w:val="single"/>
        </w:rPr>
        <w:t>“建设工程-</w:t>
      </w:r>
      <w:r>
        <w:rPr>
          <w:color w:val="auto"/>
          <w:sz w:val="24"/>
          <w:szCs w:val="24"/>
          <w:highlight w:val="none"/>
        </w:rPr>
        <w:fldChar w:fldCharType="begin"/>
      </w:r>
      <w:r>
        <w:rPr>
          <w:color w:val="auto"/>
          <w:sz w:val="24"/>
          <w:szCs w:val="24"/>
          <w:highlight w:val="none"/>
        </w:rPr>
        <w:instrText xml:space="preserve"> HYPERLINK "http://ggzy.gz.gov.cn/xmcxjsgc/index.jhtml" </w:instrText>
      </w:r>
      <w:r>
        <w:rPr>
          <w:color w:val="auto"/>
          <w:sz w:val="24"/>
          <w:szCs w:val="24"/>
          <w:highlight w:val="none"/>
        </w:rPr>
        <w:fldChar w:fldCharType="separate"/>
      </w:r>
      <w:r>
        <w:rPr>
          <w:rFonts w:hint="eastAsia" w:ascii="宋体" w:hAnsi="宋体" w:cs="宋体"/>
          <w:color w:val="auto"/>
          <w:sz w:val="24"/>
          <w:szCs w:val="24"/>
          <w:highlight w:val="none"/>
          <w:u w:val="single"/>
        </w:rPr>
        <w:t>项目查询(日程安排、答疑纪要)</w:t>
      </w:r>
      <w:r>
        <w:rPr>
          <w:rFonts w:hint="eastAsia" w:ascii="宋体" w:hAnsi="宋体" w:cs="宋体"/>
          <w:color w:val="auto"/>
          <w:sz w:val="24"/>
          <w:szCs w:val="24"/>
          <w:highlight w:val="none"/>
          <w:u w:val="single"/>
        </w:rPr>
        <w:fldChar w:fldCharType="end"/>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专区公开发布。答疑纪要一经在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交易平台发布，视作已发放给所有投标人，以</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交易平台上网发布时间作为送达时间</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9.4</w:t>
      </w:r>
      <w:r>
        <w:rPr>
          <w:rFonts w:hint="eastAsia" w:ascii="宋体" w:hAnsi="宋体" w:cs="宋体"/>
          <w:color w:val="auto"/>
          <w:sz w:val="24"/>
          <w:szCs w:val="24"/>
          <w:highlight w:val="none"/>
        </w:rPr>
        <w:t>招标文件的澄清或修改均以</w:t>
      </w:r>
      <w:r>
        <w:rPr>
          <w:rFonts w:hint="eastAsia" w:ascii="宋体" w:hAnsi="宋体" w:cs="宋体"/>
          <w:color w:val="auto"/>
          <w:sz w:val="24"/>
          <w:szCs w:val="24"/>
          <w:highlight w:val="none"/>
          <w:u w:val="single"/>
        </w:rPr>
        <w:t>广州公共资源交易中心交易平台最后发布的答疑纪要为准</w:t>
      </w:r>
      <w:r>
        <w:rPr>
          <w:rFonts w:hint="eastAsia" w:ascii="宋体" w:hAnsi="宋体" w:cs="宋体"/>
          <w:color w:val="auto"/>
          <w:sz w:val="24"/>
          <w:szCs w:val="24"/>
          <w:highlight w:val="none"/>
        </w:rPr>
        <w:t>。当招标文件的澄清、修改、补充等在同一内容的表述不一致时，以最后发出的</w:t>
      </w:r>
      <w:r>
        <w:rPr>
          <w:rFonts w:hint="eastAsia" w:ascii="宋体" w:hAnsi="宋体" w:cs="宋体"/>
          <w:color w:val="auto"/>
          <w:sz w:val="24"/>
          <w:szCs w:val="24"/>
          <w:highlight w:val="none"/>
          <w:u w:val="single"/>
        </w:rPr>
        <w:t>文件</w:t>
      </w:r>
      <w:r>
        <w:rPr>
          <w:rFonts w:hint="eastAsia" w:ascii="宋体" w:hAnsi="宋体" w:cs="宋体"/>
          <w:color w:val="auto"/>
          <w:sz w:val="24"/>
          <w:szCs w:val="24"/>
          <w:highlight w:val="none"/>
        </w:rPr>
        <w:t>为准</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auto"/>
          <w:highlight w:val="none"/>
        </w:rPr>
      </w:pPr>
      <w:bookmarkStart w:id="8" w:name="_Toc22207"/>
      <w:r>
        <w:rPr>
          <w:rFonts w:hint="eastAsia"/>
          <w:color w:val="auto"/>
          <w:highlight w:val="none"/>
        </w:rPr>
        <w:t>（三）投标文件的编制</w:t>
      </w:r>
      <w:bookmarkEnd w:id="8"/>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adjustRightIn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11.1 </w:t>
      </w:r>
      <w:r>
        <w:rPr>
          <w:rFonts w:hint="eastAsia" w:ascii="宋体" w:hAnsi="宋体"/>
          <w:color w:val="auto"/>
          <w:sz w:val="24"/>
          <w:szCs w:val="24"/>
          <w:highlight w:val="none"/>
        </w:rPr>
        <w:t>投标文件由</w:t>
      </w:r>
      <w:r>
        <w:rPr>
          <w:rFonts w:hint="eastAsia" w:ascii="宋体" w:hAnsi="宋体"/>
          <w:b/>
          <w:color w:val="auto"/>
          <w:sz w:val="24"/>
          <w:szCs w:val="24"/>
          <w:highlight w:val="none"/>
        </w:rPr>
        <w:t>技术标投标文件</w:t>
      </w:r>
      <w:r>
        <w:rPr>
          <w:rFonts w:hint="eastAsia" w:ascii="宋体" w:hAnsi="宋体"/>
          <w:b/>
          <w:color w:val="auto"/>
          <w:sz w:val="24"/>
          <w:szCs w:val="24"/>
          <w:highlight w:val="none"/>
          <w:u w:val="single"/>
        </w:rPr>
        <w:t>（含资格审查文件）</w:t>
      </w:r>
      <w:r>
        <w:rPr>
          <w:rFonts w:hint="eastAsia" w:ascii="宋体" w:hAnsi="宋体"/>
          <w:b/>
          <w:color w:val="auto"/>
          <w:sz w:val="24"/>
          <w:szCs w:val="24"/>
          <w:highlight w:val="none"/>
        </w:rPr>
        <w:t>和经济标投标文件</w:t>
      </w:r>
      <w:r>
        <w:rPr>
          <w:rFonts w:hint="eastAsia" w:ascii="宋体" w:hAnsi="宋体"/>
          <w:color w:val="auto"/>
          <w:sz w:val="24"/>
          <w:szCs w:val="24"/>
          <w:highlight w:val="none"/>
        </w:rPr>
        <w:t>二部分投标文件组成。</w:t>
      </w:r>
    </w:p>
    <w:p>
      <w:pPr>
        <w:adjustRightInd w:val="0"/>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11.2</w:t>
      </w:r>
      <w:r>
        <w:rPr>
          <w:rFonts w:hint="eastAsia" w:ascii="宋体" w:hAnsi="宋体"/>
          <w:bCs/>
          <w:color w:val="auto"/>
          <w:sz w:val="24"/>
          <w:szCs w:val="24"/>
          <w:highlight w:val="none"/>
        </w:rPr>
        <w:t>投标文件技术标部分主要包括下列内容</w:t>
      </w:r>
      <w:r>
        <w:rPr>
          <w:rFonts w:hint="eastAsia" w:ascii="宋体" w:hAnsi="宋体" w:cs="宋体"/>
          <w:color w:val="auto"/>
          <w:sz w:val="24"/>
          <w:szCs w:val="24"/>
          <w:highlight w:val="none"/>
          <w:u w:val="single"/>
        </w:rPr>
        <w:t>（除注明原件外，均为清晰扫描件即可）</w:t>
      </w:r>
      <w:r>
        <w:rPr>
          <w:rFonts w:ascii="宋体" w:hAnsi="宋体"/>
          <w:bCs/>
          <w:color w:val="auto"/>
          <w:sz w:val="24"/>
          <w:szCs w:val="24"/>
          <w:highlight w:val="none"/>
        </w:rPr>
        <w:t>:</w:t>
      </w:r>
    </w:p>
    <w:p>
      <w:pPr>
        <w:adjustRightIn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11.2.1</w:t>
      </w:r>
      <w:r>
        <w:rPr>
          <w:rFonts w:hint="eastAsia" w:ascii="宋体" w:hAnsi="宋体"/>
          <w:b/>
          <w:bCs/>
          <w:color w:val="auto"/>
          <w:sz w:val="24"/>
          <w:szCs w:val="24"/>
          <w:highlight w:val="none"/>
        </w:rPr>
        <w:t>技术标投标文件</w:t>
      </w:r>
      <w:r>
        <w:rPr>
          <w:rFonts w:hint="eastAsia" w:ascii="宋体" w:hAnsi="宋体"/>
          <w:color w:val="auto"/>
          <w:sz w:val="24"/>
          <w:szCs w:val="24"/>
          <w:highlight w:val="none"/>
          <w:u w:val="single"/>
        </w:rPr>
        <w:t>(按招标文件的要求填写)</w:t>
      </w:r>
      <w:r>
        <w:rPr>
          <w:rFonts w:hint="eastAsia" w:ascii="宋体" w:hAnsi="宋体"/>
          <w:bCs/>
          <w:color w:val="auto"/>
          <w:sz w:val="24"/>
          <w:szCs w:val="24"/>
          <w:highlight w:val="none"/>
        </w:rPr>
        <w:t>；</w:t>
      </w:r>
    </w:p>
    <w:p>
      <w:pPr>
        <w:adjustRightInd w:val="0"/>
        <w:spacing w:line="360" w:lineRule="auto"/>
        <w:ind w:firstLine="482" w:firstLineChars="200"/>
        <w:rPr>
          <w:rFonts w:ascii="宋体" w:hAnsi="宋体"/>
          <w:b/>
          <w:color w:val="auto"/>
          <w:sz w:val="24"/>
          <w:szCs w:val="24"/>
          <w:highlight w:val="none"/>
          <w:u w:val="single"/>
        </w:rPr>
      </w:pPr>
      <w:r>
        <w:rPr>
          <w:rFonts w:ascii="宋体" w:hAnsi="宋体"/>
          <w:b/>
          <w:color w:val="auto"/>
          <w:sz w:val="24"/>
          <w:szCs w:val="24"/>
          <w:highlight w:val="none"/>
          <w:u w:val="single"/>
        </w:rPr>
        <w:t>11.2.</w:t>
      </w:r>
      <w:r>
        <w:rPr>
          <w:rFonts w:hint="eastAsia" w:ascii="宋体" w:hAnsi="宋体"/>
          <w:b/>
          <w:color w:val="auto"/>
          <w:sz w:val="24"/>
          <w:szCs w:val="24"/>
          <w:highlight w:val="none"/>
          <w:u w:val="single"/>
        </w:rPr>
        <w:t>2</w:t>
      </w:r>
      <w:r>
        <w:rPr>
          <w:rFonts w:ascii="宋体" w:hAnsi="宋体"/>
          <w:b/>
          <w:color w:val="auto"/>
          <w:sz w:val="24"/>
          <w:szCs w:val="24"/>
          <w:highlight w:val="none"/>
          <w:u w:val="single"/>
        </w:rPr>
        <w:t xml:space="preserve"> </w:t>
      </w:r>
      <w:r>
        <w:rPr>
          <w:rFonts w:hint="eastAsia" w:ascii="宋体" w:hAnsi="宋体"/>
          <w:b/>
          <w:color w:val="auto"/>
          <w:sz w:val="24"/>
          <w:szCs w:val="24"/>
          <w:highlight w:val="none"/>
          <w:u w:val="single"/>
        </w:rPr>
        <w:t>资格审查文件。</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w:t>
      </w:r>
      <w:r>
        <w:rPr>
          <w:rFonts w:ascii="宋体" w:hAnsi="宋体"/>
          <w:color w:val="auto"/>
          <w:sz w:val="24"/>
          <w:szCs w:val="24"/>
          <w:highlight w:val="none"/>
          <w:u w:val="single"/>
        </w:rPr>
        <w:t>1</w:t>
      </w:r>
      <w:r>
        <w:rPr>
          <w:rFonts w:hint="eastAsia" w:ascii="宋体" w:hAnsi="宋体"/>
          <w:color w:val="auto"/>
          <w:sz w:val="24"/>
          <w:szCs w:val="24"/>
          <w:highlight w:val="none"/>
          <w:u w:val="single"/>
        </w:rPr>
        <w:t>）投标人声明（须按本招标公告附件一格式）；</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w:t>
      </w:r>
      <w:r>
        <w:rPr>
          <w:rFonts w:ascii="宋体" w:hAnsi="宋体"/>
          <w:color w:val="auto"/>
          <w:sz w:val="24"/>
          <w:szCs w:val="24"/>
          <w:highlight w:val="none"/>
          <w:u w:val="single"/>
        </w:rPr>
        <w:t>2</w:t>
      </w:r>
      <w:r>
        <w:rPr>
          <w:rFonts w:hint="eastAsia" w:ascii="宋体" w:hAnsi="宋体"/>
          <w:color w:val="auto"/>
          <w:sz w:val="24"/>
          <w:szCs w:val="24"/>
          <w:highlight w:val="none"/>
          <w:u w:val="single"/>
        </w:rPr>
        <w:t>）法人代表证明书、法人代表签字或盖章的本投标文件授权委托证明书</w:t>
      </w:r>
      <w:r>
        <w:rPr>
          <w:rFonts w:hint="eastAsia"/>
          <w:color w:val="auto"/>
          <w:sz w:val="24"/>
          <w:szCs w:val="24"/>
          <w:highlight w:val="none"/>
          <w:u w:val="single"/>
        </w:rPr>
        <w:t>；</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w:t>
      </w:r>
      <w:r>
        <w:rPr>
          <w:rFonts w:ascii="宋体" w:hAnsi="宋体"/>
          <w:color w:val="auto"/>
          <w:sz w:val="24"/>
          <w:szCs w:val="24"/>
          <w:highlight w:val="none"/>
          <w:u w:val="single"/>
        </w:rPr>
        <w:t>3</w:t>
      </w:r>
      <w:r>
        <w:rPr>
          <w:rFonts w:hint="eastAsia" w:ascii="宋体" w:hAnsi="宋体"/>
          <w:color w:val="auto"/>
          <w:sz w:val="24"/>
          <w:szCs w:val="24"/>
          <w:highlight w:val="none"/>
          <w:u w:val="single"/>
        </w:rPr>
        <w:t>）企业营业执照</w:t>
      </w:r>
      <w:r>
        <w:rPr>
          <w:rFonts w:hint="eastAsia"/>
          <w:color w:val="auto"/>
          <w:sz w:val="24"/>
          <w:szCs w:val="24"/>
          <w:highlight w:val="none"/>
          <w:u w:val="single"/>
        </w:rPr>
        <w:t>；</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w:t>
      </w:r>
      <w:r>
        <w:rPr>
          <w:rFonts w:ascii="宋体" w:hAnsi="宋体"/>
          <w:color w:val="auto"/>
          <w:sz w:val="24"/>
          <w:szCs w:val="24"/>
          <w:highlight w:val="none"/>
          <w:u w:val="single"/>
        </w:rPr>
        <w:t>4</w:t>
      </w:r>
      <w:r>
        <w:rPr>
          <w:rFonts w:hint="eastAsia" w:ascii="宋体" w:hAnsi="宋体"/>
          <w:color w:val="auto"/>
          <w:sz w:val="24"/>
          <w:szCs w:val="24"/>
          <w:highlight w:val="none"/>
          <w:u w:val="single"/>
        </w:rPr>
        <w:t>）企业资质证书</w:t>
      </w:r>
      <w:r>
        <w:rPr>
          <w:rFonts w:hint="eastAsia"/>
          <w:color w:val="auto"/>
          <w:sz w:val="24"/>
          <w:szCs w:val="24"/>
          <w:highlight w:val="none"/>
          <w:u w:val="single"/>
        </w:rPr>
        <w:t>；</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w:t>
      </w:r>
      <w:r>
        <w:rPr>
          <w:rFonts w:ascii="宋体" w:hAnsi="宋体"/>
          <w:color w:val="auto"/>
          <w:sz w:val="24"/>
          <w:szCs w:val="24"/>
          <w:highlight w:val="none"/>
          <w:u w:val="single"/>
        </w:rPr>
        <w:t>5</w:t>
      </w:r>
      <w:r>
        <w:rPr>
          <w:rFonts w:hint="eastAsia" w:ascii="宋体" w:hAnsi="宋体"/>
          <w:color w:val="auto"/>
          <w:sz w:val="24"/>
          <w:szCs w:val="24"/>
          <w:highlight w:val="none"/>
          <w:u w:val="single"/>
        </w:rPr>
        <w:t>）建筑施工企业安全生产许可证</w:t>
      </w:r>
      <w:r>
        <w:rPr>
          <w:rFonts w:hint="eastAsia"/>
          <w:color w:val="auto"/>
          <w:sz w:val="24"/>
          <w:szCs w:val="24"/>
          <w:highlight w:val="none"/>
          <w:u w:val="singl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（6）项目负责人相关证书；</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（7）专职安全员相关证书；</w:t>
      </w:r>
    </w:p>
    <w:p>
      <w:pPr>
        <w:spacing w:line="360" w:lineRule="auto"/>
        <w:ind w:firstLine="480" w:firstLineChars="200"/>
        <w:rPr>
          <w:color w:val="auto"/>
          <w:sz w:val="24"/>
          <w:szCs w:val="24"/>
          <w:highlight w:val="none"/>
          <w:u w:val="single"/>
        </w:rPr>
      </w:pPr>
      <w:r>
        <w:rPr>
          <w:rFonts w:hint="eastAsia" w:ascii="宋体" w:hAnsi="宋体"/>
          <w:bCs/>
          <w:color w:val="auto"/>
          <w:sz w:val="24"/>
          <w:szCs w:val="24"/>
          <w:highlight w:val="none"/>
        </w:rPr>
        <w:t>（8）</w:t>
      </w:r>
      <w:r>
        <w:rPr>
          <w:rFonts w:hint="eastAsia" w:ascii="宋体" w:hAnsi="宋体" w:cs="宋体"/>
          <w:bCs/>
          <w:color w:val="auto"/>
          <w:sz w:val="24"/>
          <w:szCs w:val="24"/>
          <w:highlight w:val="none"/>
          <w:u w:val="single"/>
        </w:rPr>
        <w:t>拟委派技术负责人的职称证书（</w:t>
      </w:r>
      <w:r>
        <w:rPr>
          <w:rFonts w:hint="eastAsia" w:ascii="宋体" w:hAnsi="宋体" w:cs="宋体"/>
          <w:bCs/>
          <w:color w:val="auto"/>
          <w:sz w:val="24"/>
          <w:szCs w:val="24"/>
          <w:highlight w:val="none"/>
          <w:u w:val="single"/>
          <w:lang w:eastAsia="zh-CN"/>
        </w:rPr>
        <w:t>如有要求</w:t>
      </w:r>
      <w:r>
        <w:rPr>
          <w:rFonts w:hint="eastAsia" w:ascii="宋体" w:hAnsi="宋体" w:cs="宋体"/>
          <w:bCs/>
          <w:color w:val="auto"/>
          <w:sz w:val="24"/>
          <w:szCs w:val="24"/>
          <w:highlight w:val="none"/>
          <w:u w:val="single"/>
        </w:rPr>
        <w:t>）；</w:t>
      </w:r>
    </w:p>
    <w:p>
      <w:pPr>
        <w:adjustRightInd w:val="0"/>
        <w:spacing w:line="360" w:lineRule="auto"/>
        <w:ind w:firstLine="480" w:firstLineChars="200"/>
        <w:rPr>
          <w:rFonts w:ascii="宋体" w:hAnsi="宋体"/>
          <w:bCs/>
          <w:color w:val="auto"/>
          <w:sz w:val="24"/>
          <w:szCs w:val="24"/>
          <w:highlight w:val="none"/>
          <w:u w:val="single"/>
        </w:rPr>
      </w:pPr>
      <w:r>
        <w:rPr>
          <w:rFonts w:hint="eastAsia" w:ascii="宋体" w:hAnsi="宋体"/>
          <w:color w:val="auto"/>
          <w:sz w:val="24"/>
          <w:szCs w:val="24"/>
          <w:highlight w:val="none"/>
          <w:u w:val="single"/>
        </w:rPr>
        <w:t>注：</w:t>
      </w:r>
      <w:r>
        <w:rPr>
          <w:rFonts w:ascii="宋体" w:hAnsi="宋体"/>
          <w:color w:val="auto"/>
          <w:sz w:val="24"/>
          <w:szCs w:val="24"/>
          <w:highlight w:val="none"/>
          <w:u w:val="single"/>
        </w:rPr>
        <w:t>1</w:t>
      </w:r>
      <w:r>
        <w:rPr>
          <w:rFonts w:hint="eastAsia" w:ascii="宋体" w:hAnsi="宋体"/>
          <w:color w:val="auto"/>
          <w:sz w:val="24"/>
          <w:szCs w:val="24"/>
          <w:highlight w:val="none"/>
          <w:u w:val="single"/>
        </w:rPr>
        <w:t>、上述第</w:t>
      </w:r>
      <w:r>
        <w:rPr>
          <w:rFonts w:ascii="宋体" w:hAnsi="宋体"/>
          <w:color w:val="auto"/>
          <w:sz w:val="24"/>
          <w:szCs w:val="24"/>
          <w:highlight w:val="none"/>
          <w:u w:val="single"/>
        </w:rPr>
        <w:t xml:space="preserve"> </w:t>
      </w:r>
      <w:r>
        <w:rPr>
          <w:rFonts w:ascii="宋体" w:hAnsi="宋体"/>
          <w:bCs/>
          <w:color w:val="auto"/>
          <w:sz w:val="24"/>
          <w:szCs w:val="24"/>
          <w:highlight w:val="none"/>
          <w:u w:val="single"/>
        </w:rPr>
        <w:t>11.2.</w:t>
      </w:r>
      <w:r>
        <w:rPr>
          <w:rFonts w:hint="eastAsia" w:ascii="宋体" w:hAnsi="宋体"/>
          <w:bCs/>
          <w:color w:val="auto"/>
          <w:sz w:val="24"/>
          <w:szCs w:val="24"/>
          <w:highlight w:val="none"/>
          <w:u w:val="single"/>
        </w:rPr>
        <w:t>2（</w:t>
      </w:r>
      <w:r>
        <w:rPr>
          <w:rFonts w:ascii="宋体" w:hAnsi="宋体"/>
          <w:bCs/>
          <w:color w:val="auto"/>
          <w:sz w:val="24"/>
          <w:szCs w:val="24"/>
          <w:highlight w:val="none"/>
          <w:u w:val="single"/>
        </w:rPr>
        <w:t>1</w:t>
      </w:r>
      <w:r>
        <w:rPr>
          <w:rFonts w:hint="eastAsia" w:ascii="宋体" w:hAnsi="宋体"/>
          <w:bCs/>
          <w:color w:val="auto"/>
          <w:sz w:val="24"/>
          <w:szCs w:val="24"/>
          <w:highlight w:val="none"/>
          <w:u w:val="single"/>
        </w:rPr>
        <w:t>）</w:t>
      </w:r>
      <w:r>
        <w:rPr>
          <w:rFonts w:ascii="宋体" w:hAnsi="宋体"/>
          <w:bCs/>
          <w:color w:val="auto"/>
          <w:sz w:val="24"/>
          <w:szCs w:val="24"/>
          <w:highlight w:val="none"/>
          <w:u w:val="single"/>
        </w:rPr>
        <w:t>—</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val="en-US" w:eastAsia="zh-CN"/>
        </w:rPr>
        <w:t>8</w:t>
      </w:r>
      <w:r>
        <w:rPr>
          <w:rFonts w:hint="eastAsia" w:ascii="宋体" w:hAnsi="宋体"/>
          <w:bCs/>
          <w:color w:val="auto"/>
          <w:sz w:val="24"/>
          <w:szCs w:val="24"/>
          <w:highlight w:val="none"/>
          <w:u w:val="single"/>
        </w:rPr>
        <w:t>）条没有要求提交的资料，不作为资格审查不合格的依据。</w:t>
      </w:r>
    </w:p>
    <w:p>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11.2.3 项目管理机构配备。</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（1）投标人应列出该项目工程的施工组织机构构成和画出机构框架图及其负责人；</w:t>
      </w:r>
    </w:p>
    <w:p>
      <w:pPr>
        <w:spacing w:line="420" w:lineRule="exact"/>
        <w:ind w:firstLine="480" w:firstLineChars="200"/>
        <w:rPr>
          <w:rFonts w:ascii="宋体" w:hAnsi="宋体" w:cs="宋体"/>
          <w:bCs/>
          <w:color w:val="auto"/>
          <w:sz w:val="24"/>
          <w:szCs w:val="24"/>
          <w:highlight w:val="none"/>
        </w:rPr>
      </w:pPr>
      <w:r>
        <w:rPr>
          <w:rFonts w:hint="eastAsia" w:ascii="宋体" w:hAnsi="宋体"/>
          <w:bCs/>
          <w:color w:val="auto"/>
          <w:sz w:val="24"/>
          <w:szCs w:val="24"/>
          <w:highlight w:val="none"/>
          <w:u w:val="single"/>
        </w:rPr>
        <w:t>（2）投标人应详细列出该施工组织机构中主要成员的名单、简历资料、职务职称和在本项目中拟担任的职务等资料，并附上有关证明材料扫描件</w:t>
      </w:r>
      <w:r>
        <w:rPr>
          <w:rFonts w:hint="eastAsia" w:ascii="宋体" w:hAnsi="宋体" w:cs="宋体"/>
          <w:color w:val="auto"/>
          <w:sz w:val="24"/>
          <w:szCs w:val="24"/>
          <w:highlight w:val="none"/>
        </w:rPr>
        <w:t>；</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（3）其他辅助说明资料。</w:t>
      </w:r>
    </w:p>
    <w:p>
      <w:pPr>
        <w:adjustRightInd w:val="0"/>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11.2.</w:t>
      </w:r>
      <w:r>
        <w:rPr>
          <w:rFonts w:ascii="宋体" w:hAnsi="宋体"/>
          <w:bCs/>
          <w:color w:val="auto"/>
          <w:sz w:val="24"/>
          <w:szCs w:val="24"/>
          <w:highlight w:val="none"/>
          <w:u w:val="single"/>
        </w:rPr>
        <w:t xml:space="preserve">4 </w:t>
      </w:r>
      <w:r>
        <w:rPr>
          <w:rFonts w:hint="eastAsia" w:ascii="宋体" w:hAnsi="宋体"/>
          <w:bCs/>
          <w:color w:val="auto"/>
          <w:sz w:val="24"/>
          <w:szCs w:val="24"/>
          <w:highlight w:val="none"/>
          <w:u w:val="single"/>
        </w:rPr>
        <w:t>施工组织设计。</w:t>
      </w:r>
    </w:p>
    <w:p>
      <w:pPr>
        <w:adjustRightInd w:val="0"/>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11.2.</w:t>
      </w:r>
      <w:r>
        <w:rPr>
          <w:rFonts w:ascii="宋体" w:hAnsi="宋体"/>
          <w:bCs/>
          <w:color w:val="auto"/>
          <w:sz w:val="24"/>
          <w:szCs w:val="24"/>
          <w:highlight w:val="none"/>
          <w:u w:val="single"/>
        </w:rPr>
        <w:t>5</w:t>
      </w:r>
      <w:r>
        <w:rPr>
          <w:rFonts w:hint="eastAsia" w:ascii="宋体" w:hAnsi="宋体"/>
          <w:bCs/>
          <w:color w:val="auto"/>
          <w:sz w:val="24"/>
          <w:szCs w:val="24"/>
          <w:highlight w:val="none"/>
          <w:u w:val="single"/>
        </w:rPr>
        <w:t xml:space="preserve"> 招标文件/合同版本响应承诺书。</w:t>
      </w:r>
    </w:p>
    <w:p>
      <w:pPr>
        <w:adjustRightInd w:val="0"/>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11.2.</w:t>
      </w:r>
      <w:r>
        <w:rPr>
          <w:rFonts w:ascii="宋体" w:hAnsi="宋体"/>
          <w:bCs/>
          <w:color w:val="auto"/>
          <w:sz w:val="24"/>
          <w:szCs w:val="24"/>
          <w:highlight w:val="none"/>
          <w:u w:val="single"/>
        </w:rPr>
        <w:t>6</w:t>
      </w:r>
      <w:r>
        <w:rPr>
          <w:rFonts w:hint="eastAsia" w:ascii="宋体" w:hAnsi="宋体"/>
          <w:bCs/>
          <w:color w:val="auto"/>
          <w:sz w:val="24"/>
          <w:szCs w:val="24"/>
          <w:highlight w:val="none"/>
          <w:u w:val="single"/>
        </w:rPr>
        <w:t xml:space="preserve"> 按照招标文件要求填写的《参与编制技术标投标文件人员名单》。</w:t>
      </w:r>
    </w:p>
    <w:p>
      <w:pPr>
        <w:adjustRightInd w:val="0"/>
        <w:spacing w:line="360" w:lineRule="auto"/>
        <w:ind w:firstLine="480" w:firstLineChars="200"/>
        <w:rPr>
          <w:rFonts w:ascii="宋体" w:hAnsi="宋体"/>
          <w:bCs/>
          <w:color w:val="auto"/>
          <w:sz w:val="24"/>
          <w:szCs w:val="24"/>
          <w:highlight w:val="none"/>
          <w:u w:val="single"/>
        </w:rPr>
      </w:pPr>
      <w:r>
        <w:rPr>
          <w:rFonts w:ascii="宋体" w:hAnsi="宋体"/>
          <w:bCs/>
          <w:color w:val="auto"/>
          <w:sz w:val="24"/>
          <w:szCs w:val="24"/>
          <w:highlight w:val="none"/>
          <w:u w:val="single"/>
        </w:rPr>
        <w:t xml:space="preserve">11.2.7 </w:t>
      </w:r>
      <w:r>
        <w:rPr>
          <w:rFonts w:hint="eastAsia" w:ascii="宋体" w:hAnsi="宋体"/>
          <w:bCs/>
          <w:color w:val="auto"/>
          <w:sz w:val="24"/>
          <w:szCs w:val="24"/>
          <w:highlight w:val="none"/>
          <w:u w:val="single"/>
        </w:rPr>
        <w:t>《投标函》。</w:t>
      </w:r>
    </w:p>
    <w:p>
      <w:pPr>
        <w:adjustRightInd w:val="0"/>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11.2.8投标人承接过的类似项目业绩。</w:t>
      </w:r>
    </w:p>
    <w:p>
      <w:pPr>
        <w:adjustRightInd w:val="0"/>
        <w:spacing w:line="360" w:lineRule="auto"/>
        <w:ind w:firstLine="480" w:firstLineChars="200"/>
        <w:rPr>
          <w:rFonts w:ascii="宋体" w:hAnsi="宋体"/>
          <w:bCs/>
          <w:color w:val="auto"/>
          <w:sz w:val="24"/>
          <w:szCs w:val="24"/>
          <w:highlight w:val="none"/>
          <w:u w:val="single"/>
        </w:rPr>
      </w:pPr>
      <w:r>
        <w:rPr>
          <w:rFonts w:ascii="宋体" w:hAnsi="宋体"/>
          <w:bCs/>
          <w:color w:val="auto"/>
          <w:sz w:val="24"/>
          <w:szCs w:val="24"/>
          <w:highlight w:val="none"/>
          <w:u w:val="single"/>
        </w:rPr>
        <w:t xml:space="preserve">11.2.9 </w:t>
      </w:r>
      <w:r>
        <w:rPr>
          <w:rFonts w:hint="eastAsia" w:ascii="宋体" w:hAnsi="宋体" w:cs="宋体"/>
          <w:color w:val="auto"/>
          <w:sz w:val="24"/>
          <w:szCs w:val="24"/>
          <w:highlight w:val="none"/>
          <w:u w:val="single"/>
        </w:rPr>
        <w:t>企业资信</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包括但不限于</w:t>
      </w:r>
      <w:r>
        <w:rPr>
          <w:rFonts w:hint="eastAsia" w:ascii="宋体" w:hAnsi="宋体" w:cs="宋体"/>
          <w:color w:val="auto"/>
          <w:sz w:val="24"/>
          <w:szCs w:val="24"/>
          <w:highlight w:val="none"/>
          <w:u w:val="single"/>
          <w:lang w:eastAsia="zh-CN"/>
        </w:rPr>
        <w:t>投标人业绩（</w:t>
      </w:r>
      <w:r>
        <w:rPr>
          <w:rFonts w:hint="eastAsia" w:ascii="宋体" w:hAnsi="宋体" w:cs="宋体"/>
          <w:color w:val="auto"/>
          <w:sz w:val="24"/>
          <w:szCs w:val="24"/>
          <w:highlight w:val="none"/>
          <w:u w:val="single"/>
          <w:lang w:val="en-US" w:eastAsia="zh-CN"/>
        </w:rPr>
        <w:t>含项目负责人、技术负责人业绩</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获奖、第三方评价、纳税信用评价、</w:t>
      </w:r>
      <w:r>
        <w:rPr>
          <w:rFonts w:hint="default" w:ascii="Times New Roman" w:hAnsi="Times New Roman" w:cs="Times New Roman"/>
          <w:bCs/>
          <w:color w:val="auto"/>
          <w:sz w:val="24"/>
          <w:szCs w:val="24"/>
          <w:highlight w:val="none"/>
          <w:u w:val="single"/>
          <w:lang w:val="en-US" w:eastAsia="zh-CN"/>
        </w:rPr>
        <w:t>信用情况</w:t>
      </w:r>
      <w:r>
        <w:rPr>
          <w:rFonts w:hint="eastAsia" w:ascii="Times New Roman" w:hAnsi="Times New Roman" w:cs="Times New Roman"/>
          <w:bCs/>
          <w:color w:val="auto"/>
          <w:sz w:val="24"/>
          <w:szCs w:val="24"/>
          <w:highlight w:val="none"/>
          <w:u w:val="single"/>
          <w:lang w:val="en-US" w:eastAsia="zh-CN"/>
        </w:rPr>
        <w:t>（</w:t>
      </w:r>
      <w:r>
        <w:rPr>
          <w:rFonts w:hint="default" w:ascii="Times New Roman" w:hAnsi="Times New Roman" w:cs="Times New Roman"/>
          <w:bCs/>
          <w:color w:val="auto"/>
          <w:sz w:val="24"/>
          <w:szCs w:val="24"/>
          <w:highlight w:val="none"/>
          <w:u w:val="single"/>
          <w:lang w:val="en-US" w:eastAsia="zh-CN"/>
        </w:rPr>
        <w:t>信用中国）</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的证明材料</w:t>
      </w:r>
      <w:r>
        <w:rPr>
          <w:rFonts w:hint="eastAsia" w:ascii="宋体" w:hAnsi="宋体" w:cs="宋体"/>
          <w:color w:val="auto"/>
          <w:sz w:val="24"/>
          <w:szCs w:val="24"/>
          <w:highlight w:val="none"/>
          <w:u w:val="single"/>
          <w:lang w:eastAsia="zh-CN"/>
        </w:rPr>
        <w:t>（格式自拟）</w:t>
      </w:r>
      <w:r>
        <w:rPr>
          <w:rFonts w:hint="eastAsia" w:ascii="宋体" w:hAnsi="宋体" w:cs="宋体"/>
          <w:color w:val="auto"/>
          <w:sz w:val="24"/>
          <w:szCs w:val="24"/>
          <w:highlight w:val="none"/>
          <w:u w:val="single"/>
        </w:rPr>
        <w:t>。</w:t>
      </w:r>
    </w:p>
    <w:p>
      <w:pPr>
        <w:adjustRightInd w:val="0"/>
        <w:spacing w:line="360" w:lineRule="auto"/>
        <w:ind w:firstLine="480" w:firstLineChars="200"/>
        <w:rPr>
          <w:rFonts w:ascii="宋体" w:hAnsi="宋体"/>
          <w:bCs/>
          <w:color w:val="auto"/>
          <w:sz w:val="24"/>
          <w:szCs w:val="24"/>
          <w:highlight w:val="none"/>
          <w:u w:val="single"/>
        </w:rPr>
      </w:pPr>
      <w:r>
        <w:rPr>
          <w:rFonts w:ascii="宋体" w:hAnsi="宋体"/>
          <w:bCs/>
          <w:color w:val="auto"/>
          <w:sz w:val="24"/>
          <w:szCs w:val="24"/>
          <w:highlight w:val="none"/>
          <w:u w:val="single"/>
        </w:rPr>
        <w:t>11.2.10</w:t>
      </w:r>
      <w:r>
        <w:rPr>
          <w:rFonts w:hint="eastAsia" w:ascii="宋体" w:hAnsi="宋体"/>
          <w:bCs/>
          <w:color w:val="auto"/>
          <w:sz w:val="24"/>
          <w:szCs w:val="24"/>
          <w:highlight w:val="none"/>
          <w:u w:val="single"/>
        </w:rPr>
        <w:t xml:space="preserve"> 投标人获奖情况表。</w:t>
      </w:r>
    </w:p>
    <w:p>
      <w:pPr>
        <w:adjustRightInd w:val="0"/>
        <w:spacing w:line="360" w:lineRule="auto"/>
        <w:ind w:firstLine="480" w:firstLineChars="200"/>
        <w:rPr>
          <w:rFonts w:ascii="宋体" w:hAnsi="宋体" w:cs="宋体"/>
          <w:bCs/>
          <w:color w:val="auto"/>
          <w:sz w:val="24"/>
          <w:szCs w:val="24"/>
          <w:highlight w:val="none"/>
          <w:u w:val="single"/>
        </w:rPr>
      </w:pPr>
      <w:r>
        <w:rPr>
          <w:rFonts w:ascii="宋体" w:hAnsi="宋体"/>
          <w:bCs/>
          <w:color w:val="auto"/>
          <w:sz w:val="24"/>
          <w:szCs w:val="24"/>
          <w:highlight w:val="none"/>
          <w:u w:val="single"/>
        </w:rPr>
        <w:t>11.2.1</w:t>
      </w:r>
      <w:r>
        <w:rPr>
          <w:rFonts w:hint="eastAsia" w:ascii="宋体" w:hAnsi="宋体"/>
          <w:bCs/>
          <w:color w:val="auto"/>
          <w:sz w:val="24"/>
          <w:szCs w:val="24"/>
          <w:highlight w:val="none"/>
          <w:u w:val="single"/>
          <w:lang w:val="en-US" w:eastAsia="zh-CN"/>
        </w:rPr>
        <w:t>1</w:t>
      </w:r>
      <w:r>
        <w:rPr>
          <w:rFonts w:hint="eastAsia" w:ascii="宋体" w:hAnsi="宋体"/>
          <w:bCs/>
          <w:color w:val="auto"/>
          <w:sz w:val="24"/>
          <w:szCs w:val="24"/>
          <w:highlight w:val="none"/>
          <w:u w:val="single"/>
        </w:rPr>
        <w:t xml:space="preserve"> 《承诺书》</w:t>
      </w:r>
      <w:r>
        <w:rPr>
          <w:rFonts w:hint="eastAsia" w:ascii="宋体" w:hAnsi="宋体" w:cs="宋体"/>
          <w:bCs/>
          <w:color w:val="auto"/>
          <w:sz w:val="24"/>
          <w:szCs w:val="24"/>
          <w:highlight w:val="none"/>
          <w:u w:val="single"/>
        </w:rPr>
        <w:t>。</w:t>
      </w:r>
    </w:p>
    <w:p>
      <w:pPr>
        <w:adjustRightInd w:val="0"/>
        <w:spacing w:line="360" w:lineRule="auto"/>
        <w:ind w:firstLine="480" w:firstLineChars="200"/>
        <w:rPr>
          <w:rFonts w:ascii="宋体" w:hAnsi="宋体"/>
          <w:bCs/>
          <w:color w:val="auto"/>
          <w:sz w:val="24"/>
          <w:szCs w:val="24"/>
          <w:highlight w:val="none"/>
          <w:u w:val="single"/>
        </w:rPr>
      </w:pPr>
      <w:r>
        <w:rPr>
          <w:rFonts w:ascii="宋体" w:hAnsi="宋体"/>
          <w:bCs/>
          <w:color w:val="auto"/>
          <w:sz w:val="24"/>
          <w:szCs w:val="24"/>
          <w:highlight w:val="none"/>
          <w:u w:val="single"/>
        </w:rPr>
        <w:t>11.2.1</w:t>
      </w:r>
      <w:r>
        <w:rPr>
          <w:rFonts w:hint="eastAsia" w:ascii="宋体" w:hAnsi="宋体"/>
          <w:bCs/>
          <w:color w:val="auto"/>
          <w:sz w:val="24"/>
          <w:szCs w:val="24"/>
          <w:highlight w:val="none"/>
          <w:u w:val="single"/>
          <w:lang w:val="en-US" w:eastAsia="zh-CN"/>
        </w:rPr>
        <w:t>2</w:t>
      </w:r>
      <w:r>
        <w:rPr>
          <w:rFonts w:hint="eastAsia" w:ascii="宋体" w:hAnsi="宋体"/>
          <w:bCs/>
          <w:color w:val="auto"/>
          <w:sz w:val="24"/>
          <w:szCs w:val="24"/>
          <w:highlight w:val="none"/>
          <w:u w:val="single"/>
        </w:rPr>
        <w:t xml:space="preserve"> 投标保证金（格式可自定）扫描件。</w:t>
      </w:r>
    </w:p>
    <w:p>
      <w:pPr>
        <w:adjustRightInd w:val="0"/>
        <w:spacing w:line="360" w:lineRule="auto"/>
        <w:ind w:firstLine="480" w:firstLineChars="200"/>
        <w:rPr>
          <w:rFonts w:ascii="宋体" w:hAnsi="宋体"/>
          <w:color w:val="auto"/>
          <w:sz w:val="24"/>
          <w:szCs w:val="24"/>
          <w:highlight w:val="none"/>
          <w:u w:val="single"/>
        </w:rPr>
      </w:pPr>
      <w:r>
        <w:rPr>
          <w:rFonts w:ascii="宋体" w:hAnsi="宋体"/>
          <w:bCs/>
          <w:color w:val="auto"/>
          <w:sz w:val="24"/>
          <w:szCs w:val="24"/>
          <w:highlight w:val="none"/>
          <w:u w:val="single"/>
        </w:rPr>
        <w:t>11.2.</w:t>
      </w:r>
      <w:r>
        <w:rPr>
          <w:rFonts w:hint="eastAsia" w:ascii="宋体" w:hAnsi="宋体"/>
          <w:bCs/>
          <w:color w:val="auto"/>
          <w:sz w:val="24"/>
          <w:szCs w:val="24"/>
          <w:highlight w:val="none"/>
          <w:u w:val="single"/>
          <w:lang w:val="en-US" w:eastAsia="zh-CN"/>
        </w:rPr>
        <w:t>13</w:t>
      </w:r>
      <w:r>
        <w:rPr>
          <w:rFonts w:hint="eastAsia" w:ascii="宋体" w:hAnsi="宋体"/>
          <w:color w:val="auto"/>
          <w:sz w:val="24"/>
          <w:szCs w:val="24"/>
          <w:highlight w:val="none"/>
          <w:u w:val="single"/>
        </w:rPr>
        <w:t>其他资料</w:t>
      </w:r>
      <w:r>
        <w:rPr>
          <w:rFonts w:hint="eastAsia" w:ascii="宋体" w:hAnsi="宋体"/>
          <w:bCs/>
          <w:color w:val="auto"/>
          <w:sz w:val="24"/>
          <w:szCs w:val="24"/>
          <w:highlight w:val="none"/>
          <w:u w:val="single"/>
        </w:rPr>
        <w:t>（其他投标人认为应该提供的资料）。</w:t>
      </w:r>
    </w:p>
    <w:p>
      <w:pPr>
        <w:adjustRightInd w:val="0"/>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 xml:space="preserve">11.3 </w:t>
      </w:r>
      <w:r>
        <w:rPr>
          <w:rFonts w:hint="eastAsia" w:ascii="宋体" w:hAnsi="宋体"/>
          <w:b/>
          <w:bCs/>
          <w:color w:val="auto"/>
          <w:sz w:val="24"/>
          <w:szCs w:val="24"/>
          <w:highlight w:val="none"/>
          <w:u w:val="single"/>
        </w:rPr>
        <w:t>经济部分投标文件</w:t>
      </w:r>
      <w:r>
        <w:rPr>
          <w:rFonts w:hint="eastAsia" w:ascii="宋体" w:hAnsi="宋体"/>
          <w:bCs/>
          <w:color w:val="auto"/>
          <w:sz w:val="24"/>
          <w:szCs w:val="24"/>
          <w:highlight w:val="none"/>
        </w:rPr>
        <w:t>主要包括下列内容:</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11.3.1 </w:t>
      </w:r>
      <w:r>
        <w:rPr>
          <w:rFonts w:hint="eastAsia" w:ascii="宋体" w:hAnsi="宋体"/>
          <w:color w:val="auto"/>
          <w:sz w:val="24"/>
          <w:szCs w:val="24"/>
          <w:highlight w:val="none"/>
          <w:u w:val="single"/>
        </w:rPr>
        <w:t>经济投标文件（按招标文件的要求填写）。</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1</w:t>
      </w:r>
      <w:r>
        <w:rPr>
          <w:rFonts w:hint="eastAsia" w:ascii="宋体" w:hAnsi="宋体"/>
          <w:bCs/>
          <w:color w:val="auto"/>
          <w:sz w:val="24"/>
          <w:szCs w:val="24"/>
          <w:highlight w:val="none"/>
        </w:rPr>
        <w:t>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11.3.3 按照招标文件要求填写的《参与编制经济标投标文件人员名单》。</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11.3.4 《对投标文件编制的承诺》。</w:t>
      </w:r>
    </w:p>
    <w:p>
      <w:pPr>
        <w:pStyle w:val="5"/>
        <w:spacing w:after="0" w:line="360" w:lineRule="auto"/>
        <w:ind w:firstLine="480" w:firstLineChars="200"/>
        <w:rPr>
          <w:rFonts w:ascii="宋体" w:hAnsi="宋体" w:cs="宋体"/>
          <w:b/>
          <w:color w:val="auto"/>
          <w:sz w:val="24"/>
          <w:szCs w:val="24"/>
          <w:highlight w:val="none"/>
        </w:rPr>
      </w:pPr>
      <w:r>
        <w:rPr>
          <w:rFonts w:hint="eastAsia" w:ascii="宋体" w:hAnsi="宋体"/>
          <w:bCs/>
          <w:color w:val="auto"/>
          <w:sz w:val="24"/>
          <w:szCs w:val="24"/>
          <w:highlight w:val="none"/>
        </w:rPr>
        <w:t>11.3.5 若投标人的投标报价低于工程成本警戒价的，投标人还须提供详细的施工组织设计、单价、措施性费用、单价分析表、主要材料价格表、投标人成本分析供评标委员会评审。</w:t>
      </w:r>
      <w:r>
        <w:rPr>
          <w:rFonts w:ascii="宋体" w:hAnsi="宋体" w:cs="宋体"/>
          <w:b/>
          <w:color w:val="auto"/>
          <w:sz w:val="24"/>
          <w:szCs w:val="24"/>
          <w:highlight w:val="none"/>
        </w:rPr>
        <w:t xml:space="preserve"> </w:t>
      </w:r>
      <w:r>
        <w:rPr>
          <w:rFonts w:hint="eastAsia" w:ascii="宋体" w:hAnsi="宋体" w:cs="Times New Roman"/>
          <w:b w:val="0"/>
          <w:bCs/>
          <w:color w:val="auto"/>
          <w:sz w:val="24"/>
          <w:szCs w:val="24"/>
          <w:highlight w:val="none"/>
          <w:lang w:eastAsia="zh-CN"/>
        </w:rPr>
        <w:t>（本项目不适用。）</w:t>
      </w:r>
    </w:p>
    <w:p>
      <w:pPr>
        <w:pStyle w:val="5"/>
        <w:spacing w:after="0" w:line="360" w:lineRule="auto"/>
        <w:ind w:firstLine="480" w:firstLineChars="200"/>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u w:val="single"/>
        </w:rPr>
        <w:t>11.3.</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电子投标管理软件编制的“建设工程施工招标投标书”不作为否决投标的条件，投标人采用电子投标管理软件编制“建设工程施工招标投标书”时无法填写“项目编号”的可以不填写，没有填写“项目编号”也不作为否决投标的条件)</w:t>
      </w:r>
      <w:r>
        <w:rPr>
          <w:rFonts w:hint="eastAsia" w:ascii="宋体" w:hAnsi="宋体" w:cs="宋体"/>
          <w:color w:val="auto"/>
          <w:sz w:val="24"/>
          <w:szCs w:val="24"/>
          <w:highlight w:val="none"/>
          <w:u w:val="single"/>
          <w:lang w:eastAsia="zh-CN"/>
        </w:rPr>
        <w:t>；</w:t>
      </w:r>
    </w:p>
    <w:p>
      <w:pPr>
        <w:pStyle w:val="5"/>
        <w:spacing w:after="0" w:line="360" w:lineRule="auto"/>
        <w:ind w:firstLine="480" w:firstLineChars="200"/>
        <w:rPr>
          <w:rFonts w:hint="eastAsia" w:ascii="宋体" w:hAnsi="宋体" w:eastAsia="宋体"/>
          <w:bCs/>
          <w:color w:val="auto"/>
          <w:sz w:val="24"/>
          <w:szCs w:val="24"/>
          <w:highlight w:val="none"/>
          <w:lang w:val="en-US" w:eastAsia="zh-CN"/>
        </w:rPr>
      </w:pPr>
      <w:r>
        <w:rPr>
          <w:rFonts w:hint="eastAsia" w:ascii="宋体" w:hAnsi="宋体" w:cs="宋体"/>
          <w:color w:val="auto"/>
          <w:sz w:val="24"/>
          <w:szCs w:val="24"/>
          <w:highlight w:val="none"/>
          <w:u w:val="single"/>
        </w:rPr>
        <w:t>11.3.</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投标人认为应提供的其他资料</w:t>
      </w:r>
      <w:r>
        <w:rPr>
          <w:rFonts w:hint="eastAsia" w:ascii="宋体" w:hAnsi="宋体" w:cs="宋体"/>
          <w:color w:val="auto"/>
          <w:sz w:val="24"/>
          <w:szCs w:val="24"/>
          <w:highlight w:val="none"/>
          <w:u w:val="single"/>
          <w:lang w:eastAsia="zh-CN"/>
        </w:rPr>
        <w:t>。</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12.2</w:t>
      </w:r>
      <w:r>
        <w:rPr>
          <w:rFonts w:hint="eastAsia" w:ascii="宋体" w:hAnsi="宋体"/>
          <w:color w:val="auto"/>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szCs w:val="24"/>
          <w:highlight w:val="none"/>
          <w:u w:val="single"/>
        </w:rPr>
        <w:t>广州公共资源交易中心网站</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szCs w:val="24"/>
          <w:highlight w:val="none"/>
        </w:rPr>
        <w:t>照交易平台关于全流程电子化项目的相关指南进行编制，详见：</w:t>
      </w:r>
      <w:r>
        <w:rPr>
          <w:rFonts w:hint="eastAsia" w:ascii="宋体" w:hAnsi="宋体"/>
          <w:color w:val="auto"/>
          <w:sz w:val="24"/>
          <w:szCs w:val="24"/>
          <w:highlight w:val="none"/>
          <w:u w:val="single"/>
        </w:rPr>
        <w:t>广州公共资源交易中心网站</w:t>
      </w:r>
      <w:r>
        <w:rPr>
          <w:rFonts w:hint="eastAsia" w:ascii="宋体" w:hAnsi="宋体"/>
          <w:color w:val="auto"/>
          <w:sz w:val="24"/>
          <w:highlight w:val="none"/>
        </w:rPr>
        <w:t xml:space="preserve">。               </w:t>
      </w:r>
    </w:p>
    <w:p>
      <w:pPr>
        <w:pStyle w:val="5"/>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13.1</w:t>
      </w:r>
      <w:r>
        <w:rPr>
          <w:rFonts w:hint="eastAsia" w:ascii="宋体" w:hAnsi="宋体" w:cs="宋体"/>
          <w:color w:val="auto"/>
          <w:sz w:val="24"/>
          <w:szCs w:val="24"/>
          <w:highlight w:val="none"/>
        </w:rPr>
        <w:t>本工程的投标报价采用投标须知前附表第12项所规定的方式。</w:t>
      </w:r>
      <w:r>
        <w:rPr>
          <w:rFonts w:hint="eastAsia" w:ascii="宋体" w:hAnsi="宋体" w:cs="宋体"/>
          <w:color w:val="auto"/>
          <w:sz w:val="24"/>
          <w:szCs w:val="24"/>
          <w:highlight w:val="none"/>
          <w:u w:val="single"/>
        </w:rPr>
        <w:t>投标文件中的大写金额和</w:t>
      </w:r>
      <w:r>
        <w:rPr>
          <w:rFonts w:hint="eastAsia" w:ascii="宋体" w:hAnsi="宋体" w:cs="宋体"/>
          <w:bCs/>
          <w:color w:val="auto"/>
          <w:sz w:val="24"/>
          <w:szCs w:val="24"/>
          <w:highlight w:val="none"/>
          <w:u w:val="single"/>
        </w:rPr>
        <w:t>小写</w:t>
      </w:r>
      <w:r>
        <w:rPr>
          <w:rFonts w:hint="eastAsia" w:ascii="宋体" w:hAnsi="宋体" w:cs="宋体"/>
          <w:color w:val="auto"/>
          <w:sz w:val="24"/>
          <w:szCs w:val="24"/>
          <w:highlight w:val="none"/>
          <w:u w:val="single"/>
        </w:rPr>
        <w:t>金额不一致的，以大写金额为准。投标报价精确到“分”</w:t>
      </w:r>
      <w:r>
        <w:rPr>
          <w:rFonts w:hint="eastAsia" w:ascii="宋体" w:hAnsi="宋体"/>
          <w:color w:val="auto"/>
          <w:sz w:val="24"/>
          <w:highlight w:val="none"/>
          <w:u w:val="single"/>
        </w:rPr>
        <w:t>。</w:t>
      </w:r>
    </w:p>
    <w:p>
      <w:pPr>
        <w:pStyle w:val="5"/>
        <w:spacing w:line="360" w:lineRule="auto"/>
        <w:ind w:firstLine="480" w:firstLineChars="200"/>
        <w:rPr>
          <w:rFonts w:ascii="宋体" w:hAnsi="宋体" w:cs="宋体"/>
          <w:color w:val="auto"/>
          <w:kern w:val="2"/>
          <w:sz w:val="24"/>
          <w:szCs w:val="24"/>
          <w:highlight w:val="none"/>
          <w:lang w:val="en-US"/>
        </w:rPr>
      </w:pPr>
      <w:r>
        <w:rPr>
          <w:rFonts w:hint="eastAsia" w:ascii="宋体" w:hAnsi="宋体" w:cs="宋体"/>
          <w:color w:val="auto"/>
          <w:kern w:val="2"/>
          <w:sz w:val="24"/>
          <w:szCs w:val="24"/>
          <w:highlight w:val="none"/>
          <w:lang w:val="en-US"/>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13.3投标人的投标报价，应是按照投标须知前附表第8项的工期要求，在投标须知前附表第3项的建设地点，完成投标须知前附表第7项的招标范围内已由招标人制定的工程量清单</w:t>
      </w:r>
      <w:r>
        <w:rPr>
          <w:rFonts w:hint="eastAsia" w:ascii="宋体" w:hAnsi="宋体" w:cs="宋体"/>
          <w:color w:val="auto"/>
          <w:sz w:val="24"/>
          <w:szCs w:val="24"/>
          <w:highlight w:val="none"/>
          <w:u w:val="single"/>
        </w:rPr>
        <w:t>（含招标的相关资料）</w:t>
      </w:r>
      <w:r>
        <w:rPr>
          <w:rFonts w:hint="eastAsia" w:ascii="宋体" w:hAnsi="宋体" w:cs="宋体"/>
          <w:color w:val="auto"/>
          <w:sz w:val="24"/>
          <w:szCs w:val="24"/>
          <w:highlight w:val="none"/>
        </w:rPr>
        <w:t>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adjustRightInd w:val="0"/>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13.4投标人一旦中标，</w:t>
      </w:r>
      <w:r>
        <w:rPr>
          <w:rFonts w:hint="eastAsia" w:ascii="宋体" w:hAnsi="宋体" w:cs="宋体"/>
          <w:color w:val="auto"/>
          <w:sz w:val="24"/>
          <w:szCs w:val="24"/>
          <w:highlight w:val="none"/>
          <w:u w:val="single"/>
        </w:rPr>
        <w:t>因计算的实际工程量与招标清单工程量出现偏差或因工程变更等原因导致的工程量偏差时</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按照本项目</w:t>
      </w:r>
      <w:r>
        <w:rPr>
          <w:rFonts w:hint="eastAsia" w:ascii="宋体" w:hAnsi="宋体" w:cs="宋体"/>
          <w:color w:val="auto"/>
          <w:sz w:val="24"/>
          <w:szCs w:val="24"/>
          <w:highlight w:val="none"/>
          <w:u w:val="single"/>
        </w:rPr>
        <w:t>合同相关规定执行。</w:t>
      </w:r>
    </w:p>
    <w:p>
      <w:pPr>
        <w:pStyle w:val="5"/>
        <w:spacing w:after="0" w:line="360" w:lineRule="auto"/>
        <w:ind w:firstLine="480" w:firstLineChars="200"/>
        <w:rPr>
          <w:rFonts w:ascii="宋体"/>
          <w:color w:val="auto"/>
          <w:sz w:val="24"/>
          <w:highlight w:val="none"/>
        </w:rPr>
      </w:pPr>
      <w:r>
        <w:rPr>
          <w:rFonts w:hint="eastAsia" w:ascii="宋体" w:hAnsi="宋体" w:cs="宋体"/>
          <w:color w:val="auto"/>
          <w:sz w:val="24"/>
          <w:szCs w:val="24"/>
          <w:highlight w:val="none"/>
        </w:rPr>
        <w:t>13.5</w:t>
      </w:r>
      <w:r>
        <w:rPr>
          <w:rFonts w:hint="eastAsia" w:ascii="宋体" w:hAnsi="宋体" w:cs="宋体"/>
          <w:color w:val="auto"/>
          <w:sz w:val="24"/>
          <w:szCs w:val="24"/>
          <w:highlight w:val="none"/>
          <w:u w:val="single"/>
        </w:rPr>
        <w:t>工程项目实施期间和结算时，设计变更产生的工程项目，按合同变更估价原则确定价格。</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r>
        <w:rPr>
          <w:rFonts w:hint="eastAsia" w:ascii="宋体" w:hAnsi="宋体"/>
          <w:color w:val="auto"/>
          <w:sz w:val="24"/>
          <w:highlight w:val="none"/>
          <w:u w:val="single"/>
        </w:rPr>
        <w:t>（合同另有约定的按合同约定执行）</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line="360" w:lineRule="auto"/>
        <w:ind w:firstLine="480" w:firstLineChars="200"/>
        <w:rPr>
          <w:rFonts w:ascii="宋体" w:hAnsi="宋体"/>
          <w:color w:val="auto"/>
          <w:sz w:val="24"/>
          <w:szCs w:val="24"/>
          <w:highlight w:val="none"/>
        </w:rPr>
      </w:pPr>
      <w:r>
        <w:rPr>
          <w:rFonts w:hint="eastAsia" w:ascii="宋体" w:hAnsi="宋体" w:cs="宋体"/>
          <w:bCs/>
          <w:color w:val="auto"/>
          <w:sz w:val="24"/>
          <w:szCs w:val="24"/>
          <w:highlight w:val="none"/>
        </w:rPr>
        <w:t>13.6.2</w:t>
      </w:r>
      <w:r>
        <w:rPr>
          <w:rFonts w:hint="eastAsia" w:ascii="宋体" w:hAnsi="宋体" w:cs="宋体"/>
          <w:color w:val="auto"/>
          <w:sz w:val="24"/>
          <w:szCs w:val="24"/>
          <w:highlight w:val="none"/>
        </w:rPr>
        <w:t>在工程实施中，暂列金额、暂估价所包含的工作范围和图纸、标准深化固定后，按照工程专业、设备、材料类别等分类汇总的金额，</w:t>
      </w:r>
      <w:r>
        <w:rPr>
          <w:rFonts w:hint="eastAsia" w:ascii="宋体" w:hAnsi="宋体" w:cs="宋体"/>
          <w:color w:val="auto"/>
          <w:sz w:val="24"/>
          <w:szCs w:val="24"/>
          <w:highlight w:val="none"/>
          <w:u w:val="single"/>
        </w:rPr>
        <w:t>达到法定招标范围标准的应由招标人招标确定承包人和承包价格</w:t>
      </w:r>
      <w:r>
        <w:rPr>
          <w:rFonts w:hint="eastAsia" w:ascii="宋体" w:hAnsi="宋体" w:cs="宋体"/>
          <w:bCs/>
          <w:color w:val="auto"/>
          <w:sz w:val="24"/>
          <w:szCs w:val="24"/>
          <w:highlight w:val="none"/>
        </w:rPr>
        <w:t>。</w:t>
      </w:r>
    </w:p>
    <w:p>
      <w:pPr>
        <w:pStyle w:val="5"/>
        <w:spacing w:after="0" w:line="360" w:lineRule="auto"/>
        <w:ind w:firstLine="480" w:firstLineChars="200"/>
        <w:rPr>
          <w:rFonts w:ascii="宋体" w:hAnsi="宋体"/>
          <w:color w:val="auto"/>
          <w:sz w:val="24"/>
          <w:highlight w:val="none"/>
        </w:rPr>
      </w:pPr>
      <w:bookmarkStart w:id="9" w:name="_Hlk56095983"/>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13.6.4</w:t>
      </w:r>
      <w:r>
        <w:rPr>
          <w:rFonts w:hint="eastAsia" w:ascii="宋体" w:hAnsi="宋体" w:cs="宋体"/>
          <w:color w:val="auto"/>
          <w:sz w:val="24"/>
          <w:szCs w:val="24"/>
          <w:highlight w:val="none"/>
        </w:rPr>
        <w:t>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 w:val="24"/>
          <w:szCs w:val="24"/>
          <w:highlight w:val="none"/>
          <w:u w:val="single"/>
        </w:rPr>
        <w:t>经发包人同意，</w:t>
      </w:r>
      <w:r>
        <w:rPr>
          <w:rFonts w:hint="eastAsia" w:ascii="宋体" w:hAnsi="宋体" w:cs="宋体"/>
          <w:color w:val="auto"/>
          <w:sz w:val="24"/>
          <w:szCs w:val="24"/>
          <w:highlight w:val="none"/>
        </w:rPr>
        <w:t>承包人有法定的承包资格的，由承包人承包，承包人无法定的承包资格但有法定的分包权的，由承包人分包，招标人同承包人结算的价格按</w:t>
      </w:r>
      <w:r>
        <w:rPr>
          <w:rFonts w:hint="eastAsia" w:ascii="宋体" w:hAnsi="宋体" w:cs="宋体"/>
          <w:color w:val="auto"/>
          <w:sz w:val="24"/>
          <w:szCs w:val="24"/>
          <w:highlight w:val="none"/>
          <w:u w:val="single"/>
        </w:rPr>
        <w:t>本</w:t>
      </w:r>
      <w:r>
        <w:rPr>
          <w:rFonts w:hint="eastAsia" w:ascii="宋体" w:hAnsi="宋体" w:cs="宋体"/>
          <w:color w:val="auto"/>
          <w:sz w:val="24"/>
          <w:szCs w:val="24"/>
          <w:highlight w:val="none"/>
          <w:u w:val="single"/>
          <w:lang w:eastAsia="zh-CN"/>
        </w:rPr>
        <w:t>项目合同规定条款</w:t>
      </w:r>
      <w:r>
        <w:rPr>
          <w:rFonts w:hint="eastAsia" w:ascii="宋体" w:hAnsi="宋体" w:cs="宋体"/>
          <w:color w:val="auto"/>
          <w:sz w:val="24"/>
          <w:szCs w:val="24"/>
          <w:highlight w:val="none"/>
        </w:rPr>
        <w:t>确定</w:t>
      </w:r>
      <w:r>
        <w:rPr>
          <w:rFonts w:hint="eastAsia" w:ascii="宋体" w:hAnsi="宋体"/>
          <w:color w:val="auto"/>
          <w:sz w:val="24"/>
          <w:highlight w:val="none"/>
        </w:rPr>
        <w:t>。</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bookmarkEnd w:id="9"/>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甲方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hAns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hAnsi="宋体"/>
          <w:color w:val="auto"/>
          <w:sz w:val="24"/>
          <w:szCs w:val="24"/>
          <w:highlight w:val="none"/>
        </w:rPr>
      </w:pPr>
      <w:r>
        <w:rPr>
          <w:rFonts w:ascii="宋体" w:hAnsi="宋体"/>
          <w:color w:val="auto"/>
          <w:sz w:val="24"/>
          <w:highlight w:val="none"/>
        </w:rPr>
        <w:t>13.9</w:t>
      </w:r>
      <w:r>
        <w:rPr>
          <w:rFonts w:hint="eastAsia" w:ascii="宋体" w:hAnsi="宋体"/>
          <w:color w:val="auto"/>
          <w:sz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hAns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pStyle w:val="5"/>
        <w:spacing w:after="0" w:line="42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16.1投标人应按投标须知前附表第14项所述金额和时间递交投标保证金。</w:t>
      </w:r>
      <w:r>
        <w:rPr>
          <w:rFonts w:hint="eastAsia" w:ascii="宋体" w:hAnsi="宋体" w:cs="宋体"/>
          <w:color w:val="auto"/>
          <w:sz w:val="24"/>
          <w:szCs w:val="24"/>
          <w:highlight w:val="none"/>
          <w:u w:val="single"/>
        </w:rPr>
        <w:t>招标人应当允许投标人自主选择现金、银行保函、保证保险、专业工程担保公司担保等方式缴纳投标保证金。</w:t>
      </w:r>
    </w:p>
    <w:p>
      <w:pPr>
        <w:pStyle w:val="5"/>
        <w:spacing w:after="0" w:line="42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 xml:space="preserve">16.1.1 </w:t>
      </w:r>
      <w:r>
        <w:rPr>
          <w:rFonts w:hint="eastAsia" w:ascii="宋体" w:hAnsi="宋体" w:cs="宋体"/>
          <w:color w:val="auto"/>
          <w:sz w:val="24"/>
          <w:szCs w:val="24"/>
          <w:highlight w:val="none"/>
          <w:u w:val="single"/>
        </w:rPr>
        <w:t>采用现金或者支票形式提交的，投标保证金须从投标人的银行基本账户转出。</w:t>
      </w:r>
    </w:p>
    <w:p>
      <w:pPr>
        <w:pStyle w:val="5"/>
        <w:spacing w:after="0" w:line="42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 xml:space="preserve">16.1.2 </w:t>
      </w:r>
      <w:r>
        <w:rPr>
          <w:rFonts w:hint="eastAsia" w:ascii="宋体" w:hAnsi="宋体" w:cs="宋体"/>
          <w:color w:val="auto"/>
          <w:sz w:val="24"/>
          <w:szCs w:val="24"/>
          <w:highlight w:val="none"/>
          <w:u w:val="single"/>
        </w:rPr>
        <w:t>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cs="宋体"/>
          <w:color w:val="auto"/>
          <w:sz w:val="24"/>
          <w:szCs w:val="24"/>
          <w:highlight w:val="none"/>
          <w:u w:val="single"/>
        </w:rPr>
        <w:t>16.4条款所列情形的，应将纸质原件提交给招标人。</w:t>
      </w:r>
    </w:p>
    <w:p>
      <w:pPr>
        <w:spacing w:line="42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 xml:space="preserve">16.1.3 </w:t>
      </w:r>
      <w:r>
        <w:rPr>
          <w:rFonts w:hint="eastAsia" w:ascii="宋体" w:hAnsi="宋体" w:cs="宋体"/>
          <w:color w:val="auto"/>
          <w:sz w:val="24"/>
          <w:szCs w:val="24"/>
          <w:highlight w:val="none"/>
          <w:u w:val="single"/>
        </w:rPr>
        <w:t>采用电子形式的保函、担保或保证保险提交投标保证金的，具体操作要求详见广州公共资源交易中心有关指引，递交事宜请自行咨询交易中心。</w:t>
      </w:r>
    </w:p>
    <w:p>
      <w:pPr>
        <w:pStyle w:val="5"/>
        <w:spacing w:after="0" w:line="42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16.2</w:t>
      </w:r>
      <w:r>
        <w:rPr>
          <w:rFonts w:hint="eastAsia" w:ascii="宋体" w:hAnsi="宋体" w:cs="宋体"/>
          <w:color w:val="auto"/>
          <w:sz w:val="24"/>
          <w:szCs w:val="24"/>
          <w:highlight w:val="none"/>
          <w:u w:val="single"/>
        </w:rPr>
        <w:t>开标时投标人没有按要求提供投标保证金的，其投标文件将被否决。</w:t>
      </w:r>
    </w:p>
    <w:p>
      <w:pPr>
        <w:pStyle w:val="5"/>
        <w:spacing w:after="0" w:line="42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16.3投标保证金应依据法律法规的相关规定退还。</w:t>
      </w:r>
    </w:p>
    <w:p>
      <w:pPr>
        <w:pStyle w:val="5"/>
        <w:spacing w:after="0" w:line="42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16.4如有下列情况之一的，招标人不予退还投标保证金：</w:t>
      </w:r>
    </w:p>
    <w:p>
      <w:pPr>
        <w:pStyle w:val="5"/>
        <w:spacing w:after="0" w:line="42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16.4.1因投标人原因造成投标文件未解密的；</w:t>
      </w:r>
    </w:p>
    <w:p>
      <w:pPr>
        <w:pStyle w:val="5"/>
        <w:spacing w:after="0" w:line="42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16.4.2投标人在投标有效期内撤销投标文件；</w:t>
      </w:r>
    </w:p>
    <w:p>
      <w:pPr>
        <w:pStyle w:val="5"/>
        <w:spacing w:after="0" w:line="42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16.4.3中标人未能在规定期限内按要求提交履约担保；</w:t>
      </w:r>
    </w:p>
    <w:p>
      <w:pPr>
        <w:pStyle w:val="5"/>
        <w:spacing w:after="0" w:line="42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16.4.4中标人未能在规定期限内签署合同协议。</w:t>
      </w:r>
    </w:p>
    <w:p>
      <w:pPr>
        <w:pStyle w:val="5"/>
        <w:spacing w:after="0" w:line="42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16.5投标人如存在下列情况之一的，将被拒绝1年内参与招标人后续工程投标：</w:t>
      </w:r>
    </w:p>
    <w:p>
      <w:pPr>
        <w:pStyle w:val="5"/>
        <w:spacing w:after="0" w:line="42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16.5.1投标人存在16.4条款所列情形且投标人提交的保函、担保或保证保险无法兑付的；</w:t>
      </w:r>
    </w:p>
    <w:p>
      <w:pPr>
        <w:spacing w:line="420" w:lineRule="exact"/>
        <w:ind w:firstLine="480" w:firstLineChars="200"/>
        <w:rPr>
          <w:rFonts w:ascii="宋体" w:hAnsi="宋体" w:cs="宋体"/>
          <w:bCs/>
          <w:color w:val="auto"/>
          <w:sz w:val="24"/>
          <w:szCs w:val="24"/>
          <w:highlight w:val="none"/>
          <w:u w:val="single"/>
        </w:rPr>
      </w:pPr>
      <w:r>
        <w:rPr>
          <w:rFonts w:ascii="宋体" w:hAnsi="宋体" w:cs="宋体"/>
          <w:color w:val="auto"/>
          <w:sz w:val="24"/>
          <w:szCs w:val="24"/>
          <w:highlight w:val="none"/>
          <w:u w:val="single"/>
        </w:rPr>
        <w:t>16.5.2采用非电子形式提交投标保证金的投标人存在16.4条款所列情形，且未按招标人要求补交银行保函、专业工程担保公司担保或保证保险原件的；</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17.1</w:t>
      </w:r>
      <w:r>
        <w:rPr>
          <w:rFonts w:hint="eastAsia" w:ascii="宋体" w:hAnsi="宋体"/>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4"/>
          <w:szCs w:val="24"/>
          <w:highlight w:val="none"/>
          <w:u w:val="single"/>
        </w:rPr>
        <w:t>广州公共资源交易中心网站(http://ggzy.gz.gov.cn/)服务指南栏目</w:t>
      </w:r>
      <w:r>
        <w:rPr>
          <w:rFonts w:hint="eastAsia" w:ascii="宋体" w:hAnsi="宋体"/>
          <w:color w:val="auto"/>
          <w:sz w:val="24"/>
          <w:szCs w:val="24"/>
          <w:highlight w:val="none"/>
          <w:u w:val="single"/>
        </w:rPr>
        <w:t>。</w:t>
      </w:r>
    </w:p>
    <w:p>
      <w:pPr>
        <w:pStyle w:val="8"/>
        <w:spacing w:before="156" w:after="156"/>
        <w:rPr>
          <w:color w:val="auto"/>
          <w:highlight w:val="none"/>
        </w:rPr>
      </w:pPr>
      <w:bookmarkStart w:id="10" w:name="_Toc24815"/>
      <w:r>
        <w:rPr>
          <w:rFonts w:hint="eastAsia"/>
          <w:color w:val="auto"/>
          <w:highlight w:val="none"/>
        </w:rPr>
        <w:t>（四）投标文件的提交</w:t>
      </w:r>
      <w:bookmarkEnd w:id="10"/>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ascii="宋体" w:hAnsi="宋体"/>
          <w:b/>
          <w:color w:val="auto"/>
          <w:sz w:val="24"/>
          <w:szCs w:val="24"/>
          <w:highlight w:val="none"/>
        </w:rPr>
        <w:t>投标文件的密封和标记</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color w:val="auto"/>
          <w:sz w:val="24"/>
          <w:szCs w:val="32"/>
          <w:highlight w:val="none"/>
        </w:rPr>
        <w:t>递交的电子投标文件（不含备用</w:t>
      </w:r>
      <w:r>
        <w:rPr>
          <w:rFonts w:hint="eastAsia" w:ascii="宋体" w:hAnsi="宋体"/>
          <w:color w:val="auto"/>
          <w:sz w:val="24"/>
          <w:szCs w:val="24"/>
          <w:highlight w:val="none"/>
          <w:u w:val="single"/>
          <w:lang w:val="en-US" w:eastAsia="zh-CN"/>
        </w:rPr>
        <w:t>U</w:t>
      </w:r>
      <w:r>
        <w:rPr>
          <w:rFonts w:hint="eastAsia" w:ascii="宋体" w:hAnsi="宋体"/>
          <w:color w:val="auto"/>
          <w:sz w:val="24"/>
          <w:szCs w:val="32"/>
          <w:highlight w:val="none"/>
        </w:rPr>
        <w:t>盘）必须进行加密。按照交易平台关于全流程电子化项目的相关指南进行操作。详见：</w:t>
      </w:r>
      <w:r>
        <w:rPr>
          <w:rFonts w:hint="eastAsia" w:ascii="宋体" w:hAnsi="宋体" w:cs="宋体"/>
          <w:color w:val="auto"/>
          <w:sz w:val="24"/>
          <w:szCs w:val="24"/>
          <w:highlight w:val="none"/>
          <w:u w:val="single"/>
        </w:rPr>
        <w:t>广州公共资源交易中心网站(http://ggzy.gz.gov.cn/)服务指南栏目</w:t>
      </w:r>
      <w:r>
        <w:rPr>
          <w:rFonts w:hint="eastAsia" w:ascii="宋体" w:hAnsi="宋体"/>
          <w:color w:val="auto"/>
          <w:sz w:val="24"/>
          <w:szCs w:val="32"/>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8.2</w:t>
      </w:r>
      <w:r>
        <w:rPr>
          <w:rFonts w:hint="eastAsia" w:ascii="宋体" w:hAnsi="宋体"/>
          <w:bCs/>
          <w:color w:val="auto"/>
          <w:sz w:val="24"/>
          <w:highlight w:val="none"/>
        </w:rPr>
        <w:t>未按要求加密的投标文件，</w:t>
      </w:r>
      <w:r>
        <w:rPr>
          <w:rFonts w:hint="eastAsia" w:ascii="宋体" w:hAnsi="宋体"/>
          <w:bCs/>
          <w:color w:val="auto"/>
          <w:sz w:val="24"/>
          <w:highlight w:val="none"/>
          <w:u w:val="single"/>
        </w:rPr>
        <w:t>广州公共资源交易中心</w:t>
      </w:r>
      <w:r>
        <w:rPr>
          <w:rFonts w:hint="eastAsia" w:ascii="宋体" w:hAnsi="宋体"/>
          <w:bCs/>
          <w:color w:val="auto"/>
          <w:sz w:val="24"/>
          <w:highlight w:val="none"/>
        </w:rPr>
        <w:t>交易平台将予以拒收。</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19.1投标人通过</w:t>
      </w:r>
      <w:r>
        <w:rPr>
          <w:rFonts w:hint="eastAsia" w:ascii="宋体" w:hAnsi="宋体"/>
          <w:bCs/>
          <w:color w:val="auto"/>
          <w:sz w:val="24"/>
          <w:highlight w:val="none"/>
          <w:u w:val="single"/>
        </w:rPr>
        <w:t>广州公共资源交易中心</w:t>
      </w:r>
      <w:r>
        <w:rPr>
          <w:rFonts w:hint="eastAsia" w:ascii="宋体" w:hAnsi="宋体"/>
          <w:bCs/>
          <w:color w:val="auto"/>
          <w:sz w:val="24"/>
          <w:highlight w:val="none"/>
        </w:rPr>
        <w:t>交易平台递交电子投标文件。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19.2投标人完成电子投标文件上传后，</w:t>
      </w:r>
      <w:r>
        <w:rPr>
          <w:rFonts w:hint="eastAsia" w:ascii="宋体" w:hAnsi="宋体"/>
          <w:bCs/>
          <w:color w:val="auto"/>
          <w:sz w:val="24"/>
          <w:highlight w:val="none"/>
          <w:u w:val="single"/>
        </w:rPr>
        <w:t>广州公共资源交易中心</w:t>
      </w:r>
      <w:r>
        <w:rPr>
          <w:rFonts w:hint="eastAsia" w:ascii="宋体" w:hAnsi="宋体"/>
          <w:bCs/>
          <w:color w:val="auto"/>
          <w:sz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hint="eastAsia" w:ascii="宋体" w:hAnsi="宋体"/>
          <w:bCs/>
          <w:color w:val="auto"/>
          <w:sz w:val="24"/>
          <w:highlight w:val="none"/>
        </w:rPr>
        <w:t>19.3逾期送达的电子投标文件，</w:t>
      </w:r>
      <w:r>
        <w:rPr>
          <w:rFonts w:hint="eastAsia" w:ascii="宋体" w:hAnsi="宋体"/>
          <w:bCs/>
          <w:color w:val="auto"/>
          <w:sz w:val="24"/>
          <w:highlight w:val="none"/>
          <w:u w:val="single"/>
        </w:rPr>
        <w:t>广州公共资源交易中心</w:t>
      </w:r>
      <w:r>
        <w:rPr>
          <w:rFonts w:hint="eastAsia" w:ascii="宋体" w:hAnsi="宋体"/>
          <w:bCs/>
          <w:color w:val="auto"/>
          <w:sz w:val="24"/>
          <w:highlight w:val="none"/>
        </w:rPr>
        <w:t>交易平台将予以拒收。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hint="eastAsia" w:ascii="宋体" w:hAnsi="宋体"/>
          <w:color w:val="auto"/>
          <w:sz w:val="24"/>
          <w:szCs w:val="24"/>
          <w:highlight w:val="none"/>
        </w:rPr>
        <w:t>投标截止前，招标人拒绝接收符合条件的投标文件，投标人可向招标投标监督机构投诉。</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19.</w:t>
      </w:r>
      <w:r>
        <w:rPr>
          <w:rFonts w:hint="eastAsia" w:ascii="宋体" w:hAnsi="宋体"/>
          <w:color w:val="auto"/>
          <w:sz w:val="24"/>
          <w:highlight w:val="none"/>
        </w:rPr>
        <w:t>5</w:t>
      </w:r>
      <w:r>
        <w:rPr>
          <w:rFonts w:hint="eastAsia" w:ascii="宋体" w:hAnsi="宋体"/>
          <w:color w:val="auto"/>
          <w:sz w:val="24"/>
          <w:highlight w:val="none"/>
          <w:u w:val="single"/>
        </w:rPr>
        <w:t>技术标和经济标同时开启，广州公共资源交易中心交易平台将按招标文件规定的时间同时开启技术标和经济标。</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hAns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到投标截止时间止，招标人收到的投标文件少于3家的，招标人将重新组织招标（当</w:t>
      </w:r>
      <w:r>
        <w:rPr>
          <w:rFonts w:ascii="宋体" w:hAnsi="宋体"/>
          <w:color w:val="auto"/>
          <w:sz w:val="24"/>
          <w:highlight w:val="none"/>
        </w:rPr>
        <w:t>N</w:t>
      </w:r>
      <w:r>
        <w:rPr>
          <w:rFonts w:hint="eastAsia" w:ascii="宋体" w:hAnsi="宋体"/>
          <w:color w:val="auto"/>
          <w:sz w:val="24"/>
          <w:highlight w:val="none"/>
        </w:rPr>
        <w:t>个标段同时招标且不允许兼中时，若有效投标单位不足</w:t>
      </w:r>
      <w:r>
        <w:rPr>
          <w:rFonts w:ascii="宋体" w:hAnsi="宋体"/>
          <w:color w:val="auto"/>
          <w:sz w:val="24"/>
          <w:highlight w:val="none"/>
        </w:rPr>
        <w:t>N+</w:t>
      </w:r>
      <w:r>
        <w:rPr>
          <w:rFonts w:hint="eastAsia" w:ascii="宋体" w:hAnsi="宋体"/>
          <w:color w:val="auto"/>
          <w:sz w:val="24"/>
          <w:highlight w:val="none"/>
        </w:rPr>
        <w:t>4家，则重新组织招标）。</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21.1</w:t>
      </w:r>
      <w:r>
        <w:rPr>
          <w:rFonts w:hint="eastAsia" w:ascii="宋体" w:hAnsi="宋体"/>
          <w:color w:val="auto"/>
          <w:sz w:val="24"/>
          <w:highlight w:val="none"/>
        </w:rPr>
        <w:t>本须知前附表第17项规定的投标截止时间后送达的电子投标文件，</w:t>
      </w:r>
      <w:r>
        <w:rPr>
          <w:rFonts w:hint="eastAsia" w:ascii="宋体" w:hAnsi="宋体"/>
          <w:color w:val="auto"/>
          <w:sz w:val="24"/>
          <w:highlight w:val="none"/>
          <w:u w:val="single"/>
        </w:rPr>
        <w:t>广州公共资源交易中心</w:t>
      </w:r>
      <w:r>
        <w:rPr>
          <w:rFonts w:hint="eastAsia" w:ascii="宋体" w:hAnsi="宋体"/>
          <w:color w:val="auto"/>
          <w:sz w:val="24"/>
          <w:highlight w:val="none"/>
        </w:rPr>
        <w:t>交易平台将予以拒收。</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22.2投标人修改或撤回已递交</w:t>
      </w:r>
      <w:r>
        <w:rPr>
          <w:rFonts w:hint="eastAsia" w:ascii="宋体" w:hAnsi="宋体"/>
          <w:color w:val="auto"/>
          <w:sz w:val="24"/>
          <w:szCs w:val="24"/>
          <w:highlight w:val="none"/>
        </w:rPr>
        <w:t>的</w:t>
      </w:r>
      <w:r>
        <w:rPr>
          <w:rFonts w:ascii="宋体" w:hAnsi="宋体"/>
          <w:color w:val="auto"/>
          <w:sz w:val="24"/>
          <w:szCs w:val="24"/>
          <w:highlight w:val="none"/>
        </w:rPr>
        <w:t>投标文件</w:t>
      </w:r>
      <w:r>
        <w:rPr>
          <w:rFonts w:hint="eastAsia" w:ascii="宋体" w:hAnsi="宋体"/>
          <w:color w:val="auto"/>
          <w:sz w:val="24"/>
          <w:szCs w:val="24"/>
          <w:highlight w:val="none"/>
        </w:rPr>
        <w:t>，需在</w:t>
      </w:r>
      <w:r>
        <w:rPr>
          <w:rFonts w:hint="eastAsia" w:ascii="宋体" w:hAnsi="宋体"/>
          <w:color w:val="auto"/>
          <w:sz w:val="24"/>
          <w:highlight w:val="none"/>
        </w:rPr>
        <w:t>交易平台发出修改或撤回</w:t>
      </w:r>
      <w:r>
        <w:rPr>
          <w:rFonts w:ascii="宋体" w:hAnsi="宋体"/>
          <w:color w:val="auto"/>
          <w:sz w:val="24"/>
          <w:szCs w:val="24"/>
          <w:highlight w:val="none"/>
        </w:rPr>
        <w:t>通知，</w:t>
      </w:r>
      <w:r>
        <w:rPr>
          <w:rFonts w:hint="eastAsia" w:ascii="宋体" w:hAnsi="宋体"/>
          <w:color w:val="auto"/>
          <w:sz w:val="24"/>
          <w:szCs w:val="24"/>
          <w:highlight w:val="none"/>
        </w:rPr>
        <w:t>并按</w:t>
      </w:r>
      <w:r>
        <w:rPr>
          <w:rFonts w:ascii="宋体" w:hAnsi="宋体"/>
          <w:color w:val="auto"/>
          <w:sz w:val="24"/>
          <w:szCs w:val="24"/>
          <w:highlight w:val="none"/>
        </w:rPr>
        <w:t>要求加盖电子印章。</w:t>
      </w:r>
      <w:r>
        <w:rPr>
          <w:rFonts w:ascii="宋体" w:hAnsi="宋体"/>
          <w:bCs/>
          <w:iCs/>
          <w:color w:val="auto"/>
          <w:sz w:val="24"/>
          <w:szCs w:val="24"/>
          <w:highlight w:val="none"/>
        </w:rPr>
        <w:t>电子招标投标交易平台收到通知后，</w:t>
      </w:r>
      <w:r>
        <w:rPr>
          <w:rFonts w:ascii="宋体" w:hAnsi="宋体"/>
          <w:color w:val="auto"/>
          <w:sz w:val="24"/>
          <w:szCs w:val="24"/>
          <w:highlight w:val="none"/>
        </w:rPr>
        <w:t>即时向投标人发出确认回执通知。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22.3修改后再次递交的，按19点的规定执行。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4在投标截止时间之后，投标人不得补充、修改和更换投标文件。</w:t>
      </w:r>
    </w:p>
    <w:p>
      <w:pPr>
        <w:pStyle w:val="8"/>
        <w:spacing w:before="156" w:after="156"/>
        <w:rPr>
          <w:color w:val="auto"/>
          <w:highlight w:val="none"/>
        </w:rPr>
      </w:pPr>
      <w:bookmarkStart w:id="11" w:name="_Toc29844"/>
      <w:r>
        <w:rPr>
          <w:rFonts w:hint="eastAsia"/>
          <w:color w:val="auto"/>
          <w:highlight w:val="none"/>
        </w:rPr>
        <w:t>（五）开标、评标、定标及合同签定</w:t>
      </w:r>
      <w:bookmarkEnd w:id="11"/>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rFonts w:hint="eastAsia" w:ascii="宋体" w:hAnsi="宋体"/>
          <w:color w:val="auto"/>
          <w:sz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w:t>
      </w:r>
      <w:r>
        <w:rPr>
          <w:rFonts w:hint="eastAsia" w:ascii="宋体" w:hAnsi="宋体"/>
          <w:color w:val="auto"/>
          <w:sz w:val="24"/>
          <w:highlight w:val="none"/>
          <w:u w:val="single"/>
        </w:rPr>
        <w:t>人员、业绩、奖项等资料</w:t>
      </w:r>
      <w:r>
        <w:rPr>
          <w:rFonts w:hint="eastAsia" w:ascii="宋体" w:hAnsi="宋体"/>
          <w:color w:val="auto"/>
          <w:sz w:val="24"/>
          <w:highlight w:val="none"/>
        </w:rPr>
        <w:t>在</w:t>
      </w:r>
      <w:r>
        <w:rPr>
          <w:rFonts w:hint="eastAsia" w:ascii="宋体" w:hAnsi="宋体"/>
          <w:color w:val="auto"/>
          <w:sz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公开。</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hAnsi="宋体"/>
          <w:color w:val="auto"/>
          <w:sz w:val="24"/>
          <w:highlight w:val="none"/>
          <w:lang w:val="zh-CN"/>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r>
        <w:rPr>
          <w:rFonts w:hint="eastAsia" w:ascii="宋体" w:hAnsi="宋体"/>
          <w:color w:val="auto"/>
          <w:sz w:val="24"/>
          <w:highlight w:val="none"/>
          <w:u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w:t>
      </w:r>
      <w:r>
        <w:rPr>
          <w:rFonts w:hint="eastAsia" w:ascii="宋体" w:hAnsi="宋体"/>
          <w:color w:val="auto"/>
          <w:sz w:val="24"/>
          <w:highlight w:val="none"/>
          <w:lang w:val="en-US" w:eastAsia="zh-CN"/>
        </w:rPr>
        <w:t>招标人</w:t>
      </w:r>
      <w:r>
        <w:rPr>
          <w:rFonts w:hint="eastAsia" w:ascii="宋体" w:hAnsi="宋体"/>
          <w:color w:val="auto"/>
          <w:sz w:val="24"/>
          <w:highlight w:val="none"/>
        </w:rPr>
        <w:t>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r>
        <w:rPr>
          <w:rFonts w:hint="eastAsia" w:ascii="宋体" w:hAnsi="宋体"/>
          <w:color w:val="auto"/>
          <w:sz w:val="24"/>
          <w:szCs w:val="24"/>
          <w:highlight w:val="none"/>
        </w:rPr>
        <w:t>。</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29.1</w:t>
      </w:r>
      <w:r>
        <w:rPr>
          <w:rFonts w:hint="eastAsia" w:ascii="宋体" w:hAnsi="宋体"/>
          <w:color w:val="auto"/>
          <w:sz w:val="24"/>
          <w:szCs w:val="24"/>
          <w:highlight w:val="none"/>
          <w:u w:val="single"/>
          <w:lang w:val="zh-CN"/>
        </w:rPr>
        <w:t>中标人应在签订合同</w:t>
      </w:r>
      <w:r>
        <w:rPr>
          <w:rFonts w:hint="eastAsia" w:ascii="宋体" w:hAnsi="宋体"/>
          <w:color w:val="auto"/>
          <w:sz w:val="24"/>
          <w:szCs w:val="24"/>
          <w:highlight w:val="none"/>
          <w:u w:val="single"/>
          <w:lang w:val="en-US" w:eastAsia="zh-CN"/>
        </w:rPr>
        <w:t>后10天内</w:t>
      </w:r>
      <w:r>
        <w:rPr>
          <w:rFonts w:hint="eastAsia" w:ascii="宋体" w:hAnsi="宋体"/>
          <w:color w:val="auto"/>
          <w:sz w:val="24"/>
          <w:szCs w:val="24"/>
          <w:highlight w:val="none"/>
          <w:u w:val="single"/>
          <w:lang w:val="zh-CN"/>
        </w:rPr>
        <w:t>向招标人提交</w:t>
      </w:r>
      <w:r>
        <w:rPr>
          <w:rFonts w:hint="eastAsia" w:ascii="宋体" w:hAnsi="宋体"/>
          <w:color w:val="auto"/>
          <w:sz w:val="24"/>
          <w:szCs w:val="24"/>
          <w:highlight w:val="none"/>
          <w:u w:val="single"/>
          <w:lang w:val="en-US" w:eastAsia="zh-CN"/>
        </w:rPr>
        <w:t>履约担保（银行</w:t>
      </w:r>
      <w:r>
        <w:rPr>
          <w:rFonts w:hint="eastAsia" w:ascii="宋体" w:hAnsi="宋体"/>
          <w:color w:val="auto"/>
          <w:sz w:val="24"/>
          <w:szCs w:val="24"/>
          <w:highlight w:val="none"/>
          <w:u w:val="single"/>
          <w:lang w:val="zh-CN"/>
        </w:rPr>
        <w:t>保函</w:t>
      </w:r>
      <w:r>
        <w:rPr>
          <w:rFonts w:hint="eastAsia" w:ascii="宋体" w:hAnsi="宋体"/>
          <w:color w:val="auto"/>
          <w:sz w:val="24"/>
          <w:szCs w:val="24"/>
          <w:highlight w:val="none"/>
          <w:u w:val="single"/>
          <w:lang w:val="en-US" w:eastAsia="zh-CN"/>
        </w:rPr>
        <w:t>或现金）</w:t>
      </w:r>
      <w:r>
        <w:rPr>
          <w:rFonts w:hint="eastAsia" w:ascii="宋体" w:hAnsi="宋体"/>
          <w:color w:val="auto"/>
          <w:sz w:val="24"/>
          <w:highlight w:val="none"/>
        </w:rPr>
        <w:t>。</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在收到中标通知书后的15日内，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numPr>
          <w:ilvl w:val="0"/>
          <w:numId w:val="4"/>
        </w:num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 xml:space="preserve">其它费用 </w:t>
      </w:r>
    </w:p>
    <w:p>
      <w:pPr>
        <w:pStyle w:val="85"/>
        <w:spacing w:line="360" w:lineRule="auto"/>
        <w:ind w:left="420" w:firstLine="0" w:firstLineChars="0"/>
        <w:rPr>
          <w:rFonts w:ascii="宋体" w:hAnsi="宋体"/>
          <w:color w:val="auto"/>
          <w:sz w:val="24"/>
          <w:szCs w:val="24"/>
          <w:highlight w:val="none"/>
          <w:u w:val="single"/>
        </w:rPr>
      </w:pPr>
      <w:r>
        <w:rPr>
          <w:rFonts w:hint="eastAsia" w:ascii="宋体" w:hAnsi="宋体"/>
          <w:color w:val="auto"/>
          <w:sz w:val="24"/>
          <w:szCs w:val="24"/>
          <w:highlight w:val="none"/>
          <w:u w:val="single"/>
        </w:rPr>
        <w:t>（1）本项目招标交易服务费由中标人承担，并</w:t>
      </w:r>
      <w:r>
        <w:rPr>
          <w:rFonts w:hint="eastAsia" w:ascii="宋体" w:hAnsi="宋体"/>
          <w:color w:val="auto"/>
          <w:sz w:val="24"/>
          <w:highlight w:val="none"/>
          <w:u w:val="single"/>
        </w:rPr>
        <w:t>向广州公共资源交易中心交纳</w:t>
      </w:r>
      <w:r>
        <w:rPr>
          <w:rFonts w:hint="eastAsia" w:ascii="宋体" w:hAnsi="宋体"/>
          <w:color w:val="auto"/>
          <w:sz w:val="24"/>
          <w:szCs w:val="24"/>
          <w:highlight w:val="none"/>
          <w:u w:val="single"/>
        </w:rPr>
        <w:t>。</w:t>
      </w:r>
    </w:p>
    <w:p>
      <w:pPr>
        <w:pStyle w:val="5"/>
        <w:spacing w:after="0" w:line="360" w:lineRule="auto"/>
        <w:ind w:firstLine="482" w:firstLineChars="200"/>
        <w:rPr>
          <w:rFonts w:ascii="宋体" w:hAns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firstLine="540" w:firstLineChars="224"/>
        <w:rPr>
          <w:rFonts w:ascii="宋体" w:hAnsi="宋体"/>
          <w:b/>
          <w:color w:val="auto"/>
          <w:sz w:val="24"/>
          <w:highlight w:val="none"/>
        </w:rPr>
      </w:pPr>
      <w:r>
        <w:rPr>
          <w:rFonts w:hint="eastAsia" w:ascii="宋体" w:hAnsi="宋体"/>
          <w:b/>
          <w:color w:val="auto"/>
          <w:sz w:val="24"/>
          <w:highlight w:val="none"/>
        </w:rPr>
        <w:t>33. 投标人信誉的要求</w:t>
      </w:r>
    </w:p>
    <w:p>
      <w:pPr>
        <w:spacing w:line="360" w:lineRule="auto"/>
        <w:ind w:firstLine="537" w:firstLineChars="224"/>
        <w:rPr>
          <w:rFonts w:ascii="宋体" w:hAnsi="宋体"/>
          <w:strike/>
          <w:dstrike w:val="0"/>
          <w:color w:val="auto"/>
          <w:sz w:val="24"/>
          <w:highlight w:val="none"/>
        </w:rPr>
      </w:pPr>
      <w:r>
        <w:rPr>
          <w:rFonts w:hint="eastAsia" w:ascii="宋体" w:hAnsi="宋体"/>
          <w:strike/>
          <w:dstrike w:val="0"/>
          <w:color w:val="auto"/>
          <w:sz w:val="24"/>
          <w:highlight w:val="none"/>
        </w:rPr>
        <w:t>存在下列情形之一的，招标人可以限制其投标（需在招标文件中明确评定方法）</w:t>
      </w:r>
    </w:p>
    <w:p>
      <w:pPr>
        <w:spacing w:line="360" w:lineRule="auto"/>
        <w:ind w:firstLine="537" w:firstLineChars="224"/>
        <w:rPr>
          <w:rFonts w:ascii="宋体" w:hAnsi="宋体"/>
          <w:strike/>
          <w:dstrike w:val="0"/>
          <w:color w:val="auto"/>
          <w:sz w:val="24"/>
          <w:highlight w:val="none"/>
        </w:rPr>
      </w:pPr>
      <w:r>
        <w:rPr>
          <w:rFonts w:hint="eastAsia" w:ascii="宋体" w:hAnsi="宋体"/>
          <w:strike/>
          <w:dstrike w:val="0"/>
          <w:color w:val="auto"/>
          <w:sz w:val="24"/>
          <w:highlight w:val="none"/>
        </w:rPr>
        <w:t>（1）被住房城乡建设行政主管部门在全国建筑市场监管一体化工作平台列入建筑市场主体“黑名单”；</w:t>
      </w:r>
    </w:p>
    <w:p>
      <w:pPr>
        <w:pStyle w:val="5"/>
        <w:spacing w:after="0"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（2）被发改委、人力资源社会保障、质检总局等有关部门、单位在“信用中国”网站中列入联合惩戒失信黑名单。</w:t>
      </w:r>
    </w:p>
    <w:p>
      <w:pPr>
        <w:spacing w:line="360" w:lineRule="auto"/>
        <w:ind w:firstLine="540" w:firstLineChars="224"/>
        <w:rPr>
          <w:rFonts w:ascii="宋体" w:hAnsi="宋体"/>
          <w:color w:val="auto"/>
          <w:sz w:val="24"/>
          <w:highlight w:val="none"/>
          <w:u w:val="single"/>
        </w:rPr>
      </w:pPr>
      <w:r>
        <w:rPr>
          <w:rFonts w:hint="eastAsia" w:ascii="宋体" w:hAnsi="宋体"/>
          <w:b/>
          <w:bCs/>
          <w:color w:val="auto"/>
          <w:sz w:val="24"/>
          <w:highlight w:val="none"/>
          <w:u w:val="single"/>
        </w:rPr>
        <w:t>3</w:t>
      </w:r>
      <w:r>
        <w:rPr>
          <w:rFonts w:ascii="宋体" w:hAnsi="宋体"/>
          <w:b/>
          <w:bCs/>
          <w:color w:val="auto"/>
          <w:sz w:val="24"/>
          <w:highlight w:val="none"/>
          <w:u w:val="single"/>
        </w:rPr>
        <w:t>4</w:t>
      </w:r>
      <w:r>
        <w:rPr>
          <w:rFonts w:hint="eastAsia" w:ascii="宋体" w:hAnsi="宋体"/>
          <w:b/>
          <w:bCs/>
          <w:color w:val="auto"/>
          <w:sz w:val="24"/>
          <w:highlight w:val="none"/>
          <w:u w:val="single"/>
        </w:rPr>
        <w:t xml:space="preserve">. </w:t>
      </w:r>
      <w:r>
        <w:rPr>
          <w:rFonts w:hint="eastAsia" w:ascii="宋体" w:hAnsi="宋体"/>
          <w:color w:val="auto"/>
          <w:sz w:val="24"/>
          <w:szCs w:val="24"/>
          <w:highlight w:val="none"/>
          <w:u w:val="single"/>
        </w:rPr>
        <w:t>招标人（招标代理机构）填报中标候选人公示信息，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r>
        <w:rPr>
          <w:rFonts w:hint="eastAsia" w:ascii="宋体" w:hAnsi="宋体"/>
          <w:color w:val="auto"/>
          <w:sz w:val="24"/>
          <w:highlight w:val="none"/>
          <w:u w:val="single"/>
        </w:rPr>
        <w:t>。</w:t>
      </w:r>
      <w:r>
        <w:rPr>
          <w:rFonts w:ascii="宋体" w:hAnsi="宋体"/>
          <w:strike/>
          <w:dstrike w:val="0"/>
          <w:color w:val="auto"/>
          <w:sz w:val="24"/>
          <w:szCs w:val="24"/>
          <w:highlight w:val="none"/>
        </w:rPr>
        <w:t>35.</w:t>
      </w:r>
      <w:r>
        <w:rPr>
          <w:rFonts w:hint="eastAsia" w:ascii="宋体" w:hAnsi="宋体"/>
          <w:strike/>
          <w:dstrike w:val="0"/>
          <w:color w:val="auto"/>
          <w:sz w:val="24"/>
          <w:szCs w:val="24"/>
          <w:highlight w:val="none"/>
        </w:rPr>
        <w:t>8</w:t>
      </w:r>
    </w:p>
    <w:p>
      <w:pPr>
        <w:widowControl/>
        <w:jc w:val="left"/>
        <w:rPr>
          <w:rFonts w:ascii="宋体" w:hAnsi="宋体"/>
          <w:b/>
          <w:color w:val="auto"/>
          <w:kern w:val="44"/>
          <w:sz w:val="28"/>
          <w:szCs w:val="28"/>
          <w:highlight w:val="none"/>
          <w:lang w:val="zh-CN"/>
        </w:rPr>
      </w:pPr>
      <w:r>
        <w:rPr>
          <w:rFonts w:ascii="宋体" w:hAnsi="宋体"/>
          <w:color w:val="auto"/>
          <w:highlight w:val="none"/>
        </w:rPr>
        <w:br w:type="page"/>
      </w:r>
    </w:p>
    <w:p>
      <w:pPr>
        <w:pStyle w:val="3"/>
        <w:rPr>
          <w:rFonts w:ascii="宋体" w:hAnsi="宋体"/>
          <w:color w:val="auto"/>
          <w:highlight w:val="none"/>
        </w:rPr>
      </w:pPr>
      <w:bookmarkStart w:id="12" w:name="_Toc28091"/>
      <w:r>
        <w:rPr>
          <w:rFonts w:hint="eastAsia" w:ascii="宋体" w:hAnsi="宋体"/>
          <w:color w:val="auto"/>
          <w:highlight w:val="none"/>
        </w:rPr>
        <w:t>第二章开标、评标及定标办法</w:t>
      </w:r>
      <w:bookmarkEnd w:id="12"/>
    </w:p>
    <w:p>
      <w:pPr>
        <w:pStyle w:val="7"/>
        <w:rPr>
          <w:rFonts w:ascii="宋体" w:hAnsi="宋体"/>
          <w:color w:val="auto"/>
          <w:highlight w:val="none"/>
        </w:rPr>
      </w:pPr>
      <w:bookmarkStart w:id="13" w:name="_Toc17903"/>
      <w:r>
        <w:rPr>
          <w:rFonts w:hint="eastAsia" w:ascii="宋体" w:hAnsi="宋体"/>
          <w:color w:val="auto"/>
          <w:sz w:val="28"/>
          <w:szCs w:val="28"/>
          <w:highlight w:val="none"/>
        </w:rPr>
        <w:t>一、</w:t>
      </w:r>
      <w:r>
        <w:rPr>
          <w:rFonts w:hint="eastAsia" w:ascii="宋体" w:hAnsi="宋体"/>
          <w:color w:val="auto"/>
          <w:highlight w:val="none"/>
        </w:rPr>
        <w:t>开标、评标及定标办法修改表</w:t>
      </w:r>
      <w:bookmarkEnd w:id="13"/>
    </w:p>
    <w:p>
      <w:pPr>
        <w:pStyle w:val="5"/>
        <w:spacing w:after="0" w:line="360" w:lineRule="auto"/>
        <w:rPr>
          <w:rFonts w:ascii="宋体" w:hAnsi="宋体"/>
          <w:b/>
          <w:color w:val="auto"/>
          <w:szCs w:val="21"/>
          <w:highlight w:val="none"/>
        </w:rPr>
      </w:pPr>
      <w:r>
        <w:rPr>
          <w:rFonts w:hint="eastAsia" w:ascii="宋体" w:hAnsi="宋体"/>
          <w:b/>
          <w:color w:val="auto"/>
          <w:szCs w:val="21"/>
          <w:highlight w:val="none"/>
        </w:rPr>
        <w:t>声明：本</w:t>
      </w:r>
      <w:r>
        <w:rPr>
          <w:rFonts w:hint="eastAsia" w:ascii="宋体" w:hAnsi="宋体"/>
          <w:b/>
          <w:color w:val="auto"/>
          <w:highlight w:val="none"/>
        </w:rPr>
        <w:t>开标、评标及定标办法使用GZZB2018-3招标文件范本的开标、评标及定标办法通用条款，与该通用条款不同之处，均在本表中列明，并以现文为准，原</w:t>
      </w:r>
      <w:r>
        <w:rPr>
          <w:rFonts w:hint="eastAsia" w:ascii="宋体" w:hAnsi="宋体"/>
          <w:b/>
          <w:color w:val="auto"/>
          <w:szCs w:val="21"/>
          <w:highlight w:val="none"/>
        </w:rPr>
        <w:t>文不再有效。本招标文件中不再转录</w:t>
      </w:r>
      <w:r>
        <w:rPr>
          <w:rFonts w:hint="eastAsia" w:ascii="宋体" w:hAnsi="宋体"/>
          <w:b/>
          <w:color w:val="auto"/>
          <w:highlight w:val="none"/>
        </w:rPr>
        <w:t>开标、评标及定标办法</w:t>
      </w:r>
      <w:r>
        <w:rPr>
          <w:rFonts w:hint="eastAsia" w:ascii="宋体" w:hAnsi="宋体"/>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1"/>
          <w:rFonts w:ascii="宋体" w:hAnsi="宋体"/>
          <w:b/>
          <w:color w:val="auto"/>
          <w:szCs w:val="21"/>
          <w:highlight w:val="none"/>
        </w:rPr>
        <w:t>http://www.gzcc.gov.cn/</w:t>
      </w:r>
      <w:r>
        <w:rPr>
          <w:rStyle w:val="41"/>
          <w:rFonts w:hint="eastAsia" w:ascii="宋体" w:hAnsi="宋体"/>
          <w:b/>
          <w:color w:val="auto"/>
          <w:szCs w:val="21"/>
          <w:highlight w:val="none"/>
        </w:rPr>
        <w:t>）下载GZZB2018-3</w:t>
      </w:r>
      <w:r>
        <w:rPr>
          <w:rStyle w:val="41"/>
          <w:rFonts w:hint="eastAsia" w:ascii="宋体" w:hAnsi="宋体"/>
          <w:b/>
          <w:color w:val="auto"/>
          <w:szCs w:val="21"/>
          <w:highlight w:val="none"/>
        </w:rPr>
        <w:fldChar w:fldCharType="end"/>
      </w:r>
      <w:r>
        <w:rPr>
          <w:rFonts w:hint="eastAsia" w:ascii="宋体" w:hAnsi="宋体"/>
          <w:b/>
          <w:color w:val="auto"/>
          <w:szCs w:val="21"/>
          <w:highlight w:val="none"/>
        </w:rPr>
        <w:t>范本查阅。</w:t>
      </w:r>
    </w:p>
    <w:p>
      <w:pPr>
        <w:spacing w:line="360" w:lineRule="auto"/>
        <w:ind w:firstLine="422" w:firstLineChars="200"/>
        <w:rPr>
          <w:rFonts w:hint="eastAsia" w:ascii="宋体" w:hAnsi="宋体" w:eastAsia="宋体"/>
          <w:b/>
          <w:color w:val="auto"/>
          <w:szCs w:val="21"/>
          <w:highlight w:val="none"/>
          <w:lang w:eastAsia="zh-CN"/>
        </w:rPr>
      </w:pPr>
      <w:r>
        <w:rPr>
          <w:rFonts w:hint="eastAsia" w:ascii="宋体" w:hAnsi="宋体"/>
          <w:b/>
          <w:color w:val="auto"/>
          <w:szCs w:val="21"/>
          <w:highlight w:val="none"/>
        </w:rPr>
        <w:t>条款号：35.8</w:t>
      </w:r>
      <w:r>
        <w:rPr>
          <w:rFonts w:ascii="宋体" w:hAnsi="宋体"/>
          <w:b/>
          <w:color w:val="auto"/>
          <w:szCs w:val="21"/>
          <w:highlight w:val="none"/>
        </w:rPr>
        <w:t xml:space="preserve">                                       </w:t>
      </w:r>
      <w:r>
        <w:rPr>
          <w:rFonts w:hint="eastAsia" w:ascii="宋体" w:hAnsi="宋体"/>
          <w:b/>
          <w:color w:val="auto"/>
          <w:szCs w:val="21"/>
          <w:highlight w:val="none"/>
        </w:rPr>
        <w:t>修改类型：</w:t>
      </w:r>
      <w:r>
        <w:rPr>
          <w:rFonts w:hint="eastAsia" w:ascii="宋体" w:hAnsi="宋体"/>
          <w:b/>
          <w:color w:val="auto"/>
          <w:szCs w:val="21"/>
          <w:highlight w:val="none"/>
          <w:lang w:eastAsia="zh-CN"/>
        </w:rPr>
        <w:t>删除</w:t>
      </w:r>
    </w:p>
    <w:p>
      <w:pPr>
        <w:pBdr>
          <w:bottom w:val="single" w:color="auto" w:sz="4" w:space="0"/>
        </w:pBdr>
        <w:spacing w:line="360" w:lineRule="auto"/>
        <w:ind w:firstLine="422" w:firstLineChars="200"/>
        <w:rPr>
          <w:rFonts w:hint="eastAsia" w:ascii="宋体" w:hAnsi="宋体" w:eastAsia="宋体" w:cs="Times New Roman"/>
          <w:bCs/>
          <w:color w:val="auto"/>
          <w:szCs w:val="21"/>
          <w:highlight w:val="none"/>
        </w:rPr>
      </w:pPr>
      <w:r>
        <w:rPr>
          <w:rFonts w:hint="eastAsia" w:ascii="宋体" w:hAnsi="宋体"/>
          <w:b/>
          <w:color w:val="auto"/>
          <w:szCs w:val="21"/>
          <w:highlight w:val="none"/>
        </w:rPr>
        <w:t>原文：</w:t>
      </w:r>
      <w:r>
        <w:rPr>
          <w:rFonts w:hint="eastAsia" w:ascii="宋体" w:hAnsi="宋体" w:eastAsia="宋体" w:cs="Times New Roman"/>
          <w:bCs/>
          <w:color w:val="auto"/>
          <w:szCs w:val="21"/>
          <w:highlight w:val="none"/>
        </w:rPr>
        <w:t>35.8《广州市工程建设项目招标投标管理办法》（穗府办规〔2017〕5号）</w:t>
      </w:r>
    </w:p>
    <w:p>
      <w:pPr>
        <w:pStyle w:val="2"/>
        <w:rPr>
          <w:rFonts w:hint="default"/>
          <w:color w:val="auto"/>
          <w:highlight w:val="none"/>
          <w:lang w:val="en-US" w:eastAsia="zh-CN"/>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条款号：36.1</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bCs/>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条款号：36.3</w:t>
      </w:r>
      <w:r>
        <w:rPr>
          <w:rFonts w:ascii="宋体" w:hAnsi="宋体"/>
          <w:b/>
          <w:color w:val="auto"/>
          <w:szCs w:val="21"/>
          <w:highlight w:val="none"/>
        </w:rPr>
        <w:t xml:space="preserve">                                       </w:t>
      </w:r>
      <w:r>
        <w:rPr>
          <w:rFonts w:hint="eastAsia" w:ascii="宋体" w:hAnsi="宋体"/>
          <w:b/>
          <w:color w:val="auto"/>
          <w:szCs w:val="21"/>
          <w:highlight w:val="none"/>
        </w:rPr>
        <w:t>修改类型：删除</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条款号：36.5.1</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宋体" w:hAnsi="宋体"/>
          <w:b w:val="0"/>
          <w:bCs w:val="0"/>
          <w:color w:val="auto"/>
          <w:szCs w:val="21"/>
          <w:highlight w:val="none"/>
        </w:rPr>
      </w:pPr>
      <w:r>
        <w:rPr>
          <w:rFonts w:hint="eastAsia" w:ascii="宋体" w:hAnsi="宋体"/>
          <w:b/>
          <w:color w:val="auto"/>
          <w:szCs w:val="21"/>
          <w:highlight w:val="none"/>
        </w:rPr>
        <w:t>现文：</w:t>
      </w:r>
      <w:r>
        <w:rPr>
          <w:rFonts w:hint="eastAsia" w:ascii="宋体" w:hAnsi="宋体"/>
          <w:b w:val="0"/>
          <w:bCs w:val="0"/>
          <w:color w:val="auto"/>
          <w:szCs w:val="21"/>
          <w:highlight w:val="none"/>
        </w:rPr>
        <w:t>在投标截止时间后半小时内，投标人通过</w:t>
      </w:r>
      <w:r>
        <w:rPr>
          <w:rFonts w:hint="eastAsia" w:ascii="宋体" w:hAnsi="宋体"/>
          <w:b w:val="0"/>
          <w:bCs w:val="0"/>
          <w:color w:val="auto"/>
          <w:szCs w:val="21"/>
          <w:highlight w:val="none"/>
          <w:u w:val="single"/>
        </w:rPr>
        <w:t>广州公共资源交易中心</w:t>
      </w:r>
      <w:r>
        <w:rPr>
          <w:rFonts w:hint="eastAsia" w:ascii="宋体" w:hAnsi="宋体"/>
          <w:b w:val="0"/>
          <w:bCs w:val="0"/>
          <w:color w:val="auto"/>
          <w:szCs w:val="21"/>
          <w:highlight w:val="none"/>
        </w:rPr>
        <w:t>交易平台对已递交的电子投标文件进行解密。投标人完成解密后，再由</w:t>
      </w:r>
      <w:r>
        <w:rPr>
          <w:rFonts w:hint="eastAsia" w:ascii="宋体" w:hAnsi="宋体"/>
          <w:b w:val="0"/>
          <w:bCs w:val="0"/>
          <w:color w:val="auto"/>
          <w:szCs w:val="21"/>
          <w:highlight w:val="none"/>
          <w:u w:val="single"/>
        </w:rPr>
        <w:t>招标代理机构</w:t>
      </w:r>
      <w:r>
        <w:rPr>
          <w:rFonts w:hint="eastAsia" w:ascii="宋体" w:hAnsi="宋体"/>
          <w:b w:val="0"/>
          <w:bCs w:val="0"/>
          <w:color w:val="auto"/>
          <w:szCs w:val="21"/>
          <w:highlight w:val="none"/>
        </w:rPr>
        <w:t>进行解密，解密完成后，公布招标项目名称、投标人名称、投标保证金的递交情况、投标报价、工期及其他内容；</w:t>
      </w:r>
    </w:p>
    <w:p>
      <w:pPr>
        <w:spacing w:line="48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条款号：36.5.3</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36.5.3投标人代表、招标人代表、监标人、记录人等有关人员在开标记录上签字确认；若有关人员不签字的，不影响开标程序；</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36.5.3投标人代表、招标人代表、监标人、记录人等有关人员在开标记录上签字确认；若有关人员不签字的，不影响开标程序；</w:t>
      </w:r>
      <w:r>
        <w:rPr>
          <w:rFonts w:hint="eastAsia" w:ascii="宋体" w:hAnsi="宋体"/>
          <w:color w:val="auto"/>
          <w:szCs w:val="21"/>
          <w:highlight w:val="none"/>
          <w:u w:val="single"/>
        </w:rPr>
        <w:t>若投标人不参加开标会的，或不签字确认的，视同该投标人认可开标结果。</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38.1                                       </w:t>
      </w:r>
      <w:r>
        <w:rPr>
          <w:rFonts w:hint="eastAsia" w:ascii="宋体" w:hAnsi="宋体"/>
          <w:b/>
          <w:color w:val="auto"/>
          <w:szCs w:val="21"/>
          <w:highlight w:val="none"/>
        </w:rPr>
        <w:t>修改类型：修改</w:t>
      </w:r>
    </w:p>
    <w:p>
      <w:pP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宋体" w:hAnsi="宋体"/>
          <w:color w:val="auto"/>
          <w:szCs w:val="21"/>
          <w:highlight w:val="none"/>
          <w:u w:val="single"/>
        </w:rPr>
        <w:t>要求投标人对投标文件含义不明确、对同类问题表述不一致、有明显文字和计算错误的内容以及细微偏差的内容作出澄清。</w:t>
      </w:r>
    </w:p>
    <w:p>
      <w:pPr>
        <w:spacing w:line="48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39                                         </w:t>
      </w:r>
      <w:r>
        <w:rPr>
          <w:rFonts w:hint="eastAsia" w:ascii="宋体" w:hAnsi="宋体"/>
          <w:b/>
          <w:color w:val="auto"/>
          <w:szCs w:val="21"/>
          <w:highlight w:val="none"/>
        </w:rPr>
        <w:t>修改类型：修改</w:t>
      </w:r>
    </w:p>
    <w:p>
      <w:pP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39．定标</w:t>
      </w:r>
    </w:p>
    <w:p>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39.1 招标人根据评标委员会递交的评标报告，最终审定中标人。</w:t>
      </w:r>
    </w:p>
    <w:p>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39.2 依法必须进行公开招标的项目，招标人应当确定排名第一的中标候选人为中标人。</w:t>
      </w:r>
    </w:p>
    <w:p>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70" w:firstLineChars="224"/>
        <w:rPr>
          <w:rFonts w:ascii="宋体" w:hAnsi="宋体"/>
          <w:b/>
          <w:color w:val="auto"/>
          <w:szCs w:val="21"/>
          <w:highlight w:val="none"/>
        </w:rPr>
      </w:pPr>
      <w:r>
        <w:rPr>
          <w:rFonts w:hint="eastAsia" w:ascii="宋体" w:hAnsi="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pPr>
        <w:spacing w:line="360" w:lineRule="auto"/>
        <w:ind w:firstLine="422" w:firstLineChars="200"/>
        <w:rPr>
          <w:rFonts w:ascii="宋体" w:hAnsi="宋体"/>
          <w:color w:val="auto"/>
          <w:szCs w:val="21"/>
          <w:highlight w:val="none"/>
          <w:u w:val="single"/>
        </w:rPr>
      </w:pPr>
      <w:r>
        <w:rPr>
          <w:rFonts w:hint="eastAsia" w:ascii="宋体" w:hAnsi="宋体"/>
          <w:b/>
          <w:color w:val="auto"/>
          <w:szCs w:val="21"/>
          <w:highlight w:val="none"/>
        </w:rPr>
        <w:t>现文：</w:t>
      </w:r>
      <w:r>
        <w:rPr>
          <w:rFonts w:ascii="宋体" w:hAnsi="宋体"/>
          <w:color w:val="auto"/>
          <w:szCs w:val="21"/>
          <w:highlight w:val="none"/>
          <w:u w:val="single"/>
        </w:rPr>
        <w:t>39</w:t>
      </w:r>
      <w:r>
        <w:rPr>
          <w:rFonts w:hint="eastAsia" w:ascii="宋体" w:hAnsi="宋体"/>
          <w:color w:val="auto"/>
          <w:szCs w:val="21"/>
          <w:highlight w:val="none"/>
          <w:u w:val="single"/>
        </w:rPr>
        <w:t>．确定中标人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39.1 </w:t>
      </w:r>
      <w:r>
        <w:rPr>
          <w:rFonts w:hint="eastAsia" w:ascii="宋体" w:hAnsi="宋体"/>
          <w:color w:val="auto"/>
          <w:szCs w:val="21"/>
          <w:highlight w:val="none"/>
          <w:u w:val="single"/>
        </w:rPr>
        <w:t>招标人根据定标委员会递交的定标报告</w:t>
      </w:r>
      <w:r>
        <w:rPr>
          <w:rFonts w:hint="eastAsia" w:ascii="宋体" w:hAnsi="宋体"/>
          <w:color w:val="auto"/>
          <w:szCs w:val="21"/>
          <w:highlight w:val="none"/>
        </w:rPr>
        <w:t>，最终审定中标人。</w:t>
      </w:r>
    </w:p>
    <w:p>
      <w:pPr>
        <w:spacing w:line="360" w:lineRule="auto"/>
        <w:ind w:firstLine="420" w:firstLineChars="200"/>
        <w:rPr>
          <w:rFonts w:ascii="宋体" w:hAnsi="宋体"/>
          <w:strike/>
          <w:color w:val="auto"/>
          <w:szCs w:val="21"/>
          <w:highlight w:val="none"/>
        </w:rPr>
      </w:pPr>
      <w:r>
        <w:rPr>
          <w:rFonts w:ascii="宋体" w:hAnsi="宋体"/>
          <w:strike/>
          <w:color w:val="auto"/>
          <w:szCs w:val="21"/>
          <w:highlight w:val="none"/>
        </w:rPr>
        <w:t xml:space="preserve">39.2 </w:t>
      </w:r>
      <w:r>
        <w:rPr>
          <w:rFonts w:hint="eastAsia" w:ascii="宋体" w:hAnsi="宋体"/>
          <w:strike/>
          <w:color w:val="auto"/>
          <w:szCs w:val="21"/>
          <w:highlight w:val="none"/>
        </w:rPr>
        <w:t>依法必须进行公开招标的项目，招标人应当确定排名第一的中标候选人为中标人。</w:t>
      </w:r>
    </w:p>
    <w:p>
      <w:pPr>
        <w:spacing w:line="360" w:lineRule="auto"/>
        <w:ind w:firstLine="420" w:firstLineChars="200"/>
        <w:rPr>
          <w:rFonts w:ascii="宋体" w:hAnsi="宋体"/>
          <w:strike/>
          <w:color w:val="auto"/>
          <w:szCs w:val="21"/>
          <w:highlight w:val="none"/>
        </w:rPr>
      </w:pPr>
      <w:r>
        <w:rPr>
          <w:rFonts w:ascii="宋体" w:hAnsi="宋体"/>
          <w:strike/>
          <w:color w:val="auto"/>
          <w:szCs w:val="21"/>
          <w:highlight w:val="none"/>
        </w:rPr>
        <w:t>39.3</w:t>
      </w:r>
      <w:r>
        <w:rPr>
          <w:rFonts w:hint="eastAsia" w:ascii="宋体" w:hAnsi="宋体"/>
          <w:strike/>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Fonts w:ascii="宋体" w:hAnsi="宋体"/>
          <w:color w:val="auto"/>
          <w:szCs w:val="21"/>
          <w:highlight w:val="none"/>
        </w:rPr>
      </w:pPr>
      <w:r>
        <w:rPr>
          <w:rFonts w:ascii="宋体" w:hAnsi="宋体"/>
          <w:strike/>
          <w:color w:val="auto"/>
          <w:szCs w:val="21"/>
          <w:highlight w:val="none"/>
        </w:rPr>
        <w:t>39.4</w:t>
      </w:r>
      <w:r>
        <w:rPr>
          <w:rFonts w:hint="eastAsia" w:ascii="宋体" w:hAnsi="宋体"/>
          <w:strike/>
          <w:color w:val="auto"/>
          <w:szCs w:val="21"/>
          <w:highlight w:val="none"/>
        </w:rPr>
        <w:t>排名第二的中标候选人出现前款所列的情形的，招标人可以确定排名第三的中标候选人为中标人。以此类推，如所有中标候选人均出现前款所列的情形，为招标失败，招标人依法重新招标。</w:t>
      </w:r>
    </w:p>
    <w:p>
      <w:pPr>
        <w:pBdr>
          <w:bottom w:val="single" w:color="auto" w:sz="6" w:space="1"/>
        </w:pBdr>
        <w:spacing w:line="360" w:lineRule="auto"/>
        <w:ind w:firstLine="472" w:firstLineChars="225"/>
        <w:rPr>
          <w:rFonts w:ascii="宋体" w:hAnsi="宋体"/>
          <w:color w:val="auto"/>
          <w:szCs w:val="21"/>
          <w:highlight w:val="none"/>
          <w:u w:val="single"/>
        </w:rPr>
      </w:pPr>
      <w:r>
        <w:rPr>
          <w:rFonts w:hint="eastAsia" w:ascii="宋体" w:hAnsi="宋体"/>
          <w:color w:val="auto"/>
          <w:szCs w:val="21"/>
          <w:highlight w:val="none"/>
        </w:rPr>
        <w:t xml:space="preserve">39.5 </w:t>
      </w:r>
      <w:r>
        <w:rPr>
          <w:rFonts w:hint="eastAsia" w:ascii="宋体" w:hAnsi="宋体"/>
          <w:color w:val="auto"/>
          <w:szCs w:val="21"/>
          <w:highlight w:val="none"/>
          <w:u w:val="single"/>
        </w:rPr>
        <w:t>重新评标或定标的，评标、定标信息（含业绩、奖项等）仍以投标截止时投标人的信息为准。因特殊原因需要延长投标有效期，投标人拒绝延长投标有效期的，仍参与评标、定标，但不被推荐为中标候选人或不被票决确定为中标人。</w:t>
      </w:r>
    </w:p>
    <w:p>
      <w:pPr>
        <w:pBdr>
          <w:bottom w:val="single" w:color="auto" w:sz="6" w:space="1"/>
        </w:pBdr>
        <w:spacing w:line="360" w:lineRule="auto"/>
        <w:ind w:firstLine="472" w:firstLineChars="225"/>
        <w:rPr>
          <w:rFonts w:ascii="宋体" w:hAnsi="宋体"/>
          <w:color w:val="auto"/>
          <w:szCs w:val="21"/>
          <w:highlight w:val="none"/>
        </w:rPr>
      </w:pPr>
      <w:r>
        <w:rPr>
          <w:rFonts w:hint="eastAsia" w:ascii="宋体" w:hAnsi="宋体"/>
          <w:color w:val="auto"/>
          <w:szCs w:val="21"/>
          <w:highlight w:val="none"/>
          <w:u w:val="single"/>
        </w:rPr>
        <w:t>3</w:t>
      </w:r>
      <w:r>
        <w:rPr>
          <w:rFonts w:ascii="宋体" w:hAnsi="宋体"/>
          <w:color w:val="auto"/>
          <w:szCs w:val="21"/>
          <w:highlight w:val="none"/>
          <w:u w:val="single"/>
        </w:rPr>
        <w:t xml:space="preserve">9.6 </w:t>
      </w:r>
      <w:r>
        <w:rPr>
          <w:rFonts w:hint="eastAsia" w:ascii="宋体" w:hAnsi="宋体"/>
          <w:color w:val="auto"/>
          <w:szCs w:val="21"/>
          <w:highlight w:val="none"/>
          <w:u w:val="single"/>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p>
    <w:p>
      <w:pPr>
        <w:adjustRightIn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条款号：（二）开标评标办法程序和细则</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修改类型：删除</w:t>
      </w:r>
    </w:p>
    <w:p>
      <w:pPr>
        <w:pBdr>
          <w:bottom w:val="single" w:color="auto" w:sz="6" w:space="1"/>
        </w:pBdr>
        <w:spacing w:line="360" w:lineRule="auto"/>
        <w:ind w:firstLine="474" w:firstLineChars="225"/>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注：以下评标办法所述企业综合诚信评价分数即投标截止当日广州市住房和城乡建设局网站上公布的企业综合诚信评价60日诚信分。</w:t>
      </w:r>
    </w:p>
    <w:p>
      <w:pPr>
        <w:adjustRightIn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w:t>
      </w:r>
      <w:r>
        <w:rPr>
          <w:rFonts w:ascii="宋体" w:hAnsi="宋体"/>
          <w:b/>
          <w:color w:val="auto"/>
          <w:szCs w:val="21"/>
          <w:highlight w:val="none"/>
        </w:rPr>
        <w:t xml:space="preserve">0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 xml:space="preserve">  修改类型：修改</w:t>
      </w:r>
    </w:p>
    <w:p>
      <w:pPr>
        <w:adjustRightIn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40．开标和评标程序</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40.1技术标（含资格审查文件）与经济标投标文件同时公开开标；</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40.2由评标委员会对所有已公开开标的投标人进行资格审查；</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40.3技术标投标文件有效性审查；</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40.4技术标详细审查评分；</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40.5经济标详细审查评分； </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40.6评标委员会按照投标人总得分由高至低排序；</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40.7经济标投标文件有效性审查；</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40.8评标委员会按排序向招标人推荐中标候选人名单，并递交资格审查报告及评标报告。</w:t>
      </w:r>
    </w:p>
    <w:p>
      <w:pPr>
        <w:snapToGrid w:val="0"/>
        <w:spacing w:line="360" w:lineRule="auto"/>
        <w:ind w:firstLine="422" w:firstLineChars="200"/>
        <w:rPr>
          <w:rFonts w:ascii="宋体"/>
          <w:color w:val="auto"/>
          <w:szCs w:val="21"/>
          <w:highlight w:val="none"/>
        </w:rPr>
      </w:pPr>
      <w:r>
        <w:rPr>
          <w:rFonts w:hint="eastAsia" w:ascii="宋体" w:hAnsi="宋体"/>
          <w:b/>
          <w:color w:val="auto"/>
          <w:szCs w:val="21"/>
          <w:highlight w:val="none"/>
        </w:rPr>
        <w:t>现文：</w:t>
      </w:r>
      <w:r>
        <w:rPr>
          <w:rFonts w:hint="eastAsia" w:ascii="宋体"/>
          <w:color w:val="auto"/>
          <w:szCs w:val="21"/>
          <w:highlight w:val="none"/>
        </w:rPr>
        <w:t>40．开标和评标程序</w:t>
      </w:r>
    </w:p>
    <w:p>
      <w:pPr>
        <w:snapToGrid w:val="0"/>
        <w:spacing w:line="360" w:lineRule="auto"/>
        <w:ind w:firstLine="420" w:firstLineChars="200"/>
        <w:rPr>
          <w:rFonts w:ascii="宋体"/>
          <w:color w:val="auto"/>
          <w:szCs w:val="21"/>
          <w:highlight w:val="none"/>
        </w:rPr>
      </w:pPr>
      <w:r>
        <w:rPr>
          <w:rFonts w:hint="eastAsia" w:ascii="宋体"/>
          <w:color w:val="auto"/>
          <w:szCs w:val="21"/>
          <w:highlight w:val="none"/>
        </w:rPr>
        <w:t>40.1技术标（含资格审查文件）与经济标投标文件同时公开开标；</w:t>
      </w:r>
    </w:p>
    <w:p>
      <w:pPr>
        <w:snapToGrid w:val="0"/>
        <w:spacing w:line="360" w:lineRule="auto"/>
        <w:ind w:firstLine="420" w:firstLineChars="200"/>
        <w:rPr>
          <w:rFonts w:ascii="宋体"/>
          <w:color w:val="auto"/>
          <w:szCs w:val="21"/>
          <w:highlight w:val="none"/>
        </w:rPr>
      </w:pPr>
      <w:r>
        <w:rPr>
          <w:rFonts w:hint="eastAsia" w:ascii="宋体"/>
          <w:color w:val="auto"/>
          <w:szCs w:val="21"/>
          <w:highlight w:val="none"/>
        </w:rPr>
        <w:t>40.2由评标委员会对所有已公开开标的投标人进行资格审查；</w:t>
      </w:r>
    </w:p>
    <w:p>
      <w:pPr>
        <w:snapToGrid w:val="0"/>
        <w:spacing w:line="360" w:lineRule="auto"/>
        <w:ind w:firstLine="420" w:firstLineChars="200"/>
        <w:rPr>
          <w:rFonts w:ascii="宋体"/>
          <w:color w:val="auto"/>
          <w:szCs w:val="21"/>
          <w:highlight w:val="none"/>
          <w:u w:val="single"/>
        </w:rPr>
      </w:pPr>
      <w:r>
        <w:rPr>
          <w:rFonts w:ascii="宋体"/>
          <w:color w:val="auto"/>
          <w:szCs w:val="21"/>
          <w:highlight w:val="none"/>
        </w:rPr>
        <w:t>40.3</w:t>
      </w:r>
      <w:r>
        <w:rPr>
          <w:rFonts w:hint="eastAsia" w:ascii="宋体"/>
          <w:color w:val="auto"/>
          <w:szCs w:val="21"/>
          <w:highlight w:val="none"/>
          <w:u w:val="single"/>
        </w:rPr>
        <w:t>对通过资格审查的投标单位进行技术标投标文件有效性审查；</w:t>
      </w:r>
    </w:p>
    <w:p>
      <w:pPr>
        <w:snapToGrid w:val="0"/>
        <w:spacing w:line="360" w:lineRule="auto"/>
        <w:ind w:firstLine="420" w:firstLineChars="200"/>
        <w:rPr>
          <w:rFonts w:ascii="宋体"/>
          <w:color w:val="auto"/>
          <w:szCs w:val="21"/>
          <w:highlight w:val="none"/>
        </w:rPr>
      </w:pPr>
      <w:r>
        <w:rPr>
          <w:rFonts w:hint="eastAsia" w:ascii="宋体"/>
          <w:color w:val="auto"/>
          <w:szCs w:val="21"/>
          <w:highlight w:val="none"/>
        </w:rPr>
        <w:t>40.4</w:t>
      </w:r>
      <w:r>
        <w:rPr>
          <w:rFonts w:hint="eastAsia" w:ascii="宋体" w:hAnsi="宋体"/>
          <w:color w:val="auto"/>
          <w:szCs w:val="21"/>
          <w:highlight w:val="none"/>
          <w:u w:val="single"/>
        </w:rPr>
        <w:t>对通过技术标投标文件有效性审查的投标单位进行</w:t>
      </w:r>
      <w:r>
        <w:rPr>
          <w:rFonts w:hint="eastAsia" w:ascii="宋体"/>
          <w:color w:val="auto"/>
          <w:szCs w:val="21"/>
          <w:highlight w:val="none"/>
          <w:u w:val="single"/>
        </w:rPr>
        <w:t>经济标投标文件有效性审查</w:t>
      </w:r>
      <w:r>
        <w:rPr>
          <w:rFonts w:hint="eastAsia" w:ascii="宋体"/>
          <w:color w:val="auto"/>
          <w:szCs w:val="21"/>
          <w:highlight w:val="none"/>
        </w:rPr>
        <w:t>；</w:t>
      </w:r>
    </w:p>
    <w:p>
      <w:pPr>
        <w:pBdr>
          <w:bottom w:val="single" w:color="auto" w:sz="6" w:space="1"/>
        </w:pBdr>
        <w:adjustRightInd w:val="0"/>
        <w:spacing w:line="360" w:lineRule="auto"/>
        <w:ind w:firstLine="420" w:firstLineChars="200"/>
        <w:rPr>
          <w:rFonts w:ascii="宋体" w:hAnsi="宋体"/>
          <w:color w:val="auto"/>
          <w:szCs w:val="21"/>
          <w:highlight w:val="none"/>
        </w:rPr>
      </w:pPr>
      <w:r>
        <w:rPr>
          <w:rFonts w:hint="eastAsia" w:ascii="宋体"/>
          <w:color w:val="auto"/>
          <w:szCs w:val="21"/>
          <w:highlight w:val="none"/>
        </w:rPr>
        <w:t>40.</w:t>
      </w:r>
      <w:r>
        <w:rPr>
          <w:rFonts w:hint="eastAsia" w:ascii="宋体"/>
          <w:color w:val="auto"/>
          <w:szCs w:val="21"/>
          <w:highlight w:val="none"/>
          <w:lang w:val="en-US" w:eastAsia="zh-CN"/>
        </w:rPr>
        <w:t>5</w:t>
      </w:r>
      <w:r>
        <w:rPr>
          <w:rFonts w:hint="eastAsia" w:ascii="宋体"/>
          <w:color w:val="auto"/>
          <w:szCs w:val="21"/>
          <w:highlight w:val="none"/>
          <w:u w:val="single"/>
        </w:rPr>
        <w:t>评标委员会向招标人推荐合格的中标候选人名单，合格中标候选人不排序，并递交资格审查报告及评标报告。</w:t>
      </w:r>
    </w:p>
    <w:p>
      <w:pPr>
        <w:adjustRightIn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41.1      </w:t>
      </w:r>
      <w:r>
        <w:rPr>
          <w:rFonts w:hint="eastAsia" w:ascii="宋体" w:hAnsi="宋体"/>
          <w:b/>
          <w:color w:val="auto"/>
          <w:szCs w:val="21"/>
          <w:highlight w:val="none"/>
        </w:rPr>
        <w:t xml:space="preserve">                                   修改类型：修改</w:t>
      </w:r>
    </w:p>
    <w:p>
      <w:pPr>
        <w:adjustRightIn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41.1 </w:t>
      </w:r>
      <w:r>
        <w:rPr>
          <w:rFonts w:hint="eastAsia" w:ascii="宋体" w:hAnsi="宋体"/>
          <w:color w:val="auto"/>
          <w:szCs w:val="21"/>
          <w:highlight w:val="none"/>
        </w:rPr>
        <w:t>开标由招标人主持；</w:t>
      </w:r>
    </w:p>
    <w:p>
      <w:pPr>
        <w:pBdr>
          <w:bottom w:val="single" w:color="auto" w:sz="6" w:space="1"/>
        </w:pBdr>
        <w:adjustRightIn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 xml:space="preserve">41.1 </w:t>
      </w:r>
      <w:r>
        <w:rPr>
          <w:rFonts w:hint="eastAsia" w:ascii="宋体" w:hAnsi="宋体"/>
          <w:color w:val="auto"/>
          <w:szCs w:val="21"/>
          <w:highlight w:val="none"/>
        </w:rPr>
        <w:t>开标由招标人</w:t>
      </w:r>
      <w:r>
        <w:rPr>
          <w:rFonts w:hint="eastAsia" w:ascii="宋体" w:hAnsi="宋体"/>
          <w:color w:val="auto"/>
          <w:szCs w:val="21"/>
          <w:highlight w:val="none"/>
          <w:u w:val="single"/>
        </w:rPr>
        <w:t>或招标代理</w:t>
      </w:r>
      <w:r>
        <w:rPr>
          <w:rFonts w:hint="eastAsia" w:ascii="宋体" w:hAnsi="宋体"/>
          <w:color w:val="auto"/>
          <w:szCs w:val="21"/>
          <w:highlight w:val="none"/>
        </w:rPr>
        <w:t>主持；</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条款号：41.2.1</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原文：4</w:t>
      </w:r>
      <w:r>
        <w:rPr>
          <w:rFonts w:ascii="宋体" w:hAnsi="宋体"/>
          <w:b/>
          <w:color w:val="auto"/>
          <w:szCs w:val="21"/>
          <w:highlight w:val="none"/>
        </w:rPr>
        <w:t>1.2.1</w:t>
      </w:r>
      <w:r>
        <w:rPr>
          <w:rFonts w:hint="eastAsia" w:ascii="宋体" w:hAnsi="宋体"/>
          <w:color w:val="auto"/>
          <w:szCs w:val="21"/>
          <w:highlight w:val="none"/>
        </w:rPr>
        <w:t>投标截止期前，各投标人递交投标文件（包括技术标投标文件、经济标投标文件）至</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交易平台。有关投标文件提交的事项详见第一章投标须知。</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现文：4</w:t>
      </w:r>
      <w:r>
        <w:rPr>
          <w:rFonts w:ascii="宋体" w:hAnsi="宋体"/>
          <w:b/>
          <w:color w:val="auto"/>
          <w:szCs w:val="21"/>
          <w:highlight w:val="none"/>
        </w:rPr>
        <w:t>1.2.1</w:t>
      </w:r>
      <w:r>
        <w:rPr>
          <w:rFonts w:hint="eastAsia" w:ascii="宋体" w:hAnsi="宋体"/>
          <w:color w:val="auto"/>
          <w:szCs w:val="21"/>
          <w:highlight w:val="none"/>
        </w:rPr>
        <w:t>投标截止期前，各投标人递交投标文件（包括技术标投标文件、经济标投标文件）至</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交易平台。有关投标文件提交的事项详见第一章投标须知。</w:t>
      </w:r>
    </w:p>
    <w:p>
      <w:pPr>
        <w:adjustRightIn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41.2.2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修改类型：删除</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41.2.2开标前，首先由招标人随机抽取确定该工程计算评标参考价的等分点值X。</w:t>
      </w:r>
    </w:p>
    <w:p>
      <w:pPr>
        <w:adjustRightIn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4</w:t>
      </w:r>
      <w:r>
        <w:rPr>
          <w:rFonts w:hint="eastAsia" w:ascii="宋体" w:hAnsi="宋体"/>
          <w:b/>
          <w:color w:val="auto"/>
          <w:szCs w:val="21"/>
          <w:highlight w:val="none"/>
        </w:rPr>
        <w:t>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22" w:firstLineChars="200"/>
        <w:rPr>
          <w:rFonts w:ascii="宋体" w:hAnsi="宋体" w:cs="宋体"/>
          <w:b/>
          <w:color w:val="auto"/>
          <w:szCs w:val="21"/>
          <w:highlight w:val="none"/>
          <w:lang w:bidi="ar"/>
        </w:rPr>
      </w:pPr>
      <w:r>
        <w:rPr>
          <w:rFonts w:hint="eastAsia" w:ascii="宋体" w:hAnsi="宋体" w:cs="宋体"/>
          <w:b/>
          <w:color w:val="auto"/>
          <w:szCs w:val="21"/>
          <w:highlight w:val="none"/>
          <w:lang w:bidi="ar"/>
        </w:rPr>
        <w:t xml:space="preserve">原文：42. </w:t>
      </w:r>
      <w:r>
        <w:rPr>
          <w:rFonts w:hint="eastAsia" w:ascii="宋体" w:hAnsi="宋体" w:cs="宋体"/>
          <w:bCs/>
          <w:color w:val="auto"/>
          <w:szCs w:val="21"/>
          <w:highlight w:val="none"/>
          <w:lang w:bidi="ar"/>
        </w:rPr>
        <w:t>资格审查及评标细则</w:t>
      </w:r>
    </w:p>
    <w:p>
      <w:pPr>
        <w:spacing w:line="360" w:lineRule="auto"/>
        <w:ind w:firstLine="422" w:firstLineChars="200"/>
        <w:rPr>
          <w:rFonts w:ascii="宋体" w:hAnsi="宋体" w:cs="宋体"/>
          <w:b/>
          <w:color w:val="auto"/>
          <w:szCs w:val="21"/>
          <w:highlight w:val="none"/>
          <w:lang w:bidi="ar"/>
        </w:rPr>
      </w:pPr>
      <w:r>
        <w:rPr>
          <w:rFonts w:hint="eastAsia" w:ascii="宋体" w:hAnsi="宋体" w:cs="宋体"/>
          <w:b/>
          <w:color w:val="auto"/>
          <w:szCs w:val="21"/>
          <w:highlight w:val="none"/>
          <w:lang w:bidi="ar"/>
        </w:rPr>
        <w:t>42.1</w:t>
      </w:r>
      <w:r>
        <w:rPr>
          <w:rFonts w:hint="eastAsia" w:ascii="宋体" w:hAnsi="宋体" w:cs="宋体"/>
          <w:bCs/>
          <w:color w:val="auto"/>
          <w:szCs w:val="21"/>
          <w:highlight w:val="none"/>
          <w:lang w:bidi="ar"/>
        </w:rPr>
        <w:t>资格审查及评标均由招标人依法组建的评标委员会负责。</w:t>
      </w:r>
    </w:p>
    <w:p>
      <w:pP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lang w:bidi="ar"/>
        </w:rPr>
        <w:t>4</w:t>
      </w:r>
      <w:r>
        <w:rPr>
          <w:rFonts w:ascii="宋体" w:hAnsi="宋体" w:cs="宋体"/>
          <w:b/>
          <w:color w:val="auto"/>
          <w:szCs w:val="21"/>
          <w:highlight w:val="none"/>
          <w:lang w:bidi="ar"/>
        </w:rPr>
        <w:t>2.2</w:t>
      </w:r>
      <w:r>
        <w:rPr>
          <w:rFonts w:hint="eastAsia" w:ascii="宋体" w:hAnsi="宋体"/>
          <w:color w:val="auto"/>
          <w:szCs w:val="21"/>
          <w:highlight w:val="none"/>
        </w:rPr>
        <w:t>评标委员会的组成：方式</w:t>
      </w:r>
      <w:r>
        <w:rPr>
          <w:rFonts w:hint="eastAsia" w:ascii="宋体"/>
          <w:color w:val="auto"/>
          <w:kern w:val="0"/>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方式一：评标委员会为综合评标委员会，负责评标工作。</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b/>
          <w:color w:val="auto"/>
          <w:szCs w:val="21"/>
          <w:highlight w:val="none"/>
          <w:lang w:bidi="ar"/>
        </w:rPr>
      </w:pPr>
      <w:r>
        <w:rPr>
          <w:rFonts w:hint="eastAsia" w:ascii="宋体" w:hAnsi="宋体" w:cs="宋体"/>
          <w:b/>
          <w:color w:val="auto"/>
          <w:szCs w:val="21"/>
          <w:highlight w:val="none"/>
          <w:lang w:bidi="ar"/>
        </w:rPr>
        <w:t xml:space="preserve">现文：42. </w:t>
      </w:r>
      <w:r>
        <w:rPr>
          <w:rFonts w:hint="eastAsia" w:ascii="宋体" w:hAnsi="宋体" w:cs="宋体"/>
          <w:bCs/>
          <w:color w:val="auto"/>
          <w:szCs w:val="21"/>
          <w:highlight w:val="none"/>
          <w:lang w:bidi="ar"/>
        </w:rPr>
        <w:t>资格审查及评标细则</w:t>
      </w:r>
    </w:p>
    <w:p>
      <w:pPr>
        <w:pBdr>
          <w:bottom w:val="single" w:color="auto" w:sz="6" w:space="1"/>
        </w:pBdr>
        <w:adjustRightInd w:val="0"/>
        <w:spacing w:line="360" w:lineRule="auto"/>
        <w:ind w:firstLine="422" w:firstLineChars="200"/>
        <w:rPr>
          <w:rFonts w:ascii="宋体" w:hAnsi="宋体" w:cs="宋体"/>
          <w:b/>
          <w:color w:val="auto"/>
          <w:szCs w:val="21"/>
          <w:highlight w:val="none"/>
          <w:lang w:bidi="ar"/>
        </w:rPr>
      </w:pPr>
      <w:r>
        <w:rPr>
          <w:rFonts w:hint="eastAsia" w:ascii="宋体" w:hAnsi="宋体" w:cs="宋体"/>
          <w:b/>
          <w:color w:val="auto"/>
          <w:szCs w:val="21"/>
          <w:highlight w:val="none"/>
          <w:lang w:bidi="ar"/>
        </w:rPr>
        <w:t>42.1</w:t>
      </w:r>
      <w:r>
        <w:rPr>
          <w:rFonts w:hint="eastAsia" w:ascii="宋体" w:hAnsi="宋体" w:cs="宋体"/>
          <w:bCs/>
          <w:color w:val="auto"/>
          <w:szCs w:val="21"/>
          <w:highlight w:val="none"/>
          <w:lang w:bidi="ar"/>
        </w:rPr>
        <w:t>资格审查及评标均由招标人依法组建的评标委员会负责。</w:t>
      </w:r>
    </w:p>
    <w:p>
      <w:pPr>
        <w:pBdr>
          <w:bottom w:val="single" w:color="auto" w:sz="6" w:space="1"/>
        </w:pBdr>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lang w:bidi="ar"/>
        </w:rPr>
        <w:t>4</w:t>
      </w:r>
      <w:r>
        <w:rPr>
          <w:rFonts w:ascii="宋体" w:hAnsi="宋体" w:cs="宋体"/>
          <w:b/>
          <w:color w:val="auto"/>
          <w:szCs w:val="21"/>
          <w:highlight w:val="none"/>
          <w:lang w:bidi="ar"/>
        </w:rPr>
        <w:t>2.2</w:t>
      </w:r>
      <w:r>
        <w:rPr>
          <w:rFonts w:hint="eastAsia" w:ascii="宋体" w:hAnsi="宋体"/>
          <w:color w:val="auto"/>
          <w:szCs w:val="21"/>
          <w:highlight w:val="none"/>
        </w:rPr>
        <w:t>评标委员会的组成：</w:t>
      </w:r>
      <w:r>
        <w:rPr>
          <w:rFonts w:hint="eastAsia" w:ascii="宋体" w:hAnsi="宋体"/>
          <w:color w:val="auto"/>
          <w:szCs w:val="21"/>
          <w:highlight w:val="none"/>
          <w:u w:val="single"/>
        </w:rPr>
        <w:t>方式一：评标委员会为综合评标委员会，负责</w:t>
      </w:r>
      <w:r>
        <w:rPr>
          <w:rFonts w:hint="eastAsia"/>
          <w:color w:val="auto"/>
          <w:szCs w:val="21"/>
          <w:highlight w:val="none"/>
          <w:u w:val="single"/>
        </w:rPr>
        <w:t>资格审查及</w:t>
      </w:r>
      <w:r>
        <w:rPr>
          <w:rFonts w:hint="eastAsia" w:ascii="宋体" w:hAnsi="宋体"/>
          <w:color w:val="auto"/>
          <w:szCs w:val="21"/>
          <w:highlight w:val="none"/>
          <w:u w:val="single"/>
        </w:rPr>
        <w:t>评标工作。</w:t>
      </w:r>
    </w:p>
    <w:p>
      <w:pPr>
        <w:spacing w:line="360" w:lineRule="auto"/>
        <w:ind w:firstLine="422" w:firstLineChars="200"/>
        <w:rPr>
          <w:rFonts w:ascii="宋体" w:cs="宋体"/>
          <w:b/>
          <w:color w:val="auto"/>
          <w:szCs w:val="21"/>
          <w:highlight w:val="none"/>
        </w:rPr>
      </w:pPr>
      <w:r>
        <w:rPr>
          <w:rFonts w:hint="eastAsia" w:ascii="宋体" w:hAnsi="宋体"/>
          <w:b/>
          <w:color w:val="auto"/>
          <w:szCs w:val="21"/>
          <w:highlight w:val="none"/>
        </w:rPr>
        <w:t>条款</w:t>
      </w:r>
      <w:r>
        <w:rPr>
          <w:rFonts w:hint="eastAsia" w:ascii="宋体" w:hAnsi="宋体" w:cs="宋体"/>
          <w:b/>
          <w:color w:val="auto"/>
          <w:szCs w:val="21"/>
          <w:highlight w:val="none"/>
        </w:rPr>
        <w:t>号：</w:t>
      </w:r>
      <w:r>
        <w:rPr>
          <w:rFonts w:ascii="宋体" w:hAnsi="宋体" w:cs="宋体"/>
          <w:b/>
          <w:color w:val="auto"/>
          <w:szCs w:val="21"/>
          <w:highlight w:val="none"/>
        </w:rPr>
        <w:t xml:space="preserve">43.6                                         </w:t>
      </w:r>
      <w:r>
        <w:rPr>
          <w:rFonts w:hint="eastAsia" w:ascii="宋体" w:hAnsi="宋体" w:cs="宋体"/>
          <w:b/>
          <w:color w:val="auto"/>
          <w:szCs w:val="21"/>
          <w:highlight w:val="none"/>
        </w:rPr>
        <w:t>修改类型：修改</w:t>
      </w:r>
    </w:p>
    <w:p>
      <w:pPr>
        <w:spacing w:line="360" w:lineRule="auto"/>
        <w:ind w:firstLine="422" w:firstLineChars="200"/>
        <w:rPr>
          <w:rFonts w:ascii="宋体" w:cs="宋体"/>
          <w:bCs/>
          <w:color w:val="auto"/>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ascii="宋体" w:hAnsi="宋体" w:cs="宋体"/>
          <w:bCs/>
          <w:color w:val="auto"/>
          <w:szCs w:val="21"/>
          <w:highlight w:val="none"/>
        </w:rPr>
        <w:t>43.6</w:t>
      </w:r>
      <w:r>
        <w:rPr>
          <w:rFonts w:hint="eastAsia" w:ascii="宋体" w:hAnsi="宋体" w:cs="宋体"/>
          <w:bCs/>
          <w:color w:val="auto"/>
          <w:szCs w:val="21"/>
          <w:highlight w:val="none"/>
        </w:rPr>
        <w:t>资格审查合格的投标人少于</w:t>
      </w:r>
      <w:r>
        <w:rPr>
          <w:rFonts w:ascii="宋体" w:hAnsi="宋体" w:cs="宋体"/>
          <w:bCs/>
          <w:color w:val="auto"/>
          <w:szCs w:val="21"/>
          <w:highlight w:val="none"/>
        </w:rPr>
        <w:t>3</w:t>
      </w:r>
      <w:r>
        <w:rPr>
          <w:rFonts w:hint="eastAsia" w:ascii="宋体" w:hAnsi="宋体" w:cs="宋体"/>
          <w:bCs/>
          <w:color w:val="auto"/>
          <w:szCs w:val="21"/>
          <w:highlight w:val="none"/>
        </w:rPr>
        <w:t>名的（当</w:t>
      </w:r>
      <w:r>
        <w:rPr>
          <w:rFonts w:ascii="宋体" w:hAnsi="宋体" w:cs="宋体"/>
          <w:bCs/>
          <w:color w:val="auto"/>
          <w:szCs w:val="21"/>
          <w:highlight w:val="none"/>
        </w:rPr>
        <w:t>N</w:t>
      </w:r>
      <w:r>
        <w:rPr>
          <w:rFonts w:hint="eastAsia" w:ascii="宋体" w:hAnsi="宋体" w:cs="宋体"/>
          <w:bCs/>
          <w:color w:val="auto"/>
          <w:szCs w:val="21"/>
          <w:highlight w:val="none"/>
        </w:rPr>
        <w:t>个标段同时招标且不允许兼中时，资格审查合格的投标人少于</w:t>
      </w:r>
      <w:r>
        <w:rPr>
          <w:rFonts w:ascii="宋体" w:hAnsi="宋体" w:cs="宋体"/>
          <w:bCs/>
          <w:color w:val="auto"/>
          <w:szCs w:val="21"/>
          <w:highlight w:val="none"/>
        </w:rPr>
        <w:t>N+2</w:t>
      </w:r>
      <w:r>
        <w:rPr>
          <w:rFonts w:hint="eastAsia" w:ascii="宋体" w:hAnsi="宋体" w:cs="宋体"/>
          <w:bCs/>
          <w:color w:val="auto"/>
          <w:szCs w:val="21"/>
          <w:highlight w:val="none"/>
        </w:rPr>
        <w:t>名），则本项目招标失败。</w:t>
      </w:r>
    </w:p>
    <w:p>
      <w:pPr>
        <w:pBdr>
          <w:bottom w:val="single" w:color="auto" w:sz="6" w:space="1"/>
        </w:pBdr>
        <w:adjustRightInd w:val="0"/>
        <w:spacing w:line="360" w:lineRule="auto"/>
        <w:ind w:firstLine="422" w:firstLineChars="200"/>
        <w:rPr>
          <w:rFonts w:ascii="宋体" w:cs="宋体"/>
          <w:color w:val="auto"/>
          <w:szCs w:val="21"/>
          <w:highlight w:val="none"/>
        </w:rPr>
      </w:pPr>
      <w:r>
        <w:rPr>
          <w:rFonts w:hint="eastAsia" w:ascii="宋体" w:hAnsi="宋体" w:cs="宋体"/>
          <w:b/>
          <w:color w:val="auto"/>
          <w:szCs w:val="21"/>
          <w:highlight w:val="none"/>
        </w:rPr>
        <w:t>现文：</w:t>
      </w:r>
      <w:r>
        <w:rPr>
          <w:rFonts w:ascii="宋体" w:hAnsi="宋体" w:cs="宋体"/>
          <w:bCs/>
          <w:color w:val="auto"/>
          <w:szCs w:val="21"/>
          <w:highlight w:val="none"/>
        </w:rPr>
        <w:t>43.6</w:t>
      </w:r>
      <w:r>
        <w:rPr>
          <w:rFonts w:hint="eastAsia" w:ascii="宋体" w:hAnsi="宋体" w:cs="宋体"/>
          <w:color w:val="auto"/>
          <w:szCs w:val="21"/>
          <w:highlight w:val="none"/>
          <w:u w:val="single"/>
        </w:rPr>
        <w:t>资格审查合格的投标人少于</w:t>
      </w:r>
      <w:r>
        <w:rPr>
          <w:rFonts w:ascii="宋体" w:hAnsi="宋体" w:cs="宋体"/>
          <w:color w:val="auto"/>
          <w:szCs w:val="21"/>
          <w:highlight w:val="none"/>
          <w:u w:val="single"/>
        </w:rPr>
        <w:t>3</w:t>
      </w:r>
      <w:r>
        <w:rPr>
          <w:rFonts w:hint="eastAsia" w:ascii="宋体" w:hAnsi="宋体" w:cs="宋体"/>
          <w:color w:val="auto"/>
          <w:szCs w:val="21"/>
          <w:highlight w:val="none"/>
          <w:u w:val="single"/>
        </w:rPr>
        <w:t>名的，则本项目招标失败</w:t>
      </w:r>
      <w:r>
        <w:rPr>
          <w:rFonts w:hint="eastAsia" w:ascii="宋体" w:hAnsi="宋体" w:cs="宋体"/>
          <w:color w:val="auto"/>
          <w:szCs w:val="21"/>
          <w:highlight w:val="none"/>
        </w:rPr>
        <w:t>。</w:t>
      </w:r>
    </w:p>
    <w:p>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条款号：4</w:t>
      </w:r>
      <w:r>
        <w:rPr>
          <w:rFonts w:ascii="宋体" w:hAnsi="宋体" w:cs="宋体"/>
          <w:b/>
          <w:color w:val="auto"/>
          <w:szCs w:val="21"/>
          <w:highlight w:val="none"/>
          <w:lang w:bidi="ar"/>
        </w:rPr>
        <w:t>4</w:t>
      </w:r>
      <w:r>
        <w:rPr>
          <w:rFonts w:hint="eastAsia" w:ascii="宋体" w:hAnsi="宋体" w:cs="宋体"/>
          <w:b/>
          <w:color w:val="auto"/>
          <w:szCs w:val="21"/>
          <w:highlight w:val="none"/>
          <w:lang w:bidi="ar"/>
        </w:rPr>
        <w:t>.1                                         修改类型：修改</w:t>
      </w:r>
    </w:p>
    <w:p>
      <w:pPr>
        <w:spacing w:line="360" w:lineRule="auto"/>
        <w:ind w:firstLine="422" w:firstLineChars="200"/>
        <w:rPr>
          <w:rFonts w:ascii="宋体" w:hAnsi="宋体" w:cs="宋体"/>
          <w:color w:val="auto"/>
          <w:kern w:val="0"/>
          <w:szCs w:val="21"/>
          <w:highlight w:val="none"/>
        </w:rPr>
      </w:pPr>
      <w:r>
        <w:rPr>
          <w:rFonts w:hint="eastAsia" w:ascii="宋体" w:hAnsi="宋体" w:cs="宋体"/>
          <w:b/>
          <w:color w:val="auto"/>
          <w:szCs w:val="21"/>
          <w:highlight w:val="none"/>
          <w:lang w:bidi="ar"/>
        </w:rPr>
        <w:t>原文：</w:t>
      </w:r>
      <w:r>
        <w:rPr>
          <w:rFonts w:hint="eastAsia" w:ascii="宋体" w:hAnsi="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lang w:bidi="ar"/>
        </w:rPr>
        <w:t>现文：</w:t>
      </w:r>
      <w:r>
        <w:rPr>
          <w:rFonts w:hint="eastAsia" w:ascii="宋体" w:hAnsi="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hint="eastAsia" w:ascii="宋体" w:hAnsi="宋体"/>
          <w:color w:val="auto"/>
          <w:szCs w:val="21"/>
          <w:highlight w:val="none"/>
          <w:u w:val="single"/>
        </w:rPr>
        <w:t>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22" w:firstLineChars="200"/>
        <w:rPr>
          <w:rFonts w:ascii="宋体" w:cs="宋体"/>
          <w:b/>
          <w:color w:val="auto"/>
          <w:szCs w:val="21"/>
          <w:highlight w:val="none"/>
        </w:rPr>
      </w:pPr>
      <w:r>
        <w:rPr>
          <w:rFonts w:hint="eastAsia" w:ascii="宋体" w:hAnsi="宋体"/>
          <w:b/>
          <w:color w:val="auto"/>
          <w:szCs w:val="21"/>
          <w:highlight w:val="none"/>
        </w:rPr>
        <w:t>条款</w:t>
      </w:r>
      <w:r>
        <w:rPr>
          <w:rFonts w:hint="eastAsia" w:ascii="宋体" w:hAnsi="宋体" w:cs="宋体"/>
          <w:b/>
          <w:color w:val="auto"/>
          <w:szCs w:val="21"/>
          <w:highlight w:val="none"/>
        </w:rPr>
        <w:t>号：</w:t>
      </w:r>
      <w:r>
        <w:rPr>
          <w:rFonts w:ascii="宋体" w:hAnsi="宋体" w:cs="宋体"/>
          <w:b/>
          <w:color w:val="auto"/>
          <w:szCs w:val="21"/>
          <w:highlight w:val="none"/>
        </w:rPr>
        <w:t xml:space="preserve">44.2                                         </w:t>
      </w:r>
      <w:r>
        <w:rPr>
          <w:rFonts w:hint="eastAsia" w:ascii="宋体" w:hAnsi="宋体" w:cs="宋体"/>
          <w:b/>
          <w:color w:val="auto"/>
          <w:szCs w:val="21"/>
          <w:highlight w:val="none"/>
        </w:rPr>
        <w:t>修改类型：修改</w:t>
      </w:r>
    </w:p>
    <w:p>
      <w:pPr>
        <w:spacing w:line="360" w:lineRule="auto"/>
        <w:ind w:firstLine="422" w:firstLineChars="200"/>
        <w:rPr>
          <w:rFonts w:ascii="宋体" w:cs="宋体"/>
          <w:bCs/>
          <w:color w:val="auto"/>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hAnsi="宋体" w:cs="宋体"/>
          <w:bCs/>
          <w:color w:val="auto"/>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adjustRightInd w:val="0"/>
        <w:spacing w:line="360" w:lineRule="auto"/>
        <w:ind w:firstLine="422" w:firstLineChars="200"/>
        <w:rPr>
          <w:rFonts w:asci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44.2</w:t>
      </w:r>
      <w:r>
        <w:rPr>
          <w:rFonts w:hint="eastAsia" w:ascii="宋体" w:hAnsi="宋体" w:cs="宋体"/>
          <w:bCs/>
          <w:color w:val="auto"/>
          <w:szCs w:val="21"/>
          <w:highlight w:val="none"/>
          <w:u w:val="single"/>
        </w:rPr>
        <w:t>技术标详细审查：</w:t>
      </w:r>
      <w:r>
        <w:rPr>
          <w:rFonts w:hint="eastAsia" w:ascii="宋体" w:hAnsi="宋体" w:cs="宋体"/>
          <w:bCs/>
          <w:color w:val="auto"/>
          <w:szCs w:val="21"/>
          <w:highlight w:val="none"/>
          <w:u w:val="single"/>
          <w:lang w:eastAsia="zh-CN"/>
        </w:rPr>
        <w:t>本项目无需评标</w:t>
      </w:r>
      <w:r>
        <w:rPr>
          <w:rFonts w:hint="eastAsia" w:ascii="宋体" w:hAnsi="宋体" w:cs="宋体"/>
          <w:bCs/>
          <w:color w:val="auto"/>
          <w:szCs w:val="21"/>
          <w:highlight w:val="none"/>
          <w:u w:val="single"/>
        </w:rPr>
        <w:t>委员会</w:t>
      </w:r>
      <w:r>
        <w:rPr>
          <w:rFonts w:hint="eastAsia" w:ascii="宋体" w:hAnsi="宋体" w:cs="宋体"/>
          <w:bCs/>
          <w:color w:val="auto"/>
          <w:szCs w:val="21"/>
          <w:highlight w:val="none"/>
          <w:u w:val="single"/>
          <w:lang w:eastAsia="zh-CN"/>
        </w:rPr>
        <w:t>对投标文件做</w:t>
      </w:r>
      <w:r>
        <w:rPr>
          <w:rFonts w:hint="eastAsia" w:ascii="宋体" w:hAnsi="宋体" w:cs="宋体"/>
          <w:bCs/>
          <w:color w:val="auto"/>
          <w:szCs w:val="21"/>
          <w:highlight w:val="none"/>
          <w:u w:val="single"/>
        </w:rPr>
        <w:t>技术标详细审查。</w:t>
      </w:r>
    </w:p>
    <w:p>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 xml:space="preserve">条款号：45． </w:t>
      </w:r>
      <w:r>
        <w:rPr>
          <w:rFonts w:ascii="宋体" w:hAnsi="宋体" w:cs="宋体"/>
          <w:b/>
          <w:color w:val="auto"/>
          <w:szCs w:val="21"/>
          <w:highlight w:val="none"/>
          <w:lang w:bidi="ar"/>
        </w:rPr>
        <w:t xml:space="preserve">    </w:t>
      </w:r>
      <w:r>
        <w:rPr>
          <w:rFonts w:hint="eastAsia" w:ascii="宋体" w:hAnsi="宋体" w:cs="宋体"/>
          <w:b/>
          <w:color w:val="auto"/>
          <w:szCs w:val="21"/>
          <w:highlight w:val="none"/>
          <w:lang w:bidi="ar"/>
        </w:rPr>
        <w:t xml:space="preserve">                                    修改类型：修改</w:t>
      </w:r>
    </w:p>
    <w:p>
      <w:pPr>
        <w:pBdr>
          <w:bottom w:val="single" w:color="auto" w:sz="6" w:space="1"/>
        </w:pBdr>
        <w:adjustRightInd w:val="0"/>
        <w:spacing w:line="360" w:lineRule="auto"/>
        <w:ind w:firstLine="422" w:firstLineChars="200"/>
        <w:rPr>
          <w:rFonts w:ascii="宋体" w:hAnsi="宋体" w:cs="宋体"/>
          <w:b/>
          <w:color w:val="auto"/>
          <w:szCs w:val="21"/>
          <w:highlight w:val="none"/>
          <w:lang w:bidi="ar"/>
        </w:rPr>
      </w:pPr>
      <w:r>
        <w:rPr>
          <w:rFonts w:hint="eastAsia" w:ascii="宋体" w:hAnsi="宋体" w:cs="宋体"/>
          <w:b/>
          <w:color w:val="auto"/>
          <w:szCs w:val="21"/>
          <w:highlight w:val="none"/>
          <w:lang w:bidi="ar"/>
        </w:rPr>
        <w:t>原文：</w:t>
      </w:r>
      <w:r>
        <w:rPr>
          <w:rFonts w:hint="eastAsia" w:ascii="宋体" w:hAnsi="宋体" w:cs="宋体"/>
          <w:color w:val="auto"/>
          <w:szCs w:val="21"/>
          <w:highlight w:val="none"/>
          <w:lang w:bidi="ar"/>
        </w:rPr>
        <w:t>45．经济标评审和得分汇总</w:t>
      </w:r>
    </w:p>
    <w:p>
      <w:pPr>
        <w:pBdr>
          <w:bottom w:val="single" w:color="auto" w:sz="6" w:space="1"/>
        </w:pBdr>
        <w:adjustRightIn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lang w:bidi="ar"/>
        </w:rPr>
        <w:t>45.1若通过技术标有效性审查的投标人中有投标报价均大于等于最高投标限价*D%（D的取值范围为[94,100],由招标人自主确定）的（具体金额为：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元），则本项目招标失败，由招标人依法重新招标。</w:t>
      </w:r>
    </w:p>
    <w:p>
      <w:pPr>
        <w:pBdr>
          <w:bottom w:val="single" w:color="auto" w:sz="6" w:space="1"/>
        </w:pBdr>
        <w:adjustRightInd w:val="0"/>
        <w:spacing w:line="360" w:lineRule="auto"/>
        <w:ind w:firstLine="422" w:firstLineChars="200"/>
        <w:rPr>
          <w:rFonts w:ascii="宋体" w:hAnsi="宋体" w:cs="宋体"/>
          <w:color w:val="auto"/>
          <w:szCs w:val="21"/>
          <w:highlight w:val="none"/>
          <w:lang w:bidi="ar"/>
        </w:rPr>
      </w:pPr>
      <w:r>
        <w:rPr>
          <w:rFonts w:hint="eastAsia" w:ascii="宋体" w:hAnsi="宋体" w:cs="宋体"/>
          <w:b/>
          <w:color w:val="auto"/>
          <w:szCs w:val="21"/>
          <w:highlight w:val="none"/>
        </w:rPr>
        <w:t>现文：</w:t>
      </w:r>
      <w:r>
        <w:rPr>
          <w:rFonts w:hint="eastAsia" w:ascii="宋体" w:hAnsi="宋体" w:cs="宋体"/>
          <w:color w:val="auto"/>
          <w:szCs w:val="21"/>
          <w:highlight w:val="none"/>
          <w:lang w:bidi="ar"/>
        </w:rPr>
        <w:t>45．经济标评审</w:t>
      </w:r>
    </w:p>
    <w:p>
      <w:pPr>
        <w:pBdr>
          <w:bottom w:val="single" w:color="auto" w:sz="6" w:space="1"/>
        </w:pBd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lang w:bidi="ar"/>
        </w:rPr>
        <w:t>45.1若通过技术标有效性审查的投标人中有投标报价均大于等于最高投标限价*D%（D的取值范围为</w:t>
      </w:r>
      <w:r>
        <w:rPr>
          <w:rFonts w:ascii="宋体" w:hAnsi="宋体" w:cs="宋体"/>
          <w:color w:val="auto"/>
          <w:szCs w:val="21"/>
          <w:highlight w:val="none"/>
          <w:u w:val="single"/>
          <w:lang w:bidi="ar"/>
        </w:rPr>
        <w:t>[100]</w:t>
      </w:r>
      <w:r>
        <w:rPr>
          <w:rFonts w:hint="eastAsia" w:ascii="宋体" w:hAnsi="宋体" w:cs="宋体"/>
          <w:color w:val="auto"/>
          <w:szCs w:val="21"/>
          <w:highlight w:val="none"/>
          <w:lang w:bidi="ar"/>
        </w:rPr>
        <w:t>）的，则本项目招标失败，由招标人依法重新招标</w:t>
      </w:r>
      <w:r>
        <w:rPr>
          <w:rFonts w:hint="eastAsia" w:ascii="宋体" w:hAnsi="宋体" w:cs="宋体"/>
          <w:color w:val="auto"/>
          <w:szCs w:val="21"/>
          <w:highlight w:val="none"/>
          <w:u w:val="single"/>
          <w:lang w:bidi="ar"/>
        </w:rPr>
        <w:t>；如</w:t>
      </w:r>
      <w:r>
        <w:rPr>
          <w:rFonts w:hint="eastAsia" w:ascii="宋体" w:hAnsi="宋体"/>
          <w:color w:val="auto"/>
          <w:szCs w:val="21"/>
          <w:highlight w:val="none"/>
          <w:u w:val="single"/>
        </w:rPr>
        <w:t>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Pr>
          <w:rFonts w:hint="eastAsia" w:ascii="宋体" w:hAnsi="宋体" w:cs="宋体"/>
          <w:color w:val="auto"/>
          <w:szCs w:val="21"/>
          <w:highlight w:val="none"/>
          <w:u w:val="single"/>
          <w:lang w:bidi="ar"/>
        </w:rPr>
        <w:t>。</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45.2                                         </w:t>
      </w:r>
      <w:r>
        <w:rPr>
          <w:rFonts w:hint="eastAsia" w:ascii="宋体" w:hAnsi="宋体"/>
          <w:b/>
          <w:color w:val="auto"/>
          <w:szCs w:val="21"/>
          <w:highlight w:val="none"/>
        </w:rPr>
        <w:t>修改类型：删除</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w:t>
      </w:r>
      <w:r>
        <w:rPr>
          <w:rFonts w:ascii="宋体" w:hAnsi="宋体"/>
          <w:color w:val="auto"/>
          <w:szCs w:val="21"/>
          <w:highlight w:val="none"/>
        </w:rPr>
        <w:t>5.2</w:t>
      </w:r>
      <w:r>
        <w:rPr>
          <w:rFonts w:hint="eastAsia" w:ascii="宋体" w:hAnsi="宋体"/>
          <w:color w:val="auto"/>
          <w:szCs w:val="21"/>
          <w:highlight w:val="none"/>
        </w:rPr>
        <w:t>按方法</w:t>
      </w:r>
      <w:r>
        <w:rPr>
          <w:rFonts w:hint="eastAsia" w:ascii="宋体" w:hAnsi="宋体"/>
          <w:color w:val="auto"/>
          <w:szCs w:val="21"/>
          <w:highlight w:val="none"/>
          <w:u w:val="single"/>
        </w:rPr>
        <w:t xml:space="preserve">    </w:t>
      </w:r>
      <w:r>
        <w:rPr>
          <w:rFonts w:hint="eastAsia" w:ascii="宋体" w:hAnsi="宋体"/>
          <w:color w:val="auto"/>
          <w:szCs w:val="21"/>
          <w:highlight w:val="none"/>
        </w:rPr>
        <w:t>计算评标参考价：</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技术标或技术标加诚信得分（具体由招标人自定）前</w:t>
      </w:r>
      <w:r>
        <w:rPr>
          <w:rFonts w:ascii="宋体" w:hAnsi="宋体" w:cs="仿宋"/>
          <w:color w:val="auto"/>
          <w:szCs w:val="21"/>
          <w:highlight w:val="none"/>
        </w:rPr>
        <w:t>N</w:t>
      </w:r>
      <w:r>
        <w:rPr>
          <w:rFonts w:hint="eastAsia" w:ascii="宋体" w:hAnsi="宋体" w:cs="仿宋"/>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0" distR="0">
            <wp:extent cx="381635" cy="449580"/>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0" distR="0">
            <wp:extent cx="381635" cy="44958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0" distR="0">
            <wp:extent cx="322580" cy="400685"/>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0" distR="0">
            <wp:extent cx="322580" cy="4006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0" distR="0">
            <wp:extent cx="322580" cy="400685"/>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0" distR="0">
            <wp:extent cx="322580" cy="40068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widowControl/>
        <w:snapToGrid w:val="0"/>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widowControl/>
        <w:snapToGrid w:val="0"/>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*D%</w:t>
      </w:r>
      <w:r>
        <w:rPr>
          <w:rFonts w:hint="eastAsia" w:ascii="宋体" w:hAnsi="宋体" w:cs="仿宋"/>
          <w:color w:val="auto"/>
          <w:szCs w:val="21"/>
          <w:highlight w:val="none"/>
        </w:rPr>
        <w:t>）（</w:t>
      </w:r>
      <w:r>
        <w:rPr>
          <w:rFonts w:ascii="宋体" w:hAnsi="宋体" w:cs="仿宋"/>
          <w:color w:val="auto"/>
          <w:szCs w:val="21"/>
          <w:highlight w:val="none"/>
        </w:rPr>
        <w:t>D</w:t>
      </w:r>
      <w:r>
        <w:rPr>
          <w:rFonts w:hint="eastAsia" w:ascii="宋体" w:hAnsi="宋体" w:cs="仿宋"/>
          <w:color w:val="auto"/>
          <w:szCs w:val="21"/>
          <w:highlight w:val="none"/>
        </w:rPr>
        <w:t>的取值范围为</w:t>
      </w:r>
      <w:r>
        <w:rPr>
          <w:rFonts w:ascii="宋体" w:hAnsi="宋体" w:cs="仿宋"/>
          <w:color w:val="auto"/>
          <w:szCs w:val="21"/>
          <w:highlight w:val="none"/>
        </w:rPr>
        <w:t>[94,100],</w:t>
      </w:r>
      <w:r>
        <w:rPr>
          <w:rFonts w:hint="eastAsia" w:ascii="宋体" w:hAnsi="宋体" w:cs="仿宋"/>
          <w:color w:val="auto"/>
          <w:szCs w:val="21"/>
          <w:highlight w:val="none"/>
        </w:rPr>
        <w:t>由招标人自定）</w:t>
      </w:r>
    </w:p>
    <w:p>
      <w:pPr>
        <w:spacing w:line="360" w:lineRule="auto"/>
        <w:ind w:firstLine="420" w:firstLineChars="200"/>
        <w:rPr>
          <w:rFonts w:ascii="宋体" w:hAnsi="宋体"/>
          <w:color w:val="auto"/>
          <w:szCs w:val="21"/>
          <w:highlight w:val="none"/>
        </w:rPr>
      </w:pPr>
      <w:r>
        <w:rPr>
          <w:rFonts w:ascii="宋体" w:hAnsi="宋体" w:cs="仿宋"/>
          <w:color w:val="auto"/>
          <w:szCs w:val="21"/>
          <w:highlight w:val="none"/>
        </w:rPr>
        <w:t>X:</w:t>
      </w:r>
      <w:r>
        <w:rPr>
          <w:rFonts w:hint="eastAsia" w:ascii="宋体" w:hAnsi="宋体" w:cs="仿宋"/>
          <w:color w:val="auto"/>
          <w:szCs w:val="21"/>
          <w:highlight w:val="none"/>
        </w:rPr>
        <w:t>为等分点值，在开标前从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pBdr>
          <w:top w:val="single" w:color="auto" w:sz="4"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45.3                                        </w:t>
      </w:r>
      <w:r>
        <w:rPr>
          <w:rFonts w:hint="eastAsia" w:ascii="宋体" w:hAnsi="宋体"/>
          <w:b/>
          <w:color w:val="auto"/>
          <w:szCs w:val="21"/>
          <w:highlight w:val="none"/>
        </w:rPr>
        <w:t>修改类型：删除</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w:t>
      </w:r>
      <w:r>
        <w:rPr>
          <w:rFonts w:ascii="宋体" w:hAnsi="宋体"/>
          <w:color w:val="auto"/>
          <w:szCs w:val="21"/>
          <w:highlight w:val="none"/>
        </w:rPr>
        <w:t>5.3</w:t>
      </w:r>
      <w:r>
        <w:rPr>
          <w:rFonts w:hint="eastAsia" w:ascii="宋体" w:hAnsi="宋体"/>
          <w:color w:val="auto"/>
          <w:szCs w:val="21"/>
          <w:highlight w:val="none"/>
        </w:rPr>
        <w:t>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pBdr>
          <w:top w:val="single" w:color="auto" w:sz="4" w:space="1"/>
        </w:pBdr>
        <w:spacing w:line="480" w:lineRule="auto"/>
        <w:ind w:firstLine="422" w:firstLineChars="200"/>
        <w:rPr>
          <w:b/>
          <w:color w:val="auto"/>
          <w:szCs w:val="21"/>
          <w:highlight w:val="none"/>
        </w:rPr>
      </w:pPr>
      <w:r>
        <w:rPr>
          <w:rFonts w:hint="eastAsia"/>
          <w:b/>
          <w:color w:val="auto"/>
          <w:szCs w:val="21"/>
          <w:highlight w:val="none"/>
        </w:rPr>
        <w:t>条款号：</w:t>
      </w:r>
      <w:r>
        <w:rPr>
          <w:rFonts w:ascii="宋体" w:hAnsi="宋体"/>
          <w:b/>
          <w:color w:val="auto"/>
          <w:szCs w:val="21"/>
          <w:highlight w:val="none"/>
        </w:rPr>
        <w:t>45.4</w:t>
      </w:r>
      <w:r>
        <w:rPr>
          <w:b/>
          <w:color w:val="auto"/>
          <w:szCs w:val="21"/>
          <w:highlight w:val="none"/>
        </w:rPr>
        <w:t xml:space="preserve">           </w:t>
      </w:r>
      <w:r>
        <w:rPr>
          <w:rFonts w:ascii="宋体" w:hAnsi="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color w:val="auto"/>
          <w:highlight w:val="none"/>
        </w:rPr>
      </w:pPr>
      <w:r>
        <w:rPr>
          <w:rFonts w:hint="eastAsia"/>
          <w:b/>
          <w:color w:val="auto"/>
          <w:szCs w:val="21"/>
          <w:highlight w:val="none"/>
        </w:rPr>
        <w:t>原文：</w:t>
      </w:r>
      <w:r>
        <w:rPr>
          <w:rFonts w:ascii="宋体" w:hAnsi="宋体"/>
          <w:color w:val="auto"/>
          <w:szCs w:val="21"/>
          <w:highlight w:val="none"/>
        </w:rPr>
        <w:t>45.4</w:t>
      </w:r>
      <w:r>
        <w:rPr>
          <w:rFonts w:ascii="Times New Roman" w:hAnsi="Times New Roman"/>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top w:val="single" w:color="auto" w:sz="4" w:space="1"/>
        </w:pBdr>
        <w:spacing w:line="480" w:lineRule="auto"/>
        <w:ind w:firstLine="422" w:firstLineChars="200"/>
        <w:rPr>
          <w:b/>
          <w:color w:val="auto"/>
          <w:szCs w:val="21"/>
          <w:highlight w:val="none"/>
        </w:rPr>
      </w:pPr>
      <w:r>
        <w:rPr>
          <w:rFonts w:hint="eastAsia"/>
          <w:b/>
          <w:color w:val="auto"/>
          <w:szCs w:val="21"/>
          <w:highlight w:val="none"/>
        </w:rPr>
        <w:t>条款号：</w:t>
      </w:r>
      <w:r>
        <w:rPr>
          <w:rFonts w:ascii="宋体" w:hAnsi="宋体"/>
          <w:b/>
          <w:color w:val="auto"/>
          <w:szCs w:val="21"/>
          <w:highlight w:val="none"/>
        </w:rPr>
        <w:t>46.1</w:t>
      </w:r>
      <w:r>
        <w:rPr>
          <w:b/>
          <w:color w:val="auto"/>
          <w:szCs w:val="21"/>
          <w:highlight w:val="none"/>
        </w:rPr>
        <w:t xml:space="preserve">           </w:t>
      </w:r>
      <w:r>
        <w:rPr>
          <w:rFonts w:ascii="宋体" w:hAnsi="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Times New Roman" w:hAnsi="Times New Roman"/>
          <w:b/>
          <w:color w:val="auto"/>
          <w:szCs w:val="21"/>
          <w:highlight w:val="none"/>
        </w:rPr>
      </w:pPr>
      <w:r>
        <w:rPr>
          <w:rFonts w:hint="eastAsia"/>
          <w:b/>
          <w:color w:val="auto"/>
          <w:szCs w:val="21"/>
          <w:highlight w:val="none"/>
        </w:rPr>
        <w:t>原文：</w:t>
      </w:r>
      <w:r>
        <w:rPr>
          <w:rFonts w:hint="eastAsia" w:ascii="宋体" w:hAnsi="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Cs/>
          <w:color w:val="auto"/>
          <w:szCs w:val="21"/>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Bdr>
          <w:bottom w:val="single" w:color="auto" w:sz="6" w:space="1"/>
        </w:pBdr>
        <w:adjustRightInd w:val="0"/>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bCs/>
          <w:color w:val="auto"/>
          <w:szCs w:val="21"/>
          <w:highlight w:val="none"/>
        </w:rPr>
        <w:t>46.1经济标的有效性审查：</w:t>
      </w:r>
      <w:r>
        <w:rPr>
          <w:rFonts w:hint="eastAsia" w:ascii="宋体" w:hAnsi="宋体" w:cs="宋体"/>
          <w:bCs/>
          <w:color w:val="auto"/>
          <w:szCs w:val="21"/>
          <w:highlight w:val="none"/>
          <w:u w:val="single"/>
        </w:rPr>
        <w:t>评标委员会对通过技术标有效性审查合格的投标文件进行经济标有效性审查</w:t>
      </w:r>
      <w:r>
        <w:rPr>
          <w:rFonts w:hint="eastAsia" w:ascii="宋体" w:hAnsi="宋体" w:cs="宋体"/>
          <w:bCs/>
          <w:color w:val="auto"/>
          <w:szCs w:val="21"/>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480" w:lineRule="auto"/>
        <w:ind w:firstLine="422" w:firstLineChars="200"/>
        <w:rPr>
          <w:b/>
          <w:color w:val="auto"/>
          <w:szCs w:val="21"/>
          <w:highlight w:val="none"/>
        </w:rPr>
      </w:pPr>
      <w:r>
        <w:rPr>
          <w:rFonts w:hint="eastAsia"/>
          <w:b/>
          <w:color w:val="auto"/>
          <w:szCs w:val="21"/>
          <w:highlight w:val="none"/>
        </w:rPr>
        <w:t>条款号：</w:t>
      </w:r>
      <w:r>
        <w:rPr>
          <w:rFonts w:ascii="宋体" w:hAnsi="宋体"/>
          <w:b/>
          <w:color w:val="auto"/>
          <w:szCs w:val="21"/>
          <w:highlight w:val="none"/>
        </w:rPr>
        <w:t>47.</w:t>
      </w:r>
      <w:r>
        <w:rPr>
          <w:b/>
          <w:color w:val="auto"/>
          <w:szCs w:val="21"/>
          <w:highlight w:val="none"/>
        </w:rPr>
        <w:t xml:space="preserve">           </w:t>
      </w:r>
      <w:r>
        <w:rPr>
          <w:rFonts w:ascii="宋体" w:hAnsi="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Times New Roman" w:hAnsi="Times New Roman"/>
          <w:b/>
          <w:color w:val="auto"/>
          <w:szCs w:val="21"/>
          <w:highlight w:val="none"/>
        </w:rPr>
      </w:pPr>
      <w:r>
        <w:rPr>
          <w:rFonts w:hint="eastAsia"/>
          <w:b/>
          <w:color w:val="auto"/>
          <w:szCs w:val="21"/>
          <w:highlight w:val="none"/>
        </w:rPr>
        <w:t>原文：</w:t>
      </w:r>
      <w:r>
        <w:rPr>
          <w:rFonts w:hint="eastAsia" w:ascii="宋体" w:hAnsi="宋体"/>
          <w:color w:val="auto"/>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pBdr>
          <w:bottom w:val="single" w:color="auto" w:sz="6" w:space="1"/>
        </w:pBdr>
        <w:adjustRightInd w:val="0"/>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bCs/>
          <w:color w:val="auto"/>
          <w:szCs w:val="21"/>
          <w:highlight w:val="none"/>
        </w:rPr>
        <w:t>47.评标委员会按只有通过有效性审查的投标人的投标文件方可进入下一阶段评审的评审原则，根据有效性审查结果，</w:t>
      </w:r>
      <w:r>
        <w:rPr>
          <w:rFonts w:hint="eastAsia" w:ascii="宋体" w:hAnsi="宋体" w:cs="宋体"/>
          <w:bCs/>
          <w:color w:val="auto"/>
          <w:szCs w:val="21"/>
          <w:highlight w:val="none"/>
          <w:u w:val="single"/>
        </w:rPr>
        <w:t>取消被否决投标的投标人被推荐为合格中标候选人的资格，其余通过全部有效性审查的投标人均被推荐为合格中标候选人。</w:t>
      </w:r>
    </w:p>
    <w:p>
      <w:pPr>
        <w:spacing w:line="480" w:lineRule="auto"/>
        <w:ind w:firstLine="422" w:firstLineChars="200"/>
        <w:rPr>
          <w:b/>
          <w:color w:val="auto"/>
          <w:szCs w:val="21"/>
          <w:highlight w:val="none"/>
        </w:rPr>
      </w:pPr>
      <w:r>
        <w:rPr>
          <w:rFonts w:hint="eastAsia"/>
          <w:b/>
          <w:color w:val="auto"/>
          <w:szCs w:val="21"/>
          <w:highlight w:val="none"/>
        </w:rPr>
        <w:t>条款号：</w:t>
      </w:r>
      <w:r>
        <w:rPr>
          <w:rFonts w:ascii="宋体" w:hAnsi="宋体"/>
          <w:b/>
          <w:color w:val="auto"/>
          <w:szCs w:val="21"/>
          <w:highlight w:val="none"/>
        </w:rPr>
        <w:t>48.</w:t>
      </w:r>
      <w:r>
        <w:rPr>
          <w:b/>
          <w:color w:val="auto"/>
          <w:szCs w:val="21"/>
          <w:highlight w:val="none"/>
        </w:rPr>
        <w:t xml:space="preserve">           </w:t>
      </w:r>
      <w:r>
        <w:rPr>
          <w:rFonts w:ascii="宋体" w:hAnsi="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Times New Roman" w:hAnsi="Times New Roman"/>
          <w:b/>
          <w:color w:val="auto"/>
          <w:szCs w:val="21"/>
          <w:highlight w:val="none"/>
        </w:rPr>
      </w:pPr>
      <w:r>
        <w:rPr>
          <w:rFonts w:hint="eastAsia"/>
          <w:b/>
          <w:color w:val="auto"/>
          <w:szCs w:val="21"/>
          <w:highlight w:val="none"/>
        </w:rPr>
        <w:t>原文：</w:t>
      </w:r>
      <w:r>
        <w:rPr>
          <w:rFonts w:hint="eastAsia" w:ascii="宋体" w:hAnsi="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adjustRightInd w:val="0"/>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bCs/>
          <w:color w:val="auto"/>
          <w:szCs w:val="21"/>
          <w:highlight w:val="none"/>
        </w:rPr>
        <w:t>48.评标委员会应在通过投标文件经济标有效性审查的投标人中，</w:t>
      </w:r>
      <w:r>
        <w:rPr>
          <w:rFonts w:hint="eastAsia" w:ascii="宋体" w:hAnsi="宋体" w:cs="宋体"/>
          <w:bCs/>
          <w:color w:val="auto"/>
          <w:szCs w:val="21"/>
          <w:highlight w:val="none"/>
          <w:u w:val="single"/>
        </w:rPr>
        <w:t>推荐合格中标候选人名单，合格</w:t>
      </w:r>
      <w:r>
        <w:rPr>
          <w:rFonts w:hint="eastAsia" w:ascii="Times New Roman" w:hAnsi="Times New Roman"/>
          <w:color w:val="auto"/>
          <w:highlight w:val="none"/>
          <w:u w:val="single"/>
        </w:rPr>
        <w:t>中标候选人不排序</w:t>
      </w:r>
      <w:r>
        <w:rPr>
          <w:rFonts w:hint="eastAsia" w:ascii="宋体" w:hAnsi="宋体" w:cs="宋体"/>
          <w:bCs/>
          <w:color w:val="auto"/>
          <w:szCs w:val="21"/>
          <w:highlight w:val="none"/>
          <w:u w:val="single"/>
        </w:rPr>
        <w:t>，并编制评标报告</w:t>
      </w:r>
      <w:r>
        <w:rPr>
          <w:rFonts w:hint="eastAsia" w:ascii="Times New Roman" w:hAnsi="Times New Roman"/>
          <w:color w:val="auto"/>
          <w:highlight w:val="none"/>
          <w:u w:val="single"/>
        </w:rPr>
        <w:t>。合格的中标候选人少于</w:t>
      </w:r>
      <w:r>
        <w:rPr>
          <w:rFonts w:ascii="Times New Roman" w:hAnsi="Times New Roman"/>
          <w:color w:val="auto"/>
          <w:highlight w:val="none"/>
          <w:u w:val="single"/>
        </w:rPr>
        <w:t>3</w:t>
      </w:r>
      <w:r>
        <w:rPr>
          <w:rFonts w:hint="eastAsia" w:ascii="Times New Roman" w:hAnsi="Times New Roman"/>
          <w:color w:val="auto"/>
          <w:highlight w:val="none"/>
          <w:u w:val="single"/>
        </w:rPr>
        <w:t>家的，应当重新招标。</w:t>
      </w:r>
    </w:p>
    <w:p>
      <w:pPr>
        <w:spacing w:line="480" w:lineRule="auto"/>
        <w:ind w:firstLine="422" w:firstLineChars="200"/>
        <w:rPr>
          <w:b/>
          <w:color w:val="auto"/>
          <w:szCs w:val="21"/>
          <w:highlight w:val="none"/>
        </w:rPr>
      </w:pPr>
      <w:r>
        <w:rPr>
          <w:rFonts w:hint="eastAsia"/>
          <w:b/>
          <w:color w:val="auto"/>
          <w:szCs w:val="21"/>
          <w:highlight w:val="none"/>
        </w:rPr>
        <w:t>条款号：</w:t>
      </w:r>
      <w:r>
        <w:rPr>
          <w:rFonts w:ascii="宋体" w:hAnsi="宋体"/>
          <w:b/>
          <w:color w:val="auto"/>
          <w:szCs w:val="21"/>
          <w:highlight w:val="none"/>
        </w:rPr>
        <w:t>49.</w:t>
      </w:r>
      <w:r>
        <w:rPr>
          <w:b/>
          <w:color w:val="auto"/>
          <w:szCs w:val="21"/>
          <w:highlight w:val="none"/>
        </w:rPr>
        <w:t xml:space="preserve">           </w:t>
      </w:r>
      <w:r>
        <w:rPr>
          <w:rFonts w:ascii="宋体" w:hAnsi="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Times New Roman" w:hAnsi="Times New Roman"/>
          <w:b/>
          <w:color w:val="auto"/>
          <w:szCs w:val="21"/>
          <w:highlight w:val="none"/>
        </w:rPr>
      </w:pPr>
      <w:r>
        <w:rPr>
          <w:rFonts w:hint="eastAsia"/>
          <w:b/>
          <w:color w:val="auto"/>
          <w:szCs w:val="21"/>
          <w:highlight w:val="none"/>
        </w:rPr>
        <w:t>原文：</w:t>
      </w:r>
      <w:r>
        <w:rPr>
          <w:rFonts w:hint="eastAsia" w:ascii="宋体" w:hAnsi="宋体"/>
          <w:color w:val="auto"/>
          <w:szCs w:val="21"/>
          <w:highlight w:val="none"/>
        </w:rPr>
        <w:t>4</w:t>
      </w:r>
      <w:r>
        <w:rPr>
          <w:rFonts w:ascii="宋体" w:hAnsi="宋体"/>
          <w:color w:val="auto"/>
          <w:szCs w:val="21"/>
          <w:highlight w:val="none"/>
        </w:rPr>
        <w:t>9.</w:t>
      </w:r>
      <w:r>
        <w:rPr>
          <w:rFonts w:hint="eastAsia" w:ascii="宋体" w:hAnsi="宋体"/>
          <w:color w:val="auto"/>
          <w:szCs w:val="21"/>
          <w:highlight w:val="none"/>
        </w:rPr>
        <w:t>若通过经济标有效性审查的投标人不足三家，应当依法重新招标。（当N个标段同时招标且不允许兼中时，若有效投标人不足N+2家，应当依法重新招标）</w:t>
      </w:r>
    </w:p>
    <w:p>
      <w:pPr>
        <w:pBdr>
          <w:bottom w:val="single" w:color="auto" w:sz="6" w:space="1"/>
        </w:pBdr>
        <w:adjustRightInd w:val="0"/>
        <w:spacing w:line="360" w:lineRule="auto"/>
        <w:ind w:firstLine="422" w:firstLineChars="200"/>
        <w:rPr>
          <w:color w:val="auto"/>
          <w:highlight w:val="none"/>
        </w:rPr>
      </w:pPr>
      <w:r>
        <w:rPr>
          <w:rFonts w:hint="eastAsia"/>
          <w:b/>
          <w:color w:val="auto"/>
          <w:szCs w:val="21"/>
          <w:highlight w:val="none"/>
        </w:rPr>
        <w:t>现文：</w:t>
      </w:r>
      <w:r>
        <w:rPr>
          <w:rFonts w:ascii="宋体" w:hAnsi="宋体" w:cs="宋体"/>
          <w:bCs/>
          <w:color w:val="auto"/>
          <w:szCs w:val="21"/>
          <w:highlight w:val="none"/>
        </w:rPr>
        <w:t>49.</w:t>
      </w:r>
      <w:r>
        <w:rPr>
          <w:rFonts w:hint="eastAsia" w:ascii="宋体" w:hAnsi="宋体"/>
          <w:color w:val="auto"/>
          <w:szCs w:val="21"/>
          <w:highlight w:val="none"/>
        </w:rPr>
        <w:t>若通过经济标有效性审查的投标人不足三家，应当依法重新招标。</w:t>
      </w:r>
    </w:p>
    <w:p>
      <w:pPr>
        <w:spacing w:line="480" w:lineRule="auto"/>
        <w:ind w:firstLine="422" w:firstLineChars="200"/>
        <w:rPr>
          <w:b/>
          <w:color w:val="auto"/>
          <w:szCs w:val="21"/>
          <w:highlight w:val="none"/>
        </w:rPr>
      </w:pPr>
      <w:r>
        <w:rPr>
          <w:rFonts w:hint="eastAsia"/>
          <w:b/>
          <w:color w:val="auto"/>
          <w:szCs w:val="21"/>
          <w:highlight w:val="none"/>
        </w:rPr>
        <w:t>条款号：</w:t>
      </w:r>
      <w:r>
        <w:rPr>
          <w:rFonts w:ascii="宋体" w:hAnsi="宋体"/>
          <w:b/>
          <w:color w:val="auto"/>
          <w:szCs w:val="21"/>
          <w:highlight w:val="none"/>
        </w:rPr>
        <w:t>50.</w:t>
      </w:r>
      <w:r>
        <w:rPr>
          <w:b/>
          <w:color w:val="auto"/>
          <w:szCs w:val="21"/>
          <w:highlight w:val="none"/>
        </w:rPr>
        <w:t xml:space="preserve">           </w:t>
      </w:r>
      <w:r>
        <w:rPr>
          <w:rFonts w:ascii="宋体" w:hAnsi="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修改类型：增加</w:t>
      </w:r>
    </w:p>
    <w:p>
      <w:pPr>
        <w:pBdr>
          <w:bottom w:val="single" w:color="auto" w:sz="6" w:space="1"/>
        </w:pBdr>
        <w:adjustRightInd w:val="0"/>
        <w:spacing w:line="360" w:lineRule="auto"/>
        <w:ind w:firstLine="422" w:firstLineChars="200"/>
        <w:rPr>
          <w:rFonts w:ascii="宋体" w:hAnsi="宋体" w:cs="宋体"/>
          <w:bCs/>
          <w:color w:val="auto"/>
          <w:szCs w:val="21"/>
          <w:highlight w:val="none"/>
          <w:u w:val="single"/>
        </w:rPr>
      </w:pPr>
      <w:r>
        <w:rPr>
          <w:rFonts w:hint="eastAsia"/>
          <w:b/>
          <w:color w:val="auto"/>
          <w:szCs w:val="21"/>
          <w:highlight w:val="none"/>
        </w:rPr>
        <w:t>现文：</w:t>
      </w:r>
      <w:r>
        <w:rPr>
          <w:rFonts w:hint="eastAsia" w:ascii="宋体" w:hAnsi="宋体" w:cs="宋体"/>
          <w:bCs/>
          <w:color w:val="auto"/>
          <w:szCs w:val="21"/>
          <w:highlight w:val="none"/>
          <w:u w:val="single"/>
        </w:rPr>
        <w:t>50.定标</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50.1定标委员会</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评标结束后，招标人按以下规定组建定标委员会，在评标委员会提交的合格的中标候选人名单中确定中标人：</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定标由招标人</w:t>
      </w:r>
      <w:r>
        <w:rPr>
          <w:rFonts w:hint="eastAsia" w:ascii="宋体" w:hAnsi="宋体" w:cs="宋体"/>
          <w:bCs/>
          <w:color w:val="auto"/>
          <w:szCs w:val="21"/>
          <w:highlight w:val="none"/>
          <w:u w:val="single"/>
          <w:lang w:eastAsia="zh-CN"/>
        </w:rPr>
        <w:t>依法</w:t>
      </w:r>
      <w:r>
        <w:rPr>
          <w:rFonts w:hint="eastAsia" w:ascii="宋体" w:hAnsi="宋体" w:cs="宋体"/>
          <w:bCs/>
          <w:color w:val="auto"/>
          <w:szCs w:val="21"/>
          <w:highlight w:val="none"/>
          <w:u w:val="single"/>
        </w:rPr>
        <w:t>组建的定标委员会负责。</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50.2 定标时间和地点</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招标人在中标候选人公示完成后10个工作日内，在广州公共资源交易中心举行定标会议，招标人按规定程序在投标人须知的时间和地点完成定标工作。</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50.3 定标规则</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本项目采用 直接票决定标法 定标方法,定标方法如下：</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50.3.1 定标程序</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50.3.1.1定标工作开始后，发放选票，由定标委员会参考定标因素进行投票排名，定标委员会应推荐一人为定标委员会组长，主持当次定标会议。</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50.3.1.2定标参考资料为评标阶段的评标报告、投标人提交的投标文件</w:t>
      </w:r>
      <w:r>
        <w:rPr>
          <w:rFonts w:hint="eastAsia" w:ascii="宋体" w:hAnsi="宋体" w:cs="宋体"/>
          <w:bCs/>
          <w:color w:val="auto"/>
          <w:szCs w:val="21"/>
          <w:highlight w:val="none"/>
          <w:u w:val="single"/>
          <w:lang w:eastAsia="zh-CN"/>
        </w:rPr>
        <w:t>等</w:t>
      </w:r>
      <w:r>
        <w:rPr>
          <w:rFonts w:hint="eastAsia" w:ascii="宋体" w:hAnsi="宋体" w:cs="宋体"/>
          <w:bCs/>
          <w:color w:val="auto"/>
          <w:szCs w:val="21"/>
          <w:highlight w:val="none"/>
          <w:u w:val="single"/>
        </w:rPr>
        <w:t>。</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50.3.1.3定标委员会根据定标因素及定标参考资料进行记名投票，确定中标人，定标因素详见附表</w:t>
      </w:r>
      <w:r>
        <w:rPr>
          <w:rFonts w:hint="eastAsia" w:ascii="宋体" w:hAnsi="宋体" w:cs="宋体"/>
          <w:bCs/>
          <w:color w:val="auto"/>
          <w:szCs w:val="21"/>
          <w:highlight w:val="none"/>
          <w:u w:val="single"/>
          <w:lang w:eastAsia="zh-CN"/>
        </w:rPr>
        <w:t>四</w:t>
      </w:r>
      <w:r>
        <w:rPr>
          <w:rFonts w:hint="eastAsia" w:ascii="宋体" w:hAnsi="宋体" w:cs="宋体"/>
          <w:bCs/>
          <w:color w:val="auto"/>
          <w:szCs w:val="21"/>
          <w:highlight w:val="none"/>
          <w:u w:val="single"/>
        </w:rPr>
        <w:t>。</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50.3.1.4投票规则：定标委员会根据定标因素及定标参考资料对各投标人进行综合比较后，进行一次性票决并排序（记名投票+撰写评语），每位定标委员会成员只有1票表决权（即只能对其中一家投标人投票），得票数最多的投标人将被确认为中标人，若出现票数相同且无法决出排名时，票数相同的再进行一次性票决，直至决出中标人。选票格式及票决方式详见本章附表</w:t>
      </w:r>
      <w:r>
        <w:rPr>
          <w:rFonts w:hint="eastAsia" w:ascii="宋体" w:hAnsi="宋体" w:cs="宋体"/>
          <w:bCs/>
          <w:color w:val="auto"/>
          <w:szCs w:val="21"/>
          <w:highlight w:val="none"/>
          <w:u w:val="single"/>
          <w:lang w:eastAsia="zh-CN"/>
        </w:rPr>
        <w:t>五</w:t>
      </w:r>
      <w:r>
        <w:rPr>
          <w:rFonts w:hint="eastAsia" w:ascii="宋体" w:hAnsi="宋体" w:cs="宋体"/>
          <w:bCs/>
          <w:color w:val="auto"/>
          <w:szCs w:val="21"/>
          <w:highlight w:val="none"/>
          <w:u w:val="single"/>
        </w:rPr>
        <w:t>，附表</w:t>
      </w:r>
      <w:r>
        <w:rPr>
          <w:rFonts w:hint="eastAsia" w:ascii="宋体" w:hAnsi="宋体" w:cs="宋体"/>
          <w:bCs/>
          <w:color w:val="auto"/>
          <w:szCs w:val="21"/>
          <w:highlight w:val="none"/>
          <w:u w:val="single"/>
          <w:lang w:eastAsia="zh-CN"/>
        </w:rPr>
        <w:t>六</w:t>
      </w:r>
      <w:r>
        <w:rPr>
          <w:rFonts w:hint="eastAsia" w:ascii="宋体" w:hAnsi="宋体" w:cs="宋体"/>
          <w:bCs/>
          <w:color w:val="auto"/>
          <w:szCs w:val="21"/>
          <w:highlight w:val="none"/>
          <w:u w:val="single"/>
        </w:rPr>
        <w:t>。</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50.3.1.5定标委员会中的各定标委员应独立投票，可以弃权，当弃权票数达到定标委员会人数50%或以上时，本次定标会无效，招标人应重新招标。</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50.3.1.6定标委员会根据选票情况确定中标人后，撰写、签署定标报告。定标报告由定标委员会全体成员签字，对定标结论持有异议的评委</w:t>
      </w:r>
      <w:r>
        <w:rPr>
          <w:rFonts w:ascii="宋体" w:hAnsi="宋体" w:cs="宋体"/>
          <w:bCs/>
          <w:color w:val="auto"/>
          <w:szCs w:val="21"/>
          <w:highlight w:val="none"/>
          <w:u w:val="single"/>
        </w:rPr>
        <w:t>应</w:t>
      </w:r>
      <w:r>
        <w:rPr>
          <w:rFonts w:hint="eastAsia" w:ascii="宋体" w:hAnsi="宋体" w:cs="宋体"/>
          <w:bCs/>
          <w:color w:val="auto"/>
          <w:szCs w:val="21"/>
          <w:highlight w:val="none"/>
          <w:u w:val="single"/>
        </w:rPr>
        <w:t>以书面方式阐述其不同意见和理由。</w:t>
      </w:r>
    </w:p>
    <w:p>
      <w:pPr>
        <w:pBdr>
          <w:bottom w:val="single" w:color="auto" w:sz="6" w:space="1"/>
        </w:pBdr>
        <w:adjustRightIn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50.3.1.7定标委员会向招标人提交书面定标报告后即解散，定标过程中使用的文件、表格以及其他资料不得私自带离。</w:t>
      </w:r>
    </w:p>
    <w:p>
      <w:pPr>
        <w:pBdr>
          <w:bottom w:val="single" w:color="auto" w:sz="6" w:space="1"/>
        </w:pBdr>
        <w:adjustRightInd w:val="0"/>
        <w:spacing w:line="360" w:lineRule="auto"/>
        <w:ind w:firstLine="420" w:firstLineChars="200"/>
        <w:rPr>
          <w:color w:val="auto"/>
          <w:highlight w:val="none"/>
          <w:u w:val="single"/>
        </w:rPr>
      </w:pPr>
      <w:r>
        <w:rPr>
          <w:rFonts w:hint="eastAsia" w:ascii="宋体" w:hAnsi="宋体" w:cs="宋体"/>
          <w:bCs/>
          <w:color w:val="auto"/>
          <w:szCs w:val="21"/>
          <w:highlight w:val="none"/>
          <w:u w:val="single"/>
        </w:rPr>
        <w:t>50.4招标人应当在定标工作完成后的3日内公示中标结果。公示内容包括：定标时间、所有合格的中标候选人的评语或票数及理由、中标人等内容。</w:t>
      </w:r>
    </w:p>
    <w:p>
      <w:pPr>
        <w:spacing w:line="480" w:lineRule="auto"/>
        <w:ind w:firstLine="422" w:firstLineChars="200"/>
        <w:rPr>
          <w:b/>
          <w:color w:val="auto"/>
          <w:szCs w:val="21"/>
          <w:highlight w:val="none"/>
        </w:rPr>
      </w:pPr>
      <w:r>
        <w:rPr>
          <w:rFonts w:hint="eastAsia"/>
          <w:b/>
          <w:color w:val="auto"/>
          <w:szCs w:val="21"/>
          <w:highlight w:val="none"/>
        </w:rPr>
        <w:t>条款号：附表一</w:t>
      </w:r>
      <w:r>
        <w:rPr>
          <w:b/>
          <w:color w:val="auto"/>
          <w:szCs w:val="21"/>
          <w:highlight w:val="none"/>
        </w:rPr>
        <w:t xml:space="preserve">         </w:t>
      </w:r>
      <w:r>
        <w:rPr>
          <w:rFonts w:ascii="宋体" w:hAnsi="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《资格审查表》</w:t>
      </w:r>
    </w:p>
    <w:p>
      <w:pPr>
        <w:pBdr>
          <w:bottom w:val="single" w:color="auto" w:sz="6" w:space="1"/>
        </w:pBdr>
        <w:adjustRightInd w:val="0"/>
        <w:spacing w:line="360" w:lineRule="auto"/>
        <w:ind w:firstLine="422" w:firstLineChars="200"/>
        <w:rPr>
          <w:color w:val="auto"/>
          <w:highlight w:val="none"/>
        </w:rPr>
      </w:pPr>
      <w:r>
        <w:rPr>
          <w:rFonts w:hint="eastAsia"/>
          <w:b/>
          <w:color w:val="auto"/>
          <w:szCs w:val="21"/>
          <w:highlight w:val="none"/>
        </w:rPr>
        <w:t>现文：</w:t>
      </w:r>
      <w:r>
        <w:rPr>
          <w:rFonts w:hint="eastAsia"/>
          <w:color w:val="auto"/>
          <w:szCs w:val="21"/>
          <w:highlight w:val="none"/>
        </w:rPr>
        <w:t>详见《资格审查表》</w:t>
      </w:r>
    </w:p>
    <w:p>
      <w:pPr>
        <w:spacing w:line="480" w:lineRule="auto"/>
        <w:ind w:firstLine="422" w:firstLineChars="200"/>
        <w:rPr>
          <w:b/>
          <w:color w:val="auto"/>
          <w:szCs w:val="21"/>
          <w:highlight w:val="none"/>
        </w:rPr>
      </w:pPr>
      <w:r>
        <w:rPr>
          <w:rFonts w:hint="eastAsia"/>
          <w:b/>
          <w:color w:val="auto"/>
          <w:szCs w:val="21"/>
          <w:highlight w:val="none"/>
        </w:rPr>
        <w:t>条款号：附表二</w:t>
      </w:r>
      <w:r>
        <w:rPr>
          <w:b/>
          <w:color w:val="auto"/>
          <w:szCs w:val="21"/>
          <w:highlight w:val="none"/>
        </w:rPr>
        <w:t xml:space="preserve">         </w:t>
      </w:r>
      <w:r>
        <w:rPr>
          <w:rFonts w:ascii="宋体" w:hAnsi="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《技术标有效性审查表》</w:t>
      </w:r>
    </w:p>
    <w:p>
      <w:pPr>
        <w:pBdr>
          <w:bottom w:val="single" w:color="auto" w:sz="6" w:space="1"/>
        </w:pBdr>
        <w:adjustRightInd w:val="0"/>
        <w:spacing w:line="360" w:lineRule="auto"/>
        <w:ind w:firstLine="422" w:firstLineChars="200"/>
        <w:rPr>
          <w:color w:val="auto"/>
          <w:highlight w:val="none"/>
        </w:rPr>
      </w:pPr>
      <w:r>
        <w:rPr>
          <w:rFonts w:hint="eastAsia"/>
          <w:b/>
          <w:color w:val="auto"/>
          <w:szCs w:val="21"/>
          <w:highlight w:val="none"/>
        </w:rPr>
        <w:t>现文</w:t>
      </w:r>
      <w:r>
        <w:rPr>
          <w:rFonts w:hint="eastAsia"/>
          <w:color w:val="auto"/>
          <w:szCs w:val="21"/>
          <w:highlight w:val="none"/>
        </w:rPr>
        <w:t>：详见《技术标有效性审查表》</w:t>
      </w:r>
    </w:p>
    <w:p>
      <w:pPr>
        <w:spacing w:line="480" w:lineRule="auto"/>
        <w:ind w:firstLine="422" w:firstLineChars="200"/>
        <w:rPr>
          <w:b/>
          <w:color w:val="auto"/>
          <w:szCs w:val="21"/>
          <w:highlight w:val="none"/>
        </w:rPr>
      </w:pPr>
      <w:r>
        <w:rPr>
          <w:rFonts w:hint="eastAsia"/>
          <w:b/>
          <w:color w:val="auto"/>
          <w:szCs w:val="21"/>
          <w:highlight w:val="none"/>
        </w:rPr>
        <w:t>条款号：附表三</w:t>
      </w:r>
      <w:r>
        <w:rPr>
          <w:b/>
          <w:color w:val="auto"/>
          <w:szCs w:val="21"/>
          <w:highlight w:val="none"/>
        </w:rPr>
        <w:t xml:space="preserve">           </w:t>
      </w:r>
      <w:r>
        <w:rPr>
          <w:rFonts w:ascii="宋体" w:hAnsi="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《经济标有效性审查表》</w:t>
      </w:r>
    </w:p>
    <w:p>
      <w:pPr>
        <w:pBdr>
          <w:bottom w:val="single" w:color="auto" w:sz="6" w:space="1"/>
        </w:pBdr>
        <w:adjustRightInd w:val="0"/>
        <w:spacing w:line="360" w:lineRule="auto"/>
        <w:ind w:firstLine="422" w:firstLineChars="200"/>
        <w:rPr>
          <w:color w:val="auto"/>
          <w:highlight w:val="none"/>
        </w:rPr>
      </w:pPr>
      <w:r>
        <w:rPr>
          <w:rFonts w:hint="eastAsia"/>
          <w:b/>
          <w:color w:val="auto"/>
          <w:szCs w:val="21"/>
          <w:highlight w:val="none"/>
        </w:rPr>
        <w:t>现文：</w:t>
      </w:r>
      <w:r>
        <w:rPr>
          <w:rFonts w:hint="eastAsia"/>
          <w:color w:val="auto"/>
          <w:szCs w:val="21"/>
          <w:highlight w:val="none"/>
        </w:rPr>
        <w:t>详见《经济标有效性审查表》</w:t>
      </w:r>
    </w:p>
    <w:p>
      <w:pPr>
        <w:spacing w:line="480" w:lineRule="auto"/>
        <w:ind w:firstLine="422" w:firstLineChars="200"/>
        <w:rPr>
          <w:rFonts w:hint="eastAsia" w:eastAsia="宋体"/>
          <w:b/>
          <w:color w:val="auto"/>
          <w:szCs w:val="21"/>
          <w:highlight w:val="none"/>
          <w:lang w:eastAsia="zh-CN"/>
        </w:rPr>
      </w:pPr>
      <w:r>
        <w:rPr>
          <w:rFonts w:hint="eastAsia"/>
          <w:b/>
          <w:color w:val="auto"/>
          <w:szCs w:val="21"/>
          <w:highlight w:val="none"/>
        </w:rPr>
        <w:t>条款号：附表四</w:t>
      </w:r>
      <w:r>
        <w:rPr>
          <w:b/>
          <w:color w:val="auto"/>
          <w:szCs w:val="21"/>
          <w:highlight w:val="none"/>
        </w:rPr>
        <w:t xml:space="preserve">            </w:t>
      </w:r>
      <w:r>
        <w:rPr>
          <w:rFonts w:ascii="宋体" w:hAnsi="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w:t>
      </w:r>
      <w:r>
        <w:rPr>
          <w:rFonts w:hint="eastAsia"/>
          <w:b/>
          <w:color w:val="auto"/>
          <w:szCs w:val="21"/>
          <w:highlight w:val="none"/>
          <w:lang w:eastAsia="zh-CN"/>
        </w:rPr>
        <w:t>删除</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《技术标详细审查评分表》</w:t>
      </w:r>
    </w:p>
    <w:p>
      <w:pPr>
        <w:spacing w:line="480" w:lineRule="auto"/>
        <w:ind w:firstLine="422" w:firstLineChars="200"/>
        <w:rPr>
          <w:b/>
          <w:color w:val="auto"/>
          <w:szCs w:val="21"/>
          <w:highlight w:val="none"/>
        </w:rPr>
      </w:pPr>
      <w:r>
        <w:rPr>
          <w:rFonts w:hint="eastAsia"/>
          <w:b/>
          <w:color w:val="auto"/>
          <w:szCs w:val="21"/>
          <w:highlight w:val="none"/>
        </w:rPr>
        <w:t>条款号：附表五</w:t>
      </w:r>
      <w:r>
        <w:rPr>
          <w:b/>
          <w:color w:val="auto"/>
          <w:szCs w:val="21"/>
          <w:highlight w:val="none"/>
        </w:rPr>
        <w:t xml:space="preserve">            </w:t>
      </w:r>
      <w:r>
        <w:rPr>
          <w:rFonts w:ascii="宋体" w:hAnsi="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《经济标评分表》</w:t>
      </w:r>
    </w:p>
    <w:p>
      <w:pPr>
        <w:pBdr>
          <w:top w:val="single" w:color="auto" w:sz="4" w:space="1"/>
        </w:pBdr>
        <w:spacing w:line="480" w:lineRule="auto"/>
        <w:ind w:firstLine="422" w:firstLineChars="200"/>
        <w:rPr>
          <w:b/>
          <w:color w:val="auto"/>
          <w:szCs w:val="21"/>
          <w:highlight w:val="none"/>
        </w:rPr>
      </w:pPr>
      <w:r>
        <w:rPr>
          <w:rFonts w:hint="eastAsia"/>
          <w:b/>
          <w:color w:val="auto"/>
          <w:szCs w:val="21"/>
          <w:highlight w:val="none"/>
        </w:rPr>
        <w:t>条款号：附表</w:t>
      </w:r>
      <w:r>
        <w:rPr>
          <w:rFonts w:hint="eastAsia"/>
          <w:b/>
          <w:color w:val="auto"/>
          <w:szCs w:val="21"/>
          <w:highlight w:val="none"/>
          <w:lang w:eastAsia="zh-CN"/>
        </w:rPr>
        <w:t>四</w:t>
      </w:r>
      <w:r>
        <w:rPr>
          <w:rFonts w:hint="eastAsia"/>
          <w:b/>
          <w:color w:val="auto"/>
          <w:szCs w:val="21"/>
          <w:highlight w:val="none"/>
        </w:rPr>
        <w:t>、</w:t>
      </w:r>
      <w:r>
        <w:rPr>
          <w:rFonts w:hint="eastAsia"/>
          <w:b/>
          <w:color w:val="auto"/>
          <w:szCs w:val="21"/>
          <w:highlight w:val="none"/>
          <w:lang w:eastAsia="zh-CN"/>
        </w:rPr>
        <w:t>五、六</w:t>
      </w:r>
      <w:r>
        <w:rPr>
          <w:b/>
          <w:color w:val="auto"/>
          <w:szCs w:val="21"/>
          <w:highlight w:val="none"/>
        </w:rPr>
        <w:t xml:space="preserve">            </w:t>
      </w:r>
      <w:r>
        <w:rPr>
          <w:rFonts w:ascii="宋体" w:hAnsi="宋体"/>
          <w:b/>
          <w:color w:val="auto"/>
          <w:szCs w:val="21"/>
          <w:highlight w:val="none"/>
        </w:rPr>
        <w:t xml:space="preserve">         </w:t>
      </w:r>
      <w:r>
        <w:rPr>
          <w:b/>
          <w:color w:val="auto"/>
          <w:szCs w:val="21"/>
          <w:highlight w:val="none"/>
        </w:rPr>
        <w:t xml:space="preserve">  </w:t>
      </w:r>
      <w:r>
        <w:rPr>
          <w:rFonts w:hint="eastAsia"/>
          <w:b/>
          <w:color w:val="auto"/>
          <w:szCs w:val="21"/>
          <w:highlight w:val="none"/>
          <w:lang w:val="en-US" w:eastAsia="zh-CN"/>
        </w:rPr>
        <w:t xml:space="preserve">        </w:t>
      </w:r>
      <w:r>
        <w:rPr>
          <w:rFonts w:hint="eastAsia"/>
          <w:b/>
          <w:color w:val="auto"/>
          <w:szCs w:val="21"/>
          <w:highlight w:val="none"/>
        </w:rPr>
        <w:t>修改类型：增加</w:t>
      </w:r>
    </w:p>
    <w:p>
      <w:pPr>
        <w:pBdr>
          <w:bottom w:val="single" w:color="auto" w:sz="6" w:space="1"/>
        </w:pBdr>
        <w:adjustRightInd w:val="0"/>
        <w:spacing w:line="360" w:lineRule="auto"/>
        <w:ind w:firstLine="422" w:firstLineChars="200"/>
        <w:rPr>
          <w:color w:val="auto"/>
          <w:highlight w:val="none"/>
        </w:rPr>
      </w:pPr>
      <w:r>
        <w:rPr>
          <w:rFonts w:hint="eastAsia"/>
          <w:b/>
          <w:color w:val="auto"/>
          <w:szCs w:val="21"/>
          <w:highlight w:val="none"/>
        </w:rPr>
        <w:t>现文：</w:t>
      </w:r>
      <w:r>
        <w:rPr>
          <w:rFonts w:hint="eastAsia"/>
          <w:color w:val="auto"/>
          <w:szCs w:val="21"/>
          <w:highlight w:val="none"/>
        </w:rPr>
        <w:t>详见附表</w:t>
      </w:r>
      <w:r>
        <w:rPr>
          <w:rFonts w:hint="eastAsia"/>
          <w:color w:val="auto"/>
          <w:szCs w:val="21"/>
          <w:highlight w:val="none"/>
          <w:lang w:eastAsia="zh-CN"/>
        </w:rPr>
        <w:t>四</w:t>
      </w:r>
      <w:r>
        <w:rPr>
          <w:rFonts w:hint="eastAsia"/>
          <w:color w:val="auto"/>
          <w:szCs w:val="21"/>
          <w:highlight w:val="none"/>
        </w:rPr>
        <w:t>《定标因素（定标阶段用）》、附表</w:t>
      </w:r>
      <w:r>
        <w:rPr>
          <w:rFonts w:hint="eastAsia"/>
          <w:color w:val="auto"/>
          <w:szCs w:val="21"/>
          <w:highlight w:val="none"/>
          <w:lang w:eastAsia="zh-CN"/>
        </w:rPr>
        <w:t>五</w:t>
      </w:r>
      <w:r>
        <w:rPr>
          <w:rFonts w:hint="eastAsia"/>
          <w:color w:val="auto"/>
          <w:szCs w:val="21"/>
          <w:highlight w:val="none"/>
        </w:rPr>
        <w:t>《定标选票》、附表</w:t>
      </w:r>
      <w:r>
        <w:rPr>
          <w:rFonts w:hint="eastAsia"/>
          <w:color w:val="auto"/>
          <w:szCs w:val="21"/>
          <w:highlight w:val="none"/>
          <w:lang w:eastAsia="zh-CN"/>
        </w:rPr>
        <w:t>六</w:t>
      </w:r>
      <w:r>
        <w:rPr>
          <w:rFonts w:hint="eastAsia"/>
          <w:color w:val="auto"/>
          <w:szCs w:val="21"/>
          <w:highlight w:val="none"/>
        </w:rPr>
        <w:t>《票决汇总表》、附表</w:t>
      </w:r>
      <w:r>
        <w:rPr>
          <w:rFonts w:hint="eastAsia"/>
          <w:color w:val="auto"/>
          <w:szCs w:val="21"/>
          <w:highlight w:val="none"/>
          <w:lang w:eastAsia="zh-CN"/>
        </w:rPr>
        <w:t>七</w:t>
      </w:r>
      <w:r>
        <w:rPr>
          <w:rFonts w:hint="eastAsia"/>
          <w:color w:val="auto"/>
          <w:szCs w:val="21"/>
          <w:highlight w:val="none"/>
        </w:rPr>
        <w:t>《直接票决定标排名汇总表（定标阶段）》</w:t>
      </w:r>
    </w:p>
    <w:p>
      <w:pPr>
        <w:spacing w:line="360" w:lineRule="auto"/>
        <w:ind w:firstLine="211" w:firstLineChars="100"/>
        <w:rPr>
          <w:rFonts w:ascii="宋体" w:hAnsi="宋体"/>
          <w:b/>
          <w:color w:val="auto"/>
          <w:szCs w:val="21"/>
          <w:highlight w:val="none"/>
        </w:rPr>
      </w:pPr>
      <w:r>
        <w:rPr>
          <w:rFonts w:hint="eastAsia" w:ascii="宋体" w:hAnsi="宋体" w:cs="宋体"/>
          <w:b/>
          <w:color w:val="auto"/>
          <w:szCs w:val="21"/>
          <w:highlight w:val="none"/>
          <w:lang w:bidi="ar"/>
        </w:rPr>
        <w:t>注：以上修改，仅限于本范本中有可供选择条款的情形。</w:t>
      </w:r>
    </w:p>
    <w:p>
      <w:pPr>
        <w:spacing w:line="360" w:lineRule="auto"/>
        <w:rPr>
          <w:rFonts w:ascii="宋体" w:hAnsi="宋体"/>
          <w:color w:val="auto"/>
          <w:szCs w:val="21"/>
          <w:highlight w:val="none"/>
        </w:rPr>
      </w:pPr>
      <w:r>
        <w:rPr>
          <w:rFonts w:hint="eastAsia" w:ascii="宋体" w:hAnsi="宋体"/>
          <w:b/>
          <w:color w:val="auto"/>
          <w:szCs w:val="21"/>
          <w:highlight w:val="none"/>
        </w:rPr>
        <w:t>（以下无正文）</w:t>
      </w:r>
    </w:p>
    <w:p>
      <w:pPr>
        <w:pStyle w:val="10"/>
        <w:spacing w:line="360" w:lineRule="auto"/>
        <w:rPr>
          <w:rFonts w:ascii="宋体" w:hAnsi="宋体"/>
          <w:color w:val="auto"/>
          <w:highlight w:val="none"/>
        </w:rPr>
      </w:pPr>
      <w:r>
        <w:rPr>
          <w:rFonts w:ascii="宋体" w:hAnsi="宋体"/>
          <w:color w:val="auto"/>
          <w:highlight w:val="none"/>
        </w:rPr>
        <w:br w:type="page"/>
      </w:r>
    </w:p>
    <w:p>
      <w:pPr>
        <w:pStyle w:val="7"/>
        <w:rPr>
          <w:rFonts w:ascii="宋体" w:hAnsi="宋体"/>
          <w:color w:val="auto"/>
          <w:highlight w:val="none"/>
        </w:rPr>
      </w:pPr>
      <w:bookmarkStart w:id="14" w:name="_Toc4740"/>
      <w:r>
        <w:rPr>
          <w:rFonts w:hint="eastAsia" w:ascii="宋体" w:hAnsi="宋体"/>
          <w:color w:val="auto"/>
          <w:highlight w:val="none"/>
        </w:rPr>
        <w:t>二、开标、评标及定标办法</w:t>
      </w:r>
      <w:r>
        <w:rPr>
          <w:rFonts w:hint="eastAsia" w:ascii="宋体" w:hAnsi="宋体"/>
          <w:color w:val="auto"/>
          <w:szCs w:val="30"/>
          <w:highlight w:val="none"/>
        </w:rPr>
        <w:t>通用条款</w:t>
      </w:r>
      <w:bookmarkEnd w:id="14"/>
    </w:p>
    <w:p>
      <w:pPr>
        <w:pStyle w:val="8"/>
        <w:ind w:firstLine="540" w:firstLineChars="200"/>
        <w:rPr>
          <w:color w:val="auto"/>
          <w:highlight w:val="none"/>
        </w:rPr>
      </w:pPr>
      <w:bookmarkStart w:id="15" w:name="_Toc3234"/>
      <w:r>
        <w:rPr>
          <w:rFonts w:hint="eastAsia"/>
          <w:color w:val="auto"/>
          <w:highlight w:val="none"/>
        </w:rPr>
        <w:t>（一）总则</w:t>
      </w:r>
      <w:bookmarkEnd w:id="15"/>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strike/>
          <w:dstrike w:val="0"/>
          <w:color w:val="auto"/>
          <w:sz w:val="24"/>
          <w:szCs w:val="24"/>
          <w:highlight w:val="none"/>
        </w:rPr>
        <w:t>35.</w:t>
      </w:r>
      <w:r>
        <w:rPr>
          <w:rFonts w:hint="eastAsia" w:ascii="宋体" w:hAnsi="宋体"/>
          <w:strike/>
          <w:dstrike w:val="0"/>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36.3根据投标须知前附表第20项，如需抽取某一种评标办法供评标时使用的，应在开标前抽取。首先对招标文件中约定的若干种评标方法进行编号，再通过摇珠机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w:t>
      </w:r>
      <w:r>
        <w:rPr>
          <w:rFonts w:hint="eastAsia" w:ascii="宋体" w:hAnsi="宋体"/>
          <w:color w:val="auto"/>
          <w:sz w:val="24"/>
          <w:szCs w:val="24"/>
          <w:highlight w:val="none"/>
          <w:u w:val="single"/>
        </w:rPr>
        <w:t>招标代理机构</w:t>
      </w:r>
      <w:r>
        <w:rPr>
          <w:rFonts w:hint="eastAsia" w:ascii="宋体" w:hAnsi="宋体"/>
          <w:color w:val="auto"/>
          <w:sz w:val="24"/>
          <w:highlight w:val="none"/>
        </w:rPr>
        <w:t>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w:t>
      </w:r>
      <w:r>
        <w:rPr>
          <w:rFonts w:hint="eastAsia" w:ascii="宋体" w:hAnsi="宋体"/>
          <w:color w:val="auto"/>
          <w:sz w:val="24"/>
          <w:highlight w:val="none"/>
          <w:lang w:val="en-US" w:eastAsia="zh-CN"/>
        </w:rPr>
        <w:t>U</w:t>
      </w:r>
      <w:r>
        <w:rPr>
          <w:rFonts w:hint="eastAsia" w:ascii="宋体" w:hAnsi="宋体"/>
          <w:color w:val="auto"/>
          <w:sz w:val="24"/>
          <w:highlight w:val="none"/>
        </w:rPr>
        <w:t>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r>
        <w:rPr>
          <w:rFonts w:hint="eastAsia" w:ascii="宋体" w:hAnsi="宋体"/>
          <w:color w:val="auto"/>
          <w:sz w:val="24"/>
          <w:highlight w:val="none"/>
          <w:u w:val="single"/>
        </w:rPr>
        <w:t>若投标人不参加开标会的，或不签字确认的，视同该投标人认可开标结果。</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w:t>
      </w:r>
      <w:r>
        <w:rPr>
          <w:rFonts w:hint="eastAsia" w:ascii="宋体" w:hAnsi="宋体"/>
          <w:color w:val="auto"/>
          <w:sz w:val="24"/>
          <w:highlight w:val="none"/>
          <w:lang w:val="en-US" w:eastAsia="zh-CN"/>
        </w:rPr>
        <w:t>U</w:t>
      </w:r>
      <w:r>
        <w:rPr>
          <w:rFonts w:hint="eastAsia" w:ascii="宋体" w:hAnsi="宋体"/>
          <w:color w:val="auto"/>
          <w:sz w:val="24"/>
          <w:highlight w:val="none"/>
        </w:rPr>
        <w:t>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宋体" w:hAnsi="宋体"/>
          <w:color w:val="auto"/>
          <w:sz w:val="24"/>
          <w:szCs w:val="24"/>
          <w:highlight w:val="none"/>
          <w:u w:val="single"/>
        </w:rPr>
        <w:t>要求投标人对投标文件含义不明确、对同类问题表述不一致、有明显文字和计算错误的内容以及细微偏差的内容作出澄清</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39</w:t>
      </w:r>
      <w:r>
        <w:rPr>
          <w:rFonts w:hint="eastAsia" w:ascii="宋体" w:hAnsi="宋体"/>
          <w:color w:val="auto"/>
          <w:sz w:val="24"/>
          <w:szCs w:val="24"/>
          <w:highlight w:val="none"/>
          <w:u w:val="single"/>
        </w:rPr>
        <w:t>．确定中标人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39.1</w:t>
      </w:r>
      <w:r>
        <w:rPr>
          <w:rFonts w:hint="eastAsia" w:ascii="宋体" w:hAnsi="宋体"/>
          <w:color w:val="auto"/>
          <w:sz w:val="24"/>
          <w:szCs w:val="24"/>
          <w:highlight w:val="none"/>
          <w:u w:val="single"/>
        </w:rPr>
        <w:t>招标人根据定标委员会递交的定标报告</w:t>
      </w:r>
      <w:r>
        <w:rPr>
          <w:rFonts w:hint="eastAsia" w:ascii="宋体" w:hAnsi="宋体"/>
          <w:color w:val="auto"/>
          <w:sz w:val="24"/>
          <w:szCs w:val="24"/>
          <w:highlight w:val="none"/>
        </w:rPr>
        <w:t>，最终审定中标人。</w:t>
      </w:r>
    </w:p>
    <w:p>
      <w:pPr>
        <w:spacing w:line="360" w:lineRule="auto"/>
        <w:ind w:firstLine="480" w:firstLineChars="200"/>
        <w:rPr>
          <w:rFonts w:ascii="宋体" w:hAnsi="宋体"/>
          <w:dstrike/>
          <w:color w:val="auto"/>
          <w:sz w:val="24"/>
          <w:szCs w:val="24"/>
          <w:highlight w:val="none"/>
        </w:rPr>
      </w:pPr>
      <w:r>
        <w:rPr>
          <w:rFonts w:ascii="宋体" w:hAnsi="宋体"/>
          <w:dstrike/>
          <w:color w:val="auto"/>
          <w:sz w:val="24"/>
          <w:szCs w:val="24"/>
          <w:highlight w:val="none"/>
        </w:rPr>
        <w:t xml:space="preserve">39.2 </w:t>
      </w:r>
      <w:r>
        <w:rPr>
          <w:rFonts w:hint="eastAsia" w:ascii="宋体" w:hAnsi="宋体"/>
          <w:dstrike/>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dstrike/>
          <w:color w:val="auto"/>
          <w:sz w:val="24"/>
          <w:szCs w:val="24"/>
          <w:highlight w:val="none"/>
        </w:rPr>
      </w:pPr>
      <w:r>
        <w:rPr>
          <w:rFonts w:ascii="宋体" w:hAnsi="宋体"/>
          <w:dstrike/>
          <w:color w:val="auto"/>
          <w:sz w:val="24"/>
          <w:szCs w:val="24"/>
          <w:highlight w:val="none"/>
        </w:rPr>
        <w:t>39.3</w:t>
      </w:r>
      <w:r>
        <w:rPr>
          <w:rFonts w:hint="eastAsia" w:ascii="宋体" w:hAnsi="宋体"/>
          <w:dstrike/>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dstrike/>
          <w:color w:val="auto"/>
          <w:sz w:val="24"/>
          <w:szCs w:val="24"/>
          <w:highlight w:val="none"/>
        </w:rPr>
      </w:pPr>
      <w:r>
        <w:rPr>
          <w:rFonts w:ascii="宋体" w:hAnsi="宋体"/>
          <w:dstrike/>
          <w:color w:val="auto"/>
          <w:sz w:val="24"/>
          <w:szCs w:val="24"/>
          <w:highlight w:val="none"/>
        </w:rPr>
        <w:t>39.4</w:t>
      </w:r>
      <w:r>
        <w:rPr>
          <w:rFonts w:hint="eastAsia" w:ascii="宋体" w:hAnsi="宋体"/>
          <w:dstrike/>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39.5 </w:t>
      </w:r>
      <w:r>
        <w:rPr>
          <w:rFonts w:hint="eastAsia" w:ascii="宋体" w:hAnsi="宋体"/>
          <w:color w:val="auto"/>
          <w:sz w:val="24"/>
          <w:szCs w:val="24"/>
          <w:highlight w:val="none"/>
          <w:u w:val="single"/>
        </w:rPr>
        <w:t>重新评标或定标的，评标、定标信息（含业绩、奖项等）仍以投标截止时投标人的信息为准。因特殊原因需要延长投标有效期，投标人拒绝延长投标有效期的，仍参与评标、定标，但不被推荐为中标候选人或不被票决确定为中标人。</w:t>
      </w:r>
    </w:p>
    <w:p>
      <w:pPr>
        <w:spacing w:line="360" w:lineRule="auto"/>
        <w:ind w:firstLine="480" w:firstLineChars="200"/>
        <w:rPr>
          <w:rFonts w:ascii="宋体" w:hAnsi="宋体" w:cs="宋体"/>
          <w:color w:val="auto"/>
          <w:kern w:val="0"/>
          <w:sz w:val="27"/>
          <w:szCs w:val="27"/>
          <w:highlight w:val="none"/>
        </w:rPr>
      </w:pPr>
      <w:r>
        <w:rPr>
          <w:rFonts w:hint="eastAsia" w:ascii="宋体" w:hAnsi="宋体"/>
          <w:color w:val="auto"/>
          <w:sz w:val="24"/>
          <w:szCs w:val="24"/>
          <w:highlight w:val="none"/>
        </w:rPr>
        <w:t xml:space="preserve">39.6 </w:t>
      </w:r>
      <w:r>
        <w:rPr>
          <w:rFonts w:hint="eastAsia" w:ascii="宋体" w:hAnsi="宋体"/>
          <w:color w:val="auto"/>
          <w:sz w:val="24"/>
          <w:szCs w:val="24"/>
          <w:highlight w:val="none"/>
          <w:u w:val="single"/>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r>
        <w:rPr>
          <w:rFonts w:ascii="宋体" w:hAnsi="宋体"/>
          <w:color w:val="auto"/>
          <w:highlight w:val="none"/>
        </w:rPr>
        <w:br w:type="page"/>
      </w:r>
    </w:p>
    <w:p>
      <w:pPr>
        <w:pStyle w:val="8"/>
        <w:spacing w:before="156" w:after="156"/>
        <w:ind w:firstLine="540" w:firstLineChars="200"/>
        <w:jc w:val="center"/>
        <w:rPr>
          <w:color w:val="auto"/>
          <w:highlight w:val="none"/>
        </w:rPr>
      </w:pPr>
      <w:bookmarkStart w:id="16" w:name="_Toc8292"/>
      <w:r>
        <w:rPr>
          <w:rFonts w:hint="eastAsia"/>
          <w:color w:val="auto"/>
          <w:highlight w:val="none"/>
        </w:rPr>
        <w:t>（二）开标评标办法程序和细则</w:t>
      </w:r>
      <w:bookmarkEnd w:id="16"/>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注：以下评标办法所述企业综合诚信评价分数即投标截止当日广州市住房和城乡建设局网站上公布的企业综合诚信评价</w:t>
      </w:r>
      <w:r>
        <w:rPr>
          <w:rFonts w:ascii="宋体" w:hAnsi="宋体"/>
          <w:strike/>
          <w:color w:val="auto"/>
          <w:sz w:val="24"/>
          <w:szCs w:val="24"/>
          <w:highlight w:val="none"/>
        </w:rPr>
        <w:t>60</w:t>
      </w:r>
      <w:r>
        <w:rPr>
          <w:rFonts w:hint="eastAsia" w:ascii="宋体" w:hAnsi="宋体"/>
          <w:strike/>
          <w:color w:val="auto"/>
          <w:sz w:val="24"/>
          <w:szCs w:val="24"/>
          <w:highlight w:val="none"/>
        </w:rPr>
        <w:t>日诚信分。</w:t>
      </w:r>
    </w:p>
    <w:p>
      <w:pPr>
        <w:spacing w:line="360" w:lineRule="auto"/>
        <w:ind w:firstLine="480" w:firstLineChars="200"/>
        <w:rPr>
          <w:rFonts w:ascii="宋体" w:hAnsi="宋体"/>
          <w:color w:val="auto"/>
          <w:sz w:val="24"/>
          <w:szCs w:val="24"/>
          <w:highlight w:val="none"/>
        </w:rPr>
      </w:pP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w:t>
      </w:r>
      <w:r>
        <w:rPr>
          <w:rFonts w:hint="eastAsia" w:ascii="宋体"/>
          <w:color w:val="auto"/>
          <w:sz w:val="24"/>
          <w:szCs w:val="24"/>
          <w:highlight w:val="none"/>
          <w:u w:val="single"/>
        </w:rPr>
        <w:t>对通过资格审查的投标单位进行技术标投标文件有效性审查</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w:t>
      </w:r>
      <w:r>
        <w:rPr>
          <w:rFonts w:hint="eastAsia" w:ascii="宋体"/>
          <w:color w:val="auto"/>
          <w:sz w:val="24"/>
          <w:szCs w:val="24"/>
          <w:highlight w:val="none"/>
          <w:u w:val="single"/>
        </w:rPr>
        <w:t>技术标详细审查</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ascii="宋体"/>
          <w:color w:val="auto"/>
          <w:sz w:val="24"/>
          <w:szCs w:val="24"/>
          <w:highlight w:val="none"/>
        </w:rPr>
        <w:t>5</w:t>
      </w:r>
      <w:r>
        <w:rPr>
          <w:rFonts w:hint="eastAsia" w:ascii="宋体" w:hAnsi="宋体"/>
          <w:color w:val="auto"/>
          <w:sz w:val="24"/>
          <w:szCs w:val="24"/>
          <w:highlight w:val="none"/>
          <w:u w:val="single"/>
        </w:rPr>
        <w:t>对通过技术标投标文件有效性审查的投标单位进行</w:t>
      </w:r>
      <w:r>
        <w:rPr>
          <w:rFonts w:hint="eastAsia" w:ascii="宋体"/>
          <w:color w:val="auto"/>
          <w:sz w:val="24"/>
          <w:szCs w:val="24"/>
          <w:highlight w:val="none"/>
          <w:u w:val="single"/>
        </w:rPr>
        <w:t>经济标投标文件有效性审查</w:t>
      </w:r>
      <w:r>
        <w:rPr>
          <w:rFonts w:hint="eastAsia" w:ascii="宋体"/>
          <w:color w:val="auto"/>
          <w:sz w:val="24"/>
          <w:szCs w:val="24"/>
          <w:highlight w:val="none"/>
        </w:rPr>
        <w:t>；</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w:t>
      </w:r>
      <w:r>
        <w:rPr>
          <w:rFonts w:ascii="宋体"/>
          <w:color w:val="auto"/>
          <w:sz w:val="24"/>
          <w:szCs w:val="24"/>
          <w:highlight w:val="none"/>
        </w:rPr>
        <w:t>6</w:t>
      </w:r>
      <w:r>
        <w:rPr>
          <w:rFonts w:hint="eastAsia" w:ascii="宋体"/>
          <w:color w:val="auto"/>
          <w:sz w:val="24"/>
          <w:szCs w:val="24"/>
          <w:highlight w:val="none"/>
          <w:u w:val="single"/>
        </w:rPr>
        <w:t>评标委员会向招标人推荐合格的中标候选人名单，合格的中标候选人不排序，并递交资格审查报告及评标报告。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w:t>
      </w:r>
      <w:r>
        <w:rPr>
          <w:rFonts w:hint="eastAsia" w:ascii="宋体"/>
          <w:color w:val="auto"/>
          <w:sz w:val="24"/>
          <w:szCs w:val="24"/>
          <w:highlight w:val="none"/>
          <w:u w:val="single"/>
        </w:rPr>
        <w:t>或招标代理</w:t>
      </w:r>
      <w:r>
        <w:rPr>
          <w:rFonts w:hint="eastAsia" w:ascii="宋体"/>
          <w:color w:val="auto"/>
          <w:sz w:val="24"/>
          <w:szCs w:val="24"/>
          <w:highlight w:val="none"/>
        </w:rPr>
        <w:t>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广州公共资源交易中心</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w:t>
      </w:r>
      <w:r>
        <w:rPr>
          <w:rFonts w:hint="eastAsia" w:ascii="宋体"/>
          <w:color w:val="auto"/>
          <w:sz w:val="24"/>
          <w:szCs w:val="24"/>
          <w:highlight w:val="none"/>
          <w:u w:val="single"/>
        </w:rPr>
        <w:t>方式一：评标委员会为综合评标委员会，负责资格审查及评标工作</w:t>
      </w:r>
      <w:r>
        <w:rPr>
          <w:rFonts w:hint="eastAsia" w:ascii="宋体"/>
          <w:color w:val="auto"/>
          <w:sz w:val="24"/>
          <w:szCs w:val="24"/>
          <w:highlight w:val="none"/>
        </w:rPr>
        <w:t>。</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w:t>
      </w:r>
      <w:r>
        <w:rPr>
          <w:rFonts w:hint="eastAsia" w:ascii="宋体"/>
          <w:color w:val="auto"/>
          <w:sz w:val="24"/>
          <w:szCs w:val="24"/>
          <w:highlight w:val="none"/>
          <w:u w:val="single"/>
        </w:rPr>
        <w:t>资格审查合格的投标人少于3名的，则本项目招标失败。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hint="eastAsia" w:ascii="宋体"/>
          <w:color w:val="auto"/>
          <w:sz w:val="24"/>
          <w:szCs w:val="24"/>
          <w:highlight w:val="none"/>
          <w:u w:val="single"/>
        </w:rPr>
        <w:t>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hint="eastAsia" w:ascii="宋体" w:eastAsia="宋体"/>
          <w:color w:val="auto"/>
          <w:sz w:val="24"/>
          <w:szCs w:val="24"/>
          <w:highlight w:val="none"/>
          <w:lang w:eastAsia="zh-CN"/>
        </w:rPr>
      </w:pPr>
      <w:r>
        <w:rPr>
          <w:rFonts w:hint="eastAsia" w:ascii="宋体"/>
          <w:color w:val="auto"/>
          <w:sz w:val="24"/>
          <w:szCs w:val="24"/>
          <w:highlight w:val="none"/>
        </w:rPr>
        <w:t>44.2</w:t>
      </w:r>
      <w:r>
        <w:rPr>
          <w:rFonts w:hint="eastAsia" w:ascii="宋体"/>
          <w:color w:val="auto"/>
          <w:sz w:val="24"/>
          <w:szCs w:val="24"/>
          <w:highlight w:val="none"/>
          <w:u w:val="single"/>
        </w:rPr>
        <w:t>技术标详细审查：本项目无需评标委员会对投标文件做技术标详细审查。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w:t>
      </w:r>
    </w:p>
    <w:p>
      <w:pPr>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45.1若通过技术标有效性审查的投标人中有投标报价均大于等于最高投标限价*D%（D的取值范围为</w:t>
      </w:r>
      <w:r>
        <w:rPr>
          <w:rFonts w:ascii="宋体" w:hAnsi="宋体"/>
          <w:color w:val="auto"/>
          <w:sz w:val="24"/>
          <w:szCs w:val="24"/>
          <w:highlight w:val="none"/>
          <w:u w:val="single"/>
        </w:rPr>
        <w:t>[100]）</w:t>
      </w:r>
      <w:r>
        <w:rPr>
          <w:rFonts w:hint="eastAsia" w:ascii="宋体" w:hAnsi="宋体"/>
          <w:color w:val="auto"/>
          <w:sz w:val="24"/>
          <w:szCs w:val="24"/>
          <w:highlight w:val="none"/>
        </w:rPr>
        <w:t>的</w:t>
      </w:r>
      <w:r>
        <w:rPr>
          <w:rFonts w:hint="eastAsia" w:ascii="宋体" w:hAnsi="宋体"/>
          <w:strike/>
          <w:color w:val="auto"/>
          <w:sz w:val="24"/>
          <w:szCs w:val="24"/>
          <w:highlight w:val="none"/>
        </w:rPr>
        <w:t>（具体金额为：</w:t>
      </w:r>
      <w:r>
        <w:rPr>
          <w:rFonts w:ascii="宋体" w:hAnsi="宋体"/>
          <w:strike/>
          <w:color w:val="auto"/>
          <w:sz w:val="24"/>
          <w:szCs w:val="24"/>
          <w:highlight w:val="none"/>
          <w:u w:val="single"/>
        </w:rPr>
        <w:t xml:space="preserve">   </w:t>
      </w:r>
      <w:r>
        <w:rPr>
          <w:rFonts w:hint="eastAsia" w:ascii="宋体" w:hAnsi="宋体"/>
          <w:strike/>
          <w:color w:val="auto"/>
          <w:sz w:val="24"/>
          <w:szCs w:val="24"/>
          <w:highlight w:val="none"/>
        </w:rPr>
        <w:t>元）</w:t>
      </w:r>
      <w:r>
        <w:rPr>
          <w:rFonts w:hint="eastAsia" w:ascii="宋体" w:hAnsi="宋体"/>
          <w:color w:val="auto"/>
          <w:sz w:val="24"/>
          <w:szCs w:val="24"/>
          <w:highlight w:val="none"/>
        </w:rPr>
        <w:t>，则本项目招标失败，由招标人依法重新招标</w:t>
      </w:r>
      <w:r>
        <w:rPr>
          <w:rFonts w:hint="eastAsia" w:ascii="宋体" w:hAnsi="宋体" w:cs="宋体"/>
          <w:color w:val="auto"/>
          <w:sz w:val="24"/>
          <w:szCs w:val="24"/>
          <w:highlight w:val="none"/>
          <w:u w:val="single"/>
          <w:lang w:bidi="ar"/>
        </w:rPr>
        <w:t>；如</w:t>
      </w:r>
      <w:r>
        <w:rPr>
          <w:rFonts w:hint="eastAsia" w:ascii="宋体" w:hAnsi="宋体"/>
          <w:color w:val="auto"/>
          <w:sz w:val="24"/>
          <w:szCs w:val="24"/>
          <w:highlight w:val="none"/>
          <w:u w:val="single"/>
        </w:rPr>
        <w:t>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Pr>
          <w:rFonts w:hint="eastAsia" w:ascii="宋体" w:hAnsi="宋体" w:cs="宋体"/>
          <w:color w:val="auto"/>
          <w:sz w:val="24"/>
          <w:szCs w:val="24"/>
          <w:highlight w:val="none"/>
          <w:u w:val="single"/>
          <w:lang w:bidi="ar"/>
        </w:rPr>
        <w:t>。</w:t>
      </w:r>
    </w:p>
    <w:p>
      <w:pPr>
        <w:pStyle w:val="5"/>
        <w:tabs>
          <w:tab w:val="left" w:pos="7380"/>
        </w:tabs>
        <w:snapToGrid w:val="0"/>
        <w:spacing w:after="0" w:line="360" w:lineRule="auto"/>
        <w:ind w:firstLine="480" w:firstLineChars="200"/>
        <w:rPr>
          <w:rFonts w:ascii="宋体"/>
          <w:strike/>
          <w:color w:val="auto"/>
          <w:sz w:val="24"/>
          <w:szCs w:val="24"/>
          <w:highlight w:val="none"/>
        </w:rPr>
      </w:pPr>
      <w:r>
        <w:rPr>
          <w:rFonts w:hint="eastAsia" w:ascii="宋体" w:hAnsi="宋体"/>
          <w:strike/>
          <w:color w:val="auto"/>
          <w:sz w:val="24"/>
          <w:szCs w:val="24"/>
          <w:highlight w:val="none"/>
        </w:rPr>
        <w:t xml:space="preserve"> 45.2按方法</w:t>
      </w:r>
      <w:r>
        <w:rPr>
          <w:rFonts w:hint="eastAsia" w:ascii="宋体" w:hAnsi="宋体"/>
          <w:strike/>
          <w:color w:val="auto"/>
          <w:sz w:val="24"/>
          <w:szCs w:val="24"/>
          <w:highlight w:val="none"/>
          <w:u w:val="single"/>
        </w:rPr>
        <w:t xml:space="preserve">   </w:t>
      </w:r>
      <w:r>
        <w:rPr>
          <w:rFonts w:hint="eastAsia" w:ascii="宋体" w:hAnsi="宋体"/>
          <w:strike/>
          <w:color w:val="auto"/>
          <w:sz w:val="24"/>
          <w:szCs w:val="24"/>
          <w:highlight w:val="none"/>
        </w:rPr>
        <w:t>计算评标参考价：</w:t>
      </w:r>
    </w:p>
    <w:p>
      <w:pPr>
        <w:widowControl/>
        <w:spacing w:line="360" w:lineRule="auto"/>
        <w:ind w:firstLine="482" w:firstLineChars="200"/>
        <w:rPr>
          <w:rFonts w:ascii="宋体" w:hAnsi="宋体"/>
          <w:b/>
          <w:bCs/>
          <w:strike/>
          <w:color w:val="auto"/>
          <w:kern w:val="0"/>
          <w:sz w:val="24"/>
          <w:szCs w:val="24"/>
          <w:highlight w:val="none"/>
        </w:rPr>
      </w:pPr>
      <w:r>
        <w:rPr>
          <w:rFonts w:hint="eastAsia" w:ascii="宋体" w:hAnsi="宋体" w:cs="仿宋"/>
          <w:b/>
          <w:bCs/>
          <w:strike/>
          <w:color w:val="auto"/>
          <w:kern w:val="0"/>
          <w:sz w:val="24"/>
          <w:szCs w:val="24"/>
          <w:highlight w:val="none"/>
        </w:rPr>
        <w:t>方法一：加权平均法</w:t>
      </w:r>
    </w:p>
    <w:p>
      <w:pPr>
        <w:spacing w:line="360" w:lineRule="auto"/>
        <w:ind w:firstLine="480" w:firstLineChars="200"/>
        <w:rPr>
          <w:rFonts w:ascii="宋体" w:hAnsi="宋体" w:cs="仿宋"/>
          <w:strike/>
          <w:color w:val="auto"/>
          <w:sz w:val="24"/>
          <w:szCs w:val="24"/>
          <w:highlight w:val="none"/>
        </w:rPr>
      </w:pPr>
      <w:r>
        <w:rPr>
          <w:rFonts w:hint="eastAsia" w:ascii="宋体" w:hAnsi="宋体" w:cs="仿宋"/>
          <w:strike/>
          <w:color w:val="auto"/>
          <w:sz w:val="24"/>
          <w:szCs w:val="24"/>
          <w:highlight w:val="none"/>
        </w:rPr>
        <w:t>技术标或技术标加诚信得分（具体由招标人自定）前</w:t>
      </w:r>
      <w:r>
        <w:rPr>
          <w:rFonts w:ascii="宋体" w:hAnsi="宋体" w:cs="仿宋"/>
          <w:strike/>
          <w:color w:val="auto"/>
          <w:sz w:val="24"/>
          <w:szCs w:val="24"/>
          <w:highlight w:val="none"/>
        </w:rPr>
        <w:t>N</w:t>
      </w:r>
      <w:r>
        <w:rPr>
          <w:rFonts w:hint="eastAsia" w:ascii="宋体" w:hAnsi="宋体" w:cs="仿宋"/>
          <w:strike/>
          <w:color w:val="auto"/>
          <w:sz w:val="24"/>
          <w:szCs w:val="24"/>
          <w:highlight w:val="none"/>
        </w:rPr>
        <w:t>名（</w:t>
      </w:r>
      <w:r>
        <w:rPr>
          <w:rFonts w:ascii="宋体" w:hAnsi="宋体" w:cs="仿宋"/>
          <w:strike/>
          <w:color w:val="auto"/>
          <w:sz w:val="24"/>
          <w:szCs w:val="24"/>
          <w:highlight w:val="none"/>
        </w:rPr>
        <w:t>N≥5，具体由招标人自定）的经济报价加权平均，计算评标参考价。公式如下：</w:t>
      </w:r>
    </w:p>
    <w:p>
      <w:pPr>
        <w:spacing w:line="360" w:lineRule="auto"/>
        <w:ind w:firstLine="480" w:firstLineChars="200"/>
        <w:rPr>
          <w:rFonts w:ascii="宋体" w:hAnsi="宋体" w:cs="仿宋"/>
          <w:strike/>
          <w:color w:val="auto"/>
          <w:sz w:val="24"/>
          <w:szCs w:val="24"/>
          <w:highlight w:val="none"/>
        </w:rPr>
      </w:pPr>
      <w:r>
        <w:rPr>
          <w:rFonts w:hint="eastAsia" w:ascii="宋体" w:hAnsi="宋体" w:cs="仿宋"/>
          <w:strike/>
          <w:color w:val="auto"/>
          <w:sz w:val="24"/>
          <w:szCs w:val="24"/>
          <w:highlight w:val="none"/>
        </w:rPr>
        <w:t>评标参考价</w:t>
      </w:r>
      <w:r>
        <w:rPr>
          <w:rFonts w:ascii="宋体" w:hAnsi="宋体" w:cs="仿宋"/>
          <w:strike/>
          <w:color w:val="auto"/>
          <w:sz w:val="24"/>
          <w:szCs w:val="24"/>
          <w:highlight w:val="none"/>
        </w:rPr>
        <w:t>=</w:t>
      </w:r>
      <w:r>
        <w:rPr>
          <w:rFonts w:hint="eastAsia" w:ascii="宋体" w:hAnsi="宋体" w:cs="仿宋"/>
          <w:strike/>
          <w:color w:val="auto"/>
          <w:sz w:val="24"/>
          <w:szCs w:val="24"/>
          <w:highlight w:val="none"/>
        </w:rPr>
        <w:t>Σ（投标人的投标报价</w:t>
      </w:r>
      <w:r>
        <w:rPr>
          <w:rFonts w:ascii="宋体" w:hAnsi="宋体" w:cs="仿宋"/>
          <w:strike/>
          <w:color w:val="auto"/>
          <w:sz w:val="24"/>
          <w:szCs w:val="24"/>
          <w:highlight w:val="none"/>
        </w:rPr>
        <w:t>*</w:t>
      </w:r>
      <w:r>
        <w:rPr>
          <w:rFonts w:hint="eastAsia" w:ascii="宋体" w:hAnsi="宋体" w:cs="仿宋"/>
          <w:strike/>
          <w:color w:val="auto"/>
          <w:sz w:val="24"/>
          <w:szCs w:val="24"/>
          <w:highlight w:val="none"/>
        </w:rPr>
        <w:t>报价权重）。</w:t>
      </w:r>
    </w:p>
    <w:p>
      <w:pPr>
        <w:spacing w:line="480" w:lineRule="exact"/>
        <w:ind w:firstLine="480" w:firstLineChars="200"/>
        <w:rPr>
          <w:rFonts w:ascii="宋体" w:hAnsi="宋体" w:cs="仿宋"/>
          <w:strike/>
          <w:color w:val="auto"/>
          <w:sz w:val="24"/>
          <w:szCs w:val="24"/>
          <w:highlight w:val="none"/>
        </w:rPr>
      </w:pPr>
      <w:r>
        <w:rPr>
          <w:rFonts w:hint="eastAsia" w:ascii="宋体" w:hAnsi="宋体" w:cs="仿宋"/>
          <w:strike/>
          <w:color w:val="auto"/>
          <w:sz w:val="24"/>
          <w:szCs w:val="24"/>
          <w:highlight w:val="none"/>
        </w:rPr>
        <w:t>其中：报价权重的计算方法为：将</w:t>
      </w:r>
      <w:r>
        <w:rPr>
          <w:rFonts w:ascii="宋体" w:hAnsi="宋体" w:cs="仿宋"/>
          <w:strike/>
          <w:color w:val="auto"/>
          <w:sz w:val="24"/>
          <w:szCs w:val="24"/>
          <w:highlight w:val="none"/>
        </w:rPr>
        <w:t>N</w:t>
      </w:r>
      <w:r>
        <w:rPr>
          <w:rFonts w:hint="eastAsia" w:ascii="宋体" w:hAnsi="宋体" w:cs="仿宋"/>
          <w:strike/>
          <w:color w:val="auto"/>
          <w:sz w:val="24"/>
          <w:szCs w:val="24"/>
          <w:highlight w:val="none"/>
        </w:rPr>
        <w:t>名投标人按技术分由高至低进行排序，第一名投标人的权重为（</w:t>
      </w:r>
      <w:r>
        <w:rPr>
          <w:rFonts w:ascii="宋体" w:hAnsi="宋体" w:cs="仿宋"/>
          <w:strike/>
          <w:color w:val="auto"/>
          <w:sz w:val="24"/>
          <w:szCs w:val="24"/>
          <w:highlight w:val="none"/>
        </w:rPr>
        <w:fldChar w:fldCharType="begin"/>
      </w:r>
      <w:r>
        <w:rPr>
          <w:rFonts w:ascii="宋体" w:hAnsi="宋体" w:cs="仿宋"/>
          <w:strike/>
          <w:color w:val="auto"/>
          <w:sz w:val="24"/>
          <w:szCs w:val="24"/>
          <w:highlight w:val="none"/>
        </w:rPr>
        <w:instrText xml:space="preserve"> QUOTE </w:instrText>
      </w:r>
      <w:r>
        <w:rPr>
          <w:rFonts w:ascii="宋体" w:hAnsi="宋体"/>
          <w:strike/>
          <w:color w:val="auto"/>
          <w:sz w:val="24"/>
          <w:szCs w:val="24"/>
          <w:highlight w:val="none"/>
        </w:rPr>
        <w:drawing>
          <wp:inline distT="0" distB="0" distL="0" distR="0">
            <wp:extent cx="381635" cy="449580"/>
            <wp:effectExtent l="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Pr>
          <w:rFonts w:ascii="宋体" w:hAnsi="宋体" w:cs="仿宋"/>
          <w:strike/>
          <w:color w:val="auto"/>
          <w:sz w:val="24"/>
          <w:szCs w:val="24"/>
          <w:highlight w:val="none"/>
        </w:rPr>
        <w:fldChar w:fldCharType="separate"/>
      </w:r>
      <w:r>
        <w:rPr>
          <w:rFonts w:ascii="宋体" w:hAnsi="宋体"/>
          <w:strike/>
          <w:color w:val="auto"/>
          <w:sz w:val="24"/>
          <w:szCs w:val="24"/>
          <w:highlight w:val="none"/>
        </w:rPr>
        <w:drawing>
          <wp:inline distT="0" distB="0" distL="0" distR="0">
            <wp:extent cx="207010" cy="244475"/>
            <wp:effectExtent l="0" t="0" r="2540" b="317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07297" cy="244202"/>
                    </a:xfrm>
                    <a:prstGeom prst="rect">
                      <a:avLst/>
                    </a:prstGeom>
                    <a:noFill/>
                    <a:ln>
                      <a:noFill/>
                    </a:ln>
                  </pic:spPr>
                </pic:pic>
              </a:graphicData>
            </a:graphic>
          </wp:inline>
        </w:drawing>
      </w:r>
      <w:r>
        <w:rPr>
          <w:rFonts w:ascii="宋体" w:hAnsi="宋体" w:cs="仿宋"/>
          <w:strike/>
          <w:color w:val="auto"/>
          <w:sz w:val="24"/>
          <w:szCs w:val="24"/>
          <w:highlight w:val="none"/>
        </w:rPr>
        <w:fldChar w:fldCharType="end"/>
      </w:r>
      <w:r>
        <w:rPr>
          <w:rFonts w:hint="eastAsia" w:ascii="宋体" w:hAnsi="宋体" w:cs="仿宋"/>
          <w:strike/>
          <w:color w:val="auto"/>
          <w:sz w:val="24"/>
          <w:szCs w:val="24"/>
          <w:highlight w:val="none"/>
        </w:rPr>
        <w:t>），第二名投标人的权重为（</w:t>
      </w:r>
      <w:r>
        <w:rPr>
          <w:rFonts w:ascii="宋体" w:hAnsi="宋体" w:cs="仿宋"/>
          <w:strike/>
          <w:color w:val="auto"/>
          <w:sz w:val="24"/>
          <w:szCs w:val="24"/>
          <w:highlight w:val="none"/>
        </w:rPr>
        <w:fldChar w:fldCharType="begin"/>
      </w:r>
      <w:r>
        <w:rPr>
          <w:rFonts w:ascii="宋体" w:hAnsi="宋体" w:cs="仿宋"/>
          <w:strike/>
          <w:color w:val="auto"/>
          <w:sz w:val="24"/>
          <w:szCs w:val="24"/>
          <w:highlight w:val="none"/>
        </w:rPr>
        <w:instrText xml:space="preserve"> QUOTE </w:instrText>
      </w:r>
      <w:r>
        <w:rPr>
          <w:rFonts w:ascii="宋体" w:hAnsi="宋体"/>
          <w:strike/>
          <w:color w:val="auto"/>
          <w:position w:val="-23"/>
          <w:sz w:val="24"/>
          <w:szCs w:val="24"/>
          <w:highlight w:val="none"/>
        </w:rPr>
        <w:drawing>
          <wp:inline distT="0" distB="0" distL="0" distR="0">
            <wp:extent cx="322580" cy="400685"/>
            <wp:effectExtent l="0" t="0" r="0" b="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strike/>
          <w:color w:val="auto"/>
          <w:sz w:val="24"/>
          <w:szCs w:val="24"/>
          <w:highlight w:val="none"/>
        </w:rPr>
        <w:fldChar w:fldCharType="separate"/>
      </w:r>
      <w:r>
        <w:rPr>
          <w:rFonts w:ascii="宋体" w:hAnsi="宋体"/>
          <w:strike/>
          <w:color w:val="auto"/>
          <w:position w:val="-23"/>
          <w:sz w:val="24"/>
          <w:szCs w:val="24"/>
          <w:highlight w:val="none"/>
        </w:rPr>
        <w:drawing>
          <wp:inline distT="0" distB="0" distL="0" distR="0">
            <wp:extent cx="314325" cy="390525"/>
            <wp:effectExtent l="0" t="0" r="9525" b="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5927" cy="392418"/>
                    </a:xfrm>
                    <a:prstGeom prst="rect">
                      <a:avLst/>
                    </a:prstGeom>
                    <a:noFill/>
                    <a:ln>
                      <a:noFill/>
                    </a:ln>
                  </pic:spPr>
                </pic:pic>
              </a:graphicData>
            </a:graphic>
          </wp:inline>
        </w:drawing>
      </w:r>
      <w:r>
        <w:rPr>
          <w:rFonts w:ascii="宋体" w:hAnsi="宋体" w:cs="仿宋"/>
          <w:strike/>
          <w:color w:val="auto"/>
          <w:sz w:val="24"/>
          <w:szCs w:val="24"/>
          <w:highlight w:val="none"/>
        </w:rPr>
        <w:fldChar w:fldCharType="end"/>
      </w:r>
      <w:r>
        <w:rPr>
          <w:rFonts w:hint="eastAsia" w:ascii="宋体" w:hAnsi="宋体" w:cs="仿宋"/>
          <w:strike/>
          <w:color w:val="auto"/>
          <w:sz w:val="24"/>
          <w:szCs w:val="24"/>
          <w:highlight w:val="none"/>
        </w:rPr>
        <w:t>），以此类推，最后一名投标人的权重为（</w:t>
      </w:r>
      <w:r>
        <w:rPr>
          <w:rFonts w:ascii="宋体" w:hAnsi="宋体" w:cs="仿宋"/>
          <w:strike/>
          <w:color w:val="auto"/>
          <w:sz w:val="24"/>
          <w:szCs w:val="24"/>
          <w:highlight w:val="none"/>
        </w:rPr>
        <w:fldChar w:fldCharType="begin"/>
      </w:r>
      <w:r>
        <w:rPr>
          <w:rFonts w:ascii="宋体" w:hAnsi="宋体" w:cs="仿宋"/>
          <w:strike/>
          <w:color w:val="auto"/>
          <w:sz w:val="24"/>
          <w:szCs w:val="24"/>
          <w:highlight w:val="none"/>
        </w:rPr>
        <w:instrText xml:space="preserve"> QUOTE </w:instrText>
      </w:r>
      <w:r>
        <w:rPr>
          <w:rFonts w:ascii="宋体" w:hAnsi="宋体"/>
          <w:strike/>
          <w:color w:val="auto"/>
          <w:position w:val="-23"/>
          <w:sz w:val="24"/>
          <w:szCs w:val="24"/>
          <w:highlight w:val="none"/>
        </w:rPr>
        <w:drawing>
          <wp:inline distT="0" distB="0" distL="0" distR="0">
            <wp:extent cx="322580" cy="400685"/>
            <wp:effectExtent l="0" t="0" r="0" b="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strike/>
          <w:color w:val="auto"/>
          <w:sz w:val="24"/>
          <w:szCs w:val="24"/>
          <w:highlight w:val="none"/>
        </w:rPr>
        <w:fldChar w:fldCharType="separate"/>
      </w:r>
      <w:r>
        <w:rPr>
          <w:rFonts w:ascii="宋体" w:hAnsi="宋体"/>
          <w:strike/>
          <w:color w:val="auto"/>
          <w:position w:val="-23"/>
          <w:sz w:val="24"/>
          <w:szCs w:val="24"/>
          <w:highlight w:val="none"/>
        </w:rPr>
        <w:drawing>
          <wp:inline distT="0" distB="0" distL="0" distR="0">
            <wp:extent cx="322580" cy="40068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strike/>
          <w:color w:val="auto"/>
          <w:sz w:val="24"/>
          <w:szCs w:val="24"/>
          <w:highlight w:val="none"/>
        </w:rPr>
        <w:fldChar w:fldCharType="end"/>
      </w:r>
      <w:r>
        <w:rPr>
          <w:rFonts w:hint="eastAsia" w:ascii="宋体" w:hAnsi="宋体" w:cs="仿宋"/>
          <w:strike/>
          <w:color w:val="auto"/>
          <w:sz w:val="24"/>
          <w:szCs w:val="24"/>
          <w:highlight w:val="none"/>
        </w:rPr>
        <w:t>）。</w:t>
      </w:r>
    </w:p>
    <w:p>
      <w:pPr>
        <w:widowControl/>
        <w:spacing w:line="360" w:lineRule="auto"/>
        <w:ind w:firstLine="482" w:firstLineChars="200"/>
        <w:rPr>
          <w:rFonts w:ascii="宋体" w:hAnsi="宋体"/>
          <w:b/>
          <w:bCs/>
          <w:strike/>
          <w:color w:val="auto"/>
          <w:kern w:val="0"/>
          <w:sz w:val="24"/>
          <w:szCs w:val="24"/>
          <w:highlight w:val="none"/>
        </w:rPr>
      </w:pPr>
      <w:r>
        <w:rPr>
          <w:rFonts w:hint="eastAsia" w:ascii="宋体" w:hAnsi="宋体" w:cs="仿宋"/>
          <w:b/>
          <w:bCs/>
          <w:strike/>
          <w:color w:val="auto"/>
          <w:kern w:val="0"/>
          <w:sz w:val="24"/>
          <w:szCs w:val="24"/>
          <w:highlight w:val="none"/>
        </w:rPr>
        <w:t>方法二：区间抽取法</w:t>
      </w:r>
    </w:p>
    <w:p>
      <w:pPr>
        <w:widowControl/>
        <w:snapToGrid w:val="0"/>
        <w:spacing w:line="360" w:lineRule="auto"/>
        <w:ind w:firstLine="480" w:firstLineChars="200"/>
        <w:rPr>
          <w:rFonts w:ascii="宋体" w:hAnsi="宋体"/>
          <w:strike/>
          <w:color w:val="auto"/>
          <w:kern w:val="0"/>
          <w:sz w:val="24"/>
          <w:szCs w:val="24"/>
          <w:highlight w:val="none"/>
        </w:rPr>
      </w:pPr>
      <w:r>
        <w:rPr>
          <w:rFonts w:hint="eastAsia" w:ascii="宋体" w:hAnsi="宋体" w:cs="仿宋"/>
          <w:strike/>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strike/>
          <w:color w:val="auto"/>
          <w:kern w:val="0"/>
          <w:sz w:val="24"/>
          <w:szCs w:val="24"/>
          <w:highlight w:val="none"/>
          <w:vertAlign w:val="subscript"/>
        </w:rPr>
      </w:pPr>
      <w:r>
        <w:rPr>
          <w:rFonts w:hint="eastAsia" w:ascii="宋体" w:hAnsi="宋体" w:cs="仿宋"/>
          <w:strike/>
          <w:color w:val="auto"/>
          <w:kern w:val="0"/>
          <w:sz w:val="24"/>
          <w:szCs w:val="24"/>
          <w:highlight w:val="none"/>
        </w:rPr>
        <w:t>评标参考价</w:t>
      </w:r>
      <w:r>
        <w:rPr>
          <w:rFonts w:ascii="宋体" w:hAnsi="宋体" w:cs="仿宋"/>
          <w:strike/>
          <w:color w:val="auto"/>
          <w:kern w:val="0"/>
          <w:sz w:val="24"/>
          <w:szCs w:val="24"/>
          <w:highlight w:val="none"/>
        </w:rPr>
        <w:t>=</w:t>
      </w:r>
      <w:r>
        <w:rPr>
          <w:rFonts w:hint="eastAsia" w:ascii="宋体" w:hAnsi="宋体" w:cs="仿宋"/>
          <w:strike/>
          <w:color w:val="auto"/>
          <w:kern w:val="0"/>
          <w:sz w:val="24"/>
          <w:szCs w:val="24"/>
          <w:highlight w:val="none"/>
        </w:rPr>
        <w:t>（</w:t>
      </w:r>
      <w:r>
        <w:rPr>
          <w:rFonts w:ascii="宋体" w:hAnsi="宋体" w:cs="仿宋"/>
          <w:strike/>
          <w:color w:val="auto"/>
          <w:kern w:val="0"/>
          <w:sz w:val="24"/>
          <w:szCs w:val="24"/>
          <w:highlight w:val="none"/>
        </w:rPr>
        <w:t>Q</w:t>
      </w:r>
      <w:r>
        <w:rPr>
          <w:rFonts w:hint="eastAsia" w:ascii="宋体" w:hAnsi="宋体" w:cs="仿宋"/>
          <w:strike/>
          <w:color w:val="auto"/>
          <w:kern w:val="0"/>
          <w:sz w:val="24"/>
          <w:szCs w:val="24"/>
          <w:highlight w:val="none"/>
          <w:vertAlign w:val="subscript"/>
        </w:rPr>
        <w:t>高</w:t>
      </w:r>
      <w:r>
        <w:rPr>
          <w:rFonts w:ascii="宋体" w:hAnsi="宋体" w:cs="仿宋"/>
          <w:strike/>
          <w:color w:val="auto"/>
          <w:kern w:val="0"/>
          <w:sz w:val="24"/>
          <w:szCs w:val="24"/>
          <w:highlight w:val="none"/>
        </w:rPr>
        <w:t>-Q</w:t>
      </w:r>
      <w:r>
        <w:rPr>
          <w:rFonts w:hint="eastAsia" w:ascii="宋体" w:hAnsi="宋体" w:cs="仿宋"/>
          <w:strike/>
          <w:color w:val="auto"/>
          <w:kern w:val="0"/>
          <w:sz w:val="24"/>
          <w:szCs w:val="24"/>
          <w:highlight w:val="none"/>
          <w:vertAlign w:val="subscript"/>
        </w:rPr>
        <w:t>低</w:t>
      </w:r>
      <w:r>
        <w:rPr>
          <w:rFonts w:hint="eastAsia" w:ascii="宋体" w:hAnsi="宋体" w:cs="仿宋"/>
          <w:strike/>
          <w:color w:val="auto"/>
          <w:kern w:val="0"/>
          <w:sz w:val="24"/>
          <w:szCs w:val="24"/>
          <w:highlight w:val="none"/>
        </w:rPr>
        <w:t>）</w:t>
      </w:r>
      <w:r>
        <w:rPr>
          <w:rFonts w:ascii="宋体" w:hAnsi="宋体" w:cs="仿宋"/>
          <w:strike/>
          <w:color w:val="auto"/>
          <w:kern w:val="0"/>
          <w:sz w:val="24"/>
          <w:szCs w:val="24"/>
          <w:highlight w:val="none"/>
        </w:rPr>
        <w:t>/100*</w:t>
      </w:r>
      <w:r>
        <w:rPr>
          <w:rFonts w:hint="eastAsia" w:ascii="宋体" w:hAnsi="宋体" w:cs="仿宋"/>
          <w:strike/>
          <w:color w:val="auto"/>
          <w:kern w:val="0"/>
          <w:sz w:val="24"/>
          <w:szCs w:val="24"/>
          <w:highlight w:val="none"/>
        </w:rPr>
        <w:t>Ｘ</w:t>
      </w:r>
      <w:r>
        <w:rPr>
          <w:rFonts w:ascii="宋体" w:hAnsi="宋体" w:cs="仿宋"/>
          <w:strike/>
          <w:color w:val="auto"/>
          <w:kern w:val="0"/>
          <w:sz w:val="24"/>
          <w:szCs w:val="24"/>
          <w:highlight w:val="none"/>
        </w:rPr>
        <w:t>+Q</w:t>
      </w:r>
      <w:r>
        <w:rPr>
          <w:rFonts w:hint="eastAsia" w:ascii="宋体" w:hAnsi="宋体" w:cs="仿宋"/>
          <w:strike/>
          <w:color w:val="auto"/>
          <w:kern w:val="0"/>
          <w:sz w:val="24"/>
          <w:szCs w:val="24"/>
          <w:highlight w:val="none"/>
          <w:vertAlign w:val="subscript"/>
        </w:rPr>
        <w:t>低</w:t>
      </w:r>
    </w:p>
    <w:p>
      <w:pPr>
        <w:widowControl/>
        <w:snapToGrid w:val="0"/>
        <w:spacing w:line="360" w:lineRule="auto"/>
        <w:ind w:firstLine="480" w:firstLineChars="200"/>
        <w:rPr>
          <w:rFonts w:ascii="宋体" w:hAnsi="宋体"/>
          <w:strike/>
          <w:color w:val="auto"/>
          <w:sz w:val="24"/>
          <w:szCs w:val="24"/>
          <w:highlight w:val="none"/>
        </w:rPr>
      </w:pPr>
      <w:r>
        <w:rPr>
          <w:rFonts w:ascii="宋体" w:hAnsi="宋体" w:cs="仿宋"/>
          <w:strike/>
          <w:color w:val="auto"/>
          <w:sz w:val="24"/>
          <w:szCs w:val="24"/>
          <w:highlight w:val="none"/>
        </w:rPr>
        <w:t>Q</w:t>
      </w:r>
      <w:r>
        <w:rPr>
          <w:rFonts w:hint="eastAsia" w:ascii="宋体" w:hAnsi="宋体" w:cs="仿宋"/>
          <w:strike/>
          <w:color w:val="auto"/>
          <w:sz w:val="24"/>
          <w:szCs w:val="24"/>
          <w:highlight w:val="none"/>
          <w:vertAlign w:val="subscript"/>
        </w:rPr>
        <w:t>低</w:t>
      </w:r>
      <w:r>
        <w:rPr>
          <w:rFonts w:hint="eastAsia" w:ascii="宋体" w:hAnsi="宋体" w:cs="仿宋"/>
          <w:strike/>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strike/>
          <w:color w:val="auto"/>
          <w:sz w:val="24"/>
          <w:szCs w:val="24"/>
          <w:highlight w:val="none"/>
        </w:rPr>
      </w:pPr>
      <w:r>
        <w:rPr>
          <w:rFonts w:ascii="宋体" w:hAnsi="宋体" w:cs="仿宋"/>
          <w:strike/>
          <w:color w:val="auto"/>
          <w:kern w:val="0"/>
          <w:sz w:val="24"/>
          <w:szCs w:val="24"/>
          <w:highlight w:val="none"/>
        </w:rPr>
        <w:t>Q</w:t>
      </w:r>
      <w:r>
        <w:rPr>
          <w:rFonts w:hint="eastAsia" w:ascii="宋体" w:hAnsi="宋体" w:cs="仿宋"/>
          <w:strike/>
          <w:color w:val="auto"/>
          <w:kern w:val="0"/>
          <w:sz w:val="24"/>
          <w:szCs w:val="24"/>
          <w:highlight w:val="none"/>
          <w:vertAlign w:val="subscript"/>
        </w:rPr>
        <w:t>高</w:t>
      </w:r>
      <w:r>
        <w:rPr>
          <w:rFonts w:hint="eastAsia" w:ascii="宋体" w:hAnsi="宋体" w:cs="仿宋"/>
          <w:strike/>
          <w:color w:val="auto"/>
          <w:sz w:val="24"/>
          <w:szCs w:val="24"/>
          <w:highlight w:val="none"/>
        </w:rPr>
        <w:t>：为（最高投标限价</w:t>
      </w:r>
      <w:r>
        <w:rPr>
          <w:rFonts w:ascii="宋体" w:hAnsi="宋体" w:cs="仿宋"/>
          <w:strike/>
          <w:color w:val="auto"/>
          <w:sz w:val="24"/>
          <w:szCs w:val="24"/>
          <w:highlight w:val="none"/>
        </w:rPr>
        <w:t>*D%</w:t>
      </w:r>
      <w:r>
        <w:rPr>
          <w:rFonts w:hint="eastAsia" w:ascii="宋体" w:hAnsi="宋体" w:cs="仿宋"/>
          <w:strike/>
          <w:color w:val="auto"/>
          <w:sz w:val="24"/>
          <w:szCs w:val="24"/>
          <w:highlight w:val="none"/>
        </w:rPr>
        <w:t>）（</w:t>
      </w:r>
      <w:r>
        <w:rPr>
          <w:rFonts w:ascii="宋体" w:hAnsi="宋体" w:cs="仿宋"/>
          <w:strike/>
          <w:color w:val="auto"/>
          <w:sz w:val="24"/>
          <w:szCs w:val="24"/>
          <w:highlight w:val="none"/>
        </w:rPr>
        <w:t>D</w:t>
      </w:r>
      <w:r>
        <w:rPr>
          <w:rFonts w:hint="eastAsia" w:ascii="宋体" w:hAnsi="宋体" w:cs="仿宋"/>
          <w:strike/>
          <w:color w:val="auto"/>
          <w:sz w:val="24"/>
          <w:szCs w:val="24"/>
          <w:highlight w:val="none"/>
        </w:rPr>
        <w:t>的取值范围为</w:t>
      </w:r>
      <w:r>
        <w:rPr>
          <w:rFonts w:ascii="宋体" w:hAnsi="宋体" w:cs="仿宋"/>
          <w:strike/>
          <w:color w:val="auto"/>
          <w:sz w:val="24"/>
          <w:szCs w:val="24"/>
          <w:highlight w:val="none"/>
        </w:rPr>
        <w:t>[94,100],</w:t>
      </w:r>
      <w:r>
        <w:rPr>
          <w:rFonts w:hint="eastAsia" w:ascii="宋体" w:hAnsi="宋体" w:cs="仿宋"/>
          <w:strike/>
          <w:color w:val="auto"/>
          <w:sz w:val="24"/>
          <w:szCs w:val="24"/>
          <w:highlight w:val="none"/>
        </w:rPr>
        <w:t>由招标人自定）</w:t>
      </w:r>
    </w:p>
    <w:p>
      <w:pPr>
        <w:spacing w:line="360" w:lineRule="auto"/>
        <w:ind w:firstLine="480" w:firstLineChars="200"/>
        <w:rPr>
          <w:rFonts w:ascii="宋体" w:hAnsi="宋体" w:cs="仿宋"/>
          <w:strike/>
          <w:color w:val="auto"/>
          <w:sz w:val="24"/>
          <w:szCs w:val="24"/>
          <w:highlight w:val="none"/>
        </w:rPr>
      </w:pPr>
      <w:r>
        <w:rPr>
          <w:rFonts w:ascii="宋体" w:hAnsi="宋体" w:cs="仿宋"/>
          <w:strike/>
          <w:color w:val="auto"/>
          <w:sz w:val="24"/>
          <w:szCs w:val="24"/>
          <w:highlight w:val="none"/>
        </w:rPr>
        <w:t>X:</w:t>
      </w:r>
      <w:r>
        <w:rPr>
          <w:rFonts w:hint="eastAsia" w:ascii="宋体" w:hAnsi="宋体" w:cs="仿宋"/>
          <w:strike/>
          <w:color w:val="auto"/>
          <w:sz w:val="24"/>
          <w:szCs w:val="24"/>
          <w:highlight w:val="none"/>
        </w:rPr>
        <w:t>为等分点值，在开标前从</w:t>
      </w:r>
      <w:r>
        <w:rPr>
          <w:rFonts w:ascii="宋体" w:hAnsi="宋体" w:cs="仿宋"/>
          <w:strike/>
          <w:color w:val="auto"/>
          <w:sz w:val="24"/>
          <w:szCs w:val="24"/>
          <w:highlight w:val="none"/>
        </w:rPr>
        <w:t>[0,100]</w:t>
      </w:r>
      <w:r>
        <w:rPr>
          <w:rFonts w:hint="eastAsia" w:ascii="宋体" w:hAnsi="宋体" w:cs="仿宋"/>
          <w:strike/>
          <w:color w:val="auto"/>
          <w:sz w:val="24"/>
          <w:szCs w:val="24"/>
          <w:highlight w:val="none"/>
        </w:rPr>
        <w:t>整数中随机抽取</w:t>
      </w:r>
    </w:p>
    <w:p>
      <w:pPr>
        <w:spacing w:line="360" w:lineRule="auto"/>
        <w:ind w:firstLine="480" w:firstLineChars="200"/>
        <w:rPr>
          <w:rFonts w:ascii="宋体" w:hAnsi="宋体"/>
          <w:strike/>
          <w:color w:val="auto"/>
          <w:sz w:val="24"/>
          <w:szCs w:val="24"/>
          <w:highlight w:val="none"/>
        </w:rPr>
      </w:pPr>
      <w:r>
        <w:rPr>
          <w:rFonts w:ascii="宋体" w:hAnsi="宋体"/>
          <w:strike/>
          <w:color w:val="auto"/>
          <w:sz w:val="24"/>
          <w:szCs w:val="24"/>
          <w:highlight w:val="none"/>
        </w:rPr>
        <w:t>45.3</w:t>
      </w:r>
      <w:r>
        <w:rPr>
          <w:rFonts w:hint="eastAsia" w:ascii="宋体" w:hAnsi="宋体"/>
          <w:strike/>
          <w:color w:val="auto"/>
          <w:sz w:val="24"/>
          <w:szCs w:val="24"/>
          <w:highlight w:val="none"/>
        </w:rPr>
        <w:t>当标价等于评标参考价时得</w:t>
      </w:r>
      <w:r>
        <w:rPr>
          <w:rFonts w:ascii="宋体" w:hAnsi="宋体"/>
          <w:strike/>
          <w:color w:val="auto"/>
          <w:sz w:val="24"/>
          <w:szCs w:val="24"/>
          <w:highlight w:val="none"/>
        </w:rPr>
        <w:t>100</w:t>
      </w:r>
      <w:r>
        <w:rPr>
          <w:rFonts w:hint="eastAsia" w:ascii="宋体" w:hAnsi="宋体"/>
          <w:strike/>
          <w:color w:val="auto"/>
          <w:sz w:val="24"/>
          <w:szCs w:val="24"/>
          <w:highlight w:val="none"/>
        </w:rPr>
        <w:t>分，标价每高于评标参考价</w:t>
      </w:r>
      <w:r>
        <w:rPr>
          <w:rFonts w:ascii="宋体" w:hAnsi="宋体"/>
          <w:strike/>
          <w:color w:val="auto"/>
          <w:sz w:val="24"/>
          <w:szCs w:val="24"/>
          <w:highlight w:val="none"/>
        </w:rPr>
        <w:t>1%</w:t>
      </w:r>
      <w:r>
        <w:rPr>
          <w:rFonts w:hint="eastAsia" w:ascii="宋体" w:hAnsi="宋体"/>
          <w:strike/>
          <w:color w:val="auto"/>
          <w:sz w:val="24"/>
          <w:szCs w:val="24"/>
          <w:highlight w:val="none"/>
        </w:rPr>
        <w:t>，扣</w:t>
      </w:r>
      <w:r>
        <w:rPr>
          <w:rFonts w:ascii="宋体" w:hAnsi="宋体"/>
          <w:strike/>
          <w:color w:val="auto"/>
          <w:sz w:val="24"/>
          <w:szCs w:val="24"/>
          <w:highlight w:val="none"/>
        </w:rPr>
        <w:t>1.5</w:t>
      </w:r>
      <w:r>
        <w:rPr>
          <w:rFonts w:hint="eastAsia" w:ascii="宋体" w:hAnsi="宋体"/>
          <w:strike/>
          <w:color w:val="auto"/>
          <w:sz w:val="24"/>
          <w:szCs w:val="24"/>
          <w:highlight w:val="none"/>
        </w:rPr>
        <w:t>分，每低于评标参考价</w:t>
      </w:r>
      <w:r>
        <w:rPr>
          <w:rFonts w:ascii="宋体" w:hAnsi="宋体"/>
          <w:strike/>
          <w:color w:val="auto"/>
          <w:sz w:val="24"/>
          <w:szCs w:val="24"/>
          <w:highlight w:val="none"/>
        </w:rPr>
        <w:t>1%</w:t>
      </w:r>
      <w:r>
        <w:rPr>
          <w:rFonts w:hint="eastAsia" w:ascii="宋体" w:hAnsi="宋体"/>
          <w:strike/>
          <w:color w:val="auto"/>
          <w:sz w:val="24"/>
          <w:szCs w:val="24"/>
          <w:highlight w:val="none"/>
        </w:rPr>
        <w:t>，扣</w:t>
      </w:r>
      <w:r>
        <w:rPr>
          <w:rFonts w:ascii="宋体" w:hAnsi="宋体"/>
          <w:strike/>
          <w:color w:val="auto"/>
          <w:sz w:val="24"/>
          <w:szCs w:val="24"/>
          <w:highlight w:val="none"/>
        </w:rPr>
        <w:t>1</w:t>
      </w:r>
      <w:r>
        <w:rPr>
          <w:rFonts w:hint="eastAsia" w:ascii="宋体" w:hAnsi="宋体"/>
          <w:strike/>
          <w:color w:val="auto"/>
          <w:sz w:val="24"/>
          <w:szCs w:val="24"/>
          <w:highlight w:val="none"/>
        </w:rPr>
        <w:t>分，扣至</w:t>
      </w:r>
      <w:r>
        <w:rPr>
          <w:rFonts w:ascii="宋体" w:hAnsi="宋体"/>
          <w:strike/>
          <w:color w:val="auto"/>
          <w:sz w:val="24"/>
          <w:szCs w:val="24"/>
          <w:highlight w:val="none"/>
        </w:rPr>
        <w:t>0</w:t>
      </w:r>
      <w:r>
        <w:rPr>
          <w:rFonts w:hint="eastAsia" w:ascii="宋体" w:hAnsi="宋体"/>
          <w:strike/>
          <w:color w:val="auto"/>
          <w:sz w:val="24"/>
          <w:szCs w:val="24"/>
          <w:highlight w:val="none"/>
        </w:rPr>
        <w:t>分为止，得出经济分，精确到小数点后两位。</w:t>
      </w:r>
    </w:p>
    <w:p>
      <w:pPr>
        <w:spacing w:line="360" w:lineRule="auto"/>
        <w:ind w:firstLine="480" w:firstLineChars="200"/>
        <w:rPr>
          <w:strike/>
          <w:color w:val="auto"/>
          <w:sz w:val="24"/>
          <w:szCs w:val="24"/>
          <w:highlight w:val="none"/>
        </w:rPr>
      </w:pPr>
      <w:r>
        <w:rPr>
          <w:rFonts w:ascii="宋体" w:hAnsi="宋体"/>
          <w:strike/>
          <w:color w:val="auto"/>
          <w:sz w:val="24"/>
          <w:szCs w:val="24"/>
          <w:highlight w:val="none"/>
        </w:rPr>
        <w:t>45.4</w:t>
      </w:r>
      <w:r>
        <w:rPr>
          <w:rFonts w:hint="eastAsia" w:ascii="Times New Roman" w:hAnsi="Times New Roman"/>
          <w:strike/>
          <w:color w:val="auto"/>
          <w:sz w:val="24"/>
          <w:szCs w:val="24"/>
          <w:highlight w:val="none"/>
        </w:rPr>
        <w:t>计算通过技术标有效性审查的投标人总得分。投标人总得分</w:t>
      </w:r>
      <w:r>
        <w:rPr>
          <w:rFonts w:ascii="Times New Roman" w:hAnsi="Times New Roman"/>
          <w:strike/>
          <w:color w:val="auto"/>
          <w:sz w:val="24"/>
          <w:szCs w:val="24"/>
          <w:highlight w:val="none"/>
        </w:rPr>
        <w:t>=</w:t>
      </w:r>
      <w:r>
        <w:rPr>
          <w:rFonts w:hint="eastAsia" w:ascii="Times New Roman" w:hAnsi="Times New Roman"/>
          <w:strike/>
          <w:color w:val="auto"/>
          <w:sz w:val="24"/>
          <w:szCs w:val="24"/>
          <w:highlight w:val="none"/>
        </w:rPr>
        <w:t>（技术得分</w:t>
      </w:r>
      <w:r>
        <w:rPr>
          <w:rFonts w:ascii="Times New Roman" w:hAnsi="Times New Roman"/>
          <w:strike/>
          <w:color w:val="auto"/>
          <w:sz w:val="24"/>
          <w:szCs w:val="24"/>
          <w:highlight w:val="none"/>
        </w:rPr>
        <w:t>×</w:t>
      </w:r>
      <w:r>
        <w:rPr>
          <w:rFonts w:hint="eastAsia" w:ascii="Times New Roman" w:hAnsi="Times New Roman"/>
          <w:strike/>
          <w:color w:val="auto"/>
          <w:sz w:val="24"/>
          <w:szCs w:val="24"/>
          <w:highlight w:val="none"/>
        </w:rPr>
        <w:t>技术得分权重＋经济得分</w:t>
      </w:r>
      <w:r>
        <w:rPr>
          <w:rFonts w:ascii="Times New Roman" w:hAnsi="Times New Roman"/>
          <w:strike/>
          <w:color w:val="auto"/>
          <w:sz w:val="24"/>
          <w:szCs w:val="24"/>
          <w:highlight w:val="none"/>
        </w:rPr>
        <w:t>×</w:t>
      </w:r>
      <w:r>
        <w:rPr>
          <w:rFonts w:hint="eastAsia" w:ascii="Times New Roman" w:hAnsi="Times New Roman"/>
          <w:strike/>
          <w:color w:val="auto"/>
          <w:sz w:val="24"/>
          <w:szCs w:val="24"/>
          <w:highlight w:val="none"/>
        </w:rPr>
        <w:t>经济得分权重）</w:t>
      </w:r>
      <w:r>
        <w:rPr>
          <w:rFonts w:ascii="Times New Roman" w:hAnsi="Times New Roman"/>
          <w:strike/>
          <w:color w:val="auto"/>
          <w:sz w:val="24"/>
          <w:szCs w:val="24"/>
          <w:highlight w:val="none"/>
        </w:rPr>
        <w:t>×</w:t>
      </w:r>
      <w:r>
        <w:rPr>
          <w:rFonts w:hint="eastAsia" w:ascii="Times New Roman" w:hAnsi="Times New Roman"/>
          <w:strike/>
          <w:color w:val="auto"/>
          <w:sz w:val="24"/>
          <w:szCs w:val="24"/>
          <w:highlight w:val="none"/>
        </w:rPr>
        <w:t>（</w:t>
      </w:r>
      <w:r>
        <w:rPr>
          <w:rFonts w:ascii="Times New Roman" w:hAnsi="Times New Roman"/>
          <w:strike/>
          <w:color w:val="auto"/>
          <w:sz w:val="24"/>
          <w:szCs w:val="24"/>
          <w:highlight w:val="none"/>
        </w:rPr>
        <w:t>1-</w:t>
      </w:r>
      <w:r>
        <w:rPr>
          <w:rFonts w:hint="eastAsia" w:ascii="Times New Roman" w:hAnsi="Times New Roman"/>
          <w:strike/>
          <w:color w:val="auto"/>
          <w:sz w:val="24"/>
          <w:szCs w:val="24"/>
          <w:highlight w:val="none"/>
        </w:rPr>
        <w:t>综合诚信评价分数权重）＋综合诚信评价排名得分</w:t>
      </w:r>
      <w:r>
        <w:rPr>
          <w:rFonts w:ascii="Times New Roman" w:hAnsi="Times New Roman"/>
          <w:strike/>
          <w:color w:val="auto"/>
          <w:sz w:val="24"/>
          <w:szCs w:val="24"/>
          <w:highlight w:val="none"/>
        </w:rPr>
        <w:t>×</w:t>
      </w:r>
      <w:r>
        <w:rPr>
          <w:rFonts w:hint="eastAsia" w:ascii="Times New Roman" w:hAnsi="Times New Roman"/>
          <w:strike/>
          <w:color w:val="auto"/>
          <w:sz w:val="24"/>
          <w:szCs w:val="24"/>
          <w:highlight w:val="none"/>
        </w:rPr>
        <w:t>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w:t>
      </w:r>
      <w:r>
        <w:rPr>
          <w:rFonts w:hint="eastAsia" w:ascii="宋体"/>
          <w:color w:val="auto"/>
          <w:sz w:val="24"/>
          <w:szCs w:val="24"/>
          <w:highlight w:val="none"/>
          <w:u w:val="single"/>
        </w:rPr>
        <w:t>评标委员会</w:t>
      </w:r>
      <w:r>
        <w:rPr>
          <w:rFonts w:hint="eastAsia" w:ascii="宋体" w:hAnsi="宋体"/>
          <w:color w:val="auto"/>
          <w:sz w:val="24"/>
          <w:szCs w:val="24"/>
          <w:highlight w:val="none"/>
          <w:u w:val="single"/>
        </w:rPr>
        <w:t>对通过</w:t>
      </w:r>
      <w:r>
        <w:rPr>
          <w:rFonts w:hint="eastAsia" w:ascii="宋体"/>
          <w:color w:val="auto"/>
          <w:sz w:val="24"/>
          <w:szCs w:val="24"/>
          <w:highlight w:val="none"/>
          <w:u w:val="single"/>
        </w:rPr>
        <w:t>技术标有效性审查合格的</w:t>
      </w:r>
      <w:r>
        <w:rPr>
          <w:rFonts w:hint="eastAsia" w:ascii="宋体" w:hAnsi="宋体"/>
          <w:color w:val="auto"/>
          <w:sz w:val="24"/>
          <w:szCs w:val="24"/>
          <w:highlight w:val="none"/>
          <w:u w:val="single"/>
        </w:rPr>
        <w:t>投标文件进行经济标有效性审查</w:t>
      </w:r>
      <w:r>
        <w:rPr>
          <w:rFonts w:hint="eastAsia" w:ascii="宋体" w:hAnsi="宋体"/>
          <w:color w:val="auto"/>
          <w:sz w:val="24"/>
          <w:szCs w:val="24"/>
          <w:highlight w:val="none"/>
        </w:rPr>
        <w:t>，投标文件中没有任一种列于本办法附表三《经济标有效性审查表》中情形的，为有效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w:t>
      </w:r>
      <w:r>
        <w:rPr>
          <w:rFonts w:hint="eastAsia" w:ascii="宋体" w:hAnsi="宋体"/>
          <w:color w:val="auto"/>
          <w:sz w:val="24"/>
          <w:szCs w:val="24"/>
          <w:highlight w:val="none"/>
          <w:u w:val="single"/>
        </w:rPr>
        <w:t>取消被否决投标的投标人被推荐为合格中标候选人的资格，其余通过全部有效性审查的投标人均被推荐为合格中标候选人</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8.评标委员会应将通过全部有效性审查的投标人</w:t>
      </w:r>
      <w:r>
        <w:rPr>
          <w:rFonts w:hint="eastAsia" w:ascii="宋体" w:hAnsi="宋体"/>
          <w:color w:val="auto"/>
          <w:sz w:val="24"/>
          <w:szCs w:val="24"/>
          <w:highlight w:val="none"/>
          <w:u w:val="single"/>
        </w:rPr>
        <w:t>推荐为合格中标候选人名单，合格的中标候选人不排序，并编制评标报告。合格的中标候选人少于3家的，应当重新招标。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50.定标</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w:t>
      </w:r>
      <w:r>
        <w:rPr>
          <w:rFonts w:ascii="宋体" w:hAnsi="宋体"/>
          <w:color w:val="auto"/>
          <w:sz w:val="24"/>
          <w:szCs w:val="24"/>
          <w:highlight w:val="none"/>
          <w:u w:val="single"/>
        </w:rPr>
        <w:t>0.1</w:t>
      </w:r>
      <w:r>
        <w:rPr>
          <w:rFonts w:hint="eastAsia" w:ascii="宋体" w:hAnsi="宋体"/>
          <w:color w:val="auto"/>
          <w:sz w:val="24"/>
          <w:szCs w:val="24"/>
          <w:highlight w:val="none"/>
          <w:u w:val="single"/>
        </w:rPr>
        <w:t>定标委员会</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评标结束后，招标人按以下规定组建定标委员会，在评标委员会提交的合格的中标候选人名单中确定中标人：</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定标由招标人</w:t>
      </w:r>
      <w:r>
        <w:rPr>
          <w:rFonts w:hint="eastAsia" w:ascii="宋体" w:hAnsi="宋体"/>
          <w:color w:val="auto"/>
          <w:sz w:val="24"/>
          <w:szCs w:val="24"/>
          <w:highlight w:val="none"/>
          <w:u w:val="single"/>
          <w:lang w:eastAsia="zh-CN"/>
        </w:rPr>
        <w:t>依法</w:t>
      </w:r>
      <w:r>
        <w:rPr>
          <w:rFonts w:hint="eastAsia" w:ascii="宋体" w:hAnsi="宋体"/>
          <w:color w:val="auto"/>
          <w:sz w:val="24"/>
          <w:szCs w:val="24"/>
          <w:highlight w:val="none"/>
          <w:u w:val="single"/>
        </w:rPr>
        <w:t>组建的定标委员会负责。</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50.2 定标时间和地点</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招标人在中标候选人公示完成后10个工作日内，在广州公共资源交易中心举行定标会议，招标人按规定程序在投标人须知的时间和地点完成定标工作。</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50.3 定标规则</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本项目采用 直接票决定标法 定标方法,定标方法如下：</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50.3.1 定标程序</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50.3.1.1定标工作开始后，发放选票，由定标委员会参考定标因素进行投票排名，定标委员会应推荐一人为定标委员会组长，主持当次定标会议。</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50.3.1.</w:t>
      </w:r>
      <w:r>
        <w:rPr>
          <w:rFonts w:ascii="宋体" w:hAnsi="宋体"/>
          <w:color w:val="auto"/>
          <w:sz w:val="24"/>
          <w:szCs w:val="24"/>
          <w:highlight w:val="none"/>
          <w:u w:val="single"/>
        </w:rPr>
        <w:t>2</w:t>
      </w:r>
      <w:r>
        <w:rPr>
          <w:rFonts w:hint="eastAsia" w:ascii="宋体" w:hAnsi="宋体"/>
          <w:color w:val="auto"/>
          <w:sz w:val="24"/>
          <w:szCs w:val="24"/>
          <w:highlight w:val="none"/>
          <w:u w:val="single"/>
        </w:rPr>
        <w:t>定标参考资料为评标阶段的评标报告、投标人提交的投标文件</w:t>
      </w:r>
      <w:r>
        <w:rPr>
          <w:rFonts w:hint="eastAsia" w:ascii="宋体" w:hAnsi="宋体"/>
          <w:color w:val="auto"/>
          <w:sz w:val="24"/>
          <w:szCs w:val="24"/>
          <w:highlight w:val="none"/>
          <w:u w:val="single"/>
          <w:lang w:eastAsia="zh-CN"/>
        </w:rPr>
        <w:t>等</w:t>
      </w:r>
      <w:r>
        <w:rPr>
          <w:rFonts w:hint="eastAsia" w:ascii="宋体" w:hAnsi="宋体"/>
          <w:color w:val="auto"/>
          <w:sz w:val="24"/>
          <w:szCs w:val="24"/>
          <w:highlight w:val="none"/>
          <w:u w:val="singl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50.3.1.</w:t>
      </w:r>
      <w:r>
        <w:rPr>
          <w:rFonts w:ascii="宋体" w:hAnsi="宋体"/>
          <w:color w:val="auto"/>
          <w:sz w:val="24"/>
          <w:szCs w:val="24"/>
          <w:highlight w:val="none"/>
          <w:u w:val="single"/>
        </w:rPr>
        <w:t>3</w:t>
      </w:r>
      <w:r>
        <w:rPr>
          <w:rFonts w:hint="eastAsia" w:ascii="宋体" w:hAnsi="宋体"/>
          <w:color w:val="auto"/>
          <w:sz w:val="24"/>
          <w:szCs w:val="24"/>
          <w:highlight w:val="none"/>
          <w:u w:val="single"/>
        </w:rPr>
        <w:t>定标委员会根据定标因素及定标参考资料进行记名投票，确定中标人，定标因素详见附表</w:t>
      </w:r>
      <w:r>
        <w:rPr>
          <w:rFonts w:hint="eastAsia" w:ascii="宋体" w:hAnsi="宋体"/>
          <w:color w:val="auto"/>
          <w:sz w:val="24"/>
          <w:szCs w:val="24"/>
          <w:highlight w:val="none"/>
          <w:u w:val="single"/>
          <w:lang w:eastAsia="zh-CN"/>
        </w:rPr>
        <w:t>四</w:t>
      </w:r>
      <w:r>
        <w:rPr>
          <w:rFonts w:hint="eastAsia" w:ascii="宋体" w:hAnsi="宋体"/>
          <w:color w:val="auto"/>
          <w:sz w:val="24"/>
          <w:szCs w:val="24"/>
          <w:highlight w:val="none"/>
          <w:u w:val="singl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50.3.1.</w:t>
      </w:r>
      <w:r>
        <w:rPr>
          <w:rFonts w:ascii="宋体" w:hAnsi="宋体"/>
          <w:color w:val="auto"/>
          <w:sz w:val="24"/>
          <w:szCs w:val="24"/>
          <w:highlight w:val="none"/>
          <w:u w:val="single"/>
        </w:rPr>
        <w:t>4</w:t>
      </w:r>
      <w:r>
        <w:rPr>
          <w:rFonts w:hint="eastAsia" w:ascii="宋体" w:hAnsi="宋体"/>
          <w:color w:val="auto"/>
          <w:sz w:val="24"/>
          <w:szCs w:val="24"/>
          <w:highlight w:val="none"/>
          <w:u w:val="single"/>
        </w:rPr>
        <w:t>投票规则：定标委员会根据定标因素及定标参考资料对各投标人进行综合比较后，</w:t>
      </w:r>
      <w:bookmarkStart w:id="17" w:name="_Hlk59107287"/>
      <w:r>
        <w:rPr>
          <w:rFonts w:hint="eastAsia" w:ascii="宋体" w:hAnsi="宋体"/>
          <w:color w:val="auto"/>
          <w:sz w:val="24"/>
          <w:szCs w:val="24"/>
          <w:highlight w:val="none"/>
          <w:u w:val="single"/>
        </w:rPr>
        <w:t>进行一次性票决并排序</w:t>
      </w:r>
      <w:bookmarkEnd w:id="17"/>
      <w:r>
        <w:rPr>
          <w:rFonts w:hint="eastAsia" w:ascii="宋体" w:hAnsi="宋体"/>
          <w:color w:val="auto"/>
          <w:sz w:val="24"/>
          <w:szCs w:val="24"/>
          <w:highlight w:val="none"/>
          <w:u w:val="single"/>
        </w:rPr>
        <w:t>（记名投票+撰写评语），每位定标委员会成员只有1票表决权（即只能对其中一家投标人投票），得票数最多的投标人将被确认为中标人，若出现票数相同且无法决出排名时，票数相同的再进行一次性票决，直至决出中标人。选票格式及票决方式详见本章附表</w:t>
      </w:r>
      <w:r>
        <w:rPr>
          <w:rFonts w:hint="eastAsia" w:ascii="宋体" w:hAnsi="宋体"/>
          <w:color w:val="auto"/>
          <w:sz w:val="24"/>
          <w:szCs w:val="24"/>
          <w:highlight w:val="none"/>
          <w:u w:val="single"/>
          <w:lang w:eastAsia="zh-CN"/>
        </w:rPr>
        <w:t>五</w:t>
      </w:r>
      <w:r>
        <w:rPr>
          <w:rFonts w:hint="eastAsia" w:ascii="宋体" w:hAnsi="宋体"/>
          <w:color w:val="auto"/>
          <w:sz w:val="24"/>
          <w:szCs w:val="24"/>
          <w:highlight w:val="none"/>
          <w:u w:val="single"/>
        </w:rPr>
        <w:t>，附表</w:t>
      </w:r>
      <w:r>
        <w:rPr>
          <w:rFonts w:hint="eastAsia" w:ascii="宋体" w:hAnsi="宋体"/>
          <w:color w:val="auto"/>
          <w:sz w:val="24"/>
          <w:szCs w:val="24"/>
          <w:highlight w:val="none"/>
          <w:u w:val="single"/>
          <w:lang w:eastAsia="zh-CN"/>
        </w:rPr>
        <w:t>六</w:t>
      </w:r>
      <w:r>
        <w:rPr>
          <w:rFonts w:hint="eastAsia" w:ascii="宋体" w:hAnsi="宋体"/>
          <w:color w:val="auto"/>
          <w:sz w:val="24"/>
          <w:szCs w:val="24"/>
          <w:highlight w:val="none"/>
          <w:u w:val="singl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50.3.1.</w:t>
      </w:r>
      <w:r>
        <w:rPr>
          <w:rFonts w:ascii="宋体" w:hAnsi="宋体"/>
          <w:color w:val="auto"/>
          <w:sz w:val="24"/>
          <w:szCs w:val="24"/>
          <w:highlight w:val="none"/>
          <w:u w:val="single"/>
        </w:rPr>
        <w:t>5</w:t>
      </w:r>
      <w:r>
        <w:rPr>
          <w:rFonts w:hint="eastAsia" w:ascii="宋体" w:hAnsi="宋体"/>
          <w:color w:val="auto"/>
          <w:sz w:val="24"/>
          <w:szCs w:val="24"/>
          <w:highlight w:val="none"/>
          <w:u w:val="single"/>
        </w:rPr>
        <w:t>定标委员会中的各定标委员应独立投票，可以弃权，当弃权票数达到定标委员会人数50%或以上时，本次定标会无效，招标人应重新招标。</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50.3.1.</w:t>
      </w:r>
      <w:r>
        <w:rPr>
          <w:rFonts w:ascii="宋体" w:hAnsi="宋体"/>
          <w:color w:val="auto"/>
          <w:sz w:val="24"/>
          <w:szCs w:val="24"/>
          <w:highlight w:val="none"/>
          <w:u w:val="single"/>
        </w:rPr>
        <w:t>6</w:t>
      </w:r>
      <w:r>
        <w:rPr>
          <w:rFonts w:hint="eastAsia" w:ascii="宋体" w:hAnsi="宋体"/>
          <w:color w:val="auto"/>
          <w:sz w:val="24"/>
          <w:szCs w:val="24"/>
          <w:highlight w:val="none"/>
          <w:u w:val="single"/>
        </w:rPr>
        <w:t>定标委员会根据选票情况确定中标人后，撰写、签署定标报告。定标报告由定标委员会全体成员签字，对定标结论持有异议的评委应以书面方式阐述其不同意见和理由。</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50.3.1.</w:t>
      </w:r>
      <w:r>
        <w:rPr>
          <w:rFonts w:ascii="宋体" w:hAnsi="宋体"/>
          <w:color w:val="auto"/>
          <w:sz w:val="24"/>
          <w:szCs w:val="24"/>
          <w:highlight w:val="none"/>
          <w:u w:val="single"/>
        </w:rPr>
        <w:t>7</w:t>
      </w:r>
      <w:r>
        <w:rPr>
          <w:rFonts w:hint="eastAsia" w:ascii="宋体" w:hAnsi="宋体"/>
          <w:color w:val="auto"/>
          <w:sz w:val="24"/>
          <w:szCs w:val="24"/>
          <w:highlight w:val="none"/>
          <w:u w:val="single"/>
        </w:rPr>
        <w:t>定标委员会向招标人提交书面定标报告后即解散，定标过程中使用的文件、表格以及其他资料不得私自带离。</w:t>
      </w:r>
    </w:p>
    <w:p>
      <w:pPr>
        <w:spacing w:line="360" w:lineRule="auto"/>
        <w:ind w:firstLine="480" w:firstLineChars="200"/>
        <w:rPr>
          <w:rFonts w:ascii="宋体" w:hAnsi="宋体"/>
          <w:color w:val="auto"/>
          <w:szCs w:val="21"/>
          <w:highlight w:val="none"/>
        </w:rPr>
      </w:pPr>
      <w:r>
        <w:rPr>
          <w:rFonts w:hint="eastAsia" w:ascii="宋体" w:hAnsi="宋体"/>
          <w:color w:val="auto"/>
          <w:sz w:val="24"/>
          <w:szCs w:val="24"/>
          <w:highlight w:val="none"/>
          <w:u w:val="single"/>
        </w:rPr>
        <w:t>50.4招标人应当在定标工作完成后的3日内公示中标结果。公示内容包括：定标时间、所有合格的中标候选人的评语或票数及理由、中标人等内容。</w:t>
      </w:r>
    </w:p>
    <w:p>
      <w:pPr>
        <w:spacing w:line="360" w:lineRule="auto"/>
        <w:ind w:firstLine="420" w:firstLineChars="200"/>
        <w:rPr>
          <w:rFonts w:hint="eastAsia" w:ascii="宋体" w:hAnsi="宋体"/>
          <w:color w:val="auto"/>
          <w:szCs w:val="21"/>
          <w:highlight w:val="none"/>
        </w:rPr>
        <w:sectPr>
          <w:headerReference r:id="rId4" w:type="first"/>
          <w:footerReference r:id="rId7" w:type="first"/>
          <w:footerReference r:id="rId5" w:type="default"/>
          <w:headerReference r:id="rId3" w:type="even"/>
          <w:footerReference r:id="rId6" w:type="even"/>
          <w:endnotePr>
            <w:numFmt w:val="decimal"/>
          </w:endnotePr>
          <w:pgSz w:w="11906" w:h="16838"/>
          <w:pgMar w:top="1134" w:right="1304" w:bottom="1247" w:left="1304" w:header="851" w:footer="907" w:gutter="0"/>
          <w:pgNumType w:start="0"/>
          <w:cols w:space="720" w:num="1"/>
          <w:titlePg/>
          <w:docGrid w:type="lines" w:linePitch="312" w:charSpace="0"/>
        </w:sect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附表一：资格审查表</w:t>
      </w:r>
    </w:p>
    <w:p>
      <w:pPr>
        <w:pStyle w:val="8"/>
        <w:spacing w:before="0" w:beforeAutospacing="0" w:after="0" w:afterAutospacing="0"/>
        <w:ind w:firstLine="643" w:firstLineChars="200"/>
        <w:jc w:val="center"/>
        <w:rPr>
          <w:b/>
          <w:bCs/>
          <w:color w:val="auto"/>
          <w:sz w:val="32"/>
          <w:szCs w:val="32"/>
          <w:highlight w:val="none"/>
        </w:rPr>
      </w:pPr>
      <w:bookmarkStart w:id="18" w:name="_Toc14784"/>
      <w:r>
        <w:rPr>
          <w:rFonts w:hint="eastAsia"/>
          <w:b/>
          <w:bCs/>
          <w:color w:val="auto"/>
          <w:sz w:val="32"/>
          <w:szCs w:val="32"/>
          <w:highlight w:val="none"/>
        </w:rPr>
        <w:t>资格审查表</w:t>
      </w:r>
      <w:bookmarkEnd w:id="18"/>
    </w:p>
    <w:p>
      <w:pPr>
        <w:spacing w:line="276" w:lineRule="auto"/>
        <w:rPr>
          <w:rFonts w:ascii="宋体" w:hAnsi="宋体"/>
          <w:color w:val="auto"/>
          <w:sz w:val="24"/>
          <w:szCs w:val="24"/>
          <w:highlight w:val="none"/>
        </w:rPr>
      </w:pPr>
      <w:r>
        <w:rPr>
          <w:rFonts w:hint="eastAsia" w:ascii="宋体" w:hAnsi="宋体"/>
          <w:color w:val="auto"/>
          <w:sz w:val="24"/>
          <w:szCs w:val="24"/>
          <w:highlight w:val="none"/>
        </w:rPr>
        <w:t>工程名称：</w:t>
      </w:r>
    </w:p>
    <w:p>
      <w:pPr>
        <w:spacing w:line="276" w:lineRule="auto"/>
        <w:rPr>
          <w:rFonts w:ascii="宋体" w:hAnsi="宋体"/>
          <w:color w:val="auto"/>
          <w:sz w:val="24"/>
          <w:szCs w:val="24"/>
          <w:highlight w:val="none"/>
        </w:rPr>
      </w:pPr>
      <w:r>
        <w:rPr>
          <w:rFonts w:hint="eastAsia" w:ascii="宋体" w:hAnsi="宋体"/>
          <w:color w:val="auto"/>
          <w:sz w:val="24"/>
          <w:szCs w:val="24"/>
          <w:highlight w:val="none"/>
        </w:rPr>
        <w:t>投标人名称：</w:t>
      </w:r>
    </w:p>
    <w:tbl>
      <w:tblPr>
        <w:tblStyle w:val="34"/>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494"/>
        <w:gridCol w:w="3857"/>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44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85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44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85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44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投标人具有独立法人资格，按国家法律经营</w:t>
            </w:r>
          </w:p>
        </w:tc>
        <w:tc>
          <w:tcPr>
            <w:tcW w:w="385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w:t>
            </w:r>
          </w:p>
        </w:tc>
        <w:tc>
          <w:tcPr>
            <w:tcW w:w="7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44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投标人持有建设行政主管部门颁发的企业资质证书及安全生产许可证；投标人资质符合公告要求</w:t>
            </w:r>
          </w:p>
        </w:tc>
        <w:tc>
          <w:tcPr>
            <w:tcW w:w="385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w:t>
            </w:r>
          </w:p>
        </w:tc>
        <w:tc>
          <w:tcPr>
            <w:tcW w:w="7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44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85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color w:val="auto"/>
                <w:highlight w:val="none"/>
              </w:rPr>
            </w:pPr>
            <w:r>
              <w:rPr>
                <w:rFonts w:hint="eastAsia"/>
                <w:color w:val="auto"/>
                <w:highlight w:val="none"/>
              </w:rPr>
              <w:t>建造师注册证书</w:t>
            </w:r>
          </w:p>
        </w:tc>
        <w:tc>
          <w:tcPr>
            <w:tcW w:w="7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44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持有项目负责人安全培训考核合格证（B类）或建筑施工企业项目负责人安全生产考核合格证</w:t>
            </w:r>
          </w:p>
        </w:tc>
        <w:tc>
          <w:tcPr>
            <w:tcW w:w="385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项目负责人安全培训考核合格证（B证）或建筑施工企业项目负责人安全生产考核合格证</w:t>
            </w:r>
          </w:p>
        </w:tc>
        <w:tc>
          <w:tcPr>
            <w:tcW w:w="7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449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color w:val="auto"/>
                <w:szCs w:val="21"/>
                <w:highlight w:val="none"/>
              </w:rPr>
              <w:t>专职安全员须具有安全生产考核合格证（C类</w:t>
            </w:r>
            <w:r>
              <w:rPr>
                <w:rFonts w:hint="eastAsia" w:ascii="宋体"/>
                <w:color w:val="auto"/>
                <w:szCs w:val="21"/>
                <w:highlight w:val="none"/>
                <w:lang w:val="en-US" w:eastAsia="zh-CN"/>
              </w:rPr>
              <w:t>或C3类</w:t>
            </w:r>
            <w:r>
              <w:rPr>
                <w:rFonts w:hint="eastAsia" w:ascii="宋体"/>
                <w:color w:val="auto"/>
                <w:szCs w:val="21"/>
                <w:highlight w:val="none"/>
              </w:rPr>
              <w:t>）或建筑施工企业专职安全生产管理人员安全生产考核合格证书</w:t>
            </w:r>
          </w:p>
        </w:tc>
        <w:tc>
          <w:tcPr>
            <w:tcW w:w="385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eastAsia="宋体" w:cs="宋体"/>
                <w:color w:val="auto"/>
                <w:szCs w:val="21"/>
                <w:highlight w:val="none"/>
              </w:rPr>
              <w:t>专职安全员的安全生产考核合格证（C证）的</w:t>
            </w:r>
            <w:r>
              <w:rPr>
                <w:rFonts w:hint="eastAsia" w:ascii="宋体" w:hAnsi="宋体" w:eastAsia="宋体" w:cs="宋体"/>
                <w:bCs/>
                <w:color w:val="auto"/>
                <w:szCs w:val="21"/>
                <w:highlight w:val="none"/>
              </w:rPr>
              <w:t>复印件并加盖公章</w:t>
            </w:r>
            <w:r>
              <w:rPr>
                <w:rFonts w:hint="eastAsia" w:ascii="宋体" w:hAnsi="宋体" w:eastAsia="宋体" w:cs="宋体"/>
                <w:color w:val="auto"/>
                <w:szCs w:val="21"/>
                <w:highlight w:val="none"/>
              </w:rPr>
              <w:t>或广东省建筑施工企业管理人员安全生产考核信息系统安全生产管理人员证书信息的网页截图</w:t>
            </w:r>
            <w:r>
              <w:rPr>
                <w:rFonts w:hint="eastAsia" w:ascii="宋体" w:hAnsi="宋体" w:eastAsia="宋体" w:cs="宋体"/>
                <w:color w:val="auto"/>
                <w:szCs w:val="21"/>
                <w:highlight w:val="none"/>
                <w:lang w:eastAsia="zh-CN"/>
              </w:rPr>
              <w:t>，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tc>
        <w:tc>
          <w:tcPr>
            <w:tcW w:w="7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44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85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449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关于联合体投标：本项目不接受联合体投标</w:t>
            </w:r>
          </w:p>
        </w:tc>
        <w:tc>
          <w:tcPr>
            <w:tcW w:w="385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非联合体投标</w:t>
            </w:r>
          </w:p>
        </w:tc>
        <w:tc>
          <w:tcPr>
            <w:tcW w:w="7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备注：</w:t>
      </w:r>
    </w:p>
    <w:p>
      <w:pPr>
        <w:spacing w:line="240" w:lineRule="auto"/>
        <w:ind w:firstLine="470" w:firstLineChars="224"/>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p>
    <w:p>
      <w:pPr>
        <w:spacing w:line="240" w:lineRule="auto"/>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pStyle w:val="10"/>
        <w:spacing w:line="240" w:lineRule="auto"/>
        <w:rPr>
          <w:color w:val="auto"/>
          <w:sz w:val="21"/>
          <w:highlight w:val="none"/>
          <w:lang w:val="en-US"/>
        </w:rPr>
      </w:pPr>
      <w:r>
        <w:rPr>
          <w:rFonts w:hint="eastAsia"/>
          <w:color w:val="auto"/>
          <w:sz w:val="21"/>
          <w:highlight w:val="none"/>
          <w:lang w:val="en-US"/>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2"/>
        <w:rPr>
          <w:color w:val="auto"/>
          <w:highlight w:val="none"/>
        </w:rPr>
        <w:sectPr>
          <w:endnotePr>
            <w:numFmt w:val="decimal"/>
          </w:endnotePr>
          <w:pgSz w:w="11906" w:h="16838"/>
          <w:pgMar w:top="1134" w:right="1304" w:bottom="1247" w:left="1304" w:header="851" w:footer="907" w:gutter="0"/>
          <w:pgNumType w:start="0"/>
          <w:cols w:space="720" w:num="1"/>
          <w:titlePg/>
          <w:docGrid w:type="lines" w:linePitch="312" w:charSpace="0"/>
        </w:sectPr>
      </w:pPr>
    </w:p>
    <w:p>
      <w:pPr>
        <w:rPr>
          <w:rFonts w:ascii="宋体" w:hAnsi="宋体"/>
          <w:color w:val="auto"/>
          <w:szCs w:val="21"/>
          <w:highlight w:val="none"/>
        </w:rPr>
      </w:pPr>
      <w:r>
        <w:rPr>
          <w:rFonts w:hint="eastAsia" w:ascii="宋体" w:hAnsi="宋体"/>
          <w:color w:val="auto"/>
          <w:szCs w:val="21"/>
          <w:highlight w:val="none"/>
        </w:rPr>
        <w:t>附表二</w:t>
      </w:r>
    </w:p>
    <w:p>
      <w:pPr>
        <w:pStyle w:val="8"/>
        <w:spacing w:before="156" w:after="156"/>
        <w:ind w:firstLine="723" w:firstLineChars="200"/>
        <w:jc w:val="center"/>
        <w:rPr>
          <w:b/>
          <w:bCs/>
          <w:color w:val="auto"/>
          <w:sz w:val="36"/>
          <w:szCs w:val="36"/>
          <w:highlight w:val="none"/>
        </w:rPr>
      </w:pPr>
      <w:bookmarkStart w:id="19" w:name="_Toc7924"/>
      <w:r>
        <w:rPr>
          <w:rFonts w:hint="eastAsia"/>
          <w:b/>
          <w:bCs/>
          <w:color w:val="auto"/>
          <w:sz w:val="36"/>
          <w:szCs w:val="36"/>
          <w:highlight w:val="none"/>
        </w:rPr>
        <w:t>技术标有效性审查表</w:t>
      </w:r>
      <w:bookmarkEnd w:id="19"/>
    </w:p>
    <w:p>
      <w:pPr>
        <w:rPr>
          <w:rFonts w:ascii="宋体" w:hAnsi="宋体"/>
          <w:color w:val="auto"/>
          <w:szCs w:val="21"/>
          <w:highlight w:val="none"/>
        </w:rPr>
      </w:pPr>
      <w:r>
        <w:rPr>
          <w:rFonts w:hint="eastAsia" w:ascii="宋体" w:hAnsi="宋体"/>
          <w:color w:val="auto"/>
          <w:szCs w:val="21"/>
          <w:highlight w:val="none"/>
        </w:rPr>
        <w:t>工程名称：</w:t>
      </w:r>
    </w:p>
    <w:tbl>
      <w:tblPr>
        <w:tblStyle w:val="34"/>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370"/>
        <w:gridCol w:w="1630"/>
        <w:gridCol w:w="1630"/>
        <w:gridCol w:w="1630"/>
        <w:gridCol w:w="1630"/>
        <w:gridCol w:w="163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4370" w:type="dxa"/>
            <w:tcBorders>
              <w:top w:val="single" w:color="auto" w:sz="4" w:space="0"/>
              <w:left w:val="single" w:color="auto" w:sz="4" w:space="0"/>
              <w:bottom w:val="single" w:color="auto" w:sz="4" w:space="0"/>
              <w:right w:val="single" w:color="auto" w:sz="4" w:space="0"/>
              <w:tl2br w:val="single" w:color="auto" w:sz="4" w:space="0"/>
            </w:tcBorders>
          </w:tcPr>
          <w:p>
            <w:pPr>
              <w:adjustRightInd w:val="0"/>
              <w:jc w:val="right"/>
              <w:rPr>
                <w:rFonts w:ascii="宋体" w:hAnsi="宋体"/>
                <w:color w:val="auto"/>
                <w:szCs w:val="21"/>
                <w:highlight w:val="none"/>
              </w:rPr>
            </w:pP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4" w:beforeLines="40" w:after="124" w:afterLines="40" w:line="240" w:lineRule="exact"/>
              <w:rPr>
                <w:rFonts w:ascii="宋体" w:hAnsi="宋体"/>
                <w:color w:val="auto"/>
                <w:szCs w:val="21"/>
                <w:highlight w:val="none"/>
              </w:rPr>
            </w:pPr>
            <w:r>
              <w:rPr>
                <w:rFonts w:hint="eastAsia" w:ascii="宋体" w:hAnsi="宋体"/>
                <w:color w:val="auto"/>
                <w:szCs w:val="21"/>
                <w:highlight w:val="none"/>
                <w:u w:val="single"/>
              </w:rPr>
              <w:t>《建设工程施工招标投标书》中的总工期不符合招标文件要求的；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4" w:beforeLines="40" w:after="124" w:afterLines="40" w:line="240" w:lineRule="exact"/>
              <w:rPr>
                <w:rFonts w:ascii="宋体" w:hAnsi="宋体"/>
                <w:color w:val="auto"/>
                <w:szCs w:val="21"/>
                <w:highlight w:val="none"/>
              </w:rPr>
            </w:pPr>
            <w:r>
              <w:rPr>
                <w:rFonts w:hint="eastAsia" w:ascii="宋体" w:hAnsi="宋体"/>
                <w:color w:val="auto"/>
                <w:szCs w:val="21"/>
                <w:highlight w:val="none"/>
                <w:u w:val="single"/>
              </w:rPr>
              <w:t>《建设工程施工招标投标书》中的工程质量标准不符合招标文件要求的；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4" w:beforeLines="40" w:after="124" w:afterLines="40" w:line="240" w:lineRule="exact"/>
              <w:rPr>
                <w:rFonts w:ascii="宋体" w:hAnsi="宋体"/>
                <w:color w:val="auto"/>
                <w:szCs w:val="21"/>
                <w:highlight w:val="none"/>
                <w:u w:val="single"/>
              </w:rPr>
            </w:pPr>
            <w:r>
              <w:rPr>
                <w:rFonts w:hint="eastAsia" w:ascii="宋体" w:hAnsi="宋体"/>
                <w:color w:val="auto"/>
                <w:highlight w:val="none"/>
              </w:rPr>
              <w:t>投标文件中没有有效的法定代表人证明书，或由委托代理人签署或盖章的投标文件中没有法定代表人授权书；</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78" w:beforeLines="25" w:after="78" w:afterLines="25" w:line="240" w:lineRule="exact"/>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78" w:beforeLines="25" w:after="78" w:afterLines="25" w:line="240" w:lineRule="exact"/>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投标人之间存在《广东省实施&lt;中华人民共和国招标投标法&gt;办法》第十六条所禁止的情形的；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78" w:beforeLines="25" w:after="78" w:afterLines="25" w:line="240" w:lineRule="exact"/>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78" w:beforeLines="25" w:after="78" w:afterLines="25" w:line="240" w:lineRule="exact"/>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8</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78" w:beforeLines="25" w:after="78" w:afterLines="25" w:line="240" w:lineRule="exact"/>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20" w:firstLineChars="200"/>
        <w:rPr>
          <w:rFonts w:ascii="宋体" w:hAnsi="宋体"/>
          <w:color w:val="auto"/>
          <w:spacing w:val="-4"/>
          <w:highlight w:val="none"/>
          <w:u w:val="single"/>
        </w:rPr>
      </w:pPr>
      <w:r>
        <w:rPr>
          <w:rFonts w:hint="eastAsia" w:ascii="宋体" w:hAnsi="宋体"/>
          <w:color w:val="auto"/>
          <w:szCs w:val="21"/>
          <w:highlight w:val="none"/>
        </w:rPr>
        <w:t>5.</w:t>
      </w:r>
      <w:r>
        <w:rPr>
          <w:rFonts w:hint="eastAsia" w:ascii="宋体" w:hAnsi="宋体"/>
          <w:color w:val="auto"/>
          <w:szCs w:val="21"/>
          <w:highlight w:val="none"/>
          <w:u w:val="single"/>
        </w:rPr>
        <w:t>本表中第</w:t>
      </w:r>
      <w:r>
        <w:rPr>
          <w:rFonts w:ascii="宋体" w:hAnsi="宋体"/>
          <w:color w:val="auto"/>
          <w:szCs w:val="21"/>
          <w:highlight w:val="none"/>
          <w:u w:val="single"/>
        </w:rPr>
        <w:t>4</w:t>
      </w:r>
      <w:r>
        <w:rPr>
          <w:rFonts w:hint="eastAsia" w:ascii="宋体" w:hAnsi="宋体"/>
          <w:color w:val="auto"/>
          <w:szCs w:val="21"/>
          <w:highlight w:val="none"/>
          <w:u w:val="single"/>
        </w:rPr>
        <w:t>点，投标文件规定格式（即参与评审的格式）为</w:t>
      </w:r>
      <w:r>
        <w:rPr>
          <w:rFonts w:hint="eastAsia" w:ascii="宋体" w:hAnsi="宋体"/>
          <w:color w:val="auto"/>
          <w:spacing w:val="-4"/>
          <w:highlight w:val="none"/>
          <w:u w:val="single"/>
        </w:rPr>
        <w:t>技术标投标文件格式的格式二、格式四、格式八、格式十、格式十三、格式十四。</w:t>
      </w:r>
    </w:p>
    <w:p>
      <w:pPr>
        <w:ind w:firstLine="420" w:firstLineChars="200"/>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评委签名：</w:t>
      </w:r>
    </w:p>
    <w:p>
      <w:pPr>
        <w:rPr>
          <w:rFonts w:ascii="宋体" w:hAnsi="宋体"/>
          <w:color w:val="auto"/>
          <w:szCs w:val="21"/>
          <w:highlight w:val="none"/>
        </w:rPr>
      </w:pPr>
      <w:r>
        <w:rPr>
          <w:rFonts w:ascii="宋体" w:hAnsi="宋体"/>
          <w:color w:val="auto"/>
          <w:highlight w:val="none"/>
        </w:rPr>
        <w:br w:type="page"/>
      </w:r>
      <w:r>
        <w:rPr>
          <w:rFonts w:hint="eastAsia" w:ascii="宋体" w:hAnsi="宋体"/>
          <w:color w:val="auto"/>
          <w:szCs w:val="21"/>
          <w:highlight w:val="none"/>
        </w:rPr>
        <w:t>附表三</w:t>
      </w:r>
    </w:p>
    <w:p>
      <w:pPr>
        <w:pStyle w:val="8"/>
        <w:spacing w:before="156" w:after="156"/>
        <w:ind w:firstLine="723" w:firstLineChars="200"/>
        <w:jc w:val="center"/>
        <w:rPr>
          <w:b/>
          <w:bCs/>
          <w:color w:val="auto"/>
          <w:sz w:val="36"/>
          <w:szCs w:val="36"/>
          <w:highlight w:val="none"/>
        </w:rPr>
      </w:pPr>
      <w:bookmarkStart w:id="20" w:name="_Toc3563"/>
      <w:r>
        <w:rPr>
          <w:rFonts w:hint="eastAsia"/>
          <w:b/>
          <w:bCs/>
          <w:color w:val="auto"/>
          <w:sz w:val="36"/>
          <w:szCs w:val="36"/>
          <w:highlight w:val="none"/>
        </w:rPr>
        <w:t>经济标有效性审查表</w:t>
      </w:r>
      <w:bookmarkEnd w:id="20"/>
    </w:p>
    <w:p>
      <w:pPr>
        <w:rPr>
          <w:rFonts w:ascii="宋体" w:hAnsi="宋体"/>
          <w:color w:val="auto"/>
          <w:szCs w:val="21"/>
          <w:highlight w:val="none"/>
        </w:rPr>
      </w:pPr>
      <w:r>
        <w:rPr>
          <w:rFonts w:hint="eastAsia" w:ascii="宋体" w:hAnsi="宋体"/>
          <w:color w:val="auto"/>
          <w:szCs w:val="21"/>
          <w:highlight w:val="none"/>
        </w:rPr>
        <w:t>工程名称：</w:t>
      </w:r>
    </w:p>
    <w:tbl>
      <w:tblPr>
        <w:tblStyle w:val="34"/>
        <w:tblW w:w="14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073"/>
        <w:gridCol w:w="1125"/>
        <w:gridCol w:w="1125"/>
        <w:gridCol w:w="1126"/>
        <w:gridCol w:w="1125"/>
        <w:gridCol w:w="1125"/>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r>
              <w:rPr>
                <w:rFonts w:hint="eastAsia" w:ascii="宋体" w:hAnsi="宋体"/>
                <w:color w:val="auto"/>
                <w:szCs w:val="21"/>
                <w:highlight w:val="none"/>
              </w:rPr>
              <w:t>序号</w:t>
            </w:r>
          </w:p>
        </w:tc>
        <w:tc>
          <w:tcPr>
            <w:tcW w:w="7073" w:type="dxa"/>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jc w:val="right"/>
              <w:rPr>
                <w:rFonts w:ascii="宋体" w:hAnsi="宋体"/>
                <w:color w:val="auto"/>
                <w:szCs w:val="21"/>
                <w:highlight w:val="none"/>
              </w:rPr>
            </w:pPr>
            <w:r>
              <w:rPr>
                <w:rFonts w:hint="eastAsia" w:ascii="宋体" w:hAnsi="宋体"/>
                <w:color w:val="auto"/>
                <w:szCs w:val="21"/>
                <w:highlight w:val="none"/>
              </w:rPr>
              <w:t>投标人</w:t>
            </w:r>
          </w:p>
          <w:p>
            <w:pPr>
              <w:snapToGrid w:val="0"/>
              <w:jc w:val="left"/>
              <w:rPr>
                <w:rFonts w:ascii="宋体" w:hAnsi="宋体"/>
                <w:color w:val="auto"/>
                <w:szCs w:val="21"/>
                <w:highlight w:val="none"/>
              </w:rPr>
            </w:pPr>
            <w:r>
              <w:rPr>
                <w:rFonts w:hint="eastAsia" w:ascii="宋体" w:hAnsi="宋体"/>
                <w:color w:val="auto"/>
                <w:szCs w:val="21"/>
                <w:highlight w:val="none"/>
              </w:rPr>
              <w:t>评审内容</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r>
              <w:rPr>
                <w:rFonts w:ascii="宋体" w:hAnsi="宋体"/>
                <w:color w:val="auto"/>
                <w:szCs w:val="21"/>
                <w:highlight w:val="none"/>
              </w:rPr>
              <w:t>1</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109" w:beforeLines="35" w:after="109" w:afterLines="35"/>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2</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109" w:beforeLines="35" w:after="109" w:afterLines="35" w:line="240" w:lineRule="atLeast"/>
              <w:rPr>
                <w:rFonts w:ascii="宋体" w:hAnsi="宋体"/>
                <w:color w:val="auto"/>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u w:val="single"/>
              </w:rPr>
              <w:t>总价</w:t>
            </w:r>
            <w:r>
              <w:rPr>
                <w:rFonts w:hint="eastAsia" w:ascii="宋体" w:hAnsi="宋体"/>
                <w:color w:val="auto"/>
                <w:szCs w:val="21"/>
                <w:highlight w:val="none"/>
              </w:rPr>
              <w:t>高于最高投标限价的，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r>
              <w:rPr>
                <w:rFonts w:ascii="宋体" w:hAnsi="宋体"/>
                <w:color w:val="auto"/>
                <w:szCs w:val="21"/>
                <w:highlight w:val="none"/>
              </w:rPr>
              <w:t>3</w:t>
            </w:r>
          </w:p>
        </w:tc>
        <w:tc>
          <w:tcPr>
            <w:tcW w:w="70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109" w:beforeLines="35" w:after="109" w:afterLines="35"/>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109" w:beforeLines="35" w:after="109" w:afterLines="35"/>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109" w:beforeLines="35" w:after="109" w:afterLines="35"/>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109" w:beforeLines="35" w:after="109" w:afterLines="35"/>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109" w:beforeLines="35" w:after="109" w:afterLines="35"/>
              <w:rPr>
                <w:rFonts w:ascii="宋体" w:hAnsi="宋体"/>
                <w:color w:val="auto"/>
                <w:szCs w:val="21"/>
                <w:highlight w:val="none"/>
              </w:rPr>
            </w:pPr>
            <w:r>
              <w:rPr>
                <w:rFonts w:hint="eastAsia" w:ascii="宋体" w:hAnsi="宋体"/>
                <w:color w:val="auto"/>
                <w:szCs w:val="21"/>
                <w:highlight w:val="none"/>
              </w:rPr>
              <w:t>无《对投标文件编制的承诺》；</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58"/>
        <w:rPr>
          <w:color w:val="auto"/>
          <w:highlight w:val="none"/>
        </w:rPr>
      </w:pPr>
      <w:r>
        <w:rPr>
          <w:rFonts w:hint="eastAsia"/>
          <w:color w:val="auto"/>
          <w:highlight w:val="none"/>
          <w:lang w:val="en-US" w:eastAsia="zh-CN"/>
        </w:rPr>
        <w:t>4.</w:t>
      </w:r>
      <w:r>
        <w:rPr>
          <w:rFonts w:hint="eastAsia"/>
          <w:color w:val="auto"/>
          <w:highlight w:val="none"/>
          <w:lang w:val="en-US"/>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ind w:firstLine="458"/>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u w:val="single"/>
        </w:rPr>
        <w:t>本表中第</w:t>
      </w:r>
      <w:r>
        <w:rPr>
          <w:rFonts w:ascii="宋体" w:hAnsi="宋体"/>
          <w:color w:val="auto"/>
          <w:szCs w:val="21"/>
          <w:highlight w:val="none"/>
          <w:u w:val="single"/>
        </w:rPr>
        <w:t>5</w:t>
      </w:r>
      <w:r>
        <w:rPr>
          <w:rFonts w:hint="eastAsia" w:ascii="宋体" w:hAnsi="宋体"/>
          <w:color w:val="auto"/>
          <w:szCs w:val="21"/>
          <w:highlight w:val="none"/>
          <w:u w:val="single"/>
        </w:rPr>
        <w:t>点，投标文件规定格式（即参与评审的格式）为</w:t>
      </w:r>
      <w:r>
        <w:rPr>
          <w:rFonts w:hint="eastAsia" w:ascii="宋体" w:hAnsi="宋体"/>
          <w:color w:val="auto"/>
          <w:spacing w:val="-4"/>
          <w:highlight w:val="none"/>
          <w:u w:val="single"/>
        </w:rPr>
        <w:t>经济标投标文件格式的格式三、格式四。</w:t>
      </w:r>
    </w:p>
    <w:p>
      <w:pPr>
        <w:pStyle w:val="5"/>
        <w:ind w:firstLine="458"/>
        <w:rPr>
          <w:rFonts w:hint="eastAsia" w:ascii="宋体" w:hAnsi="宋体"/>
          <w:color w:val="auto"/>
          <w:szCs w:val="21"/>
          <w:highlight w:val="none"/>
        </w:rPr>
        <w:sectPr>
          <w:headerReference r:id="rId8" w:type="default"/>
          <w:footerReference r:id="rId9" w:type="default"/>
          <w:pgSz w:w="16839" w:h="11907" w:orient="landscape"/>
          <w:pgMar w:top="1134" w:right="1134" w:bottom="1134" w:left="1134" w:header="1247" w:footer="737" w:gutter="0"/>
          <w:cols w:space="720" w:num="1"/>
          <w:docGrid w:linePitch="380" w:charSpace="-4301"/>
        </w:sectPr>
      </w:pPr>
      <w:r>
        <w:rPr>
          <w:rFonts w:hint="eastAsia" w:ascii="宋体" w:hAnsi="宋体"/>
          <w:color w:val="auto"/>
          <w:szCs w:val="21"/>
          <w:highlight w:val="none"/>
        </w:rPr>
        <w:t>评委签名：</w:t>
      </w:r>
    </w:p>
    <w:p>
      <w:pPr>
        <w:pStyle w:val="5"/>
        <w:ind w:firstLine="458"/>
        <w:rPr>
          <w:rFonts w:hint="eastAsia" w:ascii="宋体" w:hAnsi="宋体" w:eastAsia="宋体"/>
          <w:color w:val="auto"/>
          <w:szCs w:val="21"/>
          <w:highlight w:val="none"/>
          <w:lang w:eastAsia="zh-CN"/>
        </w:rPr>
      </w:pPr>
      <w:r>
        <w:rPr>
          <w:rFonts w:hint="eastAsia" w:ascii="宋体" w:hAnsi="宋体"/>
          <w:color w:val="auto"/>
          <w:szCs w:val="21"/>
          <w:highlight w:val="none"/>
        </w:rPr>
        <w:t>附表</w:t>
      </w:r>
      <w:r>
        <w:rPr>
          <w:rFonts w:hint="eastAsia" w:ascii="宋体" w:hAnsi="宋体"/>
          <w:color w:val="auto"/>
          <w:szCs w:val="21"/>
          <w:highlight w:val="none"/>
          <w:lang w:eastAsia="zh-CN"/>
        </w:rPr>
        <w:t>四</w:t>
      </w:r>
    </w:p>
    <w:p>
      <w:pPr>
        <w:jc w:val="center"/>
        <w:outlineLvl w:val="2"/>
        <w:rPr>
          <w:rFonts w:ascii="宋体" w:hAnsi="宋体"/>
          <w:b/>
          <w:color w:val="auto"/>
          <w:sz w:val="32"/>
          <w:szCs w:val="32"/>
          <w:highlight w:val="none"/>
        </w:rPr>
      </w:pPr>
      <w:bookmarkStart w:id="21" w:name="_Toc8583"/>
      <w:r>
        <w:rPr>
          <w:rFonts w:hint="eastAsia" w:ascii="宋体" w:hAnsi="宋体"/>
          <w:b/>
          <w:color w:val="auto"/>
          <w:sz w:val="32"/>
          <w:szCs w:val="32"/>
          <w:highlight w:val="none"/>
        </w:rPr>
        <w:t>定标因素（定标阶段用）</w:t>
      </w:r>
      <w:bookmarkEnd w:id="21"/>
    </w:p>
    <w:tbl>
      <w:tblPr>
        <w:tblStyle w:val="34"/>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34"/>
        <w:gridCol w:w="7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序号</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评价项目</w:t>
            </w:r>
          </w:p>
        </w:tc>
        <w:tc>
          <w:tcPr>
            <w:tcW w:w="7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投标价格</w:t>
            </w:r>
          </w:p>
        </w:tc>
        <w:tc>
          <w:tcPr>
            <w:tcW w:w="703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定标委员会对合格的中标候选人的投标报价进行横向比较</w:t>
            </w:r>
            <w:r>
              <w:rPr>
                <w:rFonts w:hint="eastAsia" w:ascii="Times New Roman" w:hAnsi="Times New Roman" w:cs="Times New Roman"/>
                <w:color w:val="auto"/>
                <w:sz w:val="24"/>
                <w:szCs w:val="24"/>
                <w:highlight w:val="none"/>
                <w:lang w:val="en-US" w:eastAsia="zh-CN"/>
              </w:rPr>
              <w:t>评审</w:t>
            </w:r>
            <w:bookmarkStart w:id="64" w:name="_GoBack"/>
            <w:bookmarkEnd w:id="64"/>
            <w:r>
              <w:rPr>
                <w:rFonts w:hint="default" w:ascii="Times New Roman" w:hAnsi="Times New Roman" w:eastAsia="宋体"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2</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投标人业绩</w:t>
            </w:r>
          </w:p>
        </w:tc>
        <w:tc>
          <w:tcPr>
            <w:tcW w:w="70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投标人自2018年1月1日至投标截止日独立完成过质量合格的类似工程业绩。</w:t>
            </w:r>
          </w:p>
          <w:p>
            <w:pPr>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注：①类似工程是指单项合同金额不少于</w:t>
            </w:r>
            <w:r>
              <w:rPr>
                <w:rFonts w:hint="eastAsia" w:ascii="Times New Roman" w:hAnsi="Times New Roman" w:cs="Times New Roman"/>
                <w:color w:val="auto"/>
                <w:sz w:val="24"/>
                <w:szCs w:val="24"/>
                <w:highlight w:val="none"/>
                <w:lang w:eastAsia="zh-CN"/>
              </w:rPr>
              <w:t>400万元</w:t>
            </w:r>
            <w:r>
              <w:rPr>
                <w:rFonts w:hint="default" w:ascii="Times New Roman" w:hAnsi="Times New Roman" w:eastAsia="宋体" w:cs="Times New Roman"/>
                <w:color w:val="auto"/>
                <w:sz w:val="24"/>
                <w:szCs w:val="24"/>
                <w:highlight w:val="none"/>
                <w:lang w:eastAsia="zh-CN"/>
              </w:rPr>
              <w:t>的市政公用工程，业绩的完成时间以竣工验收报告时间为准，业绩的规模以中标通知书或施工合同关键页或竣工验收报告为准。②投标人须自行提供类似工程业绩的中标通知书（如有）、施工合同关键页和竣工验收报告复印件。③超过</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项的,按顺序取符合要求的前</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项</w:t>
            </w:r>
            <w:r>
              <w:rPr>
                <w:rFonts w:hint="eastAsia" w:ascii="Times New Roman" w:hAnsi="Times New Roman" w:cs="Times New Roman"/>
                <w:color w:val="auto"/>
                <w:sz w:val="24"/>
                <w:szCs w:val="24"/>
                <w:highlight w:val="none"/>
                <w:lang w:val="en-US" w:eastAsia="zh-CN"/>
              </w:rPr>
              <w:t>类似</w:t>
            </w:r>
            <w:r>
              <w:rPr>
                <w:rFonts w:hint="default" w:ascii="Times New Roman" w:hAnsi="Times New Roman" w:eastAsia="宋体" w:cs="Times New Roman"/>
                <w:color w:val="auto"/>
                <w:sz w:val="24"/>
                <w:szCs w:val="24"/>
                <w:highlight w:val="none"/>
                <w:lang w:eastAsia="zh-CN"/>
              </w:rPr>
              <w:t>工程</w:t>
            </w:r>
            <w:r>
              <w:rPr>
                <w:rFonts w:hint="eastAsia" w:ascii="Times New Roman" w:hAnsi="Times New Roman" w:cs="Times New Roman"/>
                <w:color w:val="auto"/>
                <w:sz w:val="24"/>
                <w:szCs w:val="24"/>
                <w:highlight w:val="none"/>
                <w:lang w:val="en-US" w:eastAsia="zh-CN"/>
              </w:rPr>
              <w:t>业绩</w:t>
            </w:r>
            <w:r>
              <w:rPr>
                <w:rFonts w:hint="default" w:ascii="Times New Roman" w:hAnsi="Times New Roman" w:eastAsia="宋体" w:cs="Times New Roman"/>
                <w:color w:val="auto"/>
                <w:sz w:val="24"/>
                <w:szCs w:val="24"/>
                <w:highlight w:val="none"/>
                <w:lang w:val="en-US" w:eastAsia="zh-CN"/>
              </w:rPr>
              <w:t>作为定标参考资料</w:t>
            </w:r>
            <w:r>
              <w:rPr>
                <w:rFonts w:hint="default" w:ascii="Times New Roman" w:hAnsi="Times New Roman" w:eastAsia="宋体" w:cs="Times New Roman"/>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3</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投标人获奖情况</w:t>
            </w:r>
          </w:p>
        </w:tc>
        <w:tc>
          <w:tcPr>
            <w:tcW w:w="70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投标人自2018年1月1日至投标截止日独立完成的市政公用工程获得市级及以上工程奖项的</w:t>
            </w:r>
            <w:r>
              <w:rPr>
                <w:rFonts w:hint="default" w:ascii="Times New Roman" w:hAnsi="Times New Roman" w:eastAsia="宋体" w:cs="Times New Roman"/>
                <w:color w:val="auto"/>
                <w:sz w:val="24"/>
                <w:szCs w:val="24"/>
                <w:highlight w:val="none"/>
                <w:lang w:val="en-US" w:eastAsia="zh-CN"/>
              </w:rPr>
              <w:t>情况</w:t>
            </w:r>
            <w:r>
              <w:rPr>
                <w:rFonts w:hint="default" w:ascii="Times New Roman" w:hAnsi="Times New Roman" w:eastAsia="宋体" w:cs="Times New Roman"/>
                <w:color w:val="auto"/>
                <w:sz w:val="24"/>
                <w:szCs w:val="24"/>
                <w:highlight w:val="none"/>
                <w:lang w:eastAsia="zh-CN"/>
              </w:rPr>
              <w:t>。</w:t>
            </w:r>
          </w:p>
          <w:p>
            <w:pPr>
              <w:pStyle w:val="2"/>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注：①获奖工程必须为市政公用工程，其他类似项目获奖</w:t>
            </w:r>
            <w:r>
              <w:rPr>
                <w:rFonts w:hint="default" w:ascii="Times New Roman" w:hAnsi="Times New Roman" w:eastAsia="宋体" w:cs="Times New Roman"/>
                <w:color w:val="auto"/>
                <w:sz w:val="24"/>
                <w:szCs w:val="24"/>
                <w:highlight w:val="none"/>
                <w:lang w:val="en-US" w:eastAsia="zh-CN"/>
              </w:rPr>
              <w:t>不计</w:t>
            </w:r>
            <w:r>
              <w:rPr>
                <w:rFonts w:hint="default" w:ascii="Times New Roman" w:hAnsi="Times New Roman" w:eastAsia="宋体" w:cs="Times New Roman"/>
                <w:color w:val="auto"/>
                <w:sz w:val="24"/>
                <w:szCs w:val="24"/>
                <w:highlight w:val="none"/>
                <w:lang w:eastAsia="zh-CN"/>
              </w:rPr>
              <w:t>；超过2项的,按顺序取等级高且符合要求的前2项工程奖项</w:t>
            </w:r>
            <w:r>
              <w:rPr>
                <w:rFonts w:hint="default" w:ascii="Times New Roman" w:hAnsi="Times New Roman" w:eastAsia="宋体" w:cs="Times New Roman"/>
                <w:color w:val="auto"/>
                <w:sz w:val="24"/>
                <w:szCs w:val="24"/>
                <w:highlight w:val="none"/>
                <w:lang w:val="en-US" w:eastAsia="zh-CN"/>
              </w:rPr>
              <w:t>作为定标参考资料</w:t>
            </w:r>
            <w:r>
              <w:rPr>
                <w:rFonts w:hint="default" w:ascii="Times New Roman" w:hAnsi="Times New Roman" w:eastAsia="宋体" w:cs="Times New Roman"/>
                <w:color w:val="auto"/>
                <w:sz w:val="24"/>
                <w:szCs w:val="24"/>
                <w:highlight w:val="none"/>
                <w:lang w:eastAsia="zh-CN"/>
              </w:rPr>
              <w:t>。须提供获奖证书或获奖文件复印件。获奖文件必须是以公示或公告或通知方式发布的获奖文件，以公示或公告或通知方式发布的获奖文件与获奖证书具有同等效力。获奖文件除需提供获奖文件(关键页)以外，还需提供获奖文件公示或公告或通知的查询路径作为有效证明材料。获奖时间以获奖证书颁发的时间或获奖文件发布日期为准。如获奖证书为电子证书，则提供电子证书打印页。如有获奖证书则不需要提供获奖文件。②国家级工程质量奖指：鲁班奖、詹天佑奖、国家优质工程奖。③省市级奖项是指由省市级建设行政主管部门或行业协会颁发（行业协会须在民政部门备案）的工程质量奖项或安全文明奖项。④同一项目获得多个奖项的，该项目以最高奖项计。⑤以参建单位身份获奖的</w:t>
            </w:r>
            <w:r>
              <w:rPr>
                <w:rFonts w:hint="default" w:ascii="Times New Roman" w:hAnsi="Times New Roman" w:eastAsia="宋体" w:cs="Times New Roman"/>
                <w:color w:val="auto"/>
                <w:sz w:val="24"/>
                <w:szCs w:val="24"/>
                <w:highlight w:val="none"/>
                <w:lang w:val="en-US" w:eastAsia="zh-CN"/>
              </w:rPr>
              <w:t>不计</w:t>
            </w:r>
            <w:r>
              <w:rPr>
                <w:rFonts w:hint="default" w:ascii="Times New Roman" w:hAnsi="Times New Roman" w:eastAsia="宋体" w:cs="Times New Roman"/>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4</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第三方评价</w:t>
            </w:r>
          </w:p>
        </w:tc>
        <w:tc>
          <w:tcPr>
            <w:tcW w:w="70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left="0" w:leftChars="0" w:right="0" w:rightChars="0" w:firstLine="0"/>
              <w:rPr>
                <w:rFonts w:hint="default" w:ascii="Times New Roman" w:hAnsi="Times New Roman" w:eastAsia="宋体" w:cs="Times New Roman"/>
                <w:color w:val="auto"/>
                <w:kern w:val="0"/>
                <w:sz w:val="24"/>
                <w:szCs w:val="24"/>
                <w:highlight w:val="none"/>
                <w:lang w:val="zh-CN" w:eastAsia="zh-CN"/>
              </w:rPr>
            </w:pPr>
            <w:r>
              <w:rPr>
                <w:rFonts w:hint="default" w:ascii="Times New Roman" w:hAnsi="Times New Roman" w:eastAsia="宋体" w:cs="Times New Roman"/>
                <w:color w:val="auto"/>
                <w:kern w:val="0"/>
                <w:sz w:val="24"/>
                <w:szCs w:val="24"/>
                <w:highlight w:val="none"/>
                <w:lang w:val="zh-CN" w:eastAsia="zh-CN"/>
              </w:rPr>
              <w:t>投标人ISO9001质量管理体系认证、ISO14001环境管理体系认证、ISO45001职业健康安全管理体系认证获得情况。</w:t>
            </w:r>
          </w:p>
          <w:p>
            <w:pPr>
              <w:pStyle w:val="2"/>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zh-CN" w:eastAsia="zh-CN"/>
              </w:rPr>
              <w:t>注：</w:t>
            </w:r>
            <w:r>
              <w:rPr>
                <w:rFonts w:hint="default" w:ascii="Times New Roman" w:hAnsi="Times New Roman" w:eastAsia="宋体" w:cs="Times New Roman"/>
                <w:color w:val="auto"/>
                <w:kern w:val="0"/>
                <w:sz w:val="24"/>
                <w:szCs w:val="24"/>
                <w:highlight w:val="none"/>
                <w:lang w:val="en-US" w:eastAsia="zh-CN"/>
              </w:rPr>
              <w:t>投标人</w:t>
            </w:r>
            <w:r>
              <w:rPr>
                <w:rFonts w:hint="default" w:ascii="Times New Roman" w:hAnsi="Times New Roman" w:eastAsia="宋体" w:cs="Times New Roman"/>
                <w:color w:val="auto"/>
                <w:kern w:val="0"/>
                <w:sz w:val="24"/>
                <w:szCs w:val="24"/>
                <w:highlight w:val="none"/>
                <w:lang w:val="zh-CN" w:eastAsia="zh-CN"/>
              </w:rPr>
              <w:t>须提供在有效期内的证书复印件。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纳税信用评价</w:t>
            </w:r>
          </w:p>
        </w:tc>
        <w:tc>
          <w:tcPr>
            <w:tcW w:w="703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投标人自2018年1月1日至投标截止日连续被评为A级纳税人的情况。</w:t>
            </w:r>
          </w:p>
          <w:p>
            <w:pPr>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注：A级纳税人以“国家税务总局”官网（http://www.chinatax.gov.cn/index.html）查询结果为准，A级纳税人只计算投标人自身（不计算投标人的分公司和子公司），须提供企业纳税信用等级证书复印件或在上述官网的查询结果网页打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项目组织机构及人员配置</w:t>
            </w:r>
          </w:p>
        </w:tc>
        <w:tc>
          <w:tcPr>
            <w:tcW w:w="7030" w:type="dxa"/>
            <w:tcBorders>
              <w:top w:val="single" w:color="auto" w:sz="4" w:space="0"/>
              <w:left w:val="single" w:color="auto" w:sz="4" w:space="0"/>
              <w:bottom w:val="single" w:color="auto" w:sz="4" w:space="0"/>
              <w:right w:val="single" w:color="auto" w:sz="4" w:space="0"/>
            </w:tcBorders>
            <w:noWrap w:val="0"/>
            <w:vAlign w:val="center"/>
          </w:tcPr>
          <w:p>
            <w:pPr>
              <w:numPr>
                <w:ilvl w:val="-1"/>
                <w:numId w:val="0"/>
              </w:numPr>
              <w:adjustRightInd w:val="0"/>
              <w:snapToGrid w:val="0"/>
              <w:spacing w:line="240" w:lineRule="auto"/>
              <w:jc w:val="left"/>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项目负责人自2018年1月1日至投标截止日作为项目负责人完成过</w:t>
            </w:r>
            <w:r>
              <w:rPr>
                <w:rFonts w:hint="default" w:ascii="Times New Roman" w:hAnsi="Times New Roman" w:eastAsia="宋体" w:cs="Times New Roman"/>
                <w:color w:val="auto"/>
                <w:kern w:val="0"/>
                <w:sz w:val="24"/>
                <w:szCs w:val="24"/>
                <w:highlight w:val="none"/>
                <w:lang w:val="en-US" w:eastAsia="zh-CN"/>
              </w:rPr>
              <w:t>的</w:t>
            </w:r>
            <w:r>
              <w:rPr>
                <w:rFonts w:hint="default" w:ascii="Times New Roman" w:hAnsi="Times New Roman" w:eastAsia="宋体" w:cs="Times New Roman"/>
                <w:color w:val="auto"/>
                <w:kern w:val="0"/>
                <w:sz w:val="24"/>
                <w:szCs w:val="24"/>
                <w:highlight w:val="none"/>
                <w:lang w:val="zh-CN"/>
              </w:rPr>
              <w:t>质量合格的单项合同金额不少于</w:t>
            </w:r>
            <w:r>
              <w:rPr>
                <w:rFonts w:hint="eastAsia" w:ascii="Times New Roman" w:hAnsi="Times New Roman" w:cs="Times New Roman"/>
                <w:color w:val="auto"/>
                <w:kern w:val="0"/>
                <w:sz w:val="24"/>
                <w:szCs w:val="24"/>
                <w:highlight w:val="none"/>
                <w:lang w:val="zh-CN"/>
              </w:rPr>
              <w:t>400万元</w:t>
            </w:r>
            <w:r>
              <w:rPr>
                <w:rFonts w:hint="default" w:ascii="Times New Roman" w:hAnsi="Times New Roman" w:eastAsia="宋体" w:cs="Times New Roman"/>
                <w:color w:val="auto"/>
                <w:kern w:val="0"/>
                <w:sz w:val="24"/>
                <w:szCs w:val="24"/>
                <w:highlight w:val="none"/>
                <w:lang w:val="zh-CN"/>
              </w:rPr>
              <w:t>的市政公用工程业绩</w:t>
            </w:r>
            <w:r>
              <w:rPr>
                <w:rFonts w:hint="default" w:ascii="Times New Roman" w:hAnsi="Times New Roman" w:eastAsia="宋体" w:cs="Times New Roman"/>
                <w:color w:val="auto"/>
                <w:kern w:val="0"/>
                <w:sz w:val="24"/>
                <w:szCs w:val="24"/>
                <w:highlight w:val="none"/>
                <w:lang w:val="en-US" w:eastAsia="zh-CN"/>
              </w:rPr>
              <w:t>情况</w:t>
            </w:r>
            <w:r>
              <w:rPr>
                <w:rFonts w:hint="default" w:ascii="Times New Roman" w:hAnsi="Times New Roman" w:eastAsia="宋体" w:cs="Times New Roman"/>
                <w:color w:val="auto"/>
                <w:kern w:val="0"/>
                <w:sz w:val="24"/>
                <w:szCs w:val="24"/>
                <w:highlight w:val="none"/>
                <w:lang w:val="zh-CN"/>
              </w:rPr>
              <w:t>。</w:t>
            </w:r>
          </w:p>
          <w:p>
            <w:pPr>
              <w:numPr>
                <w:ilvl w:val="-1"/>
                <w:numId w:val="0"/>
              </w:numPr>
              <w:adjustRightInd w:val="0"/>
              <w:snapToGrid w:val="0"/>
              <w:spacing w:line="240" w:lineRule="auto"/>
              <w:jc w:val="left"/>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技术负责人自2018年1月1日至投标截止日作为技术负责人完成</w:t>
            </w:r>
            <w:r>
              <w:rPr>
                <w:rFonts w:hint="default" w:ascii="Times New Roman" w:hAnsi="Times New Roman" w:eastAsia="宋体" w:cs="Times New Roman"/>
                <w:color w:val="auto"/>
                <w:kern w:val="0"/>
                <w:sz w:val="24"/>
                <w:szCs w:val="24"/>
                <w:highlight w:val="none"/>
                <w:lang w:val="en-US" w:eastAsia="zh-CN"/>
              </w:rPr>
              <w:t>的</w:t>
            </w:r>
            <w:r>
              <w:rPr>
                <w:rFonts w:hint="default" w:ascii="Times New Roman" w:hAnsi="Times New Roman" w:eastAsia="宋体" w:cs="Times New Roman"/>
                <w:color w:val="auto"/>
                <w:kern w:val="0"/>
                <w:sz w:val="24"/>
                <w:szCs w:val="24"/>
                <w:highlight w:val="none"/>
                <w:lang w:val="zh-CN"/>
              </w:rPr>
              <w:t>过质量合格的单项合同金额不少于</w:t>
            </w:r>
            <w:r>
              <w:rPr>
                <w:rFonts w:hint="eastAsia" w:ascii="Times New Roman" w:hAnsi="Times New Roman" w:cs="Times New Roman"/>
                <w:color w:val="auto"/>
                <w:kern w:val="0"/>
                <w:sz w:val="24"/>
                <w:szCs w:val="24"/>
                <w:highlight w:val="none"/>
                <w:lang w:val="zh-CN"/>
              </w:rPr>
              <w:t>400万元</w:t>
            </w:r>
            <w:r>
              <w:rPr>
                <w:rFonts w:hint="default" w:ascii="Times New Roman" w:hAnsi="Times New Roman" w:eastAsia="宋体" w:cs="Times New Roman"/>
                <w:color w:val="auto"/>
                <w:kern w:val="0"/>
                <w:sz w:val="24"/>
                <w:szCs w:val="24"/>
                <w:highlight w:val="none"/>
                <w:lang w:val="zh-CN"/>
              </w:rPr>
              <w:t>的市政公用工程业绩</w:t>
            </w:r>
            <w:r>
              <w:rPr>
                <w:rFonts w:hint="default" w:ascii="Times New Roman" w:hAnsi="Times New Roman" w:eastAsia="宋体" w:cs="Times New Roman"/>
                <w:color w:val="auto"/>
                <w:kern w:val="0"/>
                <w:sz w:val="24"/>
                <w:szCs w:val="24"/>
                <w:highlight w:val="none"/>
                <w:lang w:val="en-US" w:eastAsia="zh-CN"/>
              </w:rPr>
              <w:t>情况</w:t>
            </w:r>
            <w:r>
              <w:rPr>
                <w:rFonts w:hint="default" w:ascii="Times New Roman" w:hAnsi="Times New Roman" w:eastAsia="宋体" w:cs="Times New Roman"/>
                <w:color w:val="auto"/>
                <w:kern w:val="0"/>
                <w:sz w:val="24"/>
                <w:szCs w:val="24"/>
                <w:highlight w:val="none"/>
                <w:lang w:val="zh-CN"/>
              </w:rPr>
              <w:t>。</w:t>
            </w:r>
          </w:p>
          <w:p>
            <w:pPr>
              <w:numPr>
                <w:ilvl w:val="-1"/>
                <w:numId w:val="0"/>
              </w:numPr>
              <w:adjustRightInd w:val="0"/>
              <w:snapToGrid w:val="0"/>
              <w:spacing w:line="240" w:lineRule="auto"/>
              <w:jc w:val="left"/>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造价负责人注册造价工程师资格</w:t>
            </w:r>
            <w:r>
              <w:rPr>
                <w:rFonts w:hint="default" w:ascii="Times New Roman" w:hAnsi="Times New Roman" w:eastAsia="宋体" w:cs="Times New Roman"/>
                <w:color w:val="auto"/>
                <w:kern w:val="0"/>
                <w:sz w:val="24"/>
                <w:szCs w:val="24"/>
                <w:highlight w:val="none"/>
                <w:lang w:val="en-US" w:eastAsia="zh-CN"/>
              </w:rPr>
              <w:t>证书情况</w:t>
            </w:r>
            <w:r>
              <w:rPr>
                <w:rFonts w:hint="default" w:ascii="Times New Roman" w:hAnsi="Times New Roman" w:eastAsia="宋体" w:cs="Times New Roman"/>
                <w:color w:val="auto"/>
                <w:kern w:val="0"/>
                <w:sz w:val="24"/>
                <w:szCs w:val="24"/>
                <w:highlight w:val="none"/>
                <w:lang w:val="zh-CN"/>
              </w:rPr>
              <w:t>。</w:t>
            </w:r>
          </w:p>
          <w:p>
            <w:pPr>
              <w:numPr>
                <w:ilvl w:val="-1"/>
                <w:numId w:val="0"/>
              </w:numPr>
              <w:adjustRightInd w:val="0"/>
              <w:snapToGrid w:val="0"/>
              <w:spacing w:line="240" w:lineRule="auto"/>
              <w:jc w:val="left"/>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质量员</w:t>
            </w:r>
            <w:r>
              <w:rPr>
                <w:rFonts w:hint="default" w:ascii="Times New Roman" w:hAnsi="Times New Roman" w:eastAsia="宋体" w:cs="Times New Roman"/>
                <w:color w:val="auto"/>
                <w:kern w:val="0"/>
                <w:sz w:val="24"/>
                <w:szCs w:val="24"/>
                <w:highlight w:val="none"/>
                <w:lang w:val="en-US" w:eastAsia="zh-CN"/>
              </w:rPr>
              <w:t>资格证书</w:t>
            </w:r>
            <w:r>
              <w:rPr>
                <w:rFonts w:hint="default" w:ascii="Times New Roman" w:hAnsi="Times New Roman" w:eastAsia="宋体" w:cs="Times New Roman"/>
                <w:color w:val="auto"/>
                <w:kern w:val="0"/>
                <w:sz w:val="24"/>
                <w:szCs w:val="24"/>
                <w:highlight w:val="none"/>
                <w:lang w:val="zh-CN"/>
              </w:rPr>
              <w:t>或中级工程师职称</w:t>
            </w:r>
            <w:r>
              <w:rPr>
                <w:rFonts w:hint="default" w:ascii="Times New Roman" w:hAnsi="Times New Roman" w:eastAsia="宋体" w:cs="Times New Roman"/>
                <w:color w:val="auto"/>
                <w:kern w:val="0"/>
                <w:sz w:val="24"/>
                <w:szCs w:val="24"/>
                <w:highlight w:val="none"/>
                <w:lang w:val="en-US" w:eastAsia="zh-CN"/>
              </w:rPr>
              <w:t>情况</w:t>
            </w:r>
            <w:r>
              <w:rPr>
                <w:rFonts w:hint="default" w:ascii="Times New Roman" w:hAnsi="Times New Roman" w:eastAsia="宋体" w:cs="Times New Roman"/>
                <w:color w:val="auto"/>
                <w:kern w:val="0"/>
                <w:sz w:val="24"/>
                <w:szCs w:val="24"/>
                <w:highlight w:val="none"/>
                <w:lang w:val="zh-CN"/>
              </w:rPr>
              <w:t>。</w:t>
            </w:r>
          </w:p>
          <w:p>
            <w:pPr>
              <w:numPr>
                <w:ilvl w:val="-1"/>
                <w:numId w:val="0"/>
              </w:numPr>
              <w:adjustRightInd w:val="0"/>
              <w:snapToGrid w:val="0"/>
              <w:spacing w:line="240" w:lineRule="auto"/>
              <w:jc w:val="left"/>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施工员</w:t>
            </w:r>
            <w:r>
              <w:rPr>
                <w:rFonts w:hint="default" w:ascii="Times New Roman" w:hAnsi="Times New Roman" w:eastAsia="宋体" w:cs="Times New Roman"/>
                <w:color w:val="auto"/>
                <w:kern w:val="0"/>
                <w:sz w:val="24"/>
                <w:szCs w:val="24"/>
                <w:highlight w:val="none"/>
                <w:lang w:val="en-US" w:eastAsia="zh-CN"/>
              </w:rPr>
              <w:t>数量、</w:t>
            </w:r>
            <w:r>
              <w:rPr>
                <w:rFonts w:hint="default" w:ascii="Times New Roman" w:hAnsi="Times New Roman" w:eastAsia="宋体" w:cs="Times New Roman"/>
                <w:color w:val="auto"/>
                <w:kern w:val="0"/>
                <w:sz w:val="24"/>
                <w:szCs w:val="24"/>
                <w:highlight w:val="none"/>
                <w:lang w:val="zh-CN"/>
              </w:rPr>
              <w:t>施工员</w:t>
            </w:r>
            <w:r>
              <w:rPr>
                <w:rFonts w:hint="default" w:ascii="Times New Roman" w:hAnsi="Times New Roman" w:eastAsia="宋体" w:cs="Times New Roman"/>
                <w:color w:val="auto"/>
                <w:kern w:val="0"/>
                <w:sz w:val="24"/>
                <w:szCs w:val="24"/>
                <w:highlight w:val="none"/>
                <w:lang w:val="en-US" w:eastAsia="zh-CN"/>
              </w:rPr>
              <w:t>资格证书</w:t>
            </w:r>
            <w:r>
              <w:rPr>
                <w:rFonts w:hint="default" w:ascii="Times New Roman" w:hAnsi="Times New Roman" w:eastAsia="宋体" w:cs="Times New Roman"/>
                <w:color w:val="auto"/>
                <w:kern w:val="0"/>
                <w:sz w:val="24"/>
                <w:szCs w:val="24"/>
                <w:highlight w:val="none"/>
                <w:lang w:val="zh-CN"/>
              </w:rPr>
              <w:t>或中级工程师职称</w:t>
            </w:r>
            <w:r>
              <w:rPr>
                <w:rFonts w:hint="default" w:ascii="Times New Roman" w:hAnsi="Times New Roman" w:eastAsia="宋体" w:cs="Times New Roman"/>
                <w:color w:val="auto"/>
                <w:kern w:val="0"/>
                <w:sz w:val="24"/>
                <w:szCs w:val="24"/>
                <w:highlight w:val="none"/>
                <w:lang w:val="en-US" w:eastAsia="zh-CN"/>
              </w:rPr>
              <w:t>情况</w:t>
            </w:r>
            <w:r>
              <w:rPr>
                <w:rFonts w:hint="default" w:ascii="Times New Roman" w:hAnsi="Times New Roman" w:eastAsia="宋体" w:cs="Times New Roman"/>
                <w:color w:val="auto"/>
                <w:kern w:val="0"/>
                <w:sz w:val="24"/>
                <w:szCs w:val="24"/>
                <w:highlight w:val="none"/>
                <w:lang w:val="zh-CN"/>
              </w:rPr>
              <w:t>。</w:t>
            </w:r>
          </w:p>
          <w:p>
            <w:pP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kern w:val="0"/>
                <w:sz w:val="24"/>
                <w:szCs w:val="24"/>
                <w:highlight w:val="none"/>
                <w:lang w:val="zh-CN"/>
              </w:rPr>
              <w:t>注：</w:t>
            </w:r>
            <w:r>
              <w:rPr>
                <w:rFonts w:hint="default" w:ascii="Times New Roman" w:hAnsi="Times New Roman" w:eastAsia="宋体" w:cs="Times New Roman"/>
                <w:color w:val="auto"/>
                <w:sz w:val="24"/>
                <w:szCs w:val="24"/>
                <w:highlight w:val="none"/>
                <w:lang w:eastAsia="zh-CN"/>
              </w:rPr>
              <w:t>①</w:t>
            </w:r>
            <w:r>
              <w:rPr>
                <w:rFonts w:hint="default" w:ascii="Times New Roman" w:hAnsi="Times New Roman" w:eastAsia="宋体" w:cs="Times New Roman"/>
                <w:color w:val="auto"/>
                <w:kern w:val="0"/>
                <w:sz w:val="24"/>
                <w:szCs w:val="24"/>
                <w:highlight w:val="none"/>
                <w:lang w:val="zh-CN"/>
              </w:rPr>
              <w:t>上述人员岗位不能相互兼任；</w:t>
            </w:r>
            <w:r>
              <w:rPr>
                <w:rFonts w:hint="default" w:ascii="Times New Roman" w:hAnsi="Times New Roman" w:eastAsia="宋体" w:cs="Times New Roman"/>
                <w:color w:val="auto"/>
                <w:sz w:val="24"/>
                <w:szCs w:val="24"/>
                <w:highlight w:val="none"/>
                <w:lang w:eastAsia="zh-CN"/>
              </w:rPr>
              <w:t>②投标人须自行提供</w:t>
            </w:r>
            <w:r>
              <w:rPr>
                <w:rFonts w:hint="default" w:ascii="Times New Roman" w:hAnsi="Times New Roman" w:eastAsia="宋体" w:cs="Times New Roman"/>
                <w:color w:val="auto"/>
                <w:sz w:val="24"/>
                <w:szCs w:val="24"/>
                <w:highlight w:val="none"/>
                <w:lang w:val="en-US" w:eastAsia="zh-CN"/>
              </w:rPr>
              <w:t>项目负责人和技术负责人</w:t>
            </w:r>
            <w:r>
              <w:rPr>
                <w:rFonts w:hint="default" w:ascii="Times New Roman" w:hAnsi="Times New Roman" w:eastAsia="宋体" w:cs="Times New Roman"/>
                <w:color w:val="auto"/>
                <w:sz w:val="24"/>
                <w:szCs w:val="24"/>
                <w:highlight w:val="none"/>
                <w:lang w:eastAsia="zh-CN"/>
              </w:rPr>
              <w:t>业绩</w:t>
            </w:r>
            <w:r>
              <w:rPr>
                <w:rFonts w:hint="default" w:ascii="Times New Roman" w:hAnsi="Times New Roman" w:eastAsia="宋体" w:cs="Times New Roman"/>
                <w:color w:val="auto"/>
                <w:sz w:val="24"/>
                <w:szCs w:val="24"/>
                <w:highlight w:val="none"/>
                <w:lang w:val="en-US" w:eastAsia="zh-CN"/>
              </w:rPr>
              <w:t>证明材料【包括但不限于中标通知书（若有）、</w:t>
            </w:r>
            <w:r>
              <w:rPr>
                <w:rFonts w:hint="default" w:ascii="Times New Roman" w:hAnsi="Times New Roman" w:eastAsia="宋体" w:cs="Times New Roman"/>
                <w:color w:val="auto"/>
                <w:sz w:val="24"/>
                <w:szCs w:val="24"/>
                <w:highlight w:val="none"/>
                <w:lang w:eastAsia="zh-CN"/>
              </w:rPr>
              <w:t>施工合同关键页</w:t>
            </w:r>
            <w:r>
              <w:rPr>
                <w:rFonts w:hint="default" w:ascii="Times New Roman" w:hAnsi="Times New Roman" w:eastAsia="宋体" w:cs="Times New Roman"/>
                <w:color w:val="auto"/>
                <w:sz w:val="24"/>
                <w:szCs w:val="24"/>
                <w:highlight w:val="none"/>
                <w:lang w:val="en-US" w:eastAsia="zh-CN"/>
              </w:rPr>
              <w:t>和</w:t>
            </w:r>
            <w:r>
              <w:rPr>
                <w:rFonts w:hint="default" w:ascii="Times New Roman" w:hAnsi="Times New Roman" w:eastAsia="宋体" w:cs="Times New Roman"/>
                <w:color w:val="auto"/>
                <w:sz w:val="24"/>
                <w:szCs w:val="24"/>
                <w:highlight w:val="none"/>
                <w:lang w:eastAsia="zh-CN"/>
              </w:rPr>
              <w:t>竣工验收报告复印件】，</w:t>
            </w:r>
            <w:r>
              <w:rPr>
                <w:rFonts w:hint="default" w:ascii="Times New Roman" w:hAnsi="Times New Roman" w:eastAsia="宋体" w:cs="Times New Roman"/>
                <w:color w:val="auto"/>
                <w:sz w:val="24"/>
                <w:szCs w:val="24"/>
                <w:highlight w:val="none"/>
                <w:lang w:val="en-US" w:eastAsia="zh-CN"/>
              </w:rPr>
              <w:t>造价负责人注册造价工程师资格证书复印件，质量员和施工员职称或资格证书复印件等证明材料</w:t>
            </w:r>
            <w:r>
              <w:rPr>
                <w:rFonts w:hint="default" w:ascii="Times New Roman" w:hAnsi="Times New Roman" w:eastAsia="宋体" w:cs="Times New Roman"/>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p>
        </w:tc>
        <w:tc>
          <w:tcPr>
            <w:tcW w:w="1534" w:type="dxa"/>
            <w:vMerge w:val="restart"/>
            <w:tcBorders>
              <w:top w:val="single" w:color="auto" w:sz="4" w:space="0"/>
              <w:left w:val="single" w:color="auto" w:sz="4" w:space="0"/>
              <w:right w:val="single" w:color="auto" w:sz="4" w:space="0"/>
            </w:tcBorders>
            <w:noWrap w:val="0"/>
            <w:vAlign w:val="center"/>
          </w:tcPr>
          <w:p>
            <w:pPr>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施工组织设计</w:t>
            </w:r>
          </w:p>
        </w:tc>
        <w:tc>
          <w:tcPr>
            <w:tcW w:w="703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bCs w:val="0"/>
                <w:color w:val="auto"/>
                <w:kern w:val="0"/>
                <w:sz w:val="24"/>
                <w:szCs w:val="24"/>
                <w:highlight w:val="none"/>
                <w:u w:val="none"/>
                <w:lang w:val="zh-CN" w:eastAsia="zh-CN"/>
              </w:rPr>
            </w:pPr>
            <w:r>
              <w:rPr>
                <w:rFonts w:hint="default" w:ascii="Times New Roman" w:hAnsi="Times New Roman" w:eastAsia="宋体" w:cs="Times New Roman"/>
                <w:color w:val="auto"/>
                <w:sz w:val="24"/>
                <w:szCs w:val="24"/>
                <w:highlight w:val="none"/>
              </w:rPr>
              <w:t>定标委员会对合格的中标候选人的</w:t>
            </w:r>
            <w:r>
              <w:rPr>
                <w:rFonts w:hint="default" w:ascii="Times New Roman" w:hAnsi="Times New Roman" w:eastAsia="宋体" w:cs="Times New Roman"/>
                <w:bCs w:val="0"/>
                <w:color w:val="auto"/>
                <w:kern w:val="0"/>
                <w:sz w:val="24"/>
                <w:szCs w:val="24"/>
                <w:highlight w:val="none"/>
                <w:u w:val="none"/>
                <w:lang w:val="zh-CN"/>
              </w:rPr>
              <w:t>施工部署（</w:t>
            </w:r>
            <w:r>
              <w:rPr>
                <w:rFonts w:hint="default" w:ascii="Times New Roman" w:hAnsi="Times New Roman" w:eastAsia="宋体" w:cs="Times New Roman"/>
                <w:bCs w:val="0"/>
                <w:color w:val="auto"/>
                <w:kern w:val="0"/>
                <w:sz w:val="24"/>
                <w:szCs w:val="24"/>
                <w:highlight w:val="none"/>
                <w:u w:val="none"/>
                <w:lang w:val="en-US" w:eastAsia="zh-CN"/>
              </w:rPr>
              <w:t>包括但不限于</w:t>
            </w:r>
            <w:r>
              <w:rPr>
                <w:rFonts w:hint="default" w:ascii="Times New Roman" w:hAnsi="Times New Roman" w:eastAsia="宋体" w:cs="Times New Roman"/>
                <w:color w:val="auto"/>
                <w:sz w:val="24"/>
                <w:szCs w:val="24"/>
                <w:highlight w:val="none"/>
                <w:lang w:eastAsia="zh-CN"/>
              </w:rPr>
              <w:t>施工现场现状分析、准备阶段工作安排、施工区段划分、各功能区域工序安排</w:t>
            </w:r>
            <w:r>
              <w:rPr>
                <w:rFonts w:hint="default" w:ascii="Times New Roman" w:hAnsi="Times New Roman" w:eastAsia="宋体" w:cs="Times New Roman"/>
                <w:bCs w:val="0"/>
                <w:color w:val="auto"/>
                <w:kern w:val="0"/>
                <w:sz w:val="24"/>
                <w:szCs w:val="24"/>
                <w:highlight w:val="none"/>
                <w:u w:val="none"/>
                <w:lang w:val="zh-CN"/>
              </w:rPr>
              <w:t>）</w:t>
            </w:r>
            <w:r>
              <w:rPr>
                <w:rFonts w:hint="default" w:ascii="Times New Roman" w:hAnsi="Times New Roman" w:eastAsia="宋体" w:cs="Times New Roman"/>
                <w:bCs w:val="0"/>
                <w:color w:val="auto"/>
                <w:kern w:val="0"/>
                <w:sz w:val="24"/>
                <w:szCs w:val="24"/>
                <w:highlight w:val="none"/>
                <w:u w:val="none"/>
                <w:lang w:val="en-US" w:eastAsia="zh-CN"/>
              </w:rPr>
              <w:t>的合理可行性</w:t>
            </w:r>
            <w:r>
              <w:rPr>
                <w:rFonts w:hint="default" w:ascii="Times New Roman" w:hAnsi="Times New Roman" w:eastAsia="宋体" w:cs="Times New Roman"/>
                <w:color w:val="auto"/>
                <w:sz w:val="24"/>
                <w:szCs w:val="24"/>
                <w:highlight w:val="none"/>
              </w:rPr>
              <w:t>进行横向比较分析</w:t>
            </w:r>
            <w:r>
              <w:rPr>
                <w:rFonts w:hint="default" w:ascii="Times New Roman" w:hAnsi="Times New Roman" w:eastAsia="宋体" w:cs="Times New Roman"/>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p>
        </w:tc>
        <w:tc>
          <w:tcPr>
            <w:tcW w:w="1534" w:type="dxa"/>
            <w:vMerge w:val="continue"/>
            <w:tcBorders>
              <w:left w:val="single" w:color="auto" w:sz="4" w:space="0"/>
              <w:right w:val="single" w:color="auto" w:sz="4" w:space="0"/>
            </w:tcBorders>
            <w:noWrap w:val="0"/>
            <w:vAlign w:val="center"/>
          </w:tcPr>
          <w:p>
            <w:pPr>
              <w:jc w:val="left"/>
              <w:rPr>
                <w:rFonts w:hint="default" w:ascii="Times New Roman" w:hAnsi="Times New Roman" w:eastAsia="宋体" w:cs="Times New Roman"/>
                <w:color w:val="auto"/>
                <w:sz w:val="24"/>
                <w:szCs w:val="24"/>
                <w:highlight w:val="none"/>
                <w:lang w:val="en-US" w:eastAsia="zh-CN"/>
              </w:rPr>
            </w:pPr>
          </w:p>
        </w:tc>
        <w:tc>
          <w:tcPr>
            <w:tcW w:w="703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bCs w:val="0"/>
                <w:color w:val="auto"/>
                <w:kern w:val="0"/>
                <w:sz w:val="24"/>
                <w:szCs w:val="24"/>
                <w:highlight w:val="none"/>
                <w:u w:val="none"/>
                <w:lang w:val="zh-CN"/>
              </w:rPr>
            </w:pPr>
            <w:r>
              <w:rPr>
                <w:rFonts w:hint="default" w:ascii="Times New Roman" w:hAnsi="Times New Roman" w:eastAsia="宋体" w:cs="Times New Roman"/>
                <w:color w:val="auto"/>
                <w:sz w:val="24"/>
                <w:szCs w:val="24"/>
                <w:highlight w:val="none"/>
              </w:rPr>
              <w:t>定标委员会对合格的中标候选人</w:t>
            </w:r>
            <w:r>
              <w:rPr>
                <w:rFonts w:hint="default" w:ascii="Times New Roman" w:hAnsi="Times New Roman" w:eastAsia="宋体" w:cs="Times New Roman"/>
                <w:color w:val="auto"/>
                <w:sz w:val="24"/>
                <w:szCs w:val="24"/>
                <w:highlight w:val="none"/>
                <w:lang w:val="en-US" w:eastAsia="zh-CN"/>
              </w:rPr>
              <w:t>针对</w:t>
            </w:r>
            <w:r>
              <w:rPr>
                <w:rFonts w:hint="default" w:ascii="Times New Roman" w:hAnsi="Times New Roman" w:eastAsia="宋体" w:cs="Times New Roman"/>
                <w:bCs w:val="0"/>
                <w:color w:val="auto"/>
                <w:kern w:val="0"/>
                <w:sz w:val="24"/>
                <w:szCs w:val="24"/>
                <w:highlight w:val="none"/>
                <w:u w:val="none"/>
                <w:lang w:val="zh-CN"/>
              </w:rPr>
              <w:t>工程重点、难点分析和对策（</w:t>
            </w:r>
            <w:r>
              <w:rPr>
                <w:rFonts w:hint="default" w:ascii="Times New Roman" w:hAnsi="Times New Roman" w:eastAsia="宋体" w:cs="Times New Roman"/>
                <w:bCs w:val="0"/>
                <w:color w:val="auto"/>
                <w:kern w:val="0"/>
                <w:sz w:val="24"/>
                <w:szCs w:val="24"/>
                <w:highlight w:val="none"/>
                <w:u w:val="none"/>
                <w:lang w:val="en-US" w:eastAsia="zh-CN"/>
              </w:rPr>
              <w:t>包括但不限于</w:t>
            </w:r>
            <w:r>
              <w:rPr>
                <w:rFonts w:hint="default" w:ascii="Times New Roman" w:hAnsi="Times New Roman" w:eastAsia="宋体" w:cs="Times New Roman"/>
                <w:color w:val="auto"/>
                <w:sz w:val="24"/>
                <w:szCs w:val="24"/>
                <w:highlight w:val="none"/>
              </w:rPr>
              <w:t>对项目关键技术、工艺表述</w:t>
            </w:r>
            <w:r>
              <w:rPr>
                <w:rFonts w:hint="eastAsia" w:ascii="Times New Roman" w:hAnsi="Times New Roman" w:eastAsia="宋体" w:cs="Times New Roman"/>
                <w:color w:val="auto"/>
                <w:sz w:val="24"/>
                <w:szCs w:val="24"/>
                <w:highlight w:val="none"/>
                <w:lang w:val="en-US" w:eastAsia="zh-CN"/>
              </w:rPr>
              <w:t>的深入性</w:t>
            </w:r>
            <w:r>
              <w:rPr>
                <w:rFonts w:hint="default" w:ascii="Times New Roman" w:hAnsi="Times New Roman" w:eastAsia="宋体" w:cs="Times New Roman"/>
                <w:color w:val="auto"/>
                <w:sz w:val="24"/>
                <w:szCs w:val="24"/>
                <w:highlight w:val="none"/>
              </w:rPr>
              <w:t>，对重点、难点建议</w:t>
            </w:r>
            <w:r>
              <w:rPr>
                <w:rFonts w:hint="eastAsia" w:ascii="Times New Roman" w:hAnsi="Times New Roman" w:eastAsia="宋体" w:cs="Times New Roman"/>
                <w:color w:val="auto"/>
                <w:sz w:val="24"/>
                <w:szCs w:val="24"/>
                <w:highlight w:val="none"/>
                <w:lang w:val="en-US" w:eastAsia="zh-CN"/>
              </w:rPr>
              <w:t>的先进性、合理性</w:t>
            </w:r>
            <w:r>
              <w:rPr>
                <w:rFonts w:hint="default" w:ascii="Times New Roman" w:hAnsi="Times New Roman" w:eastAsia="宋体" w:cs="Times New Roman"/>
                <w:color w:val="auto"/>
                <w:sz w:val="24"/>
                <w:szCs w:val="24"/>
                <w:highlight w:val="none"/>
              </w:rPr>
              <w:t>，解决方案</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rPr>
              <w:t>完整</w:t>
            </w:r>
            <w:r>
              <w:rPr>
                <w:rFonts w:hint="default" w:ascii="Times New Roman" w:hAnsi="Times New Roman" w:eastAsia="宋体" w:cs="Times New Roman"/>
                <w:color w:val="auto"/>
                <w:sz w:val="24"/>
                <w:szCs w:val="24"/>
                <w:highlight w:val="none"/>
                <w:lang w:val="en-US" w:eastAsia="zh-CN"/>
              </w:rPr>
              <w:t>性</w:t>
            </w:r>
            <w:r>
              <w:rPr>
                <w:rFonts w:hint="default" w:ascii="Times New Roman" w:hAnsi="Times New Roman" w:eastAsia="宋体" w:cs="Times New Roman"/>
                <w:color w:val="auto"/>
                <w:sz w:val="24"/>
                <w:szCs w:val="24"/>
                <w:highlight w:val="none"/>
              </w:rPr>
              <w:t>、经济</w:t>
            </w:r>
            <w:r>
              <w:rPr>
                <w:rFonts w:hint="default" w:ascii="Times New Roman" w:hAnsi="Times New Roman" w:eastAsia="宋体" w:cs="Times New Roman"/>
                <w:color w:val="auto"/>
                <w:sz w:val="24"/>
                <w:szCs w:val="24"/>
                <w:highlight w:val="none"/>
                <w:lang w:val="en-US" w:eastAsia="zh-CN"/>
              </w:rPr>
              <w:t>性</w:t>
            </w:r>
            <w:r>
              <w:rPr>
                <w:rFonts w:hint="default" w:ascii="Times New Roman" w:hAnsi="Times New Roman" w:eastAsia="宋体" w:cs="Times New Roman"/>
                <w:color w:val="auto"/>
                <w:sz w:val="24"/>
                <w:szCs w:val="24"/>
                <w:highlight w:val="none"/>
              </w:rPr>
              <w:t>、安全</w:t>
            </w:r>
            <w:r>
              <w:rPr>
                <w:rFonts w:hint="default" w:ascii="Times New Roman" w:hAnsi="Times New Roman" w:eastAsia="宋体" w:cs="Times New Roman"/>
                <w:color w:val="auto"/>
                <w:sz w:val="24"/>
                <w:szCs w:val="24"/>
                <w:highlight w:val="none"/>
                <w:lang w:val="en-US" w:eastAsia="zh-CN"/>
              </w:rPr>
              <w:t>性</w:t>
            </w:r>
            <w:r>
              <w:rPr>
                <w:rFonts w:hint="default" w:ascii="Times New Roman" w:hAnsi="Times New Roman" w:eastAsia="宋体" w:cs="Times New Roman"/>
                <w:color w:val="auto"/>
                <w:sz w:val="24"/>
                <w:szCs w:val="24"/>
                <w:highlight w:val="none"/>
              </w:rPr>
              <w:t>、可行</w:t>
            </w:r>
            <w:r>
              <w:rPr>
                <w:rFonts w:hint="default" w:ascii="Times New Roman" w:hAnsi="Times New Roman" w:eastAsia="宋体" w:cs="Times New Roman"/>
                <w:color w:val="auto"/>
                <w:sz w:val="24"/>
                <w:szCs w:val="24"/>
                <w:highlight w:val="none"/>
                <w:lang w:val="en-US" w:eastAsia="zh-CN"/>
              </w:rPr>
              <w:t>性等</w:t>
            </w:r>
            <w:r>
              <w:rPr>
                <w:rFonts w:hint="default" w:ascii="Times New Roman" w:hAnsi="Times New Roman" w:eastAsia="宋体" w:cs="Times New Roman"/>
                <w:bCs w:val="0"/>
                <w:color w:val="auto"/>
                <w:kern w:val="0"/>
                <w:sz w:val="24"/>
                <w:szCs w:val="24"/>
                <w:highlight w:val="none"/>
                <w:u w:val="none"/>
                <w:lang w:val="zh-CN"/>
              </w:rPr>
              <w:t>）</w:t>
            </w:r>
            <w:r>
              <w:rPr>
                <w:rFonts w:hint="default" w:ascii="Times New Roman" w:hAnsi="Times New Roman" w:eastAsia="宋体" w:cs="Times New Roman"/>
                <w:color w:val="auto"/>
                <w:sz w:val="24"/>
                <w:szCs w:val="24"/>
                <w:highlight w:val="none"/>
              </w:rPr>
              <w:t>进行横向比较分析。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w:t>
            </w:r>
          </w:p>
        </w:tc>
        <w:tc>
          <w:tcPr>
            <w:tcW w:w="1534" w:type="dxa"/>
            <w:vMerge w:val="continue"/>
            <w:tcBorders>
              <w:left w:val="single" w:color="auto" w:sz="4" w:space="0"/>
              <w:right w:val="single" w:color="auto" w:sz="4" w:space="0"/>
            </w:tcBorders>
            <w:noWrap w:val="0"/>
            <w:vAlign w:val="center"/>
          </w:tcPr>
          <w:p>
            <w:pPr>
              <w:jc w:val="left"/>
              <w:rPr>
                <w:rFonts w:hint="default" w:ascii="Times New Roman" w:hAnsi="Times New Roman" w:eastAsia="宋体" w:cs="Times New Roman"/>
                <w:color w:val="auto"/>
                <w:sz w:val="24"/>
                <w:szCs w:val="24"/>
                <w:highlight w:val="none"/>
                <w:lang w:val="en-US" w:eastAsia="zh-CN"/>
              </w:rPr>
            </w:pPr>
          </w:p>
        </w:tc>
        <w:tc>
          <w:tcPr>
            <w:tcW w:w="703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定标委员会对合格的中标候选人</w:t>
            </w:r>
            <w:r>
              <w:rPr>
                <w:rFonts w:hint="default" w:ascii="Times New Roman" w:hAnsi="Times New Roman" w:eastAsia="宋体" w:cs="Times New Roman"/>
                <w:color w:val="auto"/>
                <w:sz w:val="24"/>
                <w:szCs w:val="24"/>
                <w:highlight w:val="none"/>
                <w:lang w:val="zh-CN" w:eastAsia="zh-CN"/>
              </w:rPr>
              <w:t>的</w:t>
            </w:r>
            <w:r>
              <w:rPr>
                <w:rFonts w:hint="default" w:ascii="Times New Roman" w:hAnsi="Times New Roman" w:eastAsia="宋体" w:cs="Times New Roman"/>
                <w:color w:val="auto"/>
                <w:sz w:val="24"/>
                <w:szCs w:val="24"/>
                <w:highlight w:val="none"/>
                <w:lang w:val="zh-CN"/>
              </w:rPr>
              <w:t>施工总进度计划安排及工期保证措施</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zh-CN" w:eastAsia="zh-CN"/>
              </w:rPr>
              <w:t>包括但不限于施工总进度计划【</w:t>
            </w:r>
            <w:r>
              <w:rPr>
                <w:rFonts w:hint="default" w:ascii="Times New Roman" w:hAnsi="Times New Roman" w:eastAsia="宋体" w:cs="Times New Roman"/>
                <w:b/>
                <w:bCs/>
                <w:color w:val="auto"/>
                <w:sz w:val="24"/>
                <w:szCs w:val="24"/>
                <w:highlight w:val="none"/>
                <w:lang w:val="zh-CN" w:eastAsia="zh-CN"/>
              </w:rPr>
              <w:t>特别</w:t>
            </w:r>
            <w:r>
              <w:rPr>
                <w:rFonts w:hint="default" w:ascii="Times New Roman" w:hAnsi="Times New Roman" w:eastAsia="宋体" w:cs="Times New Roman"/>
                <w:b/>
                <w:bCs/>
                <w:color w:val="auto"/>
                <w:sz w:val="24"/>
                <w:szCs w:val="24"/>
                <w:highlight w:val="none"/>
                <w:lang w:val="en-US" w:eastAsia="zh-CN"/>
              </w:rPr>
              <w:t>是</w:t>
            </w:r>
            <w:r>
              <w:rPr>
                <w:rFonts w:hint="default" w:ascii="Times New Roman" w:hAnsi="Times New Roman" w:eastAsia="宋体" w:cs="Times New Roman"/>
                <w:b/>
                <w:bCs/>
                <w:color w:val="auto"/>
                <w:sz w:val="24"/>
                <w:szCs w:val="24"/>
                <w:highlight w:val="none"/>
                <w:lang w:val="zh-CN" w:eastAsia="zh-CN"/>
              </w:rPr>
              <w:t>工程整体完工时间比招标人控制的关键工期节点时间（详见招标文件合同条款第三部分专用条款第10.1.2条）</w:t>
            </w:r>
            <w:r>
              <w:rPr>
                <w:rFonts w:hint="default" w:ascii="Times New Roman" w:hAnsi="Times New Roman" w:eastAsia="宋体" w:cs="Times New Roman"/>
                <w:b/>
                <w:bCs/>
                <w:color w:val="auto"/>
                <w:sz w:val="24"/>
                <w:szCs w:val="24"/>
                <w:highlight w:val="none"/>
                <w:lang w:val="en-US" w:eastAsia="zh-CN"/>
              </w:rPr>
              <w:t>的</w:t>
            </w:r>
            <w:r>
              <w:rPr>
                <w:rFonts w:hint="default" w:ascii="Times New Roman" w:hAnsi="Times New Roman" w:eastAsia="宋体" w:cs="Times New Roman"/>
                <w:b/>
                <w:bCs/>
                <w:color w:val="auto"/>
                <w:sz w:val="24"/>
                <w:szCs w:val="24"/>
                <w:highlight w:val="none"/>
                <w:lang w:val="zh-CN" w:eastAsia="zh-CN"/>
              </w:rPr>
              <w:t>提前情况</w:t>
            </w:r>
            <w:r>
              <w:rPr>
                <w:rFonts w:hint="default" w:ascii="Times New Roman" w:hAnsi="Times New Roman" w:eastAsia="宋体" w:cs="Times New Roman"/>
                <w:color w:val="auto"/>
                <w:sz w:val="24"/>
                <w:szCs w:val="24"/>
                <w:highlight w:val="none"/>
                <w:lang w:val="zh-CN" w:eastAsia="zh-CN"/>
              </w:rPr>
              <w:t>】、保证工期的技术措施、劳动力保证措施、材料供货进度保证措施、机械设备投入保证措施</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zh-CN"/>
              </w:rPr>
              <w:t>进行横向比较分析，</w:t>
            </w:r>
            <w:r>
              <w:rPr>
                <w:rFonts w:hint="default" w:ascii="Times New Roman" w:hAnsi="Times New Roman" w:eastAsia="宋体" w:cs="Times New Roman"/>
                <w:color w:val="auto"/>
                <w:sz w:val="24"/>
                <w:szCs w:val="24"/>
                <w:highlight w:val="none"/>
                <w:lang w:val="zh-CN" w:eastAsia="zh-CN"/>
              </w:rPr>
              <w:t>重点</w:t>
            </w:r>
            <w:r>
              <w:rPr>
                <w:rFonts w:hint="default" w:ascii="Times New Roman" w:hAnsi="Times New Roman" w:eastAsia="宋体" w:cs="Times New Roman"/>
                <w:color w:val="auto"/>
                <w:sz w:val="24"/>
                <w:szCs w:val="24"/>
                <w:highlight w:val="none"/>
                <w:lang w:val="zh-CN"/>
              </w:rPr>
              <w:t>比较分析计划</w:t>
            </w:r>
            <w:r>
              <w:rPr>
                <w:rFonts w:hint="default" w:ascii="Times New Roman" w:hAnsi="Times New Roman" w:eastAsia="宋体" w:cs="Times New Roman"/>
                <w:color w:val="auto"/>
                <w:sz w:val="24"/>
                <w:szCs w:val="24"/>
                <w:highlight w:val="none"/>
                <w:lang w:val="zh-CN" w:eastAsia="zh-CN"/>
              </w:rPr>
              <w:t>的</w:t>
            </w:r>
            <w:r>
              <w:rPr>
                <w:rFonts w:hint="default" w:ascii="Times New Roman" w:hAnsi="Times New Roman" w:eastAsia="宋体" w:cs="Times New Roman"/>
                <w:color w:val="auto"/>
                <w:sz w:val="24"/>
                <w:szCs w:val="24"/>
                <w:highlight w:val="none"/>
                <w:lang w:val="zh-CN"/>
              </w:rPr>
              <w:t>逻辑性，计划及措施</w:t>
            </w:r>
            <w:r>
              <w:rPr>
                <w:rFonts w:hint="default" w:ascii="Times New Roman" w:hAnsi="Times New Roman" w:eastAsia="宋体" w:cs="Times New Roman"/>
                <w:color w:val="auto"/>
                <w:sz w:val="24"/>
                <w:szCs w:val="24"/>
                <w:highlight w:val="none"/>
                <w:lang w:val="zh-CN" w:eastAsia="zh-CN"/>
              </w:rPr>
              <w:t>的明确具体性</w:t>
            </w:r>
            <w:r>
              <w:rPr>
                <w:rFonts w:hint="default" w:ascii="Times New Roman" w:hAnsi="Times New Roman" w:eastAsia="宋体" w:cs="Times New Roman"/>
                <w:color w:val="auto"/>
                <w:sz w:val="24"/>
                <w:szCs w:val="24"/>
                <w:highlight w:val="none"/>
                <w:lang w:val="zh-CN"/>
              </w:rPr>
              <w:t>、合理可行</w:t>
            </w:r>
            <w:r>
              <w:rPr>
                <w:rFonts w:hint="default" w:ascii="Times New Roman" w:hAnsi="Times New Roman" w:eastAsia="宋体" w:cs="Times New Roman"/>
                <w:color w:val="auto"/>
                <w:sz w:val="24"/>
                <w:szCs w:val="24"/>
                <w:highlight w:val="none"/>
                <w:lang w:val="zh-CN" w:eastAsia="zh-CN"/>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534" w:type="dxa"/>
            <w:vMerge w:val="continue"/>
            <w:tcBorders>
              <w:left w:val="single" w:color="auto" w:sz="4" w:space="0"/>
              <w:right w:val="single" w:color="auto" w:sz="4" w:space="0"/>
            </w:tcBorders>
            <w:noWrap w:val="0"/>
            <w:vAlign w:val="center"/>
          </w:tcPr>
          <w:p>
            <w:pPr>
              <w:jc w:val="left"/>
              <w:rPr>
                <w:rFonts w:hint="default" w:ascii="Times New Roman" w:hAnsi="Times New Roman" w:eastAsia="宋体" w:cs="Times New Roman"/>
                <w:color w:val="auto"/>
                <w:sz w:val="24"/>
                <w:szCs w:val="24"/>
                <w:highlight w:val="none"/>
                <w:lang w:val="en-US" w:eastAsia="zh-CN"/>
              </w:rPr>
            </w:pPr>
          </w:p>
        </w:tc>
        <w:tc>
          <w:tcPr>
            <w:tcW w:w="703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bCs w:val="0"/>
                <w:color w:val="auto"/>
                <w:kern w:val="0"/>
                <w:sz w:val="24"/>
                <w:szCs w:val="24"/>
                <w:highlight w:val="none"/>
                <w:u w:val="none"/>
                <w:lang w:val="zh-CN"/>
              </w:rPr>
            </w:pPr>
            <w:r>
              <w:rPr>
                <w:rFonts w:hint="default" w:ascii="Times New Roman" w:hAnsi="Times New Roman" w:eastAsia="宋体" w:cs="Times New Roman"/>
                <w:color w:val="auto"/>
                <w:kern w:val="0"/>
                <w:sz w:val="24"/>
                <w:szCs w:val="24"/>
                <w:highlight w:val="none"/>
                <w:u w:val="none"/>
              </w:rPr>
              <w:t>定标委员会对合格的中标候选人的</w:t>
            </w:r>
            <w:r>
              <w:rPr>
                <w:rFonts w:hint="default" w:ascii="Times New Roman" w:hAnsi="Times New Roman" w:eastAsia="宋体" w:cs="Times New Roman"/>
                <w:bCs w:val="0"/>
                <w:color w:val="auto"/>
                <w:kern w:val="0"/>
                <w:sz w:val="24"/>
                <w:szCs w:val="24"/>
                <w:highlight w:val="none"/>
                <w:u w:val="none"/>
                <w:lang w:val="en-US"/>
              </w:rPr>
              <w:t>施工方案（</w:t>
            </w:r>
            <w:r>
              <w:rPr>
                <w:rFonts w:hint="default" w:ascii="Times New Roman" w:hAnsi="Times New Roman" w:eastAsia="宋体" w:cs="Times New Roman"/>
                <w:bCs w:val="0"/>
                <w:color w:val="auto"/>
                <w:kern w:val="0"/>
                <w:sz w:val="24"/>
                <w:szCs w:val="24"/>
                <w:highlight w:val="none"/>
                <w:u w:val="none"/>
                <w:lang w:val="en-US" w:eastAsia="zh-CN"/>
              </w:rPr>
              <w:t>包括但不限于</w:t>
            </w:r>
            <w:r>
              <w:rPr>
                <w:rFonts w:hint="default" w:ascii="Times New Roman" w:hAnsi="Times New Roman" w:eastAsia="宋体" w:cs="Times New Roman"/>
                <w:color w:val="auto"/>
                <w:kern w:val="0"/>
                <w:sz w:val="24"/>
                <w:szCs w:val="24"/>
                <w:highlight w:val="none"/>
                <w:u w:val="none"/>
                <w:lang w:eastAsia="zh-CN"/>
              </w:rPr>
              <w:t>钢箱梁吊装专项方案、交通疏解专项方案、市政道路施工方案、桩基础工程施工方案、防洪防汛专项应急预案</w:t>
            </w:r>
            <w:r>
              <w:rPr>
                <w:rFonts w:hint="default" w:ascii="Times New Roman" w:hAnsi="Times New Roman" w:eastAsia="宋体" w:cs="Times New Roman"/>
                <w:bCs w:val="0"/>
                <w:color w:val="auto"/>
                <w:kern w:val="0"/>
                <w:sz w:val="24"/>
                <w:szCs w:val="24"/>
                <w:highlight w:val="none"/>
                <w:u w:val="none"/>
                <w:lang w:val="en-US"/>
              </w:rPr>
              <w:t>）</w:t>
            </w:r>
            <w:r>
              <w:rPr>
                <w:rFonts w:hint="default" w:ascii="Times New Roman" w:hAnsi="Times New Roman" w:eastAsia="宋体" w:cs="Times New Roman"/>
                <w:bCs w:val="0"/>
                <w:color w:val="auto"/>
                <w:kern w:val="0"/>
                <w:sz w:val="24"/>
                <w:szCs w:val="24"/>
                <w:highlight w:val="none"/>
                <w:u w:val="none"/>
                <w:lang w:val="en-US" w:eastAsia="zh-CN"/>
              </w:rPr>
              <w:t>的齐全、完整、可行性</w:t>
            </w:r>
            <w:r>
              <w:rPr>
                <w:rFonts w:hint="default" w:ascii="Times New Roman" w:hAnsi="Times New Roman" w:eastAsia="宋体" w:cs="Times New Roman"/>
                <w:color w:val="auto"/>
                <w:kern w:val="0"/>
                <w:sz w:val="24"/>
                <w:szCs w:val="24"/>
                <w:highlight w:val="none"/>
                <w:u w:val="none"/>
              </w:rPr>
              <w:t>进行横向比较分析</w:t>
            </w:r>
            <w:r>
              <w:rPr>
                <w:rFonts w:hint="default" w:ascii="Times New Roman" w:hAnsi="Times New Roman" w:eastAsia="宋体" w:cs="Times New Roman"/>
                <w:color w:val="auto"/>
                <w:kern w:val="0"/>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11</w:t>
            </w:r>
          </w:p>
        </w:tc>
        <w:tc>
          <w:tcPr>
            <w:tcW w:w="1534" w:type="dxa"/>
            <w:vMerge w:val="continue"/>
            <w:tcBorders>
              <w:left w:val="single" w:color="auto" w:sz="4" w:space="0"/>
              <w:right w:val="single" w:color="auto" w:sz="4" w:space="0"/>
            </w:tcBorders>
            <w:noWrap w:val="0"/>
            <w:vAlign w:val="center"/>
          </w:tcPr>
          <w:p>
            <w:pPr>
              <w:jc w:val="left"/>
              <w:rPr>
                <w:rFonts w:hint="default" w:ascii="Times New Roman" w:hAnsi="Times New Roman" w:eastAsia="宋体" w:cs="Times New Roman"/>
                <w:color w:val="auto"/>
                <w:sz w:val="24"/>
                <w:szCs w:val="24"/>
                <w:highlight w:val="none"/>
                <w:lang w:val="en-US" w:eastAsia="zh-CN"/>
              </w:rPr>
            </w:pPr>
          </w:p>
        </w:tc>
        <w:tc>
          <w:tcPr>
            <w:tcW w:w="703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bCs w:val="0"/>
                <w:color w:val="auto"/>
                <w:kern w:val="0"/>
                <w:sz w:val="24"/>
                <w:szCs w:val="24"/>
                <w:highlight w:val="none"/>
                <w:u w:val="none"/>
                <w:lang w:val="zh-CN"/>
              </w:rPr>
            </w:pPr>
            <w:r>
              <w:rPr>
                <w:rFonts w:hint="default" w:ascii="Times New Roman" w:hAnsi="Times New Roman" w:eastAsia="宋体" w:cs="Times New Roman"/>
                <w:color w:val="auto"/>
                <w:kern w:val="2"/>
                <w:sz w:val="24"/>
                <w:szCs w:val="24"/>
                <w:highlight w:val="none"/>
                <w:u w:val="none"/>
                <w:lang w:val="zh-CN"/>
              </w:rPr>
              <w:t>定标委员会对合格的中标候选人的</w:t>
            </w:r>
            <w:r>
              <w:rPr>
                <w:rFonts w:hint="default" w:ascii="Times New Roman" w:hAnsi="Times New Roman" w:eastAsia="宋体" w:cs="Times New Roman"/>
                <w:bCs w:val="0"/>
                <w:color w:val="auto"/>
                <w:kern w:val="2"/>
                <w:sz w:val="24"/>
                <w:szCs w:val="24"/>
                <w:highlight w:val="none"/>
                <w:u w:val="none"/>
                <w:lang w:val="zh-CN"/>
              </w:rPr>
              <w:t>施工质量保证措施（</w:t>
            </w:r>
            <w:r>
              <w:rPr>
                <w:rFonts w:hint="default" w:ascii="Times New Roman" w:hAnsi="Times New Roman" w:eastAsia="宋体" w:cs="Times New Roman"/>
                <w:bCs w:val="0"/>
                <w:color w:val="auto"/>
                <w:kern w:val="2"/>
                <w:sz w:val="24"/>
                <w:szCs w:val="24"/>
                <w:highlight w:val="none"/>
                <w:u w:val="none"/>
                <w:lang w:val="zh-CN" w:eastAsia="zh-CN"/>
              </w:rPr>
              <w:t>包括但不限于</w:t>
            </w:r>
            <w:r>
              <w:rPr>
                <w:rFonts w:hint="default" w:ascii="Times New Roman" w:hAnsi="Times New Roman" w:eastAsia="宋体" w:cs="Times New Roman"/>
                <w:color w:val="auto"/>
                <w:kern w:val="2"/>
                <w:sz w:val="24"/>
                <w:szCs w:val="24"/>
                <w:highlight w:val="none"/>
                <w:u w:val="none"/>
                <w:lang w:val="zh-CN" w:eastAsia="zh-CN"/>
              </w:rPr>
              <w:t>保证措施的针对性、先进性、可行性、具体性，新技术、新工艺、新材料、新设备的应用情况</w:t>
            </w:r>
            <w:r>
              <w:rPr>
                <w:rFonts w:hint="default" w:ascii="Times New Roman" w:hAnsi="Times New Roman" w:eastAsia="宋体" w:cs="Times New Roman"/>
                <w:bCs w:val="0"/>
                <w:color w:val="auto"/>
                <w:kern w:val="2"/>
                <w:sz w:val="24"/>
                <w:szCs w:val="24"/>
                <w:highlight w:val="none"/>
                <w:u w:val="none"/>
                <w:lang w:val="zh-CN"/>
              </w:rPr>
              <w:t>）</w:t>
            </w:r>
            <w:r>
              <w:rPr>
                <w:rFonts w:hint="default" w:ascii="Times New Roman" w:hAnsi="Times New Roman" w:eastAsia="宋体" w:cs="Times New Roman"/>
                <w:color w:val="auto"/>
                <w:kern w:val="2"/>
                <w:sz w:val="24"/>
                <w:szCs w:val="24"/>
                <w:highlight w:val="none"/>
                <w:u w:val="none"/>
                <w:lang w:val="zh-CN"/>
              </w:rPr>
              <w:t>进行横向比较分析</w:t>
            </w:r>
            <w:r>
              <w:rPr>
                <w:rFonts w:hint="default" w:ascii="Times New Roman" w:hAnsi="Times New Roman" w:eastAsia="宋体" w:cs="Times New Roman"/>
                <w:color w:val="auto"/>
                <w:kern w:val="2"/>
                <w:sz w:val="24"/>
                <w:szCs w:val="24"/>
                <w:highlight w:val="none"/>
                <w:u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w:t>
            </w:r>
          </w:p>
        </w:tc>
        <w:tc>
          <w:tcPr>
            <w:tcW w:w="1534" w:type="dxa"/>
            <w:vMerge w:val="continue"/>
            <w:tcBorders>
              <w:left w:val="single" w:color="auto" w:sz="4" w:space="0"/>
              <w:right w:val="single" w:color="auto" w:sz="4" w:space="0"/>
            </w:tcBorders>
            <w:noWrap w:val="0"/>
            <w:vAlign w:val="center"/>
          </w:tcPr>
          <w:p>
            <w:pPr>
              <w:jc w:val="left"/>
              <w:rPr>
                <w:rFonts w:hint="default" w:ascii="Times New Roman" w:hAnsi="Times New Roman" w:eastAsia="宋体" w:cs="Times New Roman"/>
                <w:color w:val="auto"/>
                <w:sz w:val="24"/>
                <w:szCs w:val="24"/>
                <w:highlight w:val="none"/>
                <w:lang w:val="en-US" w:eastAsia="zh-CN"/>
              </w:rPr>
            </w:pPr>
          </w:p>
        </w:tc>
        <w:tc>
          <w:tcPr>
            <w:tcW w:w="703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bCs w:val="0"/>
                <w:color w:val="auto"/>
                <w:kern w:val="0"/>
                <w:sz w:val="24"/>
                <w:szCs w:val="24"/>
                <w:highlight w:val="none"/>
                <w:u w:val="none"/>
                <w:lang w:val="zh-CN"/>
              </w:rPr>
            </w:pPr>
            <w:r>
              <w:rPr>
                <w:rFonts w:hint="default" w:ascii="Times New Roman" w:hAnsi="Times New Roman" w:eastAsia="宋体" w:cs="Times New Roman"/>
                <w:color w:val="auto"/>
                <w:kern w:val="2"/>
                <w:sz w:val="24"/>
                <w:szCs w:val="24"/>
                <w:highlight w:val="none"/>
                <w:u w:val="none"/>
                <w:lang w:val="zh-CN"/>
              </w:rPr>
              <w:t>定标委员会对合格的中标候选人的</w:t>
            </w:r>
            <w:r>
              <w:rPr>
                <w:rFonts w:hint="default" w:ascii="Times New Roman" w:hAnsi="Times New Roman" w:eastAsia="宋体" w:cs="Times New Roman"/>
                <w:bCs w:val="0"/>
                <w:color w:val="auto"/>
                <w:kern w:val="2"/>
                <w:sz w:val="24"/>
                <w:szCs w:val="24"/>
                <w:highlight w:val="none"/>
                <w:u w:val="none"/>
                <w:lang w:val="zh-CN"/>
              </w:rPr>
              <w:t>安全文明施工保证措施（</w:t>
            </w:r>
            <w:r>
              <w:rPr>
                <w:rFonts w:hint="default" w:ascii="Times New Roman" w:hAnsi="Times New Roman" w:eastAsia="宋体" w:cs="Times New Roman"/>
                <w:bCs w:val="0"/>
                <w:color w:val="auto"/>
                <w:kern w:val="2"/>
                <w:sz w:val="24"/>
                <w:szCs w:val="24"/>
                <w:highlight w:val="none"/>
                <w:u w:val="none"/>
                <w:lang w:val="zh-CN" w:eastAsia="zh-CN"/>
              </w:rPr>
              <w:t>包括但不限于</w:t>
            </w:r>
            <w:r>
              <w:rPr>
                <w:rFonts w:hint="default" w:ascii="Times New Roman" w:hAnsi="Times New Roman" w:eastAsia="宋体" w:cs="Times New Roman"/>
                <w:color w:val="auto"/>
                <w:kern w:val="2"/>
                <w:sz w:val="24"/>
                <w:szCs w:val="24"/>
                <w:highlight w:val="none"/>
                <w:u w:val="none"/>
                <w:lang w:val="zh-CN" w:eastAsia="zh-CN"/>
              </w:rPr>
              <w:t>实施措施的针对性、先进性、具体性、</w:t>
            </w:r>
            <w:r>
              <w:rPr>
                <w:rFonts w:hint="default" w:ascii="Times New Roman" w:hAnsi="Times New Roman" w:eastAsia="宋体" w:cs="Times New Roman"/>
                <w:color w:val="auto"/>
                <w:kern w:val="2"/>
                <w:sz w:val="24"/>
                <w:szCs w:val="24"/>
                <w:highlight w:val="none"/>
                <w:u w:val="none"/>
                <w:lang w:val="en-US" w:eastAsia="zh-CN"/>
              </w:rPr>
              <w:t>完整性、可行性</w:t>
            </w:r>
            <w:r>
              <w:rPr>
                <w:rFonts w:hint="default" w:ascii="Times New Roman" w:hAnsi="Times New Roman" w:eastAsia="宋体" w:cs="Times New Roman"/>
                <w:color w:val="auto"/>
                <w:kern w:val="2"/>
                <w:sz w:val="24"/>
                <w:szCs w:val="24"/>
                <w:highlight w:val="none"/>
                <w:u w:val="none"/>
                <w:lang w:val="zh-CN" w:eastAsia="zh-CN"/>
              </w:rPr>
              <w:t>，</w:t>
            </w:r>
            <w:r>
              <w:rPr>
                <w:rFonts w:hint="default" w:ascii="Times New Roman" w:hAnsi="Times New Roman" w:eastAsia="宋体" w:cs="Times New Roman"/>
                <w:color w:val="auto"/>
                <w:kern w:val="2"/>
                <w:sz w:val="24"/>
                <w:szCs w:val="24"/>
                <w:highlight w:val="none"/>
                <w:u w:val="none"/>
                <w:lang w:val="en-US" w:eastAsia="zh-CN"/>
              </w:rPr>
              <w:t>采用规范的正确性</w:t>
            </w:r>
            <w:r>
              <w:rPr>
                <w:rFonts w:hint="default" w:ascii="Times New Roman" w:hAnsi="Times New Roman" w:eastAsia="宋体" w:cs="Times New Roman"/>
                <w:bCs w:val="0"/>
                <w:color w:val="auto"/>
                <w:kern w:val="2"/>
                <w:sz w:val="24"/>
                <w:szCs w:val="24"/>
                <w:highlight w:val="none"/>
                <w:u w:val="none"/>
                <w:lang w:val="zh-CN"/>
              </w:rPr>
              <w:t>）</w:t>
            </w:r>
            <w:r>
              <w:rPr>
                <w:rFonts w:hint="default" w:ascii="Times New Roman" w:hAnsi="Times New Roman" w:eastAsia="宋体" w:cs="Times New Roman"/>
                <w:color w:val="auto"/>
                <w:kern w:val="2"/>
                <w:sz w:val="24"/>
                <w:szCs w:val="24"/>
                <w:highlight w:val="none"/>
                <w:u w:val="none"/>
                <w:lang w:val="zh-CN"/>
              </w:rPr>
              <w:t>进行横向比较分析</w:t>
            </w:r>
            <w:r>
              <w:rPr>
                <w:rFonts w:hint="default" w:ascii="Times New Roman" w:hAnsi="Times New Roman" w:eastAsia="宋体" w:cs="Times New Roman"/>
                <w:color w:val="auto"/>
                <w:kern w:val="2"/>
                <w:sz w:val="24"/>
                <w:szCs w:val="24"/>
                <w:highlight w:val="none"/>
                <w:u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13</w:t>
            </w:r>
          </w:p>
        </w:tc>
        <w:tc>
          <w:tcPr>
            <w:tcW w:w="1534" w:type="dxa"/>
            <w:tcBorders>
              <w:left w:val="single" w:color="auto" w:sz="4" w:space="0"/>
              <w:right w:val="single" w:color="auto" w:sz="4" w:space="0"/>
            </w:tcBorders>
            <w:noWrap w:val="0"/>
            <w:vAlign w:val="center"/>
          </w:tcPr>
          <w:p>
            <w:pPr>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bidi="ar"/>
              </w:rPr>
              <w:t>安全生产不良行为扣分情况</w:t>
            </w:r>
          </w:p>
        </w:tc>
        <w:tc>
          <w:tcPr>
            <w:tcW w:w="703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bCs w:val="0"/>
                <w:color w:val="auto"/>
                <w:kern w:val="0"/>
                <w:sz w:val="24"/>
                <w:szCs w:val="24"/>
                <w:highlight w:val="none"/>
                <w:u w:val="none"/>
                <w:lang w:val="zh-CN"/>
              </w:rPr>
            </w:pPr>
            <w:r>
              <w:rPr>
                <w:rFonts w:hint="default" w:ascii="Times New Roman" w:hAnsi="Times New Roman" w:eastAsia="宋体" w:cs="Times New Roman"/>
                <w:color w:val="auto"/>
                <w:sz w:val="24"/>
                <w:szCs w:val="24"/>
                <w:highlight w:val="none"/>
                <w:lang w:bidi="ar"/>
              </w:rPr>
              <w:t>定标委员会根据招标人上级单位对合格投标人过往在招标人上级集团单位系内的参建项目的安全生产不良行为扣分情况</w:t>
            </w:r>
            <w:r>
              <w:rPr>
                <w:rFonts w:hint="default" w:ascii="Times New Roman" w:hAnsi="Times New Roman" w:eastAsia="宋体" w:cs="Times New Roman"/>
                <w:color w:val="auto"/>
                <w:kern w:val="2"/>
                <w:sz w:val="24"/>
                <w:szCs w:val="24"/>
                <w:highlight w:val="none"/>
                <w:u w:val="none"/>
                <w:lang w:val="zh-CN"/>
              </w:rPr>
              <w:t>进行横向比较分析</w:t>
            </w:r>
            <w:r>
              <w:rPr>
                <w:rFonts w:hint="default" w:ascii="Times New Roman" w:hAnsi="Times New Roman" w:eastAsia="宋体" w:cs="Times New Roman"/>
                <w:color w:val="auto"/>
                <w:sz w:val="24"/>
                <w:szCs w:val="24"/>
                <w:highlight w:val="none"/>
                <w:lang w:bidi="ar"/>
              </w:rPr>
              <w:t>。</w:t>
            </w:r>
          </w:p>
        </w:tc>
      </w:tr>
    </w:tbl>
    <w:p>
      <w:pPr>
        <w:rPr>
          <w:rFonts w:hint="eastAsia" w:ascii="宋体" w:hAnsi="宋体" w:eastAsia="宋体"/>
          <w:color w:val="auto"/>
          <w:highlight w:val="none"/>
          <w:lang w:eastAsia="zh-CN"/>
        </w:rPr>
      </w:pPr>
      <w:r>
        <w:rPr>
          <w:rFonts w:ascii="宋体" w:hAnsi="宋体"/>
          <w:color w:val="auto"/>
          <w:highlight w:val="none"/>
        </w:rPr>
        <w:br w:type="page"/>
      </w:r>
      <w:r>
        <w:rPr>
          <w:rFonts w:hint="eastAsia" w:ascii="宋体" w:hAnsi="宋体"/>
          <w:color w:val="auto"/>
          <w:highlight w:val="none"/>
        </w:rPr>
        <w:t>附表</w:t>
      </w:r>
      <w:r>
        <w:rPr>
          <w:rFonts w:hint="eastAsia" w:ascii="宋体" w:hAnsi="宋体"/>
          <w:color w:val="auto"/>
          <w:highlight w:val="none"/>
          <w:lang w:eastAsia="zh-CN"/>
        </w:rPr>
        <w:t>五</w:t>
      </w:r>
    </w:p>
    <w:p>
      <w:pPr>
        <w:rPr>
          <w:b/>
          <w:bCs/>
          <w:color w:val="auto"/>
          <w:highlight w:val="none"/>
        </w:rPr>
      </w:pPr>
      <w:r>
        <w:rPr>
          <w:rFonts w:hint="eastAsia" w:ascii="宋体" w:hAnsi="宋体"/>
          <w:color w:val="auto"/>
          <w:szCs w:val="32"/>
          <w:highlight w:val="none"/>
        </w:rPr>
        <w:t>（本页发给定标委员会成员，投票结束时收回）</w:t>
      </w:r>
    </w:p>
    <w:p>
      <w:pPr>
        <w:adjustRightInd w:val="0"/>
        <w:snapToGrid w:val="0"/>
        <w:spacing w:line="360" w:lineRule="auto"/>
        <w:jc w:val="center"/>
        <w:rPr>
          <w:rFonts w:ascii="宋体" w:hAnsi="宋体"/>
          <w:color w:val="auto"/>
          <w:kern w:val="0"/>
          <w:highlight w:val="none"/>
        </w:rPr>
      </w:pPr>
    </w:p>
    <w:p>
      <w:pPr>
        <w:jc w:val="center"/>
        <w:outlineLvl w:val="2"/>
        <w:rPr>
          <w:rFonts w:ascii="宋体" w:hAnsi="宋体"/>
          <w:b/>
          <w:color w:val="auto"/>
          <w:sz w:val="32"/>
          <w:szCs w:val="32"/>
          <w:highlight w:val="none"/>
        </w:rPr>
      </w:pPr>
      <w:bookmarkStart w:id="22" w:name="_Toc1380"/>
      <w:r>
        <w:rPr>
          <w:rFonts w:hint="eastAsia" w:ascii="宋体" w:hAnsi="宋体"/>
          <w:b/>
          <w:color w:val="auto"/>
          <w:sz w:val="32"/>
          <w:szCs w:val="32"/>
          <w:highlight w:val="none"/>
        </w:rPr>
        <w:t>定标选票</w:t>
      </w:r>
      <w:bookmarkEnd w:id="22"/>
    </w:p>
    <w:p>
      <w:pPr>
        <w:rPr>
          <w:rFonts w:ascii="宋体" w:hAnsi="宋体"/>
          <w:color w:val="auto"/>
          <w:sz w:val="24"/>
          <w:szCs w:val="32"/>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项目名称：</w:t>
      </w:r>
      <w:r>
        <w:rPr>
          <w:rFonts w:ascii="宋体" w:hAnsi="宋体"/>
          <w:color w:val="auto"/>
          <w:szCs w:val="21"/>
          <w:highlight w:val="none"/>
          <w:u w:val="single"/>
        </w:rPr>
        <w:t xml:space="preserve">                             </w:t>
      </w:r>
    </w:p>
    <w:p>
      <w:pPr>
        <w:spacing w:line="360" w:lineRule="auto"/>
        <w:rPr>
          <w:rFonts w:ascii="宋体" w:hAnsi="宋体"/>
          <w:color w:val="auto"/>
          <w:szCs w:val="21"/>
          <w:highlight w:val="none"/>
        </w:rPr>
      </w:pPr>
    </w:p>
    <w:tbl>
      <w:tblPr>
        <w:tblStyle w:val="3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5"/>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3265" w:type="dxa"/>
            <w:tcBorders>
              <w:top w:val="double" w:color="auto" w:sz="4" w:space="0"/>
              <w:bottom w:val="doub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支持的投标人名称</w:t>
            </w:r>
          </w:p>
        </w:tc>
        <w:tc>
          <w:tcPr>
            <w:tcW w:w="6586" w:type="dxa"/>
            <w:tcBorders>
              <w:top w:val="double" w:color="auto" w:sz="4" w:space="0"/>
              <w:bottom w:val="doub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支持理由（针对</w:t>
            </w:r>
            <w:r>
              <w:rPr>
                <w:rFonts w:hint="eastAsia" w:ascii="宋体" w:hAnsi="宋体"/>
                <w:color w:val="auto"/>
                <w:szCs w:val="21"/>
                <w:highlight w:val="none"/>
                <w:lang w:eastAsia="zh-CN"/>
              </w:rPr>
              <w:t>定标</w:t>
            </w:r>
            <w:r>
              <w:rPr>
                <w:rFonts w:hint="eastAsia" w:ascii="Times New Roman" w:hAnsi="Times New Roman"/>
                <w:color w:val="auto"/>
                <w:highlight w:val="none"/>
              </w:rPr>
              <w:t>因素撰写评语</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jc w:val="center"/>
        </w:trPr>
        <w:tc>
          <w:tcPr>
            <w:tcW w:w="3265" w:type="dxa"/>
            <w:tcBorders>
              <w:top w:val="double" w:color="auto" w:sz="4" w:space="0"/>
            </w:tcBorders>
            <w:vAlign w:val="center"/>
          </w:tcPr>
          <w:p>
            <w:pPr>
              <w:jc w:val="center"/>
              <w:rPr>
                <w:rFonts w:ascii="宋体" w:hAnsi="宋体"/>
                <w:color w:val="auto"/>
                <w:szCs w:val="21"/>
                <w:highlight w:val="none"/>
              </w:rPr>
            </w:pPr>
          </w:p>
        </w:tc>
        <w:tc>
          <w:tcPr>
            <w:tcW w:w="6586" w:type="dxa"/>
            <w:tcBorders>
              <w:top w:val="double" w:color="auto" w:sz="4" w:space="0"/>
              <w:right w:val="double" w:color="auto" w:sz="4" w:space="0"/>
            </w:tcBorders>
            <w:vAlign w:val="center"/>
          </w:tcPr>
          <w:p>
            <w:pPr>
              <w:rPr>
                <w:rFonts w:ascii="Times New Roman" w:hAnsi="Times New Roman"/>
                <w:color w:val="auto"/>
                <w:highlight w:val="none"/>
              </w:rPr>
            </w:pPr>
          </w:p>
        </w:tc>
      </w:tr>
    </w:tbl>
    <w:p>
      <w:pPr>
        <w:spacing w:line="360" w:lineRule="auto"/>
        <w:rPr>
          <w:rFonts w:ascii="宋体" w:hAnsi="宋体"/>
          <w:color w:val="auto"/>
          <w:szCs w:val="21"/>
          <w:highlight w:val="none"/>
        </w:rPr>
      </w:pPr>
      <w:r>
        <w:rPr>
          <w:rFonts w:hint="eastAsia" w:ascii="宋体" w:hAnsi="宋体"/>
          <w:color w:val="auto"/>
          <w:szCs w:val="21"/>
          <w:highlight w:val="none"/>
        </w:rPr>
        <w:t>正式投票规则：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1）以上表格用于正式投票，投票时须注明支持的投标人及支持理由。</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2）每一轮</w:t>
      </w:r>
      <w:r>
        <w:rPr>
          <w:rFonts w:hint="eastAsia" w:ascii="宋体" w:hAnsi="宋体" w:cs="Arial"/>
          <w:color w:val="auto"/>
          <w:szCs w:val="21"/>
          <w:highlight w:val="none"/>
        </w:rPr>
        <w:t>投票结束后，</w:t>
      </w:r>
      <w:r>
        <w:rPr>
          <w:rFonts w:hint="eastAsia" w:ascii="宋体" w:hAnsi="宋体"/>
          <w:color w:val="auto"/>
          <w:szCs w:val="21"/>
          <w:highlight w:val="none"/>
        </w:rPr>
        <w:t>点票人员</w:t>
      </w:r>
      <w:r>
        <w:rPr>
          <w:rFonts w:hint="eastAsia" w:ascii="宋体" w:hAnsi="宋体" w:cs="Arial"/>
          <w:color w:val="auto"/>
          <w:szCs w:val="21"/>
          <w:highlight w:val="none"/>
        </w:rPr>
        <w:t>对投票人数、票数和每票应选方案总数加以核对和统计，作废的选票不得统计，并向</w:t>
      </w:r>
      <w:r>
        <w:rPr>
          <w:rFonts w:hint="eastAsia" w:ascii="宋体" w:hAnsi="宋体"/>
          <w:color w:val="auto"/>
          <w:szCs w:val="21"/>
          <w:highlight w:val="none"/>
        </w:rPr>
        <w:t>定标委员会</w:t>
      </w:r>
      <w:r>
        <w:rPr>
          <w:rFonts w:hint="eastAsia" w:ascii="宋体" w:hAnsi="宋体" w:cs="Arial"/>
          <w:color w:val="auto"/>
          <w:szCs w:val="21"/>
          <w:highlight w:val="none"/>
        </w:rPr>
        <w:t>报告。</w:t>
      </w:r>
    </w:p>
    <w:p>
      <w:pPr>
        <w:spacing w:line="360" w:lineRule="auto"/>
        <w:ind w:firstLine="48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3）定标委员会成员应当独立投票，自投票开始至最终排名统计结果公布期间，任何人不得非法干预、影响投票过程，不得透露、协商、改变投票结果，不得使用通信联络工具。</w:t>
      </w:r>
    </w:p>
    <w:p>
      <w:pPr>
        <w:spacing w:line="360" w:lineRule="auto"/>
        <w:ind w:firstLine="480"/>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定委签名：</w:t>
      </w:r>
      <w:r>
        <w:rPr>
          <w:rFonts w:ascii="宋体" w:hAnsi="宋体"/>
          <w:color w:val="auto"/>
          <w:szCs w:val="21"/>
          <w:highlight w:val="none"/>
        </w:rPr>
        <w:t xml:space="preserve">                                 </w:t>
      </w: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adjustRightInd w:val="0"/>
        <w:snapToGrid w:val="0"/>
        <w:spacing w:line="360" w:lineRule="auto"/>
        <w:rPr>
          <w:rFonts w:ascii="宋体" w:hAnsi="宋体"/>
          <w:color w:val="auto"/>
          <w:kern w:val="0"/>
          <w:highlight w:val="none"/>
        </w:rPr>
      </w:pPr>
    </w:p>
    <w:p>
      <w:pPr>
        <w:pStyle w:val="92"/>
        <w:rPr>
          <w:color w:val="auto"/>
          <w:highlight w:val="none"/>
        </w:rPr>
      </w:pPr>
      <w:r>
        <w:rPr>
          <w:color w:val="auto"/>
          <w:highlight w:val="none"/>
        </w:rPr>
        <w:br w:type="page"/>
      </w:r>
    </w:p>
    <w:p>
      <w:pPr>
        <w:pStyle w:val="92"/>
        <w:rPr>
          <w:rFonts w:hint="eastAsia" w:eastAsia="宋体"/>
          <w:color w:val="auto"/>
          <w:highlight w:val="none"/>
          <w:lang w:eastAsia="zh-CN"/>
        </w:rPr>
      </w:pPr>
      <w:r>
        <w:rPr>
          <w:rFonts w:hint="eastAsia"/>
          <w:color w:val="auto"/>
          <w:highlight w:val="none"/>
        </w:rPr>
        <w:t>附表</w:t>
      </w:r>
      <w:r>
        <w:rPr>
          <w:rFonts w:hint="eastAsia"/>
          <w:color w:val="auto"/>
          <w:highlight w:val="none"/>
          <w:lang w:eastAsia="zh-CN"/>
        </w:rPr>
        <w:t>六</w:t>
      </w:r>
    </w:p>
    <w:p>
      <w:pPr>
        <w:rPr>
          <w:rFonts w:ascii="宋体" w:hAnsi="宋体"/>
          <w:b/>
          <w:bCs/>
          <w:color w:val="auto"/>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t>票决汇总表</w:t>
      </w:r>
    </w:p>
    <w:p>
      <w:pPr>
        <w:jc w:val="left"/>
        <w:rPr>
          <w:rFonts w:ascii="宋体" w:hAnsi="宋体"/>
          <w:color w:val="auto"/>
          <w:szCs w:val="32"/>
          <w:highlight w:val="none"/>
        </w:rPr>
      </w:pPr>
      <w:r>
        <w:rPr>
          <w:rFonts w:hint="eastAsia" w:ascii="宋体" w:hAnsi="宋体"/>
          <w:color w:val="auto"/>
          <w:szCs w:val="32"/>
          <w:highlight w:val="none"/>
        </w:rPr>
        <w:t>项目名称：</w:t>
      </w:r>
      <w:r>
        <w:rPr>
          <w:rFonts w:ascii="宋体" w:hAnsi="宋体"/>
          <w:color w:val="auto"/>
          <w:szCs w:val="32"/>
          <w:highlight w:val="none"/>
        </w:rPr>
        <w:t xml:space="preserve">                                                                                       日    </w:t>
      </w:r>
      <w:r>
        <w:rPr>
          <w:rFonts w:hint="eastAsia" w:ascii="宋体" w:hAnsi="宋体"/>
          <w:color w:val="auto"/>
          <w:szCs w:val="32"/>
          <w:highlight w:val="none"/>
        </w:rPr>
        <w:t>期：</w:t>
      </w:r>
      <w:r>
        <w:rPr>
          <w:rFonts w:ascii="宋体" w:hAnsi="宋体"/>
          <w:color w:val="auto"/>
          <w:szCs w:val="32"/>
          <w:highlight w:val="none"/>
        </w:rPr>
        <w:t xml:space="preserve">       </w:t>
      </w:r>
      <w:r>
        <w:rPr>
          <w:rFonts w:hint="eastAsia" w:ascii="宋体" w:hAnsi="宋体"/>
          <w:color w:val="auto"/>
          <w:szCs w:val="32"/>
          <w:highlight w:val="none"/>
        </w:rPr>
        <w:t>年</w:t>
      </w:r>
      <w:r>
        <w:rPr>
          <w:rFonts w:ascii="宋体" w:hAnsi="宋体"/>
          <w:color w:val="auto"/>
          <w:szCs w:val="32"/>
          <w:highlight w:val="none"/>
        </w:rPr>
        <w:t xml:space="preserve">    </w:t>
      </w:r>
      <w:r>
        <w:rPr>
          <w:rFonts w:hint="eastAsia" w:ascii="宋体" w:hAnsi="宋体"/>
          <w:color w:val="auto"/>
          <w:szCs w:val="32"/>
          <w:highlight w:val="none"/>
        </w:rPr>
        <w:t>月</w:t>
      </w:r>
      <w:r>
        <w:rPr>
          <w:rFonts w:ascii="宋体" w:hAnsi="宋体"/>
          <w:color w:val="auto"/>
          <w:szCs w:val="32"/>
          <w:highlight w:val="none"/>
        </w:rPr>
        <w:t xml:space="preserve">    </w:t>
      </w:r>
      <w:r>
        <w:rPr>
          <w:rFonts w:hint="eastAsia" w:ascii="宋体" w:hAnsi="宋体"/>
          <w:color w:val="auto"/>
          <w:szCs w:val="32"/>
          <w:highlight w:val="none"/>
        </w:rPr>
        <w:t>日</w:t>
      </w:r>
    </w:p>
    <w:tbl>
      <w:tblPr>
        <w:tblStyle w:val="3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43"/>
        <w:gridCol w:w="1266"/>
        <w:gridCol w:w="212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32"/>
                <w:highlight w:val="none"/>
              </w:rPr>
            </w:pPr>
            <w:r>
              <w:rPr>
                <w:rFonts w:hint="eastAsia" w:ascii="宋体" w:hAnsi="宋体"/>
                <w:color w:val="auto"/>
                <w:szCs w:val="32"/>
                <w:highlight w:val="none"/>
              </w:rPr>
              <w:t>序号</w:t>
            </w:r>
          </w:p>
        </w:tc>
        <w:tc>
          <w:tcPr>
            <w:tcW w:w="284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olor w:val="auto"/>
                <w:szCs w:val="32"/>
                <w:highlight w:val="none"/>
              </w:rPr>
            </w:pPr>
            <w:r>
              <w:rPr>
                <w:rFonts w:hint="eastAsia" w:ascii="宋体" w:hAnsi="宋体"/>
                <w:color w:val="auto"/>
                <w:szCs w:val="32"/>
                <w:highlight w:val="none"/>
              </w:rPr>
              <w:t>投标人名称</w:t>
            </w:r>
          </w:p>
        </w:tc>
        <w:tc>
          <w:tcPr>
            <w:tcW w:w="126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32"/>
                <w:highlight w:val="none"/>
              </w:rPr>
            </w:pPr>
            <w:r>
              <w:rPr>
                <w:rFonts w:hint="eastAsia" w:ascii="宋体" w:hAnsi="宋体"/>
                <w:color w:val="auto"/>
                <w:szCs w:val="32"/>
                <w:highlight w:val="none"/>
              </w:rPr>
              <w:t>第一轮得票</w:t>
            </w:r>
          </w:p>
        </w:tc>
        <w:tc>
          <w:tcPr>
            <w:tcW w:w="21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32"/>
                <w:highlight w:val="none"/>
              </w:rPr>
            </w:pPr>
            <w:r>
              <w:rPr>
                <w:rFonts w:hint="eastAsia" w:ascii="宋体" w:hAnsi="宋体"/>
                <w:color w:val="auto"/>
                <w:szCs w:val="32"/>
                <w:highlight w:val="none"/>
              </w:rPr>
              <w:t>每轮得票相同的排序</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32"/>
                <w:highlight w:val="none"/>
              </w:rPr>
            </w:pPr>
            <w:r>
              <w:rPr>
                <w:rFonts w:hint="eastAsia" w:ascii="宋体" w:hAnsi="宋体"/>
                <w:color w:val="auto"/>
                <w:szCs w:val="32"/>
                <w:highlight w:val="none"/>
              </w:rPr>
              <w:t>排列名次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32"/>
                <w:highlight w:val="none"/>
              </w:rPr>
            </w:pPr>
          </w:p>
        </w:tc>
        <w:tc>
          <w:tcPr>
            <w:tcW w:w="2843" w:type="dxa"/>
            <w:vMerge w:val="continue"/>
            <w:tcBorders>
              <w:left w:val="single" w:color="auto" w:sz="4" w:space="0"/>
              <w:bottom w:val="single" w:color="auto" w:sz="4" w:space="0"/>
              <w:right w:val="single" w:color="auto" w:sz="4" w:space="0"/>
            </w:tcBorders>
          </w:tcPr>
          <w:p>
            <w:pPr>
              <w:widowControl/>
              <w:jc w:val="center"/>
              <w:rPr>
                <w:rFonts w:ascii="宋体" w:hAnsi="宋体"/>
                <w:color w:val="auto"/>
                <w:szCs w:val="32"/>
                <w:highlight w:val="none"/>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32"/>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32"/>
                <w:highlight w:val="none"/>
              </w:rPr>
            </w:pPr>
            <w:r>
              <w:rPr>
                <w:rFonts w:ascii="宋体" w:hAnsi="宋体"/>
                <w:color w:val="auto"/>
                <w:szCs w:val="32"/>
                <w:highlight w:val="none"/>
              </w:rPr>
              <w:t>1</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r>
              <w:rPr>
                <w:rFonts w:ascii="宋体" w:hAnsi="宋体"/>
                <w:color w:val="auto"/>
                <w:szCs w:val="32"/>
                <w:highlight w:val="none"/>
              </w:rPr>
              <w:t>1</w:t>
            </w:r>
          </w:p>
        </w:tc>
        <w:tc>
          <w:tcPr>
            <w:tcW w:w="2843"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color w:val="auto"/>
                <w:szCs w:val="32"/>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r>
              <w:rPr>
                <w:rFonts w:ascii="宋体" w:hAnsi="宋体"/>
                <w:color w:val="auto"/>
                <w:szCs w:val="32"/>
                <w:highlight w:val="none"/>
              </w:rPr>
              <w:t>2</w:t>
            </w:r>
          </w:p>
        </w:tc>
        <w:tc>
          <w:tcPr>
            <w:tcW w:w="2843"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color w:val="auto"/>
                <w:szCs w:val="32"/>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r>
              <w:rPr>
                <w:rFonts w:ascii="宋体" w:hAnsi="宋体"/>
                <w:color w:val="auto"/>
                <w:szCs w:val="32"/>
                <w:highlight w:val="none"/>
              </w:rPr>
              <w:t>3</w:t>
            </w:r>
          </w:p>
        </w:tc>
        <w:tc>
          <w:tcPr>
            <w:tcW w:w="2843"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color w:val="auto"/>
                <w:szCs w:val="32"/>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r>
              <w:rPr>
                <w:rFonts w:ascii="宋体" w:hAnsi="宋体"/>
                <w:color w:val="auto"/>
                <w:szCs w:val="32"/>
                <w:highlight w:val="none"/>
              </w:rPr>
              <w:t>4</w:t>
            </w:r>
          </w:p>
        </w:tc>
        <w:tc>
          <w:tcPr>
            <w:tcW w:w="2843"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color w:val="auto"/>
                <w:szCs w:val="32"/>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r>
              <w:rPr>
                <w:rFonts w:ascii="宋体" w:hAnsi="宋体"/>
                <w:color w:val="auto"/>
                <w:szCs w:val="32"/>
                <w:highlight w:val="none"/>
              </w:rPr>
              <w:t>5</w:t>
            </w:r>
          </w:p>
        </w:tc>
        <w:tc>
          <w:tcPr>
            <w:tcW w:w="2843"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color w:val="auto"/>
                <w:szCs w:val="32"/>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r>
              <w:rPr>
                <w:rFonts w:ascii="宋体" w:hAnsi="宋体"/>
                <w:color w:val="auto"/>
                <w:szCs w:val="32"/>
                <w:highlight w:val="none"/>
              </w:rPr>
              <w:t>6</w:t>
            </w:r>
          </w:p>
        </w:tc>
        <w:tc>
          <w:tcPr>
            <w:tcW w:w="2843"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color w:val="auto"/>
                <w:szCs w:val="32"/>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r>
              <w:rPr>
                <w:rFonts w:ascii="宋体" w:hAnsi="宋体"/>
                <w:color w:val="auto"/>
                <w:szCs w:val="32"/>
                <w:highlight w:val="none"/>
              </w:rPr>
              <w:t>…</w:t>
            </w:r>
          </w:p>
        </w:tc>
        <w:tc>
          <w:tcPr>
            <w:tcW w:w="2843"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color w:val="auto"/>
                <w:szCs w:val="32"/>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olor w:val="auto"/>
                <w:szCs w:val="32"/>
                <w:highlight w:val="none"/>
              </w:rPr>
            </w:pPr>
          </w:p>
        </w:tc>
      </w:tr>
    </w:tbl>
    <w:p>
      <w:pPr>
        <w:rPr>
          <w:rFonts w:ascii="宋体" w:hAnsi="宋体"/>
          <w:color w:val="auto"/>
          <w:szCs w:val="32"/>
          <w:highlight w:val="none"/>
        </w:rPr>
      </w:pPr>
    </w:p>
    <w:p>
      <w:pPr>
        <w:rPr>
          <w:rFonts w:ascii="宋体" w:hAnsi="宋体"/>
          <w:b/>
          <w:bCs/>
          <w:color w:val="auto"/>
          <w:szCs w:val="32"/>
          <w:highlight w:val="none"/>
        </w:rPr>
      </w:pPr>
      <w:r>
        <w:rPr>
          <w:rFonts w:hint="eastAsia" w:ascii="宋体" w:hAnsi="宋体"/>
          <w:color w:val="auto"/>
          <w:szCs w:val="32"/>
          <w:highlight w:val="none"/>
        </w:rPr>
        <w:t>定标委员会全体成员签字：</w:t>
      </w:r>
    </w:p>
    <w:p>
      <w:pPr>
        <w:rPr>
          <w:rFonts w:ascii="宋体" w:hAnsi="宋体"/>
          <w:color w:val="auto"/>
          <w:szCs w:val="32"/>
          <w:highlight w:val="none"/>
        </w:rPr>
      </w:pPr>
    </w:p>
    <w:p>
      <w:pPr>
        <w:rPr>
          <w:rFonts w:ascii="宋体" w:hAnsi="宋体"/>
          <w:color w:val="auto"/>
          <w:szCs w:val="32"/>
          <w:highlight w:val="none"/>
        </w:rPr>
      </w:pPr>
    </w:p>
    <w:p>
      <w:pPr>
        <w:pStyle w:val="92"/>
        <w:rPr>
          <w:color w:val="auto"/>
          <w:highlight w:val="none"/>
        </w:rPr>
      </w:pPr>
    </w:p>
    <w:p>
      <w:pPr>
        <w:pStyle w:val="92"/>
        <w:jc w:val="left"/>
        <w:rPr>
          <w:rFonts w:hint="eastAsia" w:ascii="宋体" w:hAnsi="宋体" w:eastAsia="宋体"/>
          <w:color w:val="auto"/>
          <w:kern w:val="0"/>
          <w:szCs w:val="21"/>
          <w:highlight w:val="none"/>
          <w:lang w:eastAsia="zh-CN"/>
        </w:rPr>
      </w:pPr>
      <w:r>
        <w:rPr>
          <w:color w:val="auto"/>
          <w:highlight w:val="none"/>
        </w:rPr>
        <w:br w:type="page"/>
      </w:r>
      <w:r>
        <w:rPr>
          <w:rFonts w:hint="eastAsia"/>
          <w:color w:val="auto"/>
          <w:highlight w:val="none"/>
        </w:rPr>
        <w:t>附表</w:t>
      </w:r>
      <w:r>
        <w:rPr>
          <w:rFonts w:hint="eastAsia"/>
          <w:color w:val="auto"/>
          <w:highlight w:val="none"/>
          <w:lang w:eastAsia="zh-CN"/>
        </w:rPr>
        <w:t>七</w:t>
      </w:r>
    </w:p>
    <w:p>
      <w:pPr>
        <w:pStyle w:val="8"/>
        <w:spacing w:before="156" w:after="156"/>
        <w:ind w:firstLine="562" w:firstLineChars="200"/>
        <w:jc w:val="center"/>
        <w:rPr>
          <w:b/>
          <w:bCs/>
          <w:color w:val="auto"/>
          <w:sz w:val="28"/>
          <w:szCs w:val="28"/>
          <w:highlight w:val="none"/>
        </w:rPr>
      </w:pPr>
      <w:bookmarkStart w:id="23" w:name="_Toc13122"/>
      <w:r>
        <w:rPr>
          <w:rFonts w:hint="eastAsia"/>
          <w:b/>
          <w:bCs/>
          <w:color w:val="auto"/>
          <w:sz w:val="28"/>
          <w:szCs w:val="28"/>
          <w:highlight w:val="none"/>
        </w:rPr>
        <w:t>直接票决定标排名汇总表（定标阶段）</w:t>
      </w:r>
      <w:bookmarkEnd w:id="23"/>
    </w:p>
    <w:tbl>
      <w:tblPr>
        <w:tblStyle w:val="3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59"/>
        <w:gridCol w:w="1701"/>
        <w:gridCol w:w="2836"/>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Cs w:val="21"/>
                <w:highlight w:val="none"/>
              </w:rPr>
            </w:pPr>
            <w:r>
              <w:rPr>
                <w:rFonts w:hint="eastAsia" w:ascii="宋体" w:hAnsi="宋体"/>
                <w:b/>
                <w:color w:val="auto"/>
                <w:szCs w:val="21"/>
                <w:highlight w:val="none"/>
              </w:rPr>
              <w:t>序号</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b/>
                <w:color w:val="auto"/>
                <w:szCs w:val="21"/>
                <w:highlight w:val="none"/>
              </w:rPr>
            </w:pPr>
            <w:r>
              <w:rPr>
                <w:rFonts w:hint="eastAsia" w:ascii="宋体" w:hAnsi="宋体"/>
                <w:b/>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pPr>
              <w:jc w:val="center"/>
              <w:rPr>
                <w:b/>
                <w:color w:val="auto"/>
                <w:szCs w:val="21"/>
                <w:highlight w:val="none"/>
              </w:rPr>
            </w:pPr>
            <w:r>
              <w:rPr>
                <w:rFonts w:hint="eastAsia"/>
                <w:b/>
                <w:color w:val="auto"/>
                <w:szCs w:val="21"/>
                <w:highlight w:val="none"/>
              </w:rPr>
              <w:t>投票结果排名</w:t>
            </w:r>
          </w:p>
        </w:tc>
        <w:tc>
          <w:tcPr>
            <w:tcW w:w="2836" w:type="dxa"/>
            <w:tcBorders>
              <w:top w:val="single" w:color="auto" w:sz="4" w:space="0"/>
              <w:left w:val="nil"/>
              <w:bottom w:val="single" w:color="auto" w:sz="4" w:space="0"/>
              <w:right w:val="single" w:color="auto" w:sz="4" w:space="0"/>
            </w:tcBorders>
            <w:vAlign w:val="center"/>
          </w:tcPr>
          <w:p>
            <w:pPr>
              <w:jc w:val="center"/>
              <w:rPr>
                <w:rFonts w:ascii="宋体"/>
                <w:b/>
                <w:color w:val="auto"/>
                <w:szCs w:val="21"/>
                <w:highlight w:val="none"/>
              </w:rPr>
            </w:pPr>
            <w:r>
              <w:rPr>
                <w:rFonts w:hint="eastAsia" w:ascii="宋体"/>
                <w:b/>
                <w:color w:val="auto"/>
                <w:szCs w:val="21"/>
                <w:highlight w:val="none"/>
              </w:rPr>
              <w:t>是否被确认为中标人</w:t>
            </w:r>
          </w:p>
        </w:tc>
        <w:tc>
          <w:tcPr>
            <w:tcW w:w="672" w:type="dxa"/>
            <w:tcBorders>
              <w:top w:val="single" w:color="auto" w:sz="4" w:space="0"/>
              <w:left w:val="nil"/>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1</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2</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3</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4</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5</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6</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7</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color w:val="auto"/>
                <w:sz w:val="24"/>
                <w:szCs w:val="24"/>
                <w:highlight w:val="none"/>
              </w:rPr>
            </w:pPr>
          </w:p>
        </w:tc>
      </w:tr>
    </w:tbl>
    <w:p>
      <w:pPr>
        <w:pStyle w:val="92"/>
        <w:rPr>
          <w:color w:val="auto"/>
          <w:highlight w:val="none"/>
        </w:rPr>
      </w:pPr>
    </w:p>
    <w:p>
      <w:pPr>
        <w:adjustRightInd w:val="0"/>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定标委员签名：                                         日期：</w:t>
      </w:r>
    </w:p>
    <w:p>
      <w:pPr>
        <w:pStyle w:val="92"/>
        <w:rPr>
          <w:color w:val="auto"/>
          <w:highlight w:val="none"/>
        </w:rPr>
      </w:pPr>
    </w:p>
    <w:p>
      <w:pPr>
        <w:pStyle w:val="92"/>
        <w:rPr>
          <w:color w:val="auto"/>
          <w:highlight w:val="none"/>
        </w:rPr>
      </w:pPr>
    </w:p>
    <w:p>
      <w:pPr>
        <w:pStyle w:val="92"/>
        <w:rPr>
          <w:color w:val="auto"/>
          <w:highlight w:val="none"/>
        </w:rPr>
      </w:pPr>
      <w:r>
        <w:rPr>
          <w:rFonts w:hint="eastAsia"/>
          <w:color w:val="auto"/>
          <w:highlight w:val="none"/>
        </w:rPr>
        <w:t>注：定标委员会成员须根据投票结果，得票数最多的中标候选人为中标人。</w:t>
      </w:r>
    </w:p>
    <w:p>
      <w:pPr>
        <w:pStyle w:val="92"/>
        <w:rPr>
          <w:color w:val="auto"/>
          <w:highlight w:val="none"/>
        </w:rPr>
      </w:pPr>
    </w:p>
    <w:p>
      <w:pPr>
        <w:pStyle w:val="3"/>
        <w:rPr>
          <w:rFonts w:ascii="宋体" w:hAnsi="宋体"/>
          <w:color w:val="auto"/>
          <w:highlight w:val="none"/>
        </w:rPr>
      </w:pPr>
      <w:r>
        <w:rPr>
          <w:rFonts w:ascii="宋体" w:hAnsi="宋体"/>
          <w:color w:val="auto"/>
          <w:highlight w:val="none"/>
        </w:rPr>
        <w:br w:type="page"/>
      </w:r>
      <w:bookmarkStart w:id="24" w:name="_Toc15933"/>
      <w:r>
        <w:rPr>
          <w:rFonts w:hint="eastAsia" w:ascii="宋体" w:hAnsi="宋体"/>
          <w:color w:val="auto"/>
          <w:highlight w:val="none"/>
        </w:rPr>
        <w:t>第三章合同条款</w:t>
      </w:r>
      <w:bookmarkEnd w:id="24"/>
    </w:p>
    <w:p>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（另册）</w:t>
      </w: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2"/>
        <w:spacing w:line="360" w:lineRule="auto"/>
        <w:rPr>
          <w:rFonts w:hAnsi="宋体"/>
          <w:color w:val="auto"/>
          <w:sz w:val="24"/>
          <w:szCs w:val="24"/>
          <w:highlight w:val="none"/>
        </w:rPr>
      </w:pPr>
    </w:p>
    <w:p>
      <w:pPr>
        <w:pStyle w:val="2"/>
        <w:spacing w:line="360" w:lineRule="auto"/>
        <w:rPr>
          <w:rFonts w:hAnsi="宋体"/>
          <w:color w:val="auto"/>
          <w:sz w:val="24"/>
          <w:szCs w:val="24"/>
          <w:highlight w:val="none"/>
        </w:rPr>
      </w:pPr>
      <w:r>
        <w:rPr>
          <w:rFonts w:hAnsi="宋体"/>
          <w:color w:val="auto"/>
          <w:sz w:val="24"/>
          <w:szCs w:val="24"/>
          <w:highlight w:val="none"/>
        </w:rPr>
        <w:br w:type="page"/>
      </w:r>
    </w:p>
    <w:p>
      <w:pPr>
        <w:pStyle w:val="3"/>
        <w:rPr>
          <w:rFonts w:ascii="宋体" w:hAnsi="宋体"/>
          <w:color w:val="auto"/>
          <w:highlight w:val="none"/>
        </w:rPr>
      </w:pPr>
      <w:bookmarkStart w:id="25" w:name="_Toc15547"/>
      <w:r>
        <w:rPr>
          <w:rFonts w:hint="eastAsia" w:ascii="宋体" w:hAnsi="宋体"/>
          <w:color w:val="auto"/>
          <w:highlight w:val="none"/>
        </w:rPr>
        <w:t>第四章投标文件格式</w:t>
      </w:r>
      <w:bookmarkEnd w:id="25"/>
    </w:p>
    <w:p>
      <w:pPr>
        <w:pStyle w:val="88"/>
        <w:spacing w:beforeLines="0" w:afterLines="0" w:line="360" w:lineRule="auto"/>
        <w:outlineLvl w:val="0"/>
        <w:rPr>
          <w:rFonts w:ascii="宋体" w:hAnsi="宋体" w:eastAsia="宋体" w:cs="宋体"/>
          <w:color w:val="auto"/>
          <w:sz w:val="28"/>
          <w:highlight w:val="none"/>
        </w:rPr>
      </w:pPr>
      <w:bookmarkStart w:id="26" w:name="_Toc2914"/>
      <w:bookmarkStart w:id="27" w:name="_Toc8132534"/>
      <w:bookmarkStart w:id="28" w:name="_Toc24368082"/>
      <w:r>
        <w:rPr>
          <w:rFonts w:hint="eastAsia" w:ascii="宋体" w:hAnsi="宋体" w:eastAsia="宋体" w:cs="宋体"/>
          <w:color w:val="auto"/>
          <w:sz w:val="28"/>
          <w:highlight w:val="none"/>
        </w:rPr>
        <w:t>一、技术标投标文件格式</w:t>
      </w:r>
      <w:bookmarkEnd w:id="26"/>
      <w:bookmarkEnd w:id="27"/>
      <w:bookmarkEnd w:id="28"/>
    </w:p>
    <w:p>
      <w:pPr>
        <w:autoSpaceDE w:val="0"/>
        <w:autoSpaceDN w:val="0"/>
        <w:adjustRightInd w:val="0"/>
        <w:outlineLvl w:val="1"/>
        <w:rPr>
          <w:rFonts w:ascii="宋体" w:hAnsi="宋体"/>
          <w:bCs/>
          <w:color w:val="auto"/>
          <w:szCs w:val="21"/>
          <w:highlight w:val="none"/>
        </w:rPr>
      </w:pPr>
      <w:bookmarkStart w:id="29" w:name="_Toc1976"/>
      <w:r>
        <w:rPr>
          <w:rFonts w:hint="eastAsia" w:ascii="宋体" w:hAnsi="宋体"/>
          <w:bCs/>
          <w:color w:val="auto"/>
          <w:szCs w:val="21"/>
          <w:highlight w:val="none"/>
        </w:rPr>
        <w:t>格式一：封面</w:t>
      </w:r>
      <w:bookmarkEnd w:id="29"/>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pPr>
        <w:topLinePunct/>
        <w:adjustRightInd w:val="0"/>
        <w:snapToGrid w:val="0"/>
        <w:spacing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第一册  【技术投标文件（含资格审查文件）】</w:t>
      </w: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r>
        <w:rPr>
          <w:rFonts w:hint="eastAsia" w:ascii="宋体" w:hAnsi="宋体"/>
          <w:color w:val="auto"/>
          <w:spacing w:val="4"/>
          <w:kern w:val="0"/>
          <w:sz w:val="30"/>
          <w:szCs w:val="30"/>
          <w:highlight w:val="none"/>
          <w:u w:val="single"/>
        </w:rPr>
        <w:t xml:space="preserve">         （填写投标人单位名称）  （盖章）</w:t>
      </w:r>
    </w:p>
    <w:p>
      <w:pPr>
        <w:topLinePunct/>
        <w:adjustRightInd w:val="0"/>
        <w:snapToGrid w:val="0"/>
        <w:spacing w:line="360" w:lineRule="auto"/>
        <w:ind w:firstLine="616" w:firstLineChars="200"/>
        <w:jc w:val="left"/>
        <w:rPr>
          <w:rFonts w:ascii="宋体" w:hAnsi="宋体"/>
          <w:color w:val="auto"/>
          <w:spacing w:val="4"/>
          <w:kern w:val="0"/>
          <w:sz w:val="30"/>
          <w:szCs w:val="30"/>
          <w:highlight w:val="none"/>
        </w:rPr>
      </w:pPr>
    </w:p>
    <w:p>
      <w:pPr>
        <w:topLinePunct/>
        <w:adjustRightInd w:val="0"/>
        <w:snapToGrid w:val="0"/>
        <w:spacing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w:t>
      </w:r>
    </w:p>
    <w:p>
      <w:pPr>
        <w:topLinePunct/>
        <w:adjustRightInd w:val="0"/>
        <w:snapToGrid w:val="0"/>
        <w:spacing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其委托代理人：</w:t>
      </w:r>
      <w:r>
        <w:rPr>
          <w:rFonts w:hint="eastAsia" w:ascii="宋体" w:hAnsi="宋体"/>
          <w:color w:val="auto"/>
          <w:spacing w:val="4"/>
          <w:kern w:val="0"/>
          <w:sz w:val="30"/>
          <w:szCs w:val="30"/>
          <w:highlight w:val="none"/>
          <w:u w:val="single"/>
        </w:rPr>
        <w:t xml:space="preserve">                     （签名或盖章）</w:t>
      </w:r>
    </w:p>
    <w:p>
      <w:pPr>
        <w:topLinePunct/>
        <w:adjustRightInd w:val="0"/>
        <w:snapToGrid w:val="0"/>
        <w:spacing w:line="360" w:lineRule="auto"/>
        <w:ind w:firstLine="616" w:firstLineChars="200"/>
        <w:jc w:val="left"/>
        <w:rPr>
          <w:rFonts w:ascii="宋体" w:hAnsi="宋体"/>
          <w:color w:val="auto"/>
          <w:spacing w:val="4"/>
          <w:kern w:val="0"/>
          <w:sz w:val="24"/>
          <w:szCs w:val="24"/>
          <w:highlight w:val="none"/>
        </w:rPr>
      </w:pPr>
      <w:r>
        <w:rPr>
          <w:rFonts w:hint="eastAsia" w:ascii="宋体" w:hAnsi="宋体"/>
          <w:color w:val="auto"/>
          <w:spacing w:val="4"/>
          <w:kern w:val="0"/>
          <w:sz w:val="30"/>
          <w:szCs w:val="30"/>
          <w:highlight w:val="none"/>
        </w:rPr>
        <w:t>日  期：</w:t>
      </w:r>
      <w:r>
        <w:rPr>
          <w:rFonts w:hint="eastAsia" w:ascii="宋体" w:hAnsi="宋体"/>
          <w:color w:val="auto"/>
          <w:spacing w:val="4"/>
          <w:kern w:val="0"/>
          <w:sz w:val="30"/>
          <w:szCs w:val="30"/>
          <w:highlight w:val="none"/>
          <w:u w:val="single"/>
        </w:rPr>
        <w:t xml:space="preserve">                                         </w:t>
      </w: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autoSpaceDE w:val="0"/>
        <w:autoSpaceDN w:val="0"/>
        <w:adjustRightInd w:val="0"/>
        <w:outlineLvl w:val="1"/>
        <w:rPr>
          <w:rFonts w:ascii="宋体" w:hAnsi="宋体"/>
          <w:bCs/>
          <w:color w:val="auto"/>
          <w:szCs w:val="21"/>
          <w:highlight w:val="none"/>
        </w:rPr>
      </w:pPr>
      <w:r>
        <w:rPr>
          <w:rFonts w:ascii="宋体" w:hAnsi="宋体"/>
          <w:bCs/>
          <w:color w:val="auto"/>
          <w:szCs w:val="21"/>
          <w:highlight w:val="none"/>
        </w:rPr>
        <w:br w:type="page"/>
      </w:r>
      <w:bookmarkStart w:id="30" w:name="_Toc17863"/>
      <w:r>
        <w:rPr>
          <w:rFonts w:hint="eastAsia" w:ascii="宋体" w:hAnsi="宋体"/>
          <w:bCs/>
          <w:color w:val="auto"/>
          <w:szCs w:val="21"/>
          <w:highlight w:val="none"/>
        </w:rPr>
        <w:t>格式二：建设工程施工招标投标书</w:t>
      </w:r>
      <w:bookmarkEnd w:id="30"/>
    </w:p>
    <w:p>
      <w:pPr>
        <w:autoSpaceDE w:val="0"/>
        <w:autoSpaceDN w:val="0"/>
        <w:adjustRightInd w:val="0"/>
        <w:rPr>
          <w:rFonts w:ascii="宋体" w:hAnsi="宋体" w:cs="宋体"/>
          <w:b/>
          <w:bCs/>
          <w:color w:val="auto"/>
          <w:szCs w:val="21"/>
          <w:highlight w:val="none"/>
          <w:lang w:val="zh-CN"/>
        </w:rPr>
      </w:pP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jc w:val="center"/>
        <w:rPr>
          <w:rFonts w:ascii="宋体" w:hAnsi="宋体"/>
          <w:b/>
          <w:bCs/>
          <w:color w:val="auto"/>
          <w:sz w:val="52"/>
          <w:szCs w:val="52"/>
          <w:highlight w:val="none"/>
        </w:rPr>
      </w:pPr>
      <w:r>
        <w:rPr>
          <w:rFonts w:hint="eastAsia" w:ascii="宋体" w:hAnsi="宋体" w:cs="宋体"/>
          <w:b/>
          <w:bCs/>
          <w:color w:val="auto"/>
          <w:sz w:val="44"/>
          <w:szCs w:val="44"/>
          <w:highlight w:val="none"/>
          <w:lang w:val="zh-CN"/>
        </w:rPr>
        <w:t>建设工程施工招标投标书</w:t>
      </w:r>
    </w:p>
    <w:tbl>
      <w:tblPr>
        <w:tblStyle w:val="34"/>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hint="eastAsia" w:ascii="宋体" w:hAnsi="宋体" w:cs="宋体"/>
                <w:b/>
                <w:bCs/>
                <w:color w:val="auto"/>
                <w:sz w:val="24"/>
                <w:szCs w:val="24"/>
                <w:highlight w:val="none"/>
                <w:lang w:val="zh-CN"/>
              </w:rPr>
            </w:pPr>
          </w:p>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val="0"/>
                <w:bCs w:val="0"/>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保修期限</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val="0"/>
                <w:bCs w:val="0"/>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bCs/>
                <w:color w:val="auto"/>
                <w:kern w:val="2"/>
                <w:sz w:val="24"/>
                <w:szCs w:val="22"/>
                <w:highlight w:val="none"/>
                <w:lang w:val="zh-CN" w:eastAsia="zh-CN" w:bidi="ar-SA"/>
              </w:rPr>
            </w:pPr>
            <w:r>
              <w:rPr>
                <w:rFonts w:hint="eastAsia" w:ascii="宋体" w:hAnsi="宋体" w:cs="宋体"/>
                <w:b/>
                <w:color w:val="auto"/>
                <w:sz w:val="24"/>
                <w:szCs w:val="24"/>
                <w:highlight w:val="none"/>
                <w:lang w:val="en-US" w:eastAsia="zh-CN"/>
              </w:rPr>
              <w:t>投标有效期</w:t>
            </w:r>
          </w:p>
        </w:tc>
        <w:tc>
          <w:tcPr>
            <w:tcW w:w="357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rFonts w:ascii="宋体" w:hAnsi="宋体" w:eastAsia="宋体" w:cs="宋体"/>
                <w:b/>
                <w:bCs/>
                <w:color w:val="auto"/>
                <w:kern w:val="2"/>
                <w:sz w:val="24"/>
                <w:szCs w:val="22"/>
                <w:highlight w:val="none"/>
                <w:lang w:val="zh-CN" w:eastAsia="zh-CN" w:bidi="ar-SA"/>
              </w:rPr>
            </w:pPr>
            <w:r>
              <w:rPr>
                <w:rFonts w:hint="eastAsia" w:hAnsi="宋体"/>
                <w:color w:val="auto"/>
                <w:sz w:val="24"/>
                <w:highlight w:val="none"/>
                <w:lang w:val="zh-CN"/>
              </w:rPr>
              <w:t>120日历天（从递交投标文件截止之日计起）</w:t>
            </w:r>
          </w:p>
        </w:tc>
      </w:tr>
    </w:tbl>
    <w:p>
      <w:pPr>
        <w:tabs>
          <w:tab w:val="left" w:pos="720"/>
        </w:tabs>
        <w:snapToGrid w:val="0"/>
        <w:spacing w:line="360" w:lineRule="auto"/>
        <w:rPr>
          <w:rFonts w:ascii="宋体" w:hAnsi="宋体"/>
          <w:color w:val="auto"/>
          <w:sz w:val="24"/>
          <w:szCs w:val="24"/>
          <w:highlight w:val="none"/>
        </w:rPr>
      </w:pPr>
    </w:p>
    <w:p>
      <w:pPr>
        <w:autoSpaceDE w:val="0"/>
        <w:autoSpaceDN w:val="0"/>
        <w:adjustRightInd w:val="0"/>
        <w:outlineLvl w:val="1"/>
        <w:rPr>
          <w:rFonts w:ascii="宋体" w:hAnsi="宋体"/>
          <w:b/>
          <w:color w:val="auto"/>
          <w:sz w:val="24"/>
          <w:szCs w:val="24"/>
          <w:highlight w:val="none"/>
        </w:rPr>
      </w:pPr>
      <w:r>
        <w:rPr>
          <w:rFonts w:ascii="宋体" w:hAnsi="宋体"/>
          <w:color w:val="auto"/>
          <w:sz w:val="24"/>
          <w:szCs w:val="24"/>
          <w:highlight w:val="none"/>
        </w:rPr>
        <w:br w:type="page"/>
      </w:r>
      <w:bookmarkStart w:id="31" w:name="_Toc28310"/>
      <w:r>
        <w:rPr>
          <w:rFonts w:hint="eastAsia" w:ascii="宋体" w:hAnsi="宋体"/>
          <w:bCs/>
          <w:color w:val="auto"/>
          <w:szCs w:val="21"/>
          <w:highlight w:val="none"/>
        </w:rPr>
        <w:t>格式三：法定代表人证明书、授权委托书</w:t>
      </w:r>
      <w:bookmarkEnd w:id="31"/>
    </w:p>
    <w:p>
      <w:pPr>
        <w:topLinePunct/>
        <w:adjustRightInd w:val="0"/>
        <w:snapToGrid w:val="0"/>
        <w:spacing w:before="240" w:line="360" w:lineRule="auto"/>
        <w:jc w:val="center"/>
        <w:rPr>
          <w:rFonts w:ascii="宋体" w:hAnsi="宋体"/>
          <w:b/>
          <w:color w:val="auto"/>
          <w:spacing w:val="4"/>
          <w:kern w:val="0"/>
          <w:sz w:val="28"/>
          <w:szCs w:val="28"/>
          <w:highlight w:val="none"/>
        </w:rPr>
      </w:pPr>
      <w:r>
        <w:rPr>
          <w:rFonts w:hint="eastAsia" w:ascii="宋体" w:hAnsi="宋体"/>
          <w:b/>
          <w:color w:val="auto"/>
          <w:spacing w:val="4"/>
          <w:kern w:val="0"/>
          <w:sz w:val="28"/>
          <w:szCs w:val="28"/>
          <w:highlight w:val="none"/>
        </w:rPr>
        <w:t>法定代表人证明书、授权委托书</w:t>
      </w:r>
    </w:p>
    <w:p>
      <w:pPr>
        <w:rPr>
          <w:rFonts w:ascii="宋体" w:hAnsi="宋体"/>
          <w:color w:val="auto"/>
          <w:sz w:val="24"/>
          <w:szCs w:val="24"/>
          <w:highlight w:val="none"/>
        </w:rPr>
      </w:pPr>
      <w:r>
        <w:rPr>
          <w:rFonts w:hint="eastAsia" w:ascii="宋体" w:hAnsi="宋体"/>
          <w:color w:val="auto"/>
          <w:sz w:val="24"/>
          <w:szCs w:val="24"/>
          <w:highlight w:val="none"/>
        </w:rPr>
        <w:t>（1）法定代表人证明书</w:t>
      </w:r>
    </w:p>
    <w:p>
      <w:pPr>
        <w:topLinePunct/>
        <w:adjustRightInd w:val="0"/>
        <w:snapToGrid w:val="0"/>
        <w:spacing w:line="360" w:lineRule="auto"/>
        <w:jc w:val="righ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）第　号</w:t>
      </w:r>
    </w:p>
    <w:p>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ascii="宋体" w:hAnsi="宋体"/>
          <w:color w:val="auto"/>
          <w:spacing w:val="4"/>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-217170</wp:posOffset>
                </wp:positionH>
                <wp:positionV relativeFrom="paragraph">
                  <wp:posOffset>-1270</wp:posOffset>
                </wp:positionV>
                <wp:extent cx="6217920" cy="2773680"/>
                <wp:effectExtent l="0" t="0" r="11430" b="26670"/>
                <wp:wrapNone/>
                <wp:docPr id="13" name="文本框 13"/>
                <wp:cNvGraphicFramePr/>
                <a:graphic xmlns:a="http://schemas.openxmlformats.org/drawingml/2006/main">
                  <a:graphicData uri="http://schemas.microsoft.com/office/word/2010/wordprocessingShape">
                    <wps:wsp>
                      <wps:cNvSpPr txBox="1"/>
                      <wps:spPr>
                        <a:xfrm>
                          <a:off x="0" y="0"/>
                          <a:ext cx="621792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9"/>
                              <w:ind w:firstLine="0" w:firstLineChars="0"/>
                              <w:rPr>
                                <w:rFonts w:ascii="宋体" w:hAnsi="宋体"/>
                                <w:szCs w:val="28"/>
                              </w:rPr>
                            </w:pPr>
                          </w:p>
                          <w:p>
                            <w:pPr>
                              <w:pStyle w:val="79"/>
                              <w:ind w:firstLine="0" w:firstLineChars="0"/>
                              <w:rPr>
                                <w:rFonts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79"/>
                              <w:ind w:firstLine="0" w:firstLineChars="0"/>
                              <w:rPr>
                                <w:rFonts w:ascii="宋体" w:hAnsi="宋体"/>
                                <w:szCs w:val="28"/>
                              </w:rPr>
                            </w:pPr>
                            <w:r>
                              <w:rPr>
                                <w:rFonts w:hint="eastAsia" w:ascii="宋体" w:hAnsi="宋体"/>
                                <w:szCs w:val="28"/>
                              </w:rPr>
                              <w:t>特此证明。</w:t>
                            </w:r>
                          </w:p>
                          <w:p>
                            <w:pPr>
                              <w:pStyle w:val="79"/>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　　　　　　　　　　单位：　　　　　　　　　　　（盖章）</w:t>
                            </w:r>
                          </w:p>
                          <w:p>
                            <w:pPr>
                              <w:pStyle w:val="79"/>
                              <w:ind w:firstLine="0" w:firstLineChars="0"/>
                              <w:rPr>
                                <w:rFonts w:ascii="宋体" w:hAnsi="宋体"/>
                                <w:szCs w:val="28"/>
                              </w:rPr>
                            </w:pPr>
                            <w:r>
                              <w:rPr>
                                <w:rFonts w:hint="eastAsia" w:ascii="宋体" w:hAnsi="宋体"/>
                                <w:szCs w:val="28"/>
                              </w:rPr>
                              <w:t>　　　　　　　　　　　　　　　　　　　　　    年　月　　日</w:t>
                            </w:r>
                          </w:p>
                        </w:txbxContent>
                      </wps:txbx>
                      <wps:bodyPr wrap="square" upright="1"/>
                    </wps:wsp>
                  </a:graphicData>
                </a:graphic>
              </wp:anchor>
            </w:drawing>
          </mc:Choice>
          <mc:Fallback>
            <w:pict>
              <v:shape id="_x0000_s1026" o:spid="_x0000_s1026" o:spt="202" type="#_x0000_t202" style="position:absolute;left:0pt;margin-left:-17.1pt;margin-top:-0.1pt;height:218.4pt;width:489.6pt;z-index:251659264;mso-width-relative:page;mso-height-relative:page;" fillcolor="#FFFFFF" filled="t" stroked="t" coordsize="21600,21600" o:gfxdata="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Atyi9gAAAAJAQAA&#10;DwAAAAAAAAABACAAAAAiAAAAZHJzL2Rvd25yZXYueG1sUEsBAhQAFAAAAAgAh07iQNa60JIZAgAA&#10;RwQAAA4AAAAAAAAAAQAgAAAAJwEAAGRycy9lMm9Eb2MueG1sUEsFBgAAAAAGAAYAWQEAALIFAAAA&#10;AA==&#10;">
                <v:fill on="t" focussize="0,0"/>
                <v:stroke color="#000000" joinstyle="miter"/>
                <v:imagedata o:title=""/>
                <o:lock v:ext="edit" aspectratio="f"/>
                <v:textbox>
                  <w:txbxContent>
                    <w:p>
                      <w:pPr>
                        <w:pStyle w:val="79"/>
                        <w:ind w:firstLine="0" w:firstLineChars="0"/>
                        <w:rPr>
                          <w:rFonts w:ascii="宋体" w:hAnsi="宋体"/>
                          <w:szCs w:val="28"/>
                        </w:rPr>
                      </w:pPr>
                    </w:p>
                    <w:p>
                      <w:pPr>
                        <w:pStyle w:val="79"/>
                        <w:ind w:firstLine="0" w:firstLineChars="0"/>
                        <w:rPr>
                          <w:rFonts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79"/>
                        <w:ind w:firstLine="0" w:firstLineChars="0"/>
                        <w:rPr>
                          <w:rFonts w:ascii="宋体" w:hAnsi="宋体"/>
                          <w:szCs w:val="28"/>
                        </w:rPr>
                      </w:pPr>
                      <w:r>
                        <w:rPr>
                          <w:rFonts w:hint="eastAsia" w:ascii="宋体" w:hAnsi="宋体"/>
                          <w:szCs w:val="28"/>
                        </w:rPr>
                        <w:t>特此证明。</w:t>
                      </w:r>
                    </w:p>
                    <w:p>
                      <w:pPr>
                        <w:pStyle w:val="79"/>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　　　　　　　　　　单位：　　　　　　　　　　　（盖章）</w:t>
                      </w:r>
                    </w:p>
                    <w:p>
                      <w:pPr>
                        <w:pStyle w:val="79"/>
                        <w:ind w:firstLine="0" w:firstLineChars="0"/>
                        <w:rPr>
                          <w:rFonts w:ascii="宋体" w:hAnsi="宋体"/>
                          <w:szCs w:val="28"/>
                        </w:rPr>
                      </w:pPr>
                      <w:r>
                        <w:rPr>
                          <w:rFonts w:hint="eastAsia" w:ascii="宋体" w:hAnsi="宋体"/>
                          <w:szCs w:val="28"/>
                        </w:rPr>
                        <w:t>　　　　　　　　　　　　　　　　　　　　　    年　月　　日</w:t>
                      </w:r>
                    </w:p>
                  </w:txbxContent>
                </v:textbox>
              </v:shape>
            </w:pict>
          </mc:Fallback>
        </mc:AlternateContent>
      </w:r>
    </w:p>
    <w:p>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授权委</w:t>
      </w: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托证明书</w:t>
      </w:r>
    </w:p>
    <w:p>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）第　号</w:t>
      </w:r>
    </w:p>
    <w:p>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注：按提供的该表格格式填写，或使用从工商管理部门购买的表格填写。</w:t>
      </w: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（2）法定代表人授权委托书</w:t>
      </w:r>
    </w:p>
    <w:p>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xml:space="preserve">                                                     </w:t>
      </w:r>
    </w:p>
    <w:p>
      <w:pPr>
        <w:topLinePunct/>
        <w:adjustRightInd w:val="0"/>
        <w:snapToGrid w:val="0"/>
        <w:spacing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（2）法定代表人授权委托书</w:t>
      </w:r>
    </w:p>
    <w:p>
      <w:pPr>
        <w:topLinePunct/>
        <w:adjustRightInd w:val="0"/>
        <w:snapToGrid w:val="0"/>
        <w:spacing w:line="360" w:lineRule="auto"/>
        <w:ind w:right="84" w:firstLine="496" w:firstLineChars="200"/>
        <w:jc w:val="righ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）第  号</w:t>
      </w:r>
    </w:p>
    <w:p>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ascii="宋体" w:hAnsi="宋体"/>
          <w:color w:val="auto"/>
          <w:spacing w:val="4"/>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15240</wp:posOffset>
                </wp:positionV>
                <wp:extent cx="6111240" cy="2971800"/>
                <wp:effectExtent l="0" t="0" r="22860" b="19050"/>
                <wp:wrapNone/>
                <wp:docPr id="14" name="文本框 14"/>
                <wp:cNvGraphicFramePr/>
                <a:graphic xmlns:a="http://schemas.openxmlformats.org/drawingml/2006/main">
                  <a:graphicData uri="http://schemas.microsoft.com/office/word/2010/wordprocessingShape">
                    <wps:wsp>
                      <wps:cNvSpPr txBox="1"/>
                      <wps:spPr>
                        <a:xfrm>
                          <a:off x="0" y="0"/>
                          <a:ext cx="6111240" cy="2971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9"/>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u w:val="single"/>
                              </w:rPr>
                            </w:pP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r>
                              <w:rPr>
                                <w:rFonts w:hint="default" w:ascii="宋体" w:hAnsi="宋体" w:eastAsia="宋体" w:cs="Times New Roman"/>
                                <w:u w:val="single"/>
                              </w:rPr>
                              <w:t xml:space="preserve"> </w:t>
                            </w:r>
                            <w:r>
                              <w:rPr>
                                <w:rFonts w:hint="default" w:ascii="宋体" w:hAnsi="宋体" w:eastAsia="宋体" w:cs="Times New Roman"/>
                                <w:sz w:val="24"/>
                                <w:highlight w:val="none"/>
                                <w:u w:val="single"/>
                                <w:lang w:val="zh-CN"/>
                              </w:rPr>
                              <w:t>（从递交投标文件截止之日计起，</w:t>
                            </w:r>
                            <w:r>
                              <w:rPr>
                                <w:rFonts w:hint="default" w:ascii="宋体" w:hAnsi="宋体" w:eastAsia="宋体" w:cs="Times New Roman"/>
                                <w:sz w:val="24"/>
                                <w:highlight w:val="none"/>
                                <w:u w:val="single"/>
                                <w:lang w:val="en-US" w:eastAsia="zh-CN"/>
                              </w:rPr>
                              <w:t>不少于120日历天</w:t>
                            </w:r>
                            <w:r>
                              <w:rPr>
                                <w:rFonts w:hint="default" w:ascii="宋体" w:hAnsi="宋体" w:eastAsia="宋体" w:cs="Times New Roman"/>
                                <w:u w:val="single"/>
                                <w:lang w:eastAsia="zh-CN"/>
                              </w:rPr>
                              <w:t>）</w:t>
                            </w:r>
                            <w:r>
                              <w:rPr>
                                <w:rFonts w:hint="eastAsia" w:ascii="宋体" w:hAnsi="宋体"/>
                                <w:u w:val="single"/>
                              </w:rPr>
                              <w:t xml:space="preserve"> </w:t>
                            </w:r>
                          </w:p>
                          <w:p>
                            <w:pPr>
                              <w:pStyle w:val="79"/>
                              <w:ind w:firstLine="496"/>
                              <w:rPr>
                                <w:rFonts w:ascii="宋体" w:hAnsi="宋体"/>
                              </w:rPr>
                            </w:pPr>
                          </w:p>
                          <w:p>
                            <w:pPr>
                              <w:pStyle w:val="79"/>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（签名或盖章）</w:t>
                            </w:r>
                          </w:p>
                          <w:p>
                            <w:pPr>
                              <w:pStyle w:val="79"/>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79"/>
                              <w:ind w:firstLine="496"/>
                              <w:jc w:val="right"/>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wrap="square" upright="1"/>
                    </wps:wsp>
                  </a:graphicData>
                </a:graphic>
              </wp:anchor>
            </w:drawing>
          </mc:Choice>
          <mc:Fallback>
            <w:pict>
              <v:shape id="_x0000_s1026" o:spid="_x0000_s1026" o:spt="202" type="#_x0000_t202" style="position:absolute;left:0pt;margin-left:-16.5pt;margin-top:1.2pt;height:234pt;width:481.2pt;z-index:251660288;mso-width-relative:page;mso-height-relative:page;" fillcolor="#FFFFFF" filled="t" stroked="t" coordsize="21600,21600" o:gfxdata="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WiIjfZAAAACQEA&#10;AA8AAAAAAAAAAQAgAAAAIgAAAGRycy9kb3ducmV2LnhtbFBLAQIUABQAAAAIAIdO4kCuycDzGQIA&#10;AEcEAAAOAAAAAAAAAAEAIAAAACgBAABkcnMvZTJvRG9jLnhtbFBLBQYAAAAABgAGAFkBAACzBQAA&#10;AAA=&#10;">
                <v:fill on="t" focussize="0,0"/>
                <v:stroke color="#000000" joinstyle="miter"/>
                <v:imagedata o:title=""/>
                <o:lock v:ext="edit" aspectratio="f"/>
                <v:textbox>
                  <w:txbxContent>
                    <w:p>
                      <w:pPr>
                        <w:pStyle w:val="79"/>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u w:val="single"/>
                        </w:rPr>
                      </w:pP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r>
                        <w:rPr>
                          <w:rFonts w:hint="default" w:ascii="宋体" w:hAnsi="宋体" w:eastAsia="宋体" w:cs="Times New Roman"/>
                          <w:u w:val="single"/>
                        </w:rPr>
                        <w:t xml:space="preserve"> </w:t>
                      </w:r>
                      <w:r>
                        <w:rPr>
                          <w:rFonts w:hint="default" w:ascii="宋体" w:hAnsi="宋体" w:eastAsia="宋体" w:cs="Times New Roman"/>
                          <w:sz w:val="24"/>
                          <w:highlight w:val="none"/>
                          <w:u w:val="single"/>
                          <w:lang w:val="zh-CN"/>
                        </w:rPr>
                        <w:t>（从递交投标文件截止之日计起，</w:t>
                      </w:r>
                      <w:r>
                        <w:rPr>
                          <w:rFonts w:hint="default" w:ascii="宋体" w:hAnsi="宋体" w:eastAsia="宋体" w:cs="Times New Roman"/>
                          <w:sz w:val="24"/>
                          <w:highlight w:val="none"/>
                          <w:u w:val="single"/>
                          <w:lang w:val="en-US" w:eastAsia="zh-CN"/>
                        </w:rPr>
                        <w:t>不少于120日历天</w:t>
                      </w:r>
                      <w:r>
                        <w:rPr>
                          <w:rFonts w:hint="default" w:ascii="宋体" w:hAnsi="宋体" w:eastAsia="宋体" w:cs="Times New Roman"/>
                          <w:u w:val="single"/>
                          <w:lang w:eastAsia="zh-CN"/>
                        </w:rPr>
                        <w:t>）</w:t>
                      </w:r>
                      <w:r>
                        <w:rPr>
                          <w:rFonts w:hint="eastAsia" w:ascii="宋体" w:hAnsi="宋体"/>
                          <w:u w:val="single"/>
                        </w:rPr>
                        <w:t xml:space="preserve"> </w:t>
                      </w:r>
                    </w:p>
                    <w:p>
                      <w:pPr>
                        <w:pStyle w:val="79"/>
                        <w:ind w:firstLine="496"/>
                        <w:rPr>
                          <w:rFonts w:ascii="宋体" w:hAnsi="宋体"/>
                        </w:rPr>
                      </w:pPr>
                    </w:p>
                    <w:p>
                      <w:pPr>
                        <w:pStyle w:val="79"/>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（签名或盖章）</w:t>
                      </w:r>
                    </w:p>
                    <w:p>
                      <w:pPr>
                        <w:pStyle w:val="79"/>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79"/>
                        <w:ind w:firstLine="496"/>
                        <w:jc w:val="right"/>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v:shape>
            </w:pict>
          </mc:Fallback>
        </mc:AlternateContent>
      </w: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jc w:val="right"/>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autoSpaceDE w:val="0"/>
        <w:autoSpaceDN w:val="0"/>
        <w:adjustRightInd w:val="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附：法定代表人（负责人）、委托代理人身份证扫描件。</w:t>
      </w:r>
    </w:p>
    <w:p>
      <w:pPr>
        <w:autoSpaceDE w:val="0"/>
        <w:autoSpaceDN w:val="0"/>
        <w:adjustRightInd w:val="0"/>
        <w:outlineLvl w:val="1"/>
        <w:rPr>
          <w:rFonts w:ascii="宋体" w:hAnsi="宋体"/>
          <w:color w:val="auto"/>
          <w:szCs w:val="21"/>
          <w:highlight w:val="none"/>
        </w:rPr>
      </w:pPr>
      <w:r>
        <w:rPr>
          <w:rFonts w:ascii="宋体" w:hAnsi="宋体"/>
          <w:color w:val="auto"/>
          <w:szCs w:val="21"/>
          <w:highlight w:val="none"/>
        </w:rPr>
        <w:br w:type="page"/>
      </w:r>
      <w:bookmarkStart w:id="32" w:name="_Toc5796"/>
      <w:r>
        <w:rPr>
          <w:rFonts w:hint="eastAsia" w:ascii="宋体" w:hAnsi="宋体"/>
          <w:color w:val="auto"/>
          <w:szCs w:val="21"/>
          <w:highlight w:val="none"/>
        </w:rPr>
        <w:t>格式四：参与编制技术标投标文件编制人员名单</w:t>
      </w:r>
      <w:bookmarkEnd w:id="32"/>
    </w:p>
    <w:p>
      <w:pPr>
        <w:autoSpaceDE w:val="0"/>
        <w:autoSpaceDN w:val="0"/>
        <w:adjustRightInd w:val="0"/>
        <w:rPr>
          <w:rFonts w:ascii="宋体" w:hAnsi="宋体"/>
          <w:color w:val="auto"/>
          <w:szCs w:val="21"/>
          <w:highlight w:val="none"/>
        </w:rPr>
      </w:pPr>
    </w:p>
    <w:p>
      <w:pPr>
        <w:tabs>
          <w:tab w:val="left" w:pos="720"/>
        </w:tabs>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参与编制技术标投标文件编制人员名单</w:t>
      </w:r>
    </w:p>
    <w:p>
      <w:pPr>
        <w:tabs>
          <w:tab w:val="left" w:pos="720"/>
        </w:tabs>
        <w:snapToGrid w:val="0"/>
        <w:spacing w:line="360" w:lineRule="auto"/>
        <w:jc w:val="center"/>
        <w:rPr>
          <w:rFonts w:ascii="宋体" w:hAnsi="宋体"/>
          <w:color w:val="auto"/>
          <w:szCs w:val="21"/>
          <w:highlight w:val="none"/>
        </w:rPr>
      </w:pPr>
    </w:p>
    <w:tbl>
      <w:tblPr>
        <w:tblStyle w:val="3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pStyle w:val="5"/>
        <w:spacing w:after="0" w:line="360" w:lineRule="auto"/>
        <w:ind w:left="-2" w:leftChars="-1" w:firstLine="350" w:firstLineChars="175"/>
        <w:jc w:val="left"/>
        <w:rPr>
          <w:rFonts w:ascii="宋体" w:hAnsi="宋体"/>
          <w:color w:val="auto"/>
          <w:szCs w:val="21"/>
          <w:highlight w:val="none"/>
        </w:rPr>
      </w:pPr>
      <w:r>
        <w:rPr>
          <w:rFonts w:hint="eastAsia" w:ascii="宋体" w:hAnsi="宋体"/>
          <w:color w:val="auto"/>
          <w:szCs w:val="21"/>
          <w:highlight w:val="none"/>
        </w:rPr>
        <w:t>注：参与编制技术标投标文件所有人员名单应包括如编制技术投标方案、负责清样校对、负责打印及复印等所有人员在内的人员名单。</w:t>
      </w:r>
    </w:p>
    <w:p>
      <w:pPr>
        <w:autoSpaceDE w:val="0"/>
        <w:autoSpaceDN w:val="0"/>
        <w:adjustRightInd w:val="0"/>
        <w:outlineLvl w:val="1"/>
        <w:rPr>
          <w:rFonts w:ascii="宋体" w:hAnsi="宋体"/>
          <w:b/>
          <w:color w:val="auto"/>
          <w:sz w:val="24"/>
          <w:szCs w:val="24"/>
          <w:highlight w:val="none"/>
        </w:rPr>
      </w:pPr>
      <w:r>
        <w:rPr>
          <w:rFonts w:ascii="宋体" w:hAnsi="宋体"/>
          <w:color w:val="auto"/>
          <w:szCs w:val="21"/>
          <w:highlight w:val="none"/>
        </w:rPr>
        <w:br w:type="page"/>
      </w:r>
      <w:bookmarkStart w:id="33" w:name="_Toc5303"/>
      <w:r>
        <w:rPr>
          <w:rFonts w:hint="eastAsia" w:ascii="宋体" w:hAnsi="宋体"/>
          <w:color w:val="auto"/>
          <w:szCs w:val="21"/>
          <w:highlight w:val="none"/>
        </w:rPr>
        <w:t>格式五：施工组织架构图</w:t>
      </w:r>
      <w:bookmarkEnd w:id="33"/>
    </w:p>
    <w:p>
      <w:pPr>
        <w:jc w:val="center"/>
        <w:rPr>
          <w:rFonts w:ascii="宋体" w:hAnsi="宋体"/>
          <w:b/>
          <w:color w:val="auto"/>
          <w:sz w:val="24"/>
          <w:szCs w:val="24"/>
          <w:highlight w:val="none"/>
        </w:rPr>
      </w:pPr>
    </w:p>
    <w:p>
      <w:pPr>
        <w:pStyle w:val="86"/>
        <w:rPr>
          <w:rFonts w:ascii="宋体" w:hAnsi="宋体" w:eastAsia="宋体"/>
          <w:b w:val="0"/>
          <w:color w:val="auto"/>
          <w:highlight w:val="none"/>
        </w:rPr>
      </w:pPr>
    </w:p>
    <w:p>
      <w:pPr>
        <w:pStyle w:val="86"/>
        <w:rPr>
          <w:rFonts w:ascii="宋体" w:hAnsi="宋体" w:eastAsia="宋体"/>
          <w:color w:val="auto"/>
          <w:sz w:val="32"/>
          <w:szCs w:val="32"/>
          <w:highlight w:val="none"/>
        </w:rPr>
      </w:pPr>
      <w:r>
        <w:rPr>
          <w:rFonts w:hint="eastAsia" w:ascii="宋体" w:hAnsi="宋体" w:eastAsia="宋体"/>
          <w:color w:val="auto"/>
          <w:sz w:val="32"/>
          <w:szCs w:val="32"/>
          <w:highlight w:val="none"/>
        </w:rPr>
        <w:t>施工组织架构图</w:t>
      </w:r>
    </w:p>
    <w:p>
      <w:pPr>
        <w:pStyle w:val="79"/>
        <w:ind w:firstLine="496"/>
        <w:rPr>
          <w:rFonts w:ascii="宋体" w:hAnsi="宋体"/>
          <w:color w:val="auto"/>
          <w:highlight w:val="none"/>
        </w:rPr>
      </w:pPr>
    </w:p>
    <w:p>
      <w:pPr>
        <w:pStyle w:val="79"/>
        <w:ind w:firstLine="496"/>
        <w:rPr>
          <w:rFonts w:ascii="宋体" w:hAnsi="宋体"/>
          <w:color w:val="auto"/>
          <w:highlight w:val="none"/>
        </w:rPr>
      </w:pPr>
      <w:r>
        <w:rPr>
          <w:rFonts w:hint="eastAsia" w:ascii="宋体" w:hAnsi="宋体"/>
          <w:color w:val="auto"/>
          <w:highlight w:val="none"/>
        </w:rPr>
        <w:t>注：</w:t>
      </w:r>
    </w:p>
    <w:p>
      <w:pPr>
        <w:pStyle w:val="79"/>
        <w:ind w:firstLine="496"/>
        <w:rPr>
          <w:rFonts w:ascii="宋体" w:hAnsi="宋体"/>
          <w:color w:val="auto"/>
          <w:highlight w:val="none"/>
        </w:rPr>
      </w:pPr>
      <w:r>
        <w:rPr>
          <w:rFonts w:hint="eastAsia" w:ascii="宋体" w:hAnsi="宋体"/>
          <w:color w:val="auto"/>
          <w:highlight w:val="none"/>
        </w:rPr>
        <w:t>1、投标人应结合本工程的类型和特点，科学、合理地设置本项目的施工组织架构；</w:t>
      </w:r>
    </w:p>
    <w:p>
      <w:pPr>
        <w:pStyle w:val="79"/>
        <w:ind w:firstLine="496"/>
        <w:rPr>
          <w:rFonts w:ascii="宋体" w:hAnsi="宋体"/>
          <w:color w:val="auto"/>
          <w:highlight w:val="none"/>
        </w:rPr>
      </w:pPr>
      <w:r>
        <w:rPr>
          <w:rFonts w:hint="eastAsia" w:ascii="宋体" w:hAnsi="宋体"/>
          <w:color w:val="auto"/>
          <w:highlight w:val="none"/>
        </w:rPr>
        <w:t>2、施工组织架构图由投标人结合招标人对本工程的具体要求自行设定；</w:t>
      </w:r>
    </w:p>
    <w:p>
      <w:pPr>
        <w:pStyle w:val="79"/>
        <w:ind w:firstLine="496"/>
        <w:rPr>
          <w:rFonts w:ascii="宋体" w:hAnsi="宋体"/>
          <w:color w:val="auto"/>
          <w:highlight w:val="none"/>
        </w:rPr>
        <w:sectPr>
          <w:pgSz w:w="11907" w:h="16839"/>
          <w:pgMar w:top="1134" w:right="1134" w:bottom="1134" w:left="1134" w:header="1247" w:footer="737" w:gutter="0"/>
          <w:cols w:space="720" w:num="1"/>
          <w:docGrid w:linePitch="380" w:charSpace="-4301"/>
        </w:sectPr>
      </w:pPr>
      <w:r>
        <w:rPr>
          <w:rFonts w:hint="eastAsia" w:ascii="宋体" w:hAnsi="宋体"/>
          <w:color w:val="auto"/>
          <w:highlight w:val="none"/>
        </w:rPr>
        <w:t>3、可结合自身情况附相关</w:t>
      </w:r>
      <w:r>
        <w:rPr>
          <w:rFonts w:ascii="宋体" w:hAnsi="宋体"/>
          <w:color w:val="auto"/>
          <w:highlight w:val="none"/>
        </w:rPr>
        <w:t>辅助说明资料。</w:t>
      </w:r>
    </w:p>
    <w:p>
      <w:pPr>
        <w:autoSpaceDE w:val="0"/>
        <w:autoSpaceDN w:val="0"/>
        <w:adjustRightInd w:val="0"/>
        <w:outlineLvl w:val="1"/>
        <w:rPr>
          <w:rFonts w:ascii="宋体" w:hAnsi="宋体"/>
          <w:color w:val="auto"/>
          <w:szCs w:val="21"/>
          <w:highlight w:val="none"/>
        </w:rPr>
      </w:pPr>
      <w:bookmarkStart w:id="34" w:name="_Toc24248"/>
      <w:r>
        <w:rPr>
          <w:rFonts w:hint="eastAsia" w:ascii="宋体" w:hAnsi="宋体"/>
          <w:color w:val="auto"/>
          <w:szCs w:val="21"/>
          <w:highlight w:val="none"/>
        </w:rPr>
        <w:t>格式六：投入主要人员汇总表</w:t>
      </w:r>
      <w:bookmarkEnd w:id="34"/>
    </w:p>
    <w:p>
      <w:pPr>
        <w:pStyle w:val="86"/>
        <w:spacing w:before="240"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投入主要人员汇总表</w:t>
      </w:r>
    </w:p>
    <w:tbl>
      <w:tblPr>
        <w:tblStyle w:val="34"/>
        <w:tblW w:w="13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24"/>
        <w:gridCol w:w="851"/>
        <w:gridCol w:w="709"/>
        <w:gridCol w:w="1616"/>
        <w:gridCol w:w="1695"/>
        <w:gridCol w:w="3498"/>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auto"/>
                <w:szCs w:val="18"/>
                <w:highlight w:val="none"/>
              </w:rPr>
            </w:pPr>
            <w:r>
              <w:rPr>
                <w:rFonts w:hint="eastAsia" w:cs="宋体"/>
                <w:b/>
                <w:color w:val="auto"/>
                <w:szCs w:val="18"/>
                <w:highlight w:val="none"/>
              </w:rPr>
              <w:t>序号</w:t>
            </w:r>
          </w:p>
        </w:tc>
        <w:tc>
          <w:tcPr>
            <w:tcW w:w="1224"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auto"/>
                <w:szCs w:val="18"/>
                <w:highlight w:val="none"/>
              </w:rPr>
            </w:pPr>
            <w:r>
              <w:rPr>
                <w:rFonts w:hint="eastAsia" w:cs="宋体"/>
                <w:b/>
                <w:color w:val="auto"/>
                <w:szCs w:val="18"/>
                <w:highlight w:val="none"/>
              </w:rPr>
              <w:t>姓名</w:t>
            </w:r>
          </w:p>
        </w:tc>
        <w:tc>
          <w:tcPr>
            <w:tcW w:w="851"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auto"/>
                <w:szCs w:val="18"/>
                <w:highlight w:val="none"/>
              </w:rPr>
            </w:pPr>
            <w:r>
              <w:rPr>
                <w:rFonts w:hint="eastAsia" w:cs="宋体"/>
                <w:b/>
                <w:color w:val="auto"/>
                <w:szCs w:val="18"/>
                <w:highlight w:val="none"/>
              </w:rPr>
              <w:t>年龄</w:t>
            </w:r>
          </w:p>
        </w:tc>
        <w:tc>
          <w:tcPr>
            <w:tcW w:w="709"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auto"/>
                <w:szCs w:val="18"/>
                <w:highlight w:val="none"/>
              </w:rPr>
            </w:pPr>
            <w:r>
              <w:rPr>
                <w:rFonts w:hint="eastAsia" w:cs="宋体"/>
                <w:b/>
                <w:color w:val="auto"/>
                <w:szCs w:val="18"/>
                <w:highlight w:val="none"/>
              </w:rPr>
              <w:t>工作年限</w:t>
            </w:r>
          </w:p>
        </w:tc>
        <w:tc>
          <w:tcPr>
            <w:tcW w:w="1616"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rPr>
                <w:rFonts w:cs="宋体"/>
                <w:b/>
                <w:color w:val="auto"/>
                <w:szCs w:val="18"/>
                <w:highlight w:val="none"/>
              </w:rPr>
            </w:pPr>
            <w:r>
              <w:rPr>
                <w:rFonts w:hint="eastAsia" w:cs="宋体"/>
                <w:b/>
                <w:color w:val="auto"/>
                <w:szCs w:val="18"/>
                <w:highlight w:val="none"/>
              </w:rPr>
              <w:t>职称、资格证书</w:t>
            </w:r>
          </w:p>
        </w:tc>
        <w:tc>
          <w:tcPr>
            <w:tcW w:w="1695"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auto"/>
                <w:szCs w:val="18"/>
                <w:highlight w:val="none"/>
              </w:rPr>
            </w:pPr>
            <w:r>
              <w:rPr>
                <w:rFonts w:hint="eastAsia" w:cs="宋体"/>
                <w:b/>
                <w:color w:val="auto"/>
                <w:szCs w:val="18"/>
                <w:highlight w:val="none"/>
              </w:rPr>
              <w:t>在本项目担任职务</w:t>
            </w:r>
          </w:p>
        </w:tc>
        <w:tc>
          <w:tcPr>
            <w:tcW w:w="3498" w:type="dxa"/>
            <w:tcBorders>
              <w:top w:val="single" w:color="auto" w:sz="4" w:space="0"/>
              <w:left w:val="single" w:color="auto" w:sz="4" w:space="0"/>
              <w:bottom w:val="single" w:color="auto" w:sz="4" w:space="0"/>
              <w:right w:val="single" w:color="auto" w:sz="4" w:space="0"/>
            </w:tcBorders>
            <w:vAlign w:val="center"/>
          </w:tcPr>
          <w:p>
            <w:pPr>
              <w:pStyle w:val="72"/>
              <w:spacing w:line="240" w:lineRule="exact"/>
              <w:jc w:val="center"/>
              <w:rPr>
                <w:rFonts w:ascii="宋体" w:hAnsi="宋体" w:cs="宋体"/>
                <w:b/>
                <w:color w:val="auto"/>
                <w:sz w:val="21"/>
                <w:szCs w:val="18"/>
                <w:highlight w:val="none"/>
              </w:rPr>
            </w:pPr>
            <w:r>
              <w:rPr>
                <w:rFonts w:hint="eastAsia" w:ascii="宋体" w:hAnsi="宋体" w:cs="宋体"/>
                <w:b/>
                <w:color w:val="auto"/>
                <w:sz w:val="21"/>
                <w:szCs w:val="18"/>
                <w:highlight w:val="none"/>
              </w:rPr>
              <w:t>基本要求</w:t>
            </w:r>
          </w:p>
        </w:tc>
        <w:tc>
          <w:tcPr>
            <w:tcW w:w="3118" w:type="dxa"/>
            <w:tcBorders>
              <w:top w:val="single" w:color="auto" w:sz="4" w:space="0"/>
              <w:left w:val="single" w:color="auto" w:sz="4" w:space="0"/>
              <w:bottom w:val="single" w:color="auto" w:sz="4" w:space="0"/>
              <w:right w:val="single" w:color="auto" w:sz="4" w:space="0"/>
            </w:tcBorders>
            <w:vAlign w:val="center"/>
          </w:tcPr>
          <w:p>
            <w:pPr>
              <w:pStyle w:val="72"/>
              <w:spacing w:line="240" w:lineRule="exact"/>
              <w:jc w:val="center"/>
              <w:rPr>
                <w:rFonts w:ascii="宋体" w:hAnsi="宋体" w:cs="宋体"/>
                <w:b/>
                <w:color w:val="auto"/>
                <w:sz w:val="21"/>
                <w:szCs w:val="18"/>
                <w:highlight w:val="none"/>
              </w:rPr>
            </w:pPr>
            <w:r>
              <w:rPr>
                <w:rFonts w:hint="eastAsia" w:ascii="宋体" w:hAnsi="宋体" w:cs="宋体"/>
                <w:b/>
                <w:color w:val="auto"/>
                <w:sz w:val="21"/>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line="280" w:lineRule="exact"/>
              <w:ind w:firstLineChars="0"/>
              <w:jc w:val="center"/>
              <w:rPr>
                <w:rFonts w:ascii="宋体" w:hAnsi="宋体" w:cs="宋体"/>
                <w:color w:val="auto"/>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auto"/>
                <w:szCs w:val="21"/>
                <w:highlight w:val="none"/>
              </w:rPr>
            </w:pPr>
          </w:p>
        </w:tc>
        <w:tc>
          <w:tcPr>
            <w:tcW w:w="1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宋体" w:hAnsi="宋体" w:cs="宋体"/>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rFonts w:cs="宋体"/>
                <w:color w:val="auto"/>
                <w:highlight w:val="none"/>
              </w:rPr>
            </w:pPr>
            <w:r>
              <w:rPr>
                <w:rFonts w:hint="eastAsia" w:cs="宋体"/>
                <w:color w:val="auto"/>
                <w:highlight w:val="none"/>
              </w:rPr>
              <w:t>项目负责人（项目经理）</w:t>
            </w:r>
          </w:p>
        </w:tc>
        <w:tc>
          <w:tcPr>
            <w:tcW w:w="3498"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rFonts w:cs="宋体"/>
                <w:color w:val="auto"/>
                <w:highlight w:val="none"/>
              </w:rPr>
            </w:pPr>
            <w:r>
              <w:rPr>
                <w:rFonts w:hint="eastAsia" w:cs="宋体"/>
                <w:color w:val="auto"/>
                <w:highlight w:val="none"/>
              </w:rPr>
              <w:t>按招标公告要求。</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line="280" w:lineRule="exact"/>
              <w:ind w:firstLineChars="0"/>
              <w:jc w:val="center"/>
              <w:rPr>
                <w:rFonts w:ascii="宋体" w:hAnsi="宋体" w:cs="宋体"/>
                <w:color w:val="auto"/>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auto"/>
                <w:szCs w:val="21"/>
                <w:highlight w:val="none"/>
              </w:rPr>
            </w:pPr>
          </w:p>
        </w:tc>
        <w:tc>
          <w:tcPr>
            <w:tcW w:w="1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宋体" w:hAnsi="宋体" w:cs="宋体"/>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rFonts w:cs="宋体"/>
                <w:color w:val="auto"/>
                <w:highlight w:val="none"/>
              </w:rPr>
            </w:pPr>
            <w:r>
              <w:rPr>
                <w:rFonts w:hint="eastAsia" w:cs="宋体"/>
                <w:color w:val="auto"/>
                <w:highlight w:val="none"/>
              </w:rPr>
              <w:t>技术负责人（项目总工）</w:t>
            </w:r>
          </w:p>
        </w:tc>
        <w:tc>
          <w:tcPr>
            <w:tcW w:w="3498"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rFonts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line="280" w:lineRule="exact"/>
              <w:ind w:firstLineChars="0"/>
              <w:jc w:val="center"/>
              <w:rPr>
                <w:rFonts w:ascii="宋体" w:hAnsi="宋体" w:cs="宋体"/>
                <w:color w:val="auto"/>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auto"/>
                <w:szCs w:val="21"/>
                <w:highlight w:val="none"/>
              </w:rPr>
            </w:pPr>
          </w:p>
        </w:tc>
        <w:tc>
          <w:tcPr>
            <w:tcW w:w="1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宋体" w:hAnsi="宋体" w:cs="宋体"/>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rFonts w:cs="宋体"/>
                <w:color w:val="auto"/>
                <w:highlight w:val="none"/>
              </w:rPr>
            </w:pPr>
            <w:r>
              <w:rPr>
                <w:rFonts w:hint="eastAsia" w:cs="宋体"/>
                <w:color w:val="auto"/>
                <w:highlight w:val="none"/>
              </w:rPr>
              <w:t>专职安全员</w:t>
            </w:r>
          </w:p>
        </w:tc>
        <w:tc>
          <w:tcPr>
            <w:tcW w:w="3498"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rFonts w:cs="宋体"/>
                <w:color w:val="auto"/>
                <w:highlight w:val="none"/>
              </w:rPr>
            </w:pPr>
            <w:r>
              <w:rPr>
                <w:rFonts w:hint="eastAsia" w:cs="宋体"/>
                <w:color w:val="auto"/>
                <w:highlight w:val="none"/>
              </w:rPr>
              <w:t>按招标公告要求。</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7"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auto"/>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auto"/>
                <w:kern w:val="0"/>
                <w:szCs w:val="21"/>
                <w:highlight w:val="none"/>
              </w:rPr>
            </w:pPr>
          </w:p>
        </w:tc>
        <w:tc>
          <w:tcPr>
            <w:tcW w:w="1616"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hint="default" w:ascii="宋体" w:hAnsi="宋体" w:eastAsia="宋体" w:cs="宋体"/>
                <w:color w:val="auto"/>
                <w:kern w:val="0"/>
                <w:szCs w:val="21"/>
                <w:highlight w:val="none"/>
                <w:lang w:val="en-US" w:eastAsia="zh-CN"/>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质量员</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数量：1名；具有</w:t>
            </w:r>
            <w:r>
              <w:rPr>
                <w:rFonts w:hint="eastAsia" w:ascii="宋体" w:hAnsi="宋体" w:eastAsia="宋体" w:cs="宋体"/>
                <w:color w:val="auto"/>
                <w:kern w:val="2"/>
                <w:sz w:val="21"/>
                <w:szCs w:val="21"/>
                <w:highlight w:val="none"/>
                <w:lang w:val="en-US"/>
              </w:rPr>
              <w:t>质量员</w:t>
            </w:r>
            <w:r>
              <w:rPr>
                <w:rFonts w:hint="eastAsia" w:ascii="宋体" w:hAnsi="宋体" w:eastAsia="宋体" w:cs="宋体"/>
                <w:color w:val="auto"/>
                <w:kern w:val="2"/>
                <w:sz w:val="21"/>
                <w:szCs w:val="21"/>
                <w:highlight w:val="none"/>
                <w:lang w:val="en-US" w:eastAsia="zh-CN"/>
              </w:rPr>
              <w:t>资格证书</w:t>
            </w:r>
            <w:r>
              <w:rPr>
                <w:rFonts w:hint="eastAsia" w:ascii="宋体" w:hAnsi="宋体" w:eastAsia="宋体" w:cs="宋体"/>
                <w:color w:val="auto"/>
                <w:kern w:val="2"/>
                <w:sz w:val="21"/>
                <w:szCs w:val="21"/>
                <w:highlight w:val="none"/>
                <w:lang w:val="en-US"/>
              </w:rPr>
              <w:t>或中级工程师职称</w:t>
            </w:r>
          </w:p>
        </w:tc>
        <w:tc>
          <w:tcPr>
            <w:tcW w:w="3118"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7"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224"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auto"/>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auto"/>
                <w:kern w:val="0"/>
                <w:szCs w:val="21"/>
                <w:highlight w:val="none"/>
              </w:rPr>
            </w:pPr>
          </w:p>
        </w:tc>
        <w:tc>
          <w:tcPr>
            <w:tcW w:w="1616"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auto"/>
                <w:kern w:val="0"/>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施工员</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数量：2-3名；具有</w:t>
            </w:r>
            <w:r>
              <w:rPr>
                <w:rFonts w:hint="eastAsia" w:ascii="宋体" w:hAnsi="宋体" w:eastAsia="宋体" w:cs="宋体"/>
                <w:color w:val="auto"/>
                <w:kern w:val="2"/>
                <w:sz w:val="21"/>
                <w:szCs w:val="21"/>
                <w:highlight w:val="none"/>
                <w:lang w:val="en-US"/>
              </w:rPr>
              <w:t>施工员</w:t>
            </w:r>
            <w:r>
              <w:rPr>
                <w:rFonts w:hint="eastAsia" w:ascii="宋体" w:hAnsi="宋体" w:eastAsia="宋体" w:cs="宋体"/>
                <w:color w:val="auto"/>
                <w:kern w:val="2"/>
                <w:sz w:val="21"/>
                <w:szCs w:val="21"/>
                <w:highlight w:val="none"/>
                <w:lang w:val="en-US" w:eastAsia="zh-CN"/>
              </w:rPr>
              <w:t>资格证书</w:t>
            </w:r>
            <w:r>
              <w:rPr>
                <w:rFonts w:hint="eastAsia" w:ascii="宋体" w:hAnsi="宋体" w:eastAsia="宋体" w:cs="宋体"/>
                <w:color w:val="auto"/>
                <w:kern w:val="2"/>
                <w:sz w:val="21"/>
                <w:szCs w:val="21"/>
                <w:highlight w:val="none"/>
                <w:lang w:val="en-US"/>
              </w:rPr>
              <w:t>或中级工程师职称</w:t>
            </w:r>
          </w:p>
        </w:tc>
        <w:tc>
          <w:tcPr>
            <w:tcW w:w="3118" w:type="dxa"/>
            <w:tcBorders>
              <w:top w:val="single" w:color="auto" w:sz="4" w:space="0"/>
              <w:left w:val="single" w:color="auto" w:sz="4" w:space="0"/>
              <w:bottom w:val="single" w:color="auto" w:sz="4" w:space="0"/>
              <w:right w:val="single" w:color="auto" w:sz="4" w:space="0"/>
            </w:tcBorders>
          </w:tcPr>
          <w:p>
            <w:pPr>
              <w:spacing w:line="280" w:lineRule="exact"/>
              <w:rPr>
                <w:rFonts w:hint="default" w:ascii="宋体" w:hAnsi="宋体" w:eastAsia="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7"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224"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auto"/>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auto"/>
                <w:kern w:val="0"/>
                <w:szCs w:val="21"/>
                <w:highlight w:val="none"/>
              </w:rPr>
            </w:pPr>
          </w:p>
        </w:tc>
        <w:tc>
          <w:tcPr>
            <w:tcW w:w="1616"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auto"/>
                <w:kern w:val="0"/>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auto"/>
                <w:szCs w:val="21"/>
                <w:highlight w:val="none"/>
              </w:rPr>
            </w:pPr>
            <w:r>
              <w:rPr>
                <w:rFonts w:hint="eastAsia" w:ascii="宋体" w:hAnsi="宋体" w:cs="宋体"/>
                <w:color w:val="auto"/>
                <w:szCs w:val="21"/>
                <w:highlight w:val="none"/>
              </w:rPr>
              <w:t>……</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auto"/>
                <w:kern w:val="0"/>
                <w:szCs w:val="21"/>
                <w:highlight w:val="none"/>
              </w:rPr>
            </w:pPr>
          </w:p>
        </w:tc>
        <w:tc>
          <w:tcPr>
            <w:tcW w:w="3118"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7" w:type="dxa"/>
            <w:tcBorders>
              <w:top w:val="single" w:color="auto" w:sz="4" w:space="0"/>
              <w:left w:val="single" w:color="auto" w:sz="4" w:space="0"/>
              <w:bottom w:val="single" w:color="auto" w:sz="4" w:space="0"/>
              <w:right w:val="single" w:color="auto" w:sz="4" w:space="0"/>
            </w:tcBorders>
            <w:vAlign w:val="top"/>
          </w:tcPr>
          <w:p>
            <w:pPr>
              <w:widowControl/>
              <w:spacing w:line="28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p>
        </w:tc>
        <w:tc>
          <w:tcPr>
            <w:tcW w:w="1224" w:type="dxa"/>
            <w:tcBorders>
              <w:top w:val="single" w:color="auto" w:sz="4" w:space="0"/>
              <w:left w:val="single" w:color="auto" w:sz="4" w:space="0"/>
              <w:bottom w:val="single" w:color="auto" w:sz="4" w:space="0"/>
              <w:right w:val="single" w:color="auto" w:sz="4" w:space="0"/>
            </w:tcBorders>
            <w:vAlign w:val="top"/>
          </w:tcPr>
          <w:p>
            <w:pPr>
              <w:widowControl/>
              <w:spacing w:line="280" w:lineRule="exact"/>
              <w:jc w:val="center"/>
              <w:rPr>
                <w:rFonts w:ascii="宋体" w:hAnsi="宋体" w:eastAsia="宋体" w:cs="宋体"/>
                <w:color w:val="auto"/>
                <w:kern w:val="0"/>
                <w:sz w:val="21"/>
                <w:szCs w:val="21"/>
                <w:highlight w:val="none"/>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top"/>
          </w:tcPr>
          <w:p>
            <w:pPr>
              <w:widowControl/>
              <w:spacing w:line="280" w:lineRule="exact"/>
              <w:jc w:val="center"/>
              <w:rPr>
                <w:rFonts w:ascii="宋体" w:hAnsi="宋体" w:eastAsia="宋体" w:cs="宋体"/>
                <w:color w:val="auto"/>
                <w:kern w:val="0"/>
                <w:sz w:val="21"/>
                <w:szCs w:val="21"/>
                <w:highlight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top"/>
          </w:tcPr>
          <w:p>
            <w:pPr>
              <w:widowControl/>
              <w:spacing w:line="280" w:lineRule="exact"/>
              <w:jc w:val="center"/>
              <w:rPr>
                <w:rFonts w:ascii="宋体" w:hAnsi="宋体" w:eastAsia="宋体" w:cs="宋体"/>
                <w:color w:val="auto"/>
                <w:kern w:val="0"/>
                <w:sz w:val="21"/>
                <w:szCs w:val="21"/>
                <w:highlight w:val="none"/>
                <w:lang w:val="en-US" w:eastAsia="zh-CN" w:bidi="ar-SA"/>
              </w:rPr>
            </w:pPr>
          </w:p>
        </w:tc>
        <w:tc>
          <w:tcPr>
            <w:tcW w:w="1616" w:type="dxa"/>
            <w:tcBorders>
              <w:top w:val="single" w:color="auto" w:sz="4" w:space="0"/>
              <w:left w:val="single" w:color="auto" w:sz="4" w:space="0"/>
              <w:bottom w:val="single" w:color="auto" w:sz="4" w:space="0"/>
              <w:right w:val="single" w:color="auto" w:sz="4" w:space="0"/>
            </w:tcBorders>
            <w:vAlign w:val="top"/>
          </w:tcPr>
          <w:p>
            <w:pPr>
              <w:widowControl/>
              <w:spacing w:line="280" w:lineRule="exact"/>
              <w:jc w:val="center"/>
              <w:rPr>
                <w:rFonts w:ascii="宋体" w:hAnsi="宋体" w:eastAsia="宋体" w:cs="宋体"/>
                <w:color w:val="auto"/>
                <w:kern w:val="0"/>
                <w:sz w:val="21"/>
                <w:szCs w:val="21"/>
                <w:highlight w:val="none"/>
                <w:lang w:val="en-US" w:eastAsia="zh-CN" w:bidi="ar-SA"/>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auto"/>
                <w:kern w:val="0"/>
                <w:szCs w:val="21"/>
                <w:highlight w:val="none"/>
              </w:rPr>
            </w:pPr>
          </w:p>
        </w:tc>
        <w:tc>
          <w:tcPr>
            <w:tcW w:w="3118"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auto"/>
                <w:szCs w:val="21"/>
                <w:highlight w:val="none"/>
              </w:rPr>
            </w:pPr>
          </w:p>
        </w:tc>
      </w:tr>
    </w:tbl>
    <w:p>
      <w:pPr>
        <w:topLinePunct/>
        <w:adjustRightInd w:val="0"/>
        <w:snapToGrid w:val="0"/>
        <w:spacing w:line="360" w:lineRule="auto"/>
        <w:ind w:firstLine="396" w:firstLineChars="189"/>
        <w:rPr>
          <w:rFonts w:ascii="宋体" w:hAnsi="宋体" w:cs="宋体"/>
          <w:bCs/>
          <w:color w:val="auto"/>
          <w:highlight w:val="none"/>
        </w:rPr>
      </w:pPr>
      <w:r>
        <w:rPr>
          <w:rFonts w:hint="eastAsia"/>
          <w:color w:val="auto"/>
          <w:highlight w:val="none"/>
        </w:rPr>
        <w:t>注：①</w:t>
      </w:r>
      <w:r>
        <w:rPr>
          <w:rFonts w:hint="eastAsia"/>
          <w:color w:val="auto"/>
          <w:highlight w:val="none"/>
          <w:lang w:eastAsia="zh-CN"/>
        </w:rPr>
        <w:t>结合招标文件、评标办法及定标因素要求自行提供</w:t>
      </w:r>
      <w:r>
        <w:rPr>
          <w:rFonts w:hint="eastAsia" w:ascii="宋体" w:hAnsi="宋体" w:cs="宋体"/>
          <w:bCs/>
          <w:color w:val="auto"/>
          <w:highlight w:val="none"/>
        </w:rPr>
        <w:t>。</w:t>
      </w:r>
    </w:p>
    <w:p>
      <w:pPr>
        <w:pStyle w:val="10"/>
        <w:topLinePunct/>
        <w:adjustRightInd w:val="0"/>
        <w:snapToGrid w:val="0"/>
        <w:spacing w:line="360" w:lineRule="auto"/>
        <w:ind w:firstLine="396" w:firstLineChars="189"/>
        <w:rPr>
          <w:rFonts w:ascii="宋体" w:hAnsi="宋体" w:cs="宋体"/>
          <w:bCs/>
          <w:color w:val="auto"/>
          <w:sz w:val="21"/>
          <w:szCs w:val="21"/>
          <w:highlight w:val="none"/>
        </w:rPr>
      </w:pPr>
      <w:r>
        <w:rPr>
          <w:rFonts w:hint="eastAsia" w:ascii="Calibri" w:hAnsi="Calibri" w:cs="Times New Roman"/>
          <w:color w:val="auto"/>
          <w:kern w:val="2"/>
          <w:sz w:val="21"/>
          <w:szCs w:val="22"/>
          <w:highlight w:val="none"/>
          <w:lang w:val="en-US"/>
        </w:rPr>
        <w:t>②</w:t>
      </w:r>
      <w:r>
        <w:rPr>
          <w:rFonts w:hint="eastAsia"/>
          <w:color w:val="auto"/>
          <w:sz w:val="21"/>
          <w:szCs w:val="21"/>
          <w:highlight w:val="none"/>
          <w:lang w:val="en-US"/>
        </w:rPr>
        <w:t>本表投标人可根据企业自身及项目实际情况自行增加人员配置。</w:t>
      </w:r>
    </w:p>
    <w:p>
      <w:pPr>
        <w:adjustRightInd w:val="0"/>
        <w:snapToGrid w:val="0"/>
        <w:spacing w:line="276" w:lineRule="auto"/>
        <w:ind w:firstLine="735" w:firstLineChars="350"/>
        <w:jc w:val="left"/>
        <w:rPr>
          <w:color w:val="auto"/>
          <w:highlight w:val="none"/>
        </w:rPr>
      </w:pPr>
    </w:p>
    <w:p>
      <w:pPr>
        <w:pStyle w:val="79"/>
        <w:spacing w:line="276" w:lineRule="auto"/>
        <w:ind w:left="479" w:firstLine="8682" w:firstLineChars="3808"/>
        <w:rPr>
          <w:rFonts w:ascii="宋体" w:hAnsi="宋体" w:cs="宋体"/>
          <w:color w:val="auto"/>
          <w:sz w:val="22"/>
          <w:highlight w:val="none"/>
        </w:rPr>
      </w:pPr>
      <w:r>
        <w:rPr>
          <w:rFonts w:hint="eastAsia" w:ascii="宋体" w:hAnsi="宋体" w:cs="宋体"/>
          <w:color w:val="auto"/>
          <w:sz w:val="22"/>
          <w:highlight w:val="none"/>
        </w:rPr>
        <w:t>投标人：　　（盖章）</w:t>
      </w:r>
    </w:p>
    <w:p>
      <w:pPr>
        <w:pStyle w:val="79"/>
        <w:spacing w:line="276" w:lineRule="auto"/>
        <w:ind w:left="479" w:firstLine="8682" w:firstLineChars="3808"/>
        <w:rPr>
          <w:rFonts w:ascii="宋体" w:hAnsi="宋体" w:cs="宋体"/>
          <w:color w:val="auto"/>
          <w:sz w:val="22"/>
          <w:highlight w:val="none"/>
        </w:rPr>
      </w:pPr>
      <w:r>
        <w:rPr>
          <w:rFonts w:hint="eastAsia" w:ascii="宋体" w:hAnsi="宋体" w:cs="宋体"/>
          <w:color w:val="auto"/>
          <w:sz w:val="22"/>
          <w:highlight w:val="none"/>
        </w:rPr>
        <w:t>法定代表人或授权代理人</w:t>
      </w:r>
      <w:r>
        <w:rPr>
          <w:rFonts w:ascii="宋体" w:hAnsi="宋体" w:cs="宋体"/>
          <w:color w:val="auto"/>
          <w:sz w:val="22"/>
          <w:highlight w:val="none"/>
        </w:rPr>
        <w:t>(签字或盖章)：</w:t>
      </w:r>
    </w:p>
    <w:p>
      <w:pPr>
        <w:autoSpaceDE w:val="0"/>
        <w:autoSpaceDN w:val="0"/>
        <w:adjustRightInd w:val="0"/>
        <w:jc w:val="right"/>
        <w:rPr>
          <w:rFonts w:ascii="宋体" w:hAnsi="宋体"/>
          <w:b/>
          <w:color w:val="auto"/>
          <w:highlight w:val="none"/>
        </w:rPr>
        <w:sectPr>
          <w:pgSz w:w="16839" w:h="11907" w:orient="landscape"/>
          <w:pgMar w:top="1134" w:right="1134" w:bottom="1134" w:left="1134" w:header="1247" w:footer="737" w:gutter="0"/>
          <w:cols w:space="720" w:num="1"/>
          <w:docGrid w:linePitch="380" w:charSpace="-4301"/>
        </w:sectPr>
      </w:pPr>
      <w:r>
        <w:rPr>
          <w:rFonts w:hint="eastAsia" w:ascii="宋体" w:hAnsi="宋体" w:cs="宋体"/>
          <w:color w:val="auto"/>
          <w:sz w:val="22"/>
          <w:highlight w:val="none"/>
        </w:rPr>
        <w:t>日</w:t>
      </w:r>
      <w:r>
        <w:rPr>
          <w:rFonts w:ascii="宋体" w:hAnsi="宋体" w:cs="宋体"/>
          <w:color w:val="auto"/>
          <w:sz w:val="22"/>
          <w:highlight w:val="none"/>
        </w:rPr>
        <w:t xml:space="preserve">   </w:t>
      </w:r>
      <w:r>
        <w:rPr>
          <w:rFonts w:hint="eastAsia" w:ascii="宋体" w:hAnsi="宋体" w:cs="宋体"/>
          <w:color w:val="auto"/>
          <w:sz w:val="22"/>
          <w:highlight w:val="none"/>
        </w:rPr>
        <w:t>期：</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月</w:t>
      </w:r>
      <w:r>
        <w:rPr>
          <w:rFonts w:ascii="宋体" w:hAnsi="宋体" w:cs="宋体"/>
          <w:color w:val="auto"/>
          <w:sz w:val="22"/>
          <w:highlight w:val="none"/>
        </w:rPr>
        <w:t xml:space="preserve">    </w:t>
      </w:r>
      <w:r>
        <w:rPr>
          <w:rFonts w:hint="eastAsia" w:ascii="宋体" w:hAnsi="宋体" w:cs="宋体"/>
          <w:color w:val="auto"/>
          <w:sz w:val="22"/>
          <w:highlight w:val="none"/>
        </w:rPr>
        <w:t>日</w:t>
      </w:r>
    </w:p>
    <w:p>
      <w:pPr>
        <w:autoSpaceDE w:val="0"/>
        <w:autoSpaceDN w:val="0"/>
        <w:adjustRightInd w:val="0"/>
        <w:outlineLvl w:val="1"/>
        <w:rPr>
          <w:rFonts w:ascii="宋体" w:hAnsi="宋体"/>
          <w:color w:val="auto"/>
          <w:szCs w:val="21"/>
          <w:highlight w:val="none"/>
        </w:rPr>
      </w:pPr>
      <w:bookmarkStart w:id="35" w:name="_Toc32570"/>
      <w:r>
        <w:rPr>
          <w:rFonts w:hint="eastAsia" w:ascii="宋体" w:hAnsi="宋体"/>
          <w:color w:val="auto"/>
          <w:szCs w:val="21"/>
          <w:highlight w:val="none"/>
        </w:rPr>
        <w:t>格式七：主要人员简历表</w:t>
      </w:r>
      <w:bookmarkEnd w:id="35"/>
    </w:p>
    <w:p>
      <w:pPr>
        <w:autoSpaceDE w:val="0"/>
        <w:autoSpaceDN w:val="0"/>
        <w:adjustRightInd w:val="0"/>
        <w:rPr>
          <w:rFonts w:ascii="宋体" w:hAnsi="宋体"/>
          <w:b/>
          <w:color w:val="auto"/>
          <w:sz w:val="24"/>
          <w:szCs w:val="24"/>
          <w:highlight w:val="none"/>
        </w:rPr>
      </w:pPr>
      <w:r>
        <w:rPr>
          <w:rFonts w:ascii="宋体" w:hAnsi="宋体"/>
          <w:b/>
          <w:color w:val="auto"/>
          <w:sz w:val="24"/>
          <w:szCs w:val="24"/>
          <w:highlight w:val="none"/>
        </w:rPr>
        <w:t xml:space="preserve"> </w:t>
      </w:r>
    </w:p>
    <w:p>
      <w:pPr>
        <w:pStyle w:val="86"/>
        <w:rPr>
          <w:rFonts w:ascii="宋体" w:hAnsi="宋体" w:eastAsia="宋体"/>
          <w:color w:val="auto"/>
          <w:sz w:val="32"/>
          <w:szCs w:val="32"/>
          <w:highlight w:val="none"/>
        </w:rPr>
      </w:pPr>
      <w:r>
        <w:rPr>
          <w:rFonts w:hint="eastAsia" w:ascii="宋体" w:hAnsi="宋体" w:eastAsia="宋体"/>
          <w:color w:val="auto"/>
          <w:sz w:val="32"/>
          <w:szCs w:val="32"/>
          <w:highlight w:val="none"/>
        </w:rPr>
        <w:t>主要人员简历表</w:t>
      </w:r>
    </w:p>
    <w:tbl>
      <w:tblPr>
        <w:tblStyle w:val="34"/>
        <w:tblpPr w:leftFromText="180" w:rightFromText="180" w:vertAnchor="text" w:tblpXSpec="center"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87"/>
              <w:spacing w:line="360" w:lineRule="auto"/>
              <w:ind w:firstLine="525"/>
              <w:rPr>
                <w:b/>
                <w:color w:val="auto"/>
                <w:sz w:val="24"/>
                <w:szCs w:val="24"/>
                <w:highlight w:val="none"/>
              </w:rPr>
            </w:pPr>
            <w:r>
              <w:rPr>
                <w:rFonts w:hint="eastAsia"/>
                <w:b/>
                <w:color w:val="auto"/>
                <w:sz w:val="24"/>
                <w:szCs w:val="24"/>
                <w:highlight w:val="none"/>
              </w:rPr>
              <w:t>姓名</w:t>
            </w:r>
          </w:p>
        </w:tc>
        <w:tc>
          <w:tcPr>
            <w:tcW w:w="2126" w:type="dxa"/>
            <w:gridSpan w:val="3"/>
            <w:vAlign w:val="center"/>
          </w:tcPr>
          <w:p>
            <w:pPr>
              <w:pStyle w:val="79"/>
              <w:keepNext/>
              <w:keepLines/>
              <w:spacing w:before="120" w:after="120"/>
              <w:ind w:firstLine="0" w:firstLineChars="0"/>
              <w:jc w:val="center"/>
              <w:outlineLvl w:val="0"/>
              <w:rPr>
                <w:rFonts w:ascii="宋体" w:hAnsi="宋体"/>
                <w:b/>
                <w:color w:val="auto"/>
                <w:highlight w:val="none"/>
                <w:lang w:val="en-US"/>
              </w:rPr>
            </w:pPr>
          </w:p>
        </w:tc>
        <w:tc>
          <w:tcPr>
            <w:tcW w:w="1370" w:type="dxa"/>
            <w:gridSpan w:val="2"/>
            <w:vAlign w:val="center"/>
          </w:tcPr>
          <w:p>
            <w:pPr>
              <w:pStyle w:val="87"/>
              <w:spacing w:line="360" w:lineRule="auto"/>
              <w:ind w:firstLine="241" w:firstLineChars="100"/>
              <w:rPr>
                <w:b/>
                <w:color w:val="auto"/>
                <w:sz w:val="24"/>
                <w:szCs w:val="24"/>
                <w:highlight w:val="none"/>
              </w:rPr>
            </w:pPr>
            <w:r>
              <w:rPr>
                <w:rFonts w:hint="eastAsia"/>
                <w:b/>
                <w:color w:val="auto"/>
                <w:sz w:val="24"/>
                <w:szCs w:val="24"/>
                <w:highlight w:val="none"/>
              </w:rPr>
              <w:t>性别</w:t>
            </w:r>
          </w:p>
        </w:tc>
        <w:tc>
          <w:tcPr>
            <w:tcW w:w="1701" w:type="dxa"/>
            <w:gridSpan w:val="2"/>
            <w:vAlign w:val="center"/>
          </w:tcPr>
          <w:p>
            <w:pPr>
              <w:pStyle w:val="79"/>
              <w:keepNext/>
              <w:keepLines/>
              <w:spacing w:before="120" w:after="120"/>
              <w:ind w:firstLine="0" w:firstLineChars="0"/>
              <w:jc w:val="center"/>
              <w:outlineLvl w:val="0"/>
              <w:rPr>
                <w:rFonts w:ascii="宋体" w:hAnsi="宋体"/>
                <w:b/>
                <w:color w:val="auto"/>
                <w:highlight w:val="none"/>
                <w:lang w:val="en-US"/>
              </w:rPr>
            </w:pPr>
          </w:p>
        </w:tc>
        <w:tc>
          <w:tcPr>
            <w:tcW w:w="1182" w:type="dxa"/>
            <w:vAlign w:val="center"/>
          </w:tcPr>
          <w:p>
            <w:pPr>
              <w:pStyle w:val="87"/>
              <w:spacing w:line="360" w:lineRule="auto"/>
              <w:ind w:firstLine="241" w:firstLineChars="100"/>
              <w:rPr>
                <w:b/>
                <w:color w:val="auto"/>
                <w:sz w:val="24"/>
                <w:szCs w:val="24"/>
                <w:highlight w:val="none"/>
              </w:rPr>
            </w:pPr>
            <w:r>
              <w:rPr>
                <w:rFonts w:hint="eastAsia"/>
                <w:b/>
                <w:color w:val="auto"/>
                <w:sz w:val="24"/>
                <w:szCs w:val="24"/>
                <w:highlight w:val="none"/>
              </w:rPr>
              <w:t>年龄</w:t>
            </w:r>
          </w:p>
        </w:tc>
        <w:tc>
          <w:tcPr>
            <w:tcW w:w="1620" w:type="dxa"/>
            <w:gridSpan w:val="2"/>
            <w:vAlign w:val="center"/>
          </w:tcPr>
          <w:p>
            <w:pPr>
              <w:pStyle w:val="79"/>
              <w:keepNext/>
              <w:keepLines/>
              <w:spacing w:before="120" w:after="120"/>
              <w:ind w:firstLine="0" w:firstLineChars="0"/>
              <w:jc w:val="center"/>
              <w:outlineLvl w:val="0"/>
              <w:rPr>
                <w:rFonts w:ascii="宋体" w:hAnsi="宋体"/>
                <w:b/>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87"/>
              <w:spacing w:line="360" w:lineRule="auto"/>
              <w:ind w:firstLine="211" w:firstLineChars="100"/>
              <w:rPr>
                <w:b/>
                <w:color w:val="auto"/>
                <w:sz w:val="24"/>
                <w:szCs w:val="24"/>
                <w:highlight w:val="none"/>
              </w:rPr>
            </w:pPr>
            <w:r>
              <w:rPr>
                <w:b/>
                <w:bCs/>
                <w:color w:val="auto"/>
                <w:highlight w:val="none"/>
              </w:rPr>
              <w:t>身份证号码</w:t>
            </w:r>
          </w:p>
        </w:tc>
        <w:tc>
          <w:tcPr>
            <w:tcW w:w="7999" w:type="dxa"/>
            <w:gridSpan w:val="10"/>
            <w:vAlign w:val="center"/>
          </w:tcPr>
          <w:p>
            <w:pPr>
              <w:pStyle w:val="79"/>
              <w:ind w:firstLine="0" w:firstLineChars="0"/>
              <w:jc w:val="center"/>
              <w:rPr>
                <w:rFonts w:ascii="宋体" w:hAnsi="宋体"/>
                <w:b/>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87"/>
              <w:spacing w:line="360" w:lineRule="auto"/>
              <w:rPr>
                <w:b/>
                <w:color w:val="auto"/>
                <w:sz w:val="24"/>
                <w:szCs w:val="24"/>
                <w:highlight w:val="none"/>
              </w:rPr>
            </w:pPr>
            <w:r>
              <w:rPr>
                <w:rFonts w:hint="eastAsia"/>
                <w:b/>
                <w:color w:val="auto"/>
                <w:sz w:val="24"/>
                <w:szCs w:val="24"/>
                <w:highlight w:val="none"/>
              </w:rPr>
              <w:t>在本项目任职</w:t>
            </w:r>
          </w:p>
        </w:tc>
        <w:tc>
          <w:tcPr>
            <w:tcW w:w="2126" w:type="dxa"/>
            <w:gridSpan w:val="3"/>
            <w:vAlign w:val="center"/>
          </w:tcPr>
          <w:p>
            <w:pPr>
              <w:pStyle w:val="79"/>
              <w:keepNext/>
              <w:keepLines/>
              <w:spacing w:before="120" w:after="120"/>
              <w:ind w:firstLine="0" w:firstLineChars="0"/>
              <w:jc w:val="center"/>
              <w:outlineLvl w:val="0"/>
              <w:rPr>
                <w:rFonts w:ascii="宋体" w:hAnsi="宋体"/>
                <w:b/>
                <w:color w:val="auto"/>
                <w:highlight w:val="none"/>
                <w:lang w:val="en-US"/>
              </w:rPr>
            </w:pPr>
          </w:p>
        </w:tc>
        <w:tc>
          <w:tcPr>
            <w:tcW w:w="1370" w:type="dxa"/>
            <w:gridSpan w:val="2"/>
            <w:vAlign w:val="center"/>
          </w:tcPr>
          <w:p>
            <w:pPr>
              <w:pStyle w:val="87"/>
              <w:spacing w:line="360" w:lineRule="auto"/>
              <w:ind w:firstLine="241" w:firstLineChars="100"/>
              <w:rPr>
                <w:b/>
                <w:color w:val="auto"/>
                <w:sz w:val="24"/>
                <w:szCs w:val="24"/>
                <w:highlight w:val="none"/>
              </w:rPr>
            </w:pPr>
            <w:r>
              <w:rPr>
                <w:rFonts w:hint="eastAsia"/>
                <w:b/>
                <w:color w:val="auto"/>
                <w:sz w:val="24"/>
                <w:szCs w:val="24"/>
                <w:highlight w:val="none"/>
              </w:rPr>
              <w:t>职称</w:t>
            </w:r>
          </w:p>
        </w:tc>
        <w:tc>
          <w:tcPr>
            <w:tcW w:w="1701" w:type="dxa"/>
            <w:gridSpan w:val="2"/>
            <w:vAlign w:val="center"/>
          </w:tcPr>
          <w:p>
            <w:pPr>
              <w:pStyle w:val="79"/>
              <w:keepNext/>
              <w:keepLines/>
              <w:spacing w:before="120" w:after="120"/>
              <w:ind w:firstLine="0" w:firstLineChars="0"/>
              <w:jc w:val="center"/>
              <w:outlineLvl w:val="0"/>
              <w:rPr>
                <w:rFonts w:ascii="宋体" w:hAnsi="宋体"/>
                <w:b/>
                <w:color w:val="auto"/>
                <w:highlight w:val="none"/>
                <w:lang w:val="en-US"/>
              </w:rPr>
            </w:pPr>
          </w:p>
        </w:tc>
        <w:tc>
          <w:tcPr>
            <w:tcW w:w="1182" w:type="dxa"/>
            <w:vAlign w:val="center"/>
          </w:tcPr>
          <w:p>
            <w:pPr>
              <w:pStyle w:val="87"/>
              <w:spacing w:line="360" w:lineRule="auto"/>
              <w:ind w:firstLine="241" w:firstLineChars="100"/>
              <w:rPr>
                <w:b/>
                <w:color w:val="auto"/>
                <w:sz w:val="24"/>
                <w:szCs w:val="24"/>
                <w:highlight w:val="none"/>
              </w:rPr>
            </w:pPr>
            <w:r>
              <w:rPr>
                <w:rFonts w:hint="eastAsia"/>
                <w:b/>
                <w:color w:val="auto"/>
                <w:sz w:val="24"/>
                <w:szCs w:val="24"/>
                <w:highlight w:val="none"/>
              </w:rPr>
              <w:t>学历</w:t>
            </w:r>
          </w:p>
        </w:tc>
        <w:tc>
          <w:tcPr>
            <w:tcW w:w="1620" w:type="dxa"/>
            <w:gridSpan w:val="2"/>
            <w:vAlign w:val="center"/>
          </w:tcPr>
          <w:p>
            <w:pPr>
              <w:pStyle w:val="79"/>
              <w:keepNext/>
              <w:keepLines/>
              <w:spacing w:before="120" w:after="120"/>
              <w:ind w:firstLine="0" w:firstLineChars="0"/>
              <w:jc w:val="center"/>
              <w:outlineLvl w:val="0"/>
              <w:rPr>
                <w:rFonts w:ascii="宋体" w:hAnsi="宋体"/>
                <w:b/>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26" w:type="dxa"/>
            <w:vAlign w:val="center"/>
          </w:tcPr>
          <w:p>
            <w:pPr>
              <w:pStyle w:val="87"/>
              <w:spacing w:line="360" w:lineRule="auto"/>
              <w:rPr>
                <w:b/>
                <w:color w:val="auto"/>
                <w:sz w:val="24"/>
                <w:szCs w:val="24"/>
                <w:highlight w:val="none"/>
              </w:rPr>
            </w:pPr>
            <w:r>
              <w:rPr>
                <w:rFonts w:hint="eastAsia"/>
                <w:b/>
                <w:color w:val="auto"/>
                <w:sz w:val="24"/>
                <w:szCs w:val="24"/>
                <w:highlight w:val="none"/>
              </w:rPr>
              <w:t>参加工作</w:t>
            </w:r>
          </w:p>
          <w:p>
            <w:pPr>
              <w:pStyle w:val="87"/>
              <w:spacing w:line="360" w:lineRule="auto"/>
              <w:rPr>
                <w:b/>
                <w:color w:val="auto"/>
                <w:sz w:val="24"/>
                <w:szCs w:val="24"/>
                <w:highlight w:val="none"/>
              </w:rPr>
            </w:pPr>
            <w:r>
              <w:rPr>
                <w:rFonts w:hint="eastAsia"/>
                <w:b/>
                <w:color w:val="auto"/>
                <w:sz w:val="24"/>
                <w:szCs w:val="24"/>
                <w:highlight w:val="none"/>
              </w:rPr>
              <w:t>年限</w:t>
            </w:r>
          </w:p>
        </w:tc>
        <w:tc>
          <w:tcPr>
            <w:tcW w:w="2126" w:type="dxa"/>
            <w:gridSpan w:val="3"/>
            <w:vAlign w:val="center"/>
          </w:tcPr>
          <w:p>
            <w:pPr>
              <w:pStyle w:val="79"/>
              <w:keepNext/>
              <w:keepLines/>
              <w:spacing w:before="120" w:after="120"/>
              <w:ind w:firstLine="0" w:firstLineChars="0"/>
              <w:jc w:val="center"/>
              <w:outlineLvl w:val="0"/>
              <w:rPr>
                <w:rFonts w:ascii="宋体" w:hAnsi="宋体"/>
                <w:b/>
                <w:color w:val="auto"/>
                <w:highlight w:val="none"/>
                <w:lang w:val="en-US"/>
              </w:rPr>
            </w:pPr>
          </w:p>
        </w:tc>
        <w:tc>
          <w:tcPr>
            <w:tcW w:w="1370" w:type="dxa"/>
            <w:gridSpan w:val="2"/>
            <w:vAlign w:val="center"/>
          </w:tcPr>
          <w:p>
            <w:pPr>
              <w:pStyle w:val="79"/>
              <w:ind w:firstLine="0" w:firstLineChars="0"/>
              <w:jc w:val="center"/>
              <w:rPr>
                <w:rFonts w:ascii="宋体" w:hAnsi="宋体"/>
                <w:b/>
                <w:color w:val="auto"/>
                <w:highlight w:val="none"/>
                <w:lang w:val="en-US"/>
              </w:rPr>
            </w:pPr>
            <w:r>
              <w:rPr>
                <w:rFonts w:hint="eastAsia" w:ascii="宋体" w:hAnsi="宋体"/>
                <w:b/>
                <w:color w:val="auto"/>
                <w:highlight w:val="none"/>
                <w:lang w:val="en-US"/>
              </w:rPr>
              <w:t>担任相应职务年限</w:t>
            </w:r>
          </w:p>
        </w:tc>
        <w:tc>
          <w:tcPr>
            <w:tcW w:w="4503" w:type="dxa"/>
            <w:gridSpan w:val="5"/>
            <w:vAlign w:val="center"/>
          </w:tcPr>
          <w:p>
            <w:pPr>
              <w:pStyle w:val="79"/>
              <w:keepNext/>
              <w:keepLines/>
              <w:spacing w:before="120" w:after="120"/>
              <w:ind w:firstLine="0" w:firstLineChars="0"/>
              <w:jc w:val="center"/>
              <w:outlineLvl w:val="0"/>
              <w:rPr>
                <w:rFonts w:ascii="宋体" w:hAnsi="宋体"/>
                <w:b/>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87"/>
              <w:spacing w:line="360" w:lineRule="auto"/>
              <w:rPr>
                <w:b/>
                <w:color w:val="auto"/>
                <w:sz w:val="24"/>
                <w:szCs w:val="24"/>
                <w:highlight w:val="none"/>
              </w:rPr>
            </w:pPr>
            <w:r>
              <w:rPr>
                <w:rFonts w:hint="eastAsia"/>
                <w:b/>
                <w:color w:val="auto"/>
                <w:sz w:val="24"/>
                <w:szCs w:val="24"/>
                <w:highlight w:val="none"/>
              </w:rPr>
              <w:t>资格证书号</w:t>
            </w:r>
          </w:p>
        </w:tc>
        <w:tc>
          <w:tcPr>
            <w:tcW w:w="7999" w:type="dxa"/>
            <w:gridSpan w:val="10"/>
            <w:vAlign w:val="center"/>
          </w:tcPr>
          <w:p>
            <w:pPr>
              <w:pStyle w:val="79"/>
              <w:keepNext/>
              <w:keepLines/>
              <w:spacing w:before="120" w:after="120"/>
              <w:ind w:firstLine="0" w:firstLineChars="0"/>
              <w:jc w:val="center"/>
              <w:outlineLvl w:val="0"/>
              <w:rPr>
                <w:rFonts w:ascii="宋体" w:hAnsi="宋体"/>
                <w:b/>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25" w:type="dxa"/>
            <w:gridSpan w:val="11"/>
            <w:vAlign w:val="center"/>
          </w:tcPr>
          <w:p>
            <w:pPr>
              <w:pStyle w:val="79"/>
              <w:ind w:firstLine="0" w:firstLineChars="0"/>
              <w:jc w:val="center"/>
              <w:rPr>
                <w:rFonts w:ascii="宋体" w:hAnsi="宋体"/>
                <w:b/>
                <w:color w:val="auto"/>
                <w:highlight w:val="none"/>
                <w:lang w:val="en-US"/>
              </w:rPr>
            </w:pPr>
            <w:r>
              <w:rPr>
                <w:rFonts w:hint="eastAsia" w:ascii="宋体" w:hAnsi="宋体"/>
                <w:b/>
                <w:color w:val="auto"/>
                <w:highlight w:val="none"/>
                <w:lang w:val="en-US"/>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87"/>
              <w:spacing w:line="360" w:lineRule="auto"/>
              <w:rPr>
                <w:b/>
                <w:color w:val="auto"/>
                <w:sz w:val="24"/>
                <w:szCs w:val="24"/>
                <w:highlight w:val="none"/>
              </w:rPr>
            </w:pPr>
            <w:r>
              <w:rPr>
                <w:rFonts w:hint="eastAsia"/>
                <w:b/>
                <w:color w:val="auto"/>
                <w:sz w:val="24"/>
                <w:szCs w:val="24"/>
                <w:highlight w:val="none"/>
              </w:rPr>
              <w:t>建设单位</w:t>
            </w:r>
          </w:p>
        </w:tc>
        <w:tc>
          <w:tcPr>
            <w:tcW w:w="1547" w:type="dxa"/>
            <w:vAlign w:val="center"/>
          </w:tcPr>
          <w:p>
            <w:pPr>
              <w:pStyle w:val="87"/>
              <w:spacing w:line="360" w:lineRule="auto"/>
              <w:rPr>
                <w:b/>
                <w:color w:val="auto"/>
                <w:sz w:val="24"/>
                <w:szCs w:val="24"/>
                <w:highlight w:val="none"/>
              </w:rPr>
            </w:pPr>
            <w:r>
              <w:rPr>
                <w:rFonts w:hint="eastAsia"/>
                <w:b/>
                <w:color w:val="auto"/>
                <w:sz w:val="24"/>
                <w:szCs w:val="24"/>
                <w:highlight w:val="none"/>
              </w:rPr>
              <w:t>项目名称</w:t>
            </w:r>
          </w:p>
        </w:tc>
        <w:tc>
          <w:tcPr>
            <w:tcW w:w="1549" w:type="dxa"/>
            <w:gridSpan w:val="2"/>
            <w:vAlign w:val="center"/>
          </w:tcPr>
          <w:p>
            <w:pPr>
              <w:pStyle w:val="87"/>
              <w:spacing w:line="360" w:lineRule="auto"/>
              <w:rPr>
                <w:b/>
                <w:color w:val="auto"/>
                <w:sz w:val="24"/>
                <w:szCs w:val="24"/>
                <w:highlight w:val="none"/>
              </w:rPr>
            </w:pPr>
            <w:r>
              <w:rPr>
                <w:rFonts w:hint="eastAsia"/>
                <w:b/>
                <w:color w:val="auto"/>
                <w:sz w:val="24"/>
                <w:szCs w:val="24"/>
                <w:highlight w:val="none"/>
              </w:rPr>
              <w:t>建设规模</w:t>
            </w:r>
          </w:p>
        </w:tc>
        <w:tc>
          <w:tcPr>
            <w:tcW w:w="1783" w:type="dxa"/>
            <w:gridSpan w:val="2"/>
            <w:vAlign w:val="center"/>
          </w:tcPr>
          <w:p>
            <w:pPr>
              <w:pStyle w:val="87"/>
              <w:spacing w:line="360" w:lineRule="auto"/>
              <w:rPr>
                <w:b/>
                <w:color w:val="auto"/>
                <w:sz w:val="24"/>
                <w:szCs w:val="24"/>
                <w:highlight w:val="none"/>
              </w:rPr>
            </w:pPr>
            <w:r>
              <w:rPr>
                <w:rFonts w:hint="eastAsia"/>
                <w:b/>
                <w:color w:val="auto"/>
                <w:sz w:val="24"/>
                <w:szCs w:val="24"/>
                <w:highlight w:val="none"/>
              </w:rPr>
              <w:t>开、竣工日期</w:t>
            </w:r>
          </w:p>
        </w:tc>
        <w:tc>
          <w:tcPr>
            <w:tcW w:w="1547" w:type="dxa"/>
            <w:gridSpan w:val="3"/>
            <w:vAlign w:val="center"/>
          </w:tcPr>
          <w:p>
            <w:pPr>
              <w:pStyle w:val="87"/>
              <w:spacing w:line="360" w:lineRule="auto"/>
              <w:rPr>
                <w:b/>
                <w:color w:val="auto"/>
                <w:sz w:val="24"/>
                <w:szCs w:val="24"/>
                <w:highlight w:val="none"/>
              </w:rPr>
            </w:pPr>
            <w:r>
              <w:rPr>
                <w:rFonts w:hint="eastAsia"/>
                <w:b/>
                <w:color w:val="auto"/>
                <w:sz w:val="24"/>
                <w:szCs w:val="24"/>
                <w:highlight w:val="none"/>
              </w:rPr>
              <w:t>在建或已完</w:t>
            </w:r>
          </w:p>
        </w:tc>
        <w:tc>
          <w:tcPr>
            <w:tcW w:w="1551" w:type="dxa"/>
            <w:vAlign w:val="center"/>
          </w:tcPr>
          <w:p>
            <w:pPr>
              <w:pStyle w:val="87"/>
              <w:spacing w:line="360" w:lineRule="auto"/>
              <w:rPr>
                <w:b/>
                <w:color w:val="auto"/>
                <w:sz w:val="24"/>
                <w:szCs w:val="24"/>
                <w:highlight w:val="none"/>
              </w:rPr>
            </w:pPr>
            <w:r>
              <w:rPr>
                <w:rFonts w:hint="eastAsia"/>
                <w:b/>
                <w:color w:val="auto"/>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79"/>
              <w:ind w:firstLine="0" w:firstLineChars="0"/>
              <w:jc w:val="center"/>
              <w:rPr>
                <w:rFonts w:ascii="宋体" w:hAnsi="宋体"/>
                <w:b/>
                <w:color w:val="auto"/>
                <w:highlight w:val="none"/>
                <w:lang w:val="en-US"/>
              </w:rPr>
            </w:pPr>
          </w:p>
        </w:tc>
        <w:tc>
          <w:tcPr>
            <w:tcW w:w="1547" w:type="dxa"/>
            <w:vAlign w:val="center"/>
          </w:tcPr>
          <w:p>
            <w:pPr>
              <w:pStyle w:val="79"/>
              <w:ind w:firstLine="0" w:firstLineChars="0"/>
              <w:jc w:val="center"/>
              <w:rPr>
                <w:rFonts w:ascii="宋体" w:hAnsi="宋体"/>
                <w:b/>
                <w:color w:val="auto"/>
                <w:highlight w:val="none"/>
                <w:lang w:val="en-US"/>
              </w:rPr>
            </w:pPr>
          </w:p>
        </w:tc>
        <w:tc>
          <w:tcPr>
            <w:tcW w:w="1549" w:type="dxa"/>
            <w:gridSpan w:val="2"/>
            <w:vAlign w:val="center"/>
          </w:tcPr>
          <w:p>
            <w:pPr>
              <w:pStyle w:val="79"/>
              <w:ind w:firstLine="0" w:firstLineChars="0"/>
              <w:jc w:val="center"/>
              <w:rPr>
                <w:rFonts w:ascii="宋体" w:hAnsi="宋体"/>
                <w:b/>
                <w:color w:val="auto"/>
                <w:highlight w:val="none"/>
                <w:lang w:val="en-US"/>
              </w:rPr>
            </w:pPr>
          </w:p>
        </w:tc>
        <w:tc>
          <w:tcPr>
            <w:tcW w:w="1783" w:type="dxa"/>
            <w:gridSpan w:val="2"/>
            <w:vAlign w:val="center"/>
          </w:tcPr>
          <w:p>
            <w:pPr>
              <w:pStyle w:val="79"/>
              <w:ind w:firstLine="0" w:firstLineChars="0"/>
              <w:jc w:val="center"/>
              <w:rPr>
                <w:rFonts w:ascii="宋体" w:hAnsi="宋体"/>
                <w:b/>
                <w:color w:val="auto"/>
                <w:highlight w:val="none"/>
                <w:lang w:val="en-US"/>
              </w:rPr>
            </w:pPr>
          </w:p>
        </w:tc>
        <w:tc>
          <w:tcPr>
            <w:tcW w:w="1547" w:type="dxa"/>
            <w:gridSpan w:val="3"/>
            <w:vAlign w:val="center"/>
          </w:tcPr>
          <w:p>
            <w:pPr>
              <w:pStyle w:val="79"/>
              <w:ind w:firstLine="0" w:firstLineChars="0"/>
              <w:jc w:val="center"/>
              <w:rPr>
                <w:rFonts w:ascii="宋体" w:hAnsi="宋体"/>
                <w:b/>
                <w:color w:val="auto"/>
                <w:highlight w:val="none"/>
                <w:lang w:val="en-US"/>
              </w:rPr>
            </w:pPr>
          </w:p>
        </w:tc>
        <w:tc>
          <w:tcPr>
            <w:tcW w:w="1551" w:type="dxa"/>
            <w:vAlign w:val="center"/>
          </w:tcPr>
          <w:p>
            <w:pPr>
              <w:pStyle w:val="79"/>
              <w:ind w:firstLine="0" w:firstLineChars="0"/>
              <w:jc w:val="center"/>
              <w:rPr>
                <w:rFonts w:ascii="宋体" w:hAnsi="宋体"/>
                <w:b/>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79"/>
              <w:ind w:firstLine="0" w:firstLineChars="0"/>
              <w:jc w:val="center"/>
              <w:rPr>
                <w:rFonts w:ascii="宋体" w:hAnsi="宋体"/>
                <w:color w:val="auto"/>
                <w:highlight w:val="none"/>
                <w:lang w:val="en-US"/>
              </w:rPr>
            </w:pPr>
          </w:p>
        </w:tc>
        <w:tc>
          <w:tcPr>
            <w:tcW w:w="1547" w:type="dxa"/>
            <w:vAlign w:val="center"/>
          </w:tcPr>
          <w:p>
            <w:pPr>
              <w:pStyle w:val="79"/>
              <w:ind w:firstLine="0" w:firstLineChars="0"/>
              <w:jc w:val="center"/>
              <w:rPr>
                <w:rFonts w:ascii="宋体" w:hAnsi="宋体"/>
                <w:color w:val="auto"/>
                <w:highlight w:val="none"/>
                <w:lang w:val="en-US"/>
              </w:rPr>
            </w:pPr>
          </w:p>
        </w:tc>
        <w:tc>
          <w:tcPr>
            <w:tcW w:w="1549" w:type="dxa"/>
            <w:gridSpan w:val="2"/>
            <w:vAlign w:val="center"/>
          </w:tcPr>
          <w:p>
            <w:pPr>
              <w:pStyle w:val="79"/>
              <w:ind w:firstLine="0" w:firstLineChars="0"/>
              <w:jc w:val="center"/>
              <w:rPr>
                <w:rFonts w:ascii="宋体" w:hAnsi="宋体"/>
                <w:color w:val="auto"/>
                <w:highlight w:val="none"/>
                <w:lang w:val="en-US"/>
              </w:rPr>
            </w:pPr>
          </w:p>
        </w:tc>
        <w:tc>
          <w:tcPr>
            <w:tcW w:w="1783" w:type="dxa"/>
            <w:gridSpan w:val="2"/>
            <w:vAlign w:val="center"/>
          </w:tcPr>
          <w:p>
            <w:pPr>
              <w:pStyle w:val="79"/>
              <w:ind w:firstLine="0" w:firstLineChars="0"/>
              <w:jc w:val="center"/>
              <w:rPr>
                <w:rFonts w:ascii="宋体" w:hAnsi="宋体"/>
                <w:color w:val="auto"/>
                <w:highlight w:val="none"/>
                <w:lang w:val="en-US"/>
              </w:rPr>
            </w:pPr>
          </w:p>
        </w:tc>
        <w:tc>
          <w:tcPr>
            <w:tcW w:w="1547" w:type="dxa"/>
            <w:gridSpan w:val="3"/>
            <w:vAlign w:val="center"/>
          </w:tcPr>
          <w:p>
            <w:pPr>
              <w:pStyle w:val="79"/>
              <w:ind w:firstLine="0" w:firstLineChars="0"/>
              <w:jc w:val="center"/>
              <w:rPr>
                <w:rFonts w:ascii="宋体" w:hAnsi="宋体"/>
                <w:color w:val="auto"/>
                <w:highlight w:val="none"/>
                <w:lang w:val="en-US"/>
              </w:rPr>
            </w:pPr>
          </w:p>
        </w:tc>
        <w:tc>
          <w:tcPr>
            <w:tcW w:w="1551" w:type="dxa"/>
            <w:vAlign w:val="center"/>
          </w:tcPr>
          <w:p>
            <w:pPr>
              <w:pStyle w:val="79"/>
              <w:ind w:firstLine="0" w:firstLineChars="0"/>
              <w:jc w:val="center"/>
              <w:rPr>
                <w:rFonts w:ascii="宋体" w:hAnsi="宋体"/>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79"/>
              <w:ind w:firstLine="0" w:firstLineChars="0"/>
              <w:jc w:val="center"/>
              <w:rPr>
                <w:rFonts w:ascii="宋体" w:hAnsi="宋体"/>
                <w:color w:val="auto"/>
                <w:highlight w:val="none"/>
                <w:lang w:val="en-US"/>
              </w:rPr>
            </w:pPr>
          </w:p>
        </w:tc>
        <w:tc>
          <w:tcPr>
            <w:tcW w:w="1547" w:type="dxa"/>
            <w:vAlign w:val="center"/>
          </w:tcPr>
          <w:p>
            <w:pPr>
              <w:pStyle w:val="79"/>
              <w:ind w:firstLine="0" w:firstLineChars="0"/>
              <w:jc w:val="center"/>
              <w:rPr>
                <w:rFonts w:ascii="宋体" w:hAnsi="宋体"/>
                <w:color w:val="auto"/>
                <w:highlight w:val="none"/>
                <w:lang w:val="en-US"/>
              </w:rPr>
            </w:pPr>
          </w:p>
        </w:tc>
        <w:tc>
          <w:tcPr>
            <w:tcW w:w="1549" w:type="dxa"/>
            <w:gridSpan w:val="2"/>
            <w:vAlign w:val="center"/>
          </w:tcPr>
          <w:p>
            <w:pPr>
              <w:pStyle w:val="79"/>
              <w:ind w:firstLine="0" w:firstLineChars="0"/>
              <w:jc w:val="center"/>
              <w:rPr>
                <w:rFonts w:ascii="宋体" w:hAnsi="宋体"/>
                <w:color w:val="auto"/>
                <w:highlight w:val="none"/>
                <w:lang w:val="en-US"/>
              </w:rPr>
            </w:pPr>
          </w:p>
        </w:tc>
        <w:tc>
          <w:tcPr>
            <w:tcW w:w="1783" w:type="dxa"/>
            <w:gridSpan w:val="2"/>
            <w:vAlign w:val="center"/>
          </w:tcPr>
          <w:p>
            <w:pPr>
              <w:pStyle w:val="79"/>
              <w:ind w:firstLine="0" w:firstLineChars="0"/>
              <w:jc w:val="center"/>
              <w:rPr>
                <w:rFonts w:ascii="宋体" w:hAnsi="宋体"/>
                <w:color w:val="auto"/>
                <w:highlight w:val="none"/>
                <w:lang w:val="en-US"/>
              </w:rPr>
            </w:pPr>
          </w:p>
        </w:tc>
        <w:tc>
          <w:tcPr>
            <w:tcW w:w="1547" w:type="dxa"/>
            <w:gridSpan w:val="3"/>
            <w:vAlign w:val="center"/>
          </w:tcPr>
          <w:p>
            <w:pPr>
              <w:pStyle w:val="79"/>
              <w:ind w:firstLine="0" w:firstLineChars="0"/>
              <w:jc w:val="center"/>
              <w:rPr>
                <w:rFonts w:ascii="宋体" w:hAnsi="宋体"/>
                <w:color w:val="auto"/>
                <w:highlight w:val="none"/>
                <w:lang w:val="en-US"/>
              </w:rPr>
            </w:pPr>
          </w:p>
        </w:tc>
        <w:tc>
          <w:tcPr>
            <w:tcW w:w="1551" w:type="dxa"/>
            <w:vAlign w:val="center"/>
          </w:tcPr>
          <w:p>
            <w:pPr>
              <w:pStyle w:val="79"/>
              <w:ind w:firstLine="0" w:firstLineChars="0"/>
              <w:jc w:val="center"/>
              <w:rPr>
                <w:rFonts w:ascii="宋体" w:hAnsi="宋体"/>
                <w:color w:val="auto"/>
                <w:highlight w:val="none"/>
                <w:lang w:val="en-US"/>
              </w:rPr>
            </w:pPr>
          </w:p>
        </w:tc>
      </w:tr>
    </w:tbl>
    <w:p>
      <w:pPr>
        <w:pStyle w:val="79"/>
        <w:ind w:firstLine="3596" w:firstLineChars="1450"/>
        <w:rPr>
          <w:rFonts w:ascii="宋体" w:hAnsi="宋体"/>
          <w:color w:val="auto"/>
          <w:highlight w:val="none"/>
        </w:rPr>
      </w:pPr>
    </w:p>
    <w:p>
      <w:pPr>
        <w:pStyle w:val="79"/>
        <w:ind w:firstLine="3596" w:firstLineChars="1450"/>
        <w:rPr>
          <w:rFonts w:ascii="宋体" w:hAnsi="宋体"/>
          <w:color w:val="auto"/>
          <w:highlight w:val="none"/>
        </w:rPr>
      </w:pPr>
      <w:r>
        <w:rPr>
          <w:rFonts w:hint="eastAsia" w:ascii="宋体" w:hAnsi="宋体"/>
          <w:color w:val="auto"/>
          <w:highlight w:val="none"/>
        </w:rPr>
        <w:t>投标人：　　（盖章）</w:t>
      </w:r>
    </w:p>
    <w:p>
      <w:pPr>
        <w:pStyle w:val="79"/>
        <w:ind w:firstLine="3596" w:firstLineChars="1450"/>
        <w:rPr>
          <w:rFonts w:ascii="宋体" w:hAnsi="宋体"/>
          <w:color w:val="auto"/>
          <w:highlight w:val="none"/>
        </w:rPr>
      </w:pPr>
      <w:r>
        <w:rPr>
          <w:rFonts w:hint="eastAsia" w:ascii="宋体" w:hAnsi="宋体"/>
          <w:color w:val="auto"/>
          <w:highlight w:val="none"/>
        </w:rPr>
        <w:t>法定代表人或授权代理人(签字或盖章)：</w:t>
      </w:r>
    </w:p>
    <w:p>
      <w:pPr>
        <w:pStyle w:val="79"/>
        <w:ind w:right="496" w:firstLine="3596" w:firstLineChars="1450"/>
        <w:rPr>
          <w:rFonts w:ascii="宋体" w:hAnsi="宋体"/>
          <w:color w:val="auto"/>
          <w:highlight w:val="none"/>
        </w:rPr>
      </w:pPr>
      <w:r>
        <w:rPr>
          <w:rFonts w:hint="eastAsia" w:ascii="宋体" w:hAnsi="宋体"/>
          <w:color w:val="auto"/>
          <w:highlight w:val="none"/>
        </w:rPr>
        <w:t xml:space="preserve">日   期：    年    月    日 </w:t>
      </w:r>
    </w:p>
    <w:p>
      <w:pPr>
        <w:pStyle w:val="79"/>
        <w:ind w:right="496" w:firstLine="3596" w:firstLineChars="1450"/>
        <w:rPr>
          <w:rFonts w:ascii="宋体" w:hAnsi="宋体"/>
          <w:color w:val="auto"/>
          <w:highlight w:val="none"/>
        </w:rPr>
      </w:pPr>
    </w:p>
    <w:p>
      <w:pPr>
        <w:autoSpaceDE w:val="0"/>
        <w:autoSpaceDN w:val="0"/>
        <w:adjustRightInd w:val="0"/>
        <w:outlineLvl w:val="1"/>
        <w:rPr>
          <w:rFonts w:ascii="宋体" w:hAnsi="宋体"/>
          <w:b/>
          <w:color w:val="auto"/>
          <w:highlight w:val="none"/>
        </w:rPr>
      </w:pPr>
      <w:r>
        <w:rPr>
          <w:rFonts w:ascii="宋体" w:hAnsi="宋体"/>
          <w:b/>
          <w:color w:val="auto"/>
          <w:highlight w:val="none"/>
        </w:rPr>
        <w:br w:type="page"/>
      </w:r>
      <w:bookmarkStart w:id="36" w:name="_Toc148"/>
      <w:r>
        <w:rPr>
          <w:rFonts w:hint="eastAsia" w:ascii="宋体" w:hAnsi="宋体"/>
          <w:color w:val="auto"/>
          <w:szCs w:val="21"/>
          <w:highlight w:val="none"/>
        </w:rPr>
        <w:t>格式八：投标函</w:t>
      </w:r>
      <w:bookmarkEnd w:id="36"/>
    </w:p>
    <w:p>
      <w:pPr>
        <w:pStyle w:val="86"/>
        <w:rPr>
          <w:rFonts w:ascii="宋体" w:hAnsi="宋体" w:eastAsia="宋体"/>
          <w:color w:val="auto"/>
          <w:highlight w:val="none"/>
        </w:rPr>
      </w:pPr>
      <w:r>
        <w:rPr>
          <w:rFonts w:hint="eastAsia" w:ascii="宋体" w:hAnsi="宋体" w:eastAsia="宋体"/>
          <w:color w:val="auto"/>
          <w:highlight w:val="none"/>
        </w:rPr>
        <w:t>投 标 函</w:t>
      </w:r>
    </w:p>
    <w:p>
      <w:pPr>
        <w:pStyle w:val="79"/>
        <w:ind w:firstLine="496"/>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 xml:space="preserve"> （招标人名称） </w:t>
      </w:r>
    </w:p>
    <w:p>
      <w:pPr>
        <w:pStyle w:val="79"/>
        <w:ind w:firstLine="496"/>
        <w:rPr>
          <w:rFonts w:ascii="宋体" w:hAnsi="宋体"/>
          <w:color w:val="auto"/>
          <w:highlight w:val="none"/>
        </w:rPr>
      </w:pPr>
      <w:r>
        <w:rPr>
          <w:rFonts w:hint="eastAsia" w:ascii="宋体" w:hAnsi="宋体"/>
          <w:color w:val="auto"/>
          <w:highlight w:val="none"/>
        </w:rPr>
        <w:t>1.根据招标人</w:t>
      </w:r>
      <w:r>
        <w:rPr>
          <w:rFonts w:hint="eastAsia" w:ascii="宋体" w:hAnsi="宋体"/>
          <w:color w:val="auto"/>
          <w:highlight w:val="none"/>
          <w:u w:val="single"/>
        </w:rPr>
        <w:t xml:space="preserve"> （工程项目名称） </w:t>
      </w:r>
      <w:r>
        <w:rPr>
          <w:rFonts w:hint="eastAsia" w:ascii="宋体" w:hAnsi="宋体"/>
          <w:color w:val="auto"/>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79"/>
        <w:ind w:firstLine="496"/>
        <w:rPr>
          <w:rFonts w:ascii="宋体" w:hAnsi="宋体"/>
          <w:color w:val="auto"/>
          <w:highlight w:val="none"/>
        </w:rPr>
      </w:pPr>
      <w:r>
        <w:rPr>
          <w:rFonts w:hint="eastAsia" w:ascii="宋体" w:hAnsi="宋体"/>
          <w:color w:val="auto"/>
          <w:highlight w:val="none"/>
        </w:rPr>
        <w:t>2.我方已详细审核全部招标文件，包括修改文件（如有时）及有关附件。</w:t>
      </w:r>
    </w:p>
    <w:p>
      <w:pPr>
        <w:pStyle w:val="79"/>
        <w:ind w:firstLine="496"/>
        <w:rPr>
          <w:rFonts w:ascii="宋体" w:hAnsi="宋体"/>
          <w:color w:val="auto"/>
          <w:highlight w:val="none"/>
        </w:rPr>
      </w:pPr>
      <w:r>
        <w:rPr>
          <w:rFonts w:hint="eastAsia" w:ascii="宋体" w:hAnsi="宋体"/>
          <w:color w:val="auto"/>
          <w:highlight w:val="none"/>
        </w:rPr>
        <w:t>3.如果我方中标，我方保证按照合同文件中规定的开工日期开始施工，并按规定的预计竣工日期完成和交付全部工程。</w:t>
      </w:r>
    </w:p>
    <w:p>
      <w:pPr>
        <w:pStyle w:val="79"/>
        <w:ind w:firstLine="496"/>
        <w:rPr>
          <w:rFonts w:ascii="宋体" w:hAnsi="宋体"/>
          <w:color w:val="auto"/>
          <w:highlight w:val="none"/>
        </w:rPr>
      </w:pPr>
      <w:r>
        <w:rPr>
          <w:rFonts w:hint="eastAsia" w:ascii="宋体" w:hAnsi="宋体"/>
          <w:color w:val="auto"/>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pStyle w:val="79"/>
        <w:ind w:firstLine="496"/>
        <w:rPr>
          <w:rFonts w:ascii="宋体" w:hAnsi="宋体"/>
          <w:color w:val="auto"/>
          <w:highlight w:val="none"/>
          <w:u w:val="single"/>
        </w:rPr>
      </w:pPr>
      <w:r>
        <w:rPr>
          <w:rFonts w:hint="eastAsia" w:ascii="宋体" w:hAnsi="宋体"/>
          <w:color w:val="auto"/>
          <w:highlight w:val="none"/>
          <w:u w:val="single"/>
        </w:rPr>
        <w:t>5.如果我方中标，我方承诺按《建设工程质量管理条例》（中华人民共和国国务院令第279号）、《建设工程安全生产管理条例》（中华人民共和国国务院令第393号）</w:t>
      </w:r>
      <w:r>
        <w:rPr>
          <w:rFonts w:hint="eastAsia" w:ascii="宋体" w:hAnsi="宋体"/>
          <w:color w:val="auto"/>
          <w:highlight w:val="none"/>
          <w:u w:val="single"/>
          <w:lang w:val="en-US" w:eastAsia="zh-CN"/>
        </w:rPr>
        <w:t>等相关</w:t>
      </w:r>
      <w:r>
        <w:rPr>
          <w:rFonts w:hint="eastAsia" w:ascii="宋体" w:hAnsi="宋体"/>
          <w:color w:val="auto"/>
          <w:highlight w:val="none"/>
          <w:u w:val="single"/>
        </w:rPr>
        <w:t>规定对承包工程的全部建设工程质量和施工现场的安全生产负责。</w:t>
      </w:r>
    </w:p>
    <w:p>
      <w:pPr>
        <w:pStyle w:val="79"/>
        <w:ind w:firstLine="496"/>
        <w:rPr>
          <w:rFonts w:ascii="宋体" w:hAnsi="宋体"/>
          <w:color w:val="auto"/>
          <w:highlight w:val="none"/>
        </w:rPr>
      </w:pPr>
      <w:r>
        <w:rPr>
          <w:rFonts w:hint="eastAsia" w:ascii="宋体" w:hAnsi="宋体"/>
          <w:color w:val="auto"/>
          <w:highlight w:val="none"/>
        </w:rPr>
        <w:t>6.如果我方中标，我方将按照招标文件的规定，按时提交履约担保，以保障本项目优质、优价、按期、顺利完成。</w:t>
      </w:r>
    </w:p>
    <w:p>
      <w:pPr>
        <w:pStyle w:val="79"/>
        <w:ind w:firstLine="496"/>
        <w:rPr>
          <w:rFonts w:ascii="宋体" w:hAnsi="宋体"/>
          <w:color w:val="auto"/>
          <w:highlight w:val="none"/>
        </w:rPr>
      </w:pPr>
      <w:r>
        <w:rPr>
          <w:rFonts w:hint="eastAsia" w:ascii="宋体" w:hAnsi="宋体"/>
          <w:color w:val="auto"/>
          <w:highlight w:val="none"/>
        </w:rPr>
        <w:t>7.我方同意所提交的投标文件在招标文件投标须知中第</w:t>
      </w:r>
      <w:r>
        <w:rPr>
          <w:rFonts w:hint="eastAsia" w:ascii="宋体" w:hAnsi="宋体"/>
          <w:color w:val="auto"/>
          <w:highlight w:val="none"/>
          <w:lang w:val="en-US" w:eastAsia="zh-CN"/>
        </w:rPr>
        <w:t>3.3</w:t>
      </w:r>
      <w:r>
        <w:rPr>
          <w:rFonts w:hint="eastAsia" w:ascii="宋体" w:hAnsi="宋体"/>
          <w:color w:val="auto"/>
          <w:highlight w:val="none"/>
        </w:rPr>
        <w:t>条规定的投标有效期内有效，在此期限届满之前，本投标书始终将对我方具有约束力，并随时接受中标。</w:t>
      </w:r>
    </w:p>
    <w:p>
      <w:pPr>
        <w:pStyle w:val="79"/>
        <w:ind w:firstLine="496"/>
        <w:rPr>
          <w:rFonts w:ascii="宋体" w:hAnsi="宋体"/>
          <w:color w:val="auto"/>
          <w:highlight w:val="none"/>
        </w:rPr>
      </w:pPr>
      <w:r>
        <w:rPr>
          <w:rFonts w:hint="eastAsia" w:ascii="宋体" w:hAnsi="宋体"/>
          <w:color w:val="auto"/>
          <w:highlight w:val="none"/>
        </w:rPr>
        <w:t>8.在合同协议书正式签署生效之前，本投标书连同你单位的中标通知书将对我方具有约束力。</w:t>
      </w:r>
    </w:p>
    <w:p>
      <w:pPr>
        <w:pStyle w:val="79"/>
        <w:ind w:firstLine="496"/>
        <w:rPr>
          <w:rFonts w:ascii="宋体" w:hAnsi="宋体"/>
          <w:color w:val="auto"/>
          <w:highlight w:val="none"/>
        </w:rPr>
      </w:pPr>
      <w:r>
        <w:rPr>
          <w:rFonts w:hint="eastAsia" w:ascii="宋体" w:hAnsi="宋体"/>
          <w:color w:val="auto"/>
          <w:highlight w:val="none"/>
        </w:rPr>
        <w:t>9.随同本投标文件，我方已</w:t>
      </w:r>
      <w:r>
        <w:rPr>
          <w:rFonts w:hint="eastAsia" w:ascii="宋体" w:hAnsi="宋体"/>
          <w:color w:val="auto"/>
          <w:highlight w:val="none"/>
          <w:lang w:val="en-US" w:eastAsia="zh-CN"/>
        </w:rPr>
        <w:t>按投标人须知要求提供</w:t>
      </w:r>
      <w:r>
        <w:rPr>
          <w:rFonts w:hint="eastAsia" w:ascii="宋体" w:hAnsi="宋体"/>
          <w:color w:val="auto"/>
          <w:highlight w:val="none"/>
        </w:rPr>
        <w:t>投标担保。如果我方在投标文件有效期内撤回投标文件；或在接到中标通知书后30天内未能或拒绝签订合同协议书；或未能按招标文件要求提交履约担保，你单位有权没收投标保证金，另选中标单位。</w:t>
      </w:r>
    </w:p>
    <w:p>
      <w:pPr>
        <w:pStyle w:val="79"/>
        <w:ind w:firstLine="496"/>
        <w:rPr>
          <w:rFonts w:ascii="宋体" w:hAnsi="宋体"/>
          <w:color w:val="auto"/>
          <w:highlight w:val="none"/>
        </w:rPr>
      </w:pPr>
      <w:r>
        <w:rPr>
          <w:rFonts w:hint="eastAsia" w:ascii="宋体" w:hAnsi="宋体"/>
          <w:color w:val="auto"/>
          <w:highlight w:val="none"/>
        </w:rPr>
        <w:t>10.我方理解，你单位不一定接受最低标价的投标或你单位接到的其它任何投标。同时也理解，你单位不负担我方的任何投标费用。</w:t>
      </w:r>
    </w:p>
    <w:p>
      <w:pPr>
        <w:pStyle w:val="79"/>
        <w:ind w:firstLine="691" w:firstLineChars="279"/>
        <w:rPr>
          <w:rFonts w:ascii="宋体" w:hAnsi="宋体"/>
          <w:color w:val="auto"/>
          <w:highlight w:val="none"/>
        </w:rPr>
      </w:pPr>
      <w:r>
        <w:rPr>
          <w:rFonts w:hint="eastAsia" w:ascii="宋体" w:hAnsi="宋体"/>
          <w:color w:val="auto"/>
          <w:highlight w:val="none"/>
        </w:rPr>
        <w:t>投 标 人：（盖章）</w:t>
      </w:r>
    </w:p>
    <w:p>
      <w:pPr>
        <w:pStyle w:val="79"/>
        <w:ind w:firstLine="691" w:firstLineChars="279"/>
        <w:rPr>
          <w:rFonts w:ascii="宋体" w:hAnsi="宋体"/>
          <w:color w:val="auto"/>
          <w:highlight w:val="none"/>
        </w:rPr>
      </w:pPr>
      <w:r>
        <w:rPr>
          <w:rFonts w:hint="eastAsia" w:ascii="宋体" w:hAnsi="宋体"/>
          <w:color w:val="auto"/>
          <w:highlight w:val="none"/>
        </w:rPr>
        <w:t>法定代表人或授权代理人（签字或盖章）：</w:t>
      </w:r>
    </w:p>
    <w:p>
      <w:pPr>
        <w:pStyle w:val="79"/>
        <w:ind w:firstLine="691" w:firstLineChars="279"/>
        <w:rPr>
          <w:rFonts w:ascii="宋体" w:hAnsi="宋体"/>
          <w:color w:val="auto"/>
          <w:highlight w:val="none"/>
        </w:rPr>
      </w:pPr>
      <w:r>
        <w:rPr>
          <w:rFonts w:hint="eastAsia" w:ascii="宋体" w:hAnsi="宋体"/>
          <w:color w:val="auto"/>
          <w:highlight w:val="none"/>
        </w:rPr>
        <w:t xml:space="preserve">日    期：    年    月    日 </w:t>
      </w:r>
    </w:p>
    <w:p>
      <w:pPr>
        <w:autoSpaceDE w:val="0"/>
        <w:autoSpaceDN w:val="0"/>
        <w:adjustRightInd w:val="0"/>
        <w:outlineLvl w:val="1"/>
        <w:rPr>
          <w:rFonts w:ascii="宋体" w:hAnsi="宋体"/>
          <w:color w:val="auto"/>
          <w:szCs w:val="21"/>
          <w:highlight w:val="none"/>
        </w:rPr>
      </w:pPr>
      <w:r>
        <w:rPr>
          <w:rFonts w:ascii="宋体" w:hAnsi="宋体"/>
          <w:color w:val="auto"/>
          <w:sz w:val="24"/>
          <w:szCs w:val="24"/>
          <w:highlight w:val="none"/>
        </w:rPr>
        <w:br w:type="page"/>
      </w:r>
      <w:bookmarkStart w:id="37" w:name="_Toc30867"/>
      <w:r>
        <w:rPr>
          <w:rFonts w:hint="eastAsia" w:ascii="宋体" w:hAnsi="宋体"/>
          <w:color w:val="auto"/>
          <w:szCs w:val="21"/>
          <w:highlight w:val="none"/>
        </w:rPr>
        <w:t>格式九：施工组织设计</w:t>
      </w:r>
      <w:bookmarkEnd w:id="37"/>
    </w:p>
    <w:p>
      <w:pPr>
        <w:autoSpaceDE w:val="0"/>
        <w:autoSpaceDN w:val="0"/>
        <w:adjustRightInd w:val="0"/>
        <w:rPr>
          <w:rFonts w:ascii="宋体" w:hAnsi="宋体"/>
          <w:color w:val="auto"/>
          <w:szCs w:val="21"/>
          <w:highlight w:val="none"/>
        </w:rPr>
      </w:pPr>
    </w:p>
    <w:p>
      <w:pPr>
        <w:topLinePunct/>
        <w:adjustRightInd w:val="0"/>
        <w:snapToGrid w:val="0"/>
        <w:spacing w:line="360" w:lineRule="auto"/>
        <w:jc w:val="center"/>
        <w:rPr>
          <w:rFonts w:eastAsia="黑体"/>
          <w:color w:val="auto"/>
          <w:spacing w:val="4"/>
          <w:sz w:val="36"/>
          <w:szCs w:val="36"/>
          <w:highlight w:val="none"/>
        </w:rPr>
      </w:pPr>
      <w:r>
        <w:rPr>
          <w:rFonts w:hint="eastAsia" w:ascii="黑体" w:hAnsi="黑体" w:eastAsia="黑体"/>
          <w:color w:val="auto"/>
          <w:spacing w:val="4"/>
          <w:sz w:val="36"/>
          <w:szCs w:val="36"/>
          <w:highlight w:val="none"/>
        </w:rPr>
        <w:t>施工组织设计</w:t>
      </w:r>
    </w:p>
    <w:p>
      <w:pPr>
        <w:topLinePunct/>
        <w:adjustRightInd w:val="0"/>
        <w:snapToGrid w:val="0"/>
        <w:spacing w:line="360" w:lineRule="auto"/>
        <w:ind w:firstLine="496" w:firstLineChars="200"/>
        <w:rPr>
          <w:snapToGrid w:val="0"/>
          <w:color w:val="auto"/>
          <w:spacing w:val="4"/>
          <w:sz w:val="24"/>
          <w:szCs w:val="24"/>
          <w:highlight w:val="none"/>
        </w:rPr>
      </w:pPr>
      <w:r>
        <w:rPr>
          <w:rFonts w:hint="eastAsia"/>
          <w:snapToGrid w:val="0"/>
          <w:color w:val="auto"/>
          <w:spacing w:val="4"/>
          <w:sz w:val="24"/>
          <w:szCs w:val="24"/>
          <w:highlight w:val="none"/>
        </w:rPr>
        <w:t>由投标人有针对性的描述，各部分文字直接简炼，不得出现大量宣传性及无实质性意义或直接引用范本照搬照套的文字。</w:t>
      </w:r>
    </w:p>
    <w:p>
      <w:pPr>
        <w:topLinePunct/>
        <w:adjustRightInd w:val="0"/>
        <w:snapToGrid w:val="0"/>
        <w:spacing w:line="360" w:lineRule="auto"/>
        <w:ind w:firstLine="496" w:firstLineChars="200"/>
        <w:rPr>
          <w:snapToGrid w:val="0"/>
          <w:color w:val="auto"/>
          <w:spacing w:val="4"/>
          <w:sz w:val="24"/>
          <w:szCs w:val="24"/>
          <w:highlight w:val="none"/>
        </w:rPr>
      </w:pPr>
      <w:r>
        <w:rPr>
          <w:rFonts w:hint="eastAsia"/>
          <w:snapToGrid w:val="0"/>
          <w:color w:val="auto"/>
          <w:spacing w:val="4"/>
          <w:sz w:val="24"/>
          <w:szCs w:val="24"/>
          <w:highlight w:val="none"/>
        </w:rPr>
        <w:t>施工组织设计包括但不限于以下方面内容（格式自拟）：</w:t>
      </w:r>
    </w:p>
    <w:p>
      <w:pPr>
        <w:topLinePunct/>
        <w:adjustRightInd w:val="0"/>
        <w:snapToGrid w:val="0"/>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一、项目组织机构及人员配置</w:t>
      </w:r>
    </w:p>
    <w:p>
      <w:pPr>
        <w:topLinePunct/>
        <w:adjustRightInd w:val="0"/>
        <w:snapToGrid w:val="0"/>
        <w:spacing w:line="360" w:lineRule="auto"/>
        <w:ind w:firstLine="496" w:firstLineChars="200"/>
        <w:rPr>
          <w:snapToGrid w:val="0"/>
          <w:color w:val="auto"/>
          <w:spacing w:val="4"/>
          <w:sz w:val="24"/>
          <w:szCs w:val="24"/>
          <w:highlight w:val="none"/>
        </w:rPr>
      </w:pPr>
      <w:r>
        <w:rPr>
          <w:rFonts w:hint="eastAsia"/>
          <w:snapToGrid w:val="0"/>
          <w:color w:val="auto"/>
          <w:spacing w:val="4"/>
          <w:sz w:val="24"/>
          <w:szCs w:val="24"/>
          <w:highlight w:val="none"/>
          <w:lang w:val="en-US" w:eastAsia="zh-CN"/>
        </w:rPr>
        <w:t>二、</w:t>
      </w:r>
      <w:r>
        <w:rPr>
          <w:rFonts w:hint="eastAsia"/>
          <w:snapToGrid w:val="0"/>
          <w:color w:val="auto"/>
          <w:spacing w:val="4"/>
          <w:sz w:val="24"/>
          <w:szCs w:val="24"/>
          <w:highlight w:val="none"/>
        </w:rPr>
        <w:t>工程概况</w:t>
      </w:r>
    </w:p>
    <w:p>
      <w:pPr>
        <w:spacing w:line="360" w:lineRule="auto"/>
        <w:ind w:firstLine="496" w:firstLineChars="200"/>
        <w:rPr>
          <w:rFonts w:hint="eastAsia"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三</w:t>
      </w:r>
      <w:r>
        <w:rPr>
          <w:rFonts w:hint="eastAsia" w:ascii="Times New Roman" w:hAnsi="Times New Roman" w:eastAsia="宋体" w:cs="Times New Roman"/>
          <w:snapToGrid w:val="0"/>
          <w:color w:val="auto"/>
          <w:spacing w:val="4"/>
          <w:sz w:val="24"/>
          <w:szCs w:val="24"/>
          <w:highlight w:val="none"/>
        </w:rPr>
        <w:t>、工程重点、难点分析和对策</w:t>
      </w:r>
      <w:r>
        <w:rPr>
          <w:rFonts w:hint="eastAsia" w:ascii="Times New Roman" w:hAnsi="Times New Roman" w:eastAsia="宋体" w:cs="Times New Roman"/>
          <w:snapToGrid w:val="0"/>
          <w:color w:val="auto"/>
          <w:spacing w:val="4"/>
          <w:sz w:val="24"/>
          <w:szCs w:val="24"/>
          <w:highlight w:val="none"/>
          <w:lang w:val="en-US" w:eastAsia="zh-CN"/>
        </w:rPr>
        <w:t>（</w:t>
      </w:r>
      <w:r>
        <w:rPr>
          <w:rFonts w:hint="default" w:ascii="Times New Roman" w:hAnsi="Times New Roman" w:eastAsia="宋体" w:cs="Times New Roman"/>
          <w:snapToGrid w:val="0"/>
          <w:color w:val="auto"/>
          <w:spacing w:val="4"/>
          <w:sz w:val="24"/>
          <w:szCs w:val="24"/>
          <w:highlight w:val="none"/>
          <w:lang w:val="en-US" w:eastAsia="zh-CN"/>
        </w:rPr>
        <w:t>项目关键技术、工艺，重点、难点</w:t>
      </w:r>
      <w:r>
        <w:rPr>
          <w:rFonts w:hint="eastAsia" w:ascii="Times New Roman" w:hAnsi="Times New Roman" w:eastAsia="宋体" w:cs="Times New Roman"/>
          <w:snapToGrid w:val="0"/>
          <w:color w:val="auto"/>
          <w:spacing w:val="4"/>
          <w:sz w:val="24"/>
          <w:szCs w:val="24"/>
          <w:highlight w:val="none"/>
          <w:lang w:val="en-US" w:eastAsia="zh-CN"/>
        </w:rPr>
        <w:t>分析及</w:t>
      </w:r>
      <w:r>
        <w:rPr>
          <w:rFonts w:hint="default" w:ascii="Times New Roman" w:hAnsi="Times New Roman" w:eastAsia="宋体" w:cs="Times New Roman"/>
          <w:snapToGrid w:val="0"/>
          <w:color w:val="auto"/>
          <w:spacing w:val="4"/>
          <w:sz w:val="24"/>
          <w:szCs w:val="24"/>
          <w:highlight w:val="none"/>
          <w:lang w:val="en-US" w:eastAsia="zh-CN"/>
        </w:rPr>
        <w:t>解决方案</w:t>
      </w:r>
      <w:r>
        <w:rPr>
          <w:rFonts w:hint="eastAsia" w:ascii="Times New Roman" w:hAnsi="Times New Roman" w:eastAsia="宋体" w:cs="Times New Roman"/>
          <w:snapToGrid w:val="0"/>
          <w:color w:val="auto"/>
          <w:spacing w:val="4"/>
          <w:sz w:val="24"/>
          <w:szCs w:val="24"/>
          <w:highlight w:val="none"/>
          <w:lang w:val="en-US" w:eastAsia="zh-CN"/>
        </w:rPr>
        <w:t>等）</w:t>
      </w:r>
    </w:p>
    <w:p>
      <w:pPr>
        <w:spacing w:line="360" w:lineRule="auto"/>
        <w:ind w:firstLine="496" w:firstLineChars="200"/>
        <w:rPr>
          <w:rFonts w:hint="eastAsia"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四、施工部署（</w:t>
      </w:r>
      <w:r>
        <w:rPr>
          <w:rFonts w:hint="default" w:ascii="Times New Roman" w:hAnsi="Times New Roman" w:eastAsia="宋体" w:cs="Times New Roman"/>
          <w:snapToGrid w:val="0"/>
          <w:color w:val="auto"/>
          <w:spacing w:val="4"/>
          <w:sz w:val="24"/>
          <w:szCs w:val="24"/>
          <w:highlight w:val="none"/>
        </w:rPr>
        <w:t>施工现场现状分析</w:t>
      </w:r>
      <w:r>
        <w:rPr>
          <w:rFonts w:hint="default" w:ascii="Times New Roman" w:hAnsi="Times New Roman" w:eastAsia="宋体" w:cs="Times New Roman"/>
          <w:snapToGrid w:val="0"/>
          <w:color w:val="auto"/>
          <w:spacing w:val="4"/>
          <w:sz w:val="24"/>
          <w:szCs w:val="24"/>
          <w:highlight w:val="none"/>
          <w:lang w:eastAsia="zh-CN"/>
        </w:rPr>
        <w:t>、</w:t>
      </w:r>
      <w:r>
        <w:rPr>
          <w:rFonts w:hint="default" w:ascii="Times New Roman" w:hAnsi="Times New Roman" w:eastAsia="宋体" w:cs="Times New Roman"/>
          <w:snapToGrid w:val="0"/>
          <w:color w:val="auto"/>
          <w:spacing w:val="4"/>
          <w:sz w:val="24"/>
          <w:szCs w:val="24"/>
          <w:highlight w:val="none"/>
        </w:rPr>
        <w:t>准备阶段工作安排</w:t>
      </w:r>
      <w:r>
        <w:rPr>
          <w:rFonts w:hint="default" w:ascii="Times New Roman" w:hAnsi="Times New Roman" w:eastAsia="宋体" w:cs="Times New Roman"/>
          <w:snapToGrid w:val="0"/>
          <w:color w:val="auto"/>
          <w:spacing w:val="4"/>
          <w:sz w:val="24"/>
          <w:szCs w:val="24"/>
          <w:highlight w:val="none"/>
          <w:lang w:eastAsia="zh-CN"/>
        </w:rPr>
        <w:t>、</w:t>
      </w:r>
      <w:r>
        <w:rPr>
          <w:rFonts w:hint="default" w:ascii="Times New Roman" w:hAnsi="Times New Roman" w:eastAsia="宋体" w:cs="Times New Roman"/>
          <w:snapToGrid w:val="0"/>
          <w:color w:val="auto"/>
          <w:spacing w:val="4"/>
          <w:sz w:val="24"/>
          <w:szCs w:val="24"/>
          <w:highlight w:val="none"/>
        </w:rPr>
        <w:t>施工区段划分</w:t>
      </w:r>
      <w:r>
        <w:rPr>
          <w:rFonts w:hint="default" w:ascii="Times New Roman" w:hAnsi="Times New Roman" w:eastAsia="宋体" w:cs="Times New Roman"/>
          <w:snapToGrid w:val="0"/>
          <w:color w:val="auto"/>
          <w:spacing w:val="4"/>
          <w:sz w:val="24"/>
          <w:szCs w:val="24"/>
          <w:highlight w:val="none"/>
          <w:lang w:eastAsia="zh-CN"/>
        </w:rPr>
        <w:t>、</w:t>
      </w:r>
      <w:r>
        <w:rPr>
          <w:rFonts w:hint="default" w:ascii="Times New Roman" w:hAnsi="Times New Roman" w:eastAsia="宋体" w:cs="Times New Roman"/>
          <w:snapToGrid w:val="0"/>
          <w:color w:val="auto"/>
          <w:spacing w:val="4"/>
          <w:sz w:val="24"/>
          <w:szCs w:val="24"/>
          <w:highlight w:val="none"/>
        </w:rPr>
        <w:t>各功能区域工序安排</w:t>
      </w:r>
      <w:r>
        <w:rPr>
          <w:rFonts w:hint="default" w:ascii="Times New Roman" w:hAnsi="Times New Roman" w:eastAsia="宋体" w:cs="Times New Roman"/>
          <w:snapToGrid w:val="0"/>
          <w:color w:val="auto"/>
          <w:spacing w:val="4"/>
          <w:sz w:val="24"/>
          <w:szCs w:val="24"/>
          <w:highlight w:val="none"/>
          <w:lang w:val="en-US" w:eastAsia="zh-CN"/>
        </w:rPr>
        <w:t>等</w:t>
      </w:r>
      <w:r>
        <w:rPr>
          <w:rFonts w:hint="eastAsia" w:ascii="Times New Roman" w:hAnsi="Times New Roman" w:eastAsia="宋体" w:cs="Times New Roman"/>
          <w:snapToGrid w:val="0"/>
          <w:color w:val="auto"/>
          <w:spacing w:val="4"/>
          <w:sz w:val="24"/>
          <w:szCs w:val="24"/>
          <w:highlight w:val="none"/>
          <w:lang w:val="en-US" w:eastAsia="zh-CN"/>
        </w:rPr>
        <w:t>）</w:t>
      </w:r>
    </w:p>
    <w:p>
      <w:pPr>
        <w:spacing w:line="360" w:lineRule="auto"/>
        <w:ind w:firstLine="496" w:firstLineChars="200"/>
        <w:rPr>
          <w:rFonts w:hint="default"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eastAsia="宋体" w:cs="Times New Roman"/>
          <w:snapToGrid w:val="0"/>
          <w:color w:val="auto"/>
          <w:spacing w:val="4"/>
          <w:sz w:val="24"/>
          <w:szCs w:val="24"/>
          <w:highlight w:val="none"/>
          <w:lang w:val="en-US" w:eastAsia="zh-CN"/>
        </w:rPr>
        <w:t>五</w:t>
      </w:r>
      <w:r>
        <w:rPr>
          <w:rFonts w:hint="eastAsia" w:ascii="Times New Roman" w:hAnsi="Times New Roman" w:eastAsia="宋体" w:cs="Times New Roman"/>
          <w:snapToGrid w:val="0"/>
          <w:color w:val="auto"/>
          <w:spacing w:val="4"/>
          <w:sz w:val="24"/>
          <w:szCs w:val="24"/>
          <w:highlight w:val="none"/>
        </w:rPr>
        <w:t>、施工总进度计划安排及工期保证措施</w:t>
      </w:r>
      <w:r>
        <w:rPr>
          <w:rFonts w:hint="eastAsia" w:ascii="Times New Roman" w:hAnsi="Times New Roman" w:cs="Times New Roman"/>
          <w:snapToGrid w:val="0"/>
          <w:color w:val="auto"/>
          <w:spacing w:val="4"/>
          <w:sz w:val="24"/>
          <w:szCs w:val="24"/>
          <w:highlight w:val="none"/>
          <w:lang w:eastAsia="zh-CN"/>
        </w:rPr>
        <w:t>（施工总进度计划、保证工期的技术措施、劳动力保证措施、材料供货进度保证措施、机械设备投入保证措施），</w:t>
      </w:r>
      <w:r>
        <w:rPr>
          <w:rFonts w:hint="eastAsia" w:ascii="Times New Roman" w:hAnsi="Times New Roman" w:cs="Times New Roman"/>
          <w:snapToGrid w:val="0"/>
          <w:color w:val="auto"/>
          <w:spacing w:val="4"/>
          <w:sz w:val="24"/>
          <w:szCs w:val="24"/>
          <w:highlight w:val="none"/>
          <w:lang w:val="en-US" w:eastAsia="zh-CN"/>
        </w:rPr>
        <w:t>需提供详细的</w:t>
      </w:r>
      <w:r>
        <w:rPr>
          <w:rFonts w:hint="eastAsia" w:ascii="Times New Roman" w:hAnsi="Times New Roman" w:eastAsia="宋体" w:cs="Times New Roman"/>
          <w:b w:val="0"/>
          <w:bCs w:val="0"/>
          <w:snapToGrid w:val="0"/>
          <w:color w:val="auto"/>
          <w:spacing w:val="4"/>
          <w:sz w:val="24"/>
          <w:szCs w:val="24"/>
          <w:highlight w:val="none"/>
          <w:lang w:val="en-US" w:eastAsia="zh-CN"/>
        </w:rPr>
        <w:t>招标人控制的关键工期节点（详见招标文件合同条款第三部分专用条款第10.1.2条）</w:t>
      </w:r>
      <w:r>
        <w:rPr>
          <w:rFonts w:hint="eastAsia" w:ascii="Times New Roman" w:hAnsi="Times New Roman" w:cs="Times New Roman"/>
          <w:b w:val="0"/>
          <w:bCs w:val="0"/>
          <w:snapToGrid w:val="0"/>
          <w:color w:val="auto"/>
          <w:spacing w:val="4"/>
          <w:sz w:val="24"/>
          <w:szCs w:val="24"/>
          <w:highlight w:val="none"/>
          <w:lang w:val="en-US" w:eastAsia="zh-CN"/>
        </w:rPr>
        <w:t>计划</w:t>
      </w:r>
    </w:p>
    <w:p>
      <w:pPr>
        <w:spacing w:line="360" w:lineRule="auto"/>
        <w:ind w:firstLine="496" w:firstLineChars="200"/>
        <w:rPr>
          <w:rFonts w:hint="eastAsia" w:ascii="Times New Roman" w:hAnsi="Times New Roman" w:eastAsia="宋体" w:cs="Times New Roman"/>
          <w:snapToGrid w:val="0"/>
          <w:color w:val="auto"/>
          <w:spacing w:val="4"/>
          <w:sz w:val="24"/>
          <w:szCs w:val="24"/>
          <w:highlight w:val="none"/>
          <w:lang w:val="en-US" w:eastAsia="zh-CN"/>
        </w:rPr>
      </w:pPr>
      <w:r>
        <w:rPr>
          <w:rFonts w:hint="eastAsia" w:ascii="Times New Roman" w:hAnsi="Times New Roman" w:cs="Times New Roman"/>
          <w:snapToGrid w:val="0"/>
          <w:color w:val="auto"/>
          <w:spacing w:val="4"/>
          <w:sz w:val="24"/>
          <w:szCs w:val="24"/>
          <w:highlight w:val="none"/>
          <w:lang w:val="en-US" w:eastAsia="zh-CN"/>
        </w:rPr>
        <w:t>六</w:t>
      </w:r>
      <w:r>
        <w:rPr>
          <w:rFonts w:hint="eastAsia" w:ascii="Times New Roman" w:hAnsi="Times New Roman" w:eastAsia="宋体" w:cs="Times New Roman"/>
          <w:snapToGrid w:val="0"/>
          <w:color w:val="auto"/>
          <w:spacing w:val="4"/>
          <w:sz w:val="24"/>
          <w:szCs w:val="24"/>
          <w:highlight w:val="none"/>
          <w:lang w:val="en-US" w:eastAsia="zh-CN"/>
        </w:rPr>
        <w:t>、施工方案</w:t>
      </w:r>
      <w:r>
        <w:rPr>
          <w:rFonts w:hint="eastAsia" w:ascii="Times New Roman" w:hAnsi="Times New Roman" w:cs="Times New Roman"/>
          <w:snapToGrid w:val="0"/>
          <w:color w:val="auto"/>
          <w:spacing w:val="4"/>
          <w:sz w:val="24"/>
          <w:szCs w:val="24"/>
          <w:highlight w:val="none"/>
          <w:lang w:val="en-US" w:eastAsia="zh-CN"/>
        </w:rPr>
        <w:t>（包括但不限于</w:t>
      </w:r>
      <w:r>
        <w:rPr>
          <w:rFonts w:hint="default" w:ascii="Times New Roman" w:hAnsi="Times New Roman" w:eastAsia="宋体" w:cs="Times New Roman"/>
          <w:snapToGrid w:val="0"/>
          <w:color w:val="auto"/>
          <w:spacing w:val="4"/>
          <w:sz w:val="24"/>
          <w:szCs w:val="24"/>
          <w:highlight w:val="none"/>
          <w:lang w:val="en-US" w:eastAsia="zh-CN"/>
        </w:rPr>
        <w:t>钢箱梁吊装专项方案、交通疏解专项方案</w:t>
      </w:r>
      <w:r>
        <w:rPr>
          <w:rFonts w:hint="eastAsia" w:ascii="Times New Roman" w:hAnsi="Times New Roman" w:cs="Times New Roman"/>
          <w:snapToGrid w:val="0"/>
          <w:color w:val="auto"/>
          <w:spacing w:val="4"/>
          <w:sz w:val="24"/>
          <w:szCs w:val="24"/>
          <w:highlight w:val="none"/>
          <w:lang w:val="en-US" w:eastAsia="zh-CN"/>
        </w:rPr>
        <w:t>、</w:t>
      </w:r>
      <w:r>
        <w:rPr>
          <w:rFonts w:hint="default" w:ascii="Times New Roman" w:hAnsi="Times New Roman" w:eastAsia="宋体" w:cs="Times New Roman"/>
          <w:snapToGrid w:val="0"/>
          <w:color w:val="auto"/>
          <w:spacing w:val="4"/>
          <w:sz w:val="24"/>
          <w:szCs w:val="24"/>
          <w:highlight w:val="none"/>
          <w:lang w:val="en-US" w:eastAsia="zh-CN"/>
        </w:rPr>
        <w:t>市政道路施工方案、桩基础工程施工方案、防洪防汛专项应急预案等</w:t>
      </w:r>
      <w:r>
        <w:rPr>
          <w:rFonts w:hint="eastAsia" w:ascii="Times New Roman" w:hAnsi="Times New Roman" w:cs="Times New Roman"/>
          <w:snapToGrid w:val="0"/>
          <w:color w:val="auto"/>
          <w:spacing w:val="4"/>
          <w:sz w:val="24"/>
          <w:szCs w:val="24"/>
          <w:highlight w:val="none"/>
          <w:lang w:val="en-US" w:eastAsia="zh-CN"/>
        </w:rPr>
        <w:t>）</w:t>
      </w:r>
    </w:p>
    <w:p>
      <w:pPr>
        <w:spacing w:line="360" w:lineRule="auto"/>
        <w:ind w:firstLine="496" w:firstLineChars="200"/>
        <w:rPr>
          <w:rFonts w:hint="eastAsia" w:eastAsia="宋体"/>
          <w:snapToGrid w:val="0"/>
          <w:color w:val="auto"/>
          <w:spacing w:val="4"/>
          <w:sz w:val="24"/>
          <w:szCs w:val="24"/>
          <w:highlight w:val="none"/>
          <w:lang w:val="en-US" w:eastAsia="zh-CN"/>
        </w:rPr>
      </w:pPr>
      <w:r>
        <w:rPr>
          <w:rFonts w:hint="eastAsia"/>
          <w:snapToGrid w:val="0"/>
          <w:color w:val="auto"/>
          <w:spacing w:val="4"/>
          <w:sz w:val="24"/>
          <w:szCs w:val="24"/>
          <w:highlight w:val="none"/>
          <w:lang w:val="en-US" w:eastAsia="zh-CN"/>
        </w:rPr>
        <w:t>七</w:t>
      </w:r>
      <w:r>
        <w:rPr>
          <w:rFonts w:hint="eastAsia"/>
          <w:snapToGrid w:val="0"/>
          <w:color w:val="auto"/>
          <w:spacing w:val="4"/>
          <w:sz w:val="24"/>
          <w:szCs w:val="24"/>
          <w:highlight w:val="none"/>
        </w:rPr>
        <w:t>、</w:t>
      </w:r>
      <w:r>
        <w:rPr>
          <w:rFonts w:hint="eastAsia"/>
          <w:snapToGrid w:val="0"/>
          <w:color w:val="auto"/>
          <w:spacing w:val="4"/>
          <w:sz w:val="24"/>
          <w:szCs w:val="24"/>
          <w:highlight w:val="none"/>
          <w:lang w:val="en-US" w:eastAsia="zh-CN"/>
        </w:rPr>
        <w:t>施工</w:t>
      </w:r>
      <w:r>
        <w:rPr>
          <w:rFonts w:hint="eastAsia"/>
          <w:snapToGrid w:val="0"/>
          <w:color w:val="auto"/>
          <w:spacing w:val="4"/>
          <w:sz w:val="24"/>
          <w:szCs w:val="24"/>
          <w:highlight w:val="none"/>
        </w:rPr>
        <w:t>质量保证措施</w:t>
      </w:r>
      <w:r>
        <w:rPr>
          <w:rFonts w:hint="eastAsia"/>
          <w:snapToGrid w:val="0"/>
          <w:color w:val="auto"/>
          <w:spacing w:val="4"/>
          <w:sz w:val="24"/>
          <w:szCs w:val="24"/>
          <w:highlight w:val="none"/>
          <w:lang w:eastAsia="zh-CN"/>
        </w:rPr>
        <w:t>（针对项目实际提出</w:t>
      </w:r>
      <w:r>
        <w:rPr>
          <w:rFonts w:hint="eastAsia"/>
          <w:snapToGrid w:val="0"/>
          <w:color w:val="auto"/>
          <w:spacing w:val="4"/>
          <w:sz w:val="24"/>
          <w:szCs w:val="24"/>
          <w:highlight w:val="none"/>
          <w:lang w:val="en-US" w:eastAsia="zh-CN"/>
        </w:rPr>
        <w:t>质量</w:t>
      </w:r>
      <w:r>
        <w:rPr>
          <w:rFonts w:hint="eastAsia"/>
          <w:snapToGrid w:val="0"/>
          <w:color w:val="auto"/>
          <w:spacing w:val="4"/>
          <w:sz w:val="24"/>
          <w:szCs w:val="24"/>
          <w:highlight w:val="none"/>
          <w:lang w:eastAsia="zh-CN"/>
        </w:rPr>
        <w:t>保证措施</w:t>
      </w:r>
      <w:r>
        <w:rPr>
          <w:rFonts w:hint="eastAsia"/>
          <w:snapToGrid w:val="0"/>
          <w:color w:val="auto"/>
          <w:spacing w:val="4"/>
          <w:sz w:val="24"/>
          <w:szCs w:val="24"/>
          <w:highlight w:val="none"/>
          <w:lang w:val="en-US" w:eastAsia="zh-CN"/>
        </w:rPr>
        <w:t>以及</w:t>
      </w:r>
      <w:r>
        <w:rPr>
          <w:rFonts w:hint="eastAsia"/>
          <w:snapToGrid w:val="0"/>
          <w:color w:val="auto"/>
          <w:spacing w:val="4"/>
          <w:sz w:val="24"/>
          <w:szCs w:val="24"/>
          <w:highlight w:val="none"/>
          <w:lang w:eastAsia="zh-CN"/>
        </w:rPr>
        <w:t>新技术、新工艺、新材料、新设备</w:t>
      </w:r>
      <w:r>
        <w:rPr>
          <w:rFonts w:hint="eastAsia"/>
          <w:snapToGrid w:val="0"/>
          <w:color w:val="auto"/>
          <w:spacing w:val="4"/>
          <w:sz w:val="24"/>
          <w:szCs w:val="24"/>
          <w:highlight w:val="none"/>
          <w:lang w:val="en-US" w:eastAsia="zh-CN"/>
        </w:rPr>
        <w:t>应用情况</w:t>
      </w:r>
      <w:r>
        <w:rPr>
          <w:rFonts w:hint="eastAsia"/>
          <w:snapToGrid w:val="0"/>
          <w:color w:val="auto"/>
          <w:spacing w:val="4"/>
          <w:sz w:val="24"/>
          <w:szCs w:val="24"/>
          <w:highlight w:val="none"/>
          <w:lang w:eastAsia="zh-CN"/>
        </w:rPr>
        <w:t>）</w:t>
      </w:r>
    </w:p>
    <w:p>
      <w:pPr>
        <w:spacing w:line="360" w:lineRule="auto"/>
        <w:ind w:firstLine="496" w:firstLineChars="200"/>
        <w:rPr>
          <w:rFonts w:hint="eastAsia" w:eastAsia="宋体"/>
          <w:snapToGrid w:val="0"/>
          <w:color w:val="auto"/>
          <w:spacing w:val="4"/>
          <w:sz w:val="24"/>
          <w:szCs w:val="24"/>
          <w:highlight w:val="none"/>
          <w:lang w:eastAsia="zh-CN"/>
        </w:rPr>
      </w:pPr>
      <w:r>
        <w:rPr>
          <w:rFonts w:hint="eastAsia"/>
          <w:snapToGrid w:val="0"/>
          <w:color w:val="auto"/>
          <w:spacing w:val="4"/>
          <w:sz w:val="24"/>
          <w:szCs w:val="24"/>
          <w:highlight w:val="none"/>
          <w:lang w:val="en-US" w:eastAsia="zh-CN"/>
        </w:rPr>
        <w:t>八</w:t>
      </w:r>
      <w:r>
        <w:rPr>
          <w:rFonts w:hint="eastAsia"/>
          <w:snapToGrid w:val="0"/>
          <w:color w:val="auto"/>
          <w:spacing w:val="4"/>
          <w:sz w:val="24"/>
          <w:szCs w:val="24"/>
          <w:highlight w:val="none"/>
        </w:rPr>
        <w:t>、安全文明施工保证措施</w:t>
      </w:r>
      <w:r>
        <w:rPr>
          <w:rFonts w:hint="eastAsia"/>
          <w:snapToGrid w:val="0"/>
          <w:color w:val="auto"/>
          <w:spacing w:val="4"/>
          <w:sz w:val="24"/>
          <w:szCs w:val="24"/>
          <w:highlight w:val="none"/>
          <w:lang w:eastAsia="zh-CN"/>
        </w:rPr>
        <w:t>（</w:t>
      </w:r>
      <w:r>
        <w:rPr>
          <w:rFonts w:hint="eastAsia"/>
          <w:snapToGrid w:val="0"/>
          <w:color w:val="auto"/>
          <w:spacing w:val="4"/>
          <w:sz w:val="24"/>
          <w:szCs w:val="24"/>
          <w:highlight w:val="none"/>
          <w:lang w:val="en-US" w:eastAsia="zh-CN"/>
        </w:rPr>
        <w:t>针对项目实际提出安全文明施工保证措施、采用规范</w:t>
      </w:r>
      <w:r>
        <w:rPr>
          <w:rFonts w:hint="eastAsia"/>
          <w:snapToGrid w:val="0"/>
          <w:color w:val="auto"/>
          <w:spacing w:val="4"/>
          <w:sz w:val="24"/>
          <w:szCs w:val="24"/>
          <w:highlight w:val="none"/>
          <w:lang w:eastAsia="zh-CN"/>
        </w:rPr>
        <w:t>）</w:t>
      </w:r>
    </w:p>
    <w:p>
      <w:pPr>
        <w:spacing w:line="360" w:lineRule="auto"/>
        <w:ind w:firstLine="496" w:firstLineChars="200"/>
        <w:rPr>
          <w:rFonts w:hint="eastAsia" w:eastAsia="宋体"/>
          <w:snapToGrid w:val="0"/>
          <w:color w:val="auto"/>
          <w:spacing w:val="4"/>
          <w:sz w:val="24"/>
          <w:szCs w:val="24"/>
          <w:highlight w:val="none"/>
          <w:lang w:eastAsia="zh-CN"/>
        </w:rPr>
      </w:pPr>
      <w:r>
        <w:rPr>
          <w:rFonts w:hint="eastAsia"/>
          <w:snapToGrid w:val="0"/>
          <w:color w:val="auto"/>
          <w:spacing w:val="4"/>
          <w:sz w:val="24"/>
          <w:szCs w:val="24"/>
          <w:highlight w:val="none"/>
          <w:lang w:val="en-US" w:eastAsia="zh-CN"/>
        </w:rPr>
        <w:t>九、</w:t>
      </w:r>
      <w:r>
        <w:rPr>
          <w:rFonts w:hint="eastAsia"/>
          <w:snapToGrid w:val="0"/>
          <w:color w:val="auto"/>
          <w:spacing w:val="4"/>
          <w:sz w:val="24"/>
          <w:szCs w:val="24"/>
          <w:highlight w:val="none"/>
        </w:rPr>
        <w:t>环境保护、信息化保证措施</w:t>
      </w:r>
    </w:p>
    <w:p>
      <w:pPr>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lang w:val="en-US" w:eastAsia="zh-CN"/>
        </w:rPr>
        <w:t>十</w:t>
      </w:r>
      <w:r>
        <w:rPr>
          <w:rFonts w:hint="eastAsia"/>
          <w:snapToGrid w:val="0"/>
          <w:color w:val="auto"/>
          <w:spacing w:val="4"/>
          <w:sz w:val="24"/>
          <w:szCs w:val="24"/>
          <w:highlight w:val="none"/>
        </w:rPr>
        <w:t>、维保措施</w:t>
      </w:r>
    </w:p>
    <w:p>
      <w:pPr>
        <w:topLinePunct/>
        <w:adjustRightInd w:val="0"/>
        <w:snapToGrid w:val="0"/>
        <w:spacing w:line="360" w:lineRule="auto"/>
        <w:ind w:firstLine="496" w:firstLineChars="200"/>
        <w:rPr>
          <w:rFonts w:cs="宋体"/>
          <w:color w:val="auto"/>
          <w:spacing w:val="4"/>
          <w:sz w:val="24"/>
          <w:szCs w:val="24"/>
          <w:highlight w:val="none"/>
        </w:rPr>
      </w:pPr>
      <w:r>
        <w:rPr>
          <w:rFonts w:hint="eastAsia"/>
          <w:snapToGrid w:val="0"/>
          <w:color w:val="auto"/>
          <w:spacing w:val="4"/>
          <w:sz w:val="24"/>
          <w:szCs w:val="24"/>
          <w:highlight w:val="none"/>
          <w:lang w:val="en-US" w:eastAsia="zh-CN"/>
        </w:rPr>
        <w:t>十一、其它补充说明</w:t>
      </w: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autoSpaceDE w:val="0"/>
        <w:autoSpaceDN w:val="0"/>
        <w:adjustRightInd w:val="0"/>
        <w:rPr>
          <w:rFonts w:ascii="宋体" w:hAnsi="宋体"/>
          <w:color w:val="auto"/>
          <w:szCs w:val="21"/>
          <w:highlight w:val="none"/>
        </w:rPr>
      </w:pPr>
      <w:r>
        <w:rPr>
          <w:rFonts w:hint="eastAsia" w:ascii="宋体" w:hAnsi="宋体"/>
          <w:color w:val="auto"/>
          <w:szCs w:val="21"/>
          <w:highlight w:val="none"/>
        </w:rPr>
        <w:br w:type="page"/>
      </w:r>
    </w:p>
    <w:p>
      <w:pPr>
        <w:autoSpaceDE w:val="0"/>
        <w:autoSpaceDN w:val="0"/>
        <w:adjustRightInd w:val="0"/>
        <w:outlineLvl w:val="1"/>
        <w:rPr>
          <w:rFonts w:ascii="宋体" w:hAnsi="宋体"/>
          <w:color w:val="auto"/>
          <w:szCs w:val="21"/>
          <w:highlight w:val="none"/>
        </w:rPr>
      </w:pPr>
      <w:bookmarkStart w:id="38" w:name="_Toc28260"/>
      <w:r>
        <w:rPr>
          <w:rFonts w:hint="eastAsia" w:ascii="宋体" w:hAnsi="宋体"/>
          <w:color w:val="auto"/>
          <w:szCs w:val="21"/>
          <w:highlight w:val="none"/>
        </w:rPr>
        <w:t>格式十：招标文件/合同版本响应承诺书</w:t>
      </w:r>
      <w:bookmarkEnd w:id="38"/>
    </w:p>
    <w:p>
      <w:pPr>
        <w:pStyle w:val="79"/>
        <w:ind w:firstLine="496"/>
        <w:rPr>
          <w:color w:val="auto"/>
          <w:highlight w:val="none"/>
        </w:rPr>
      </w:pPr>
    </w:p>
    <w:p>
      <w:pPr>
        <w:topLinePunct/>
        <w:adjustRightInd w:val="0"/>
        <w:snapToGrid w:val="0"/>
        <w:spacing w:line="360" w:lineRule="auto"/>
        <w:jc w:val="center"/>
        <w:rPr>
          <w:rFonts w:ascii="黑体" w:hAnsi="黑体" w:eastAsia="黑体"/>
          <w:color w:val="auto"/>
          <w:spacing w:val="4"/>
          <w:sz w:val="36"/>
          <w:szCs w:val="36"/>
          <w:highlight w:val="none"/>
        </w:rPr>
      </w:pPr>
      <w:r>
        <w:rPr>
          <w:rFonts w:ascii="黑体" w:hAnsi="黑体" w:eastAsia="黑体"/>
          <w:color w:val="auto"/>
          <w:spacing w:val="4"/>
          <w:sz w:val="36"/>
          <w:szCs w:val="36"/>
          <w:highlight w:val="none"/>
        </w:rPr>
        <w:t>招标文件/合同版本响应承诺书</w:t>
      </w:r>
    </w:p>
    <w:p>
      <w:pPr>
        <w:pStyle w:val="79"/>
        <w:ind w:firstLine="198" w:firstLineChars="80"/>
        <w:jc w:val="center"/>
        <w:rPr>
          <w:color w:val="auto"/>
          <w:highlight w:val="none"/>
        </w:rPr>
      </w:pPr>
    </w:p>
    <w:p>
      <w:pPr>
        <w:topLinePunct/>
        <w:adjustRightInd w:val="0"/>
        <w:snapToGrid w:val="0"/>
        <w:spacing w:line="360" w:lineRule="auto"/>
        <w:rPr>
          <w:snapToGrid w:val="0"/>
          <w:color w:val="auto"/>
          <w:spacing w:val="4"/>
          <w:sz w:val="24"/>
          <w:szCs w:val="24"/>
          <w:highlight w:val="none"/>
        </w:rPr>
      </w:pPr>
      <w:r>
        <w:rPr>
          <w:rFonts w:hint="eastAsia"/>
          <w:snapToGrid w:val="0"/>
          <w:color w:val="auto"/>
          <w:spacing w:val="4"/>
          <w:sz w:val="24"/>
          <w:szCs w:val="24"/>
          <w:highlight w:val="none"/>
        </w:rPr>
        <w:t>致：</w:t>
      </w:r>
      <w:r>
        <w:rPr>
          <w:rFonts w:hint="eastAsia"/>
          <w:snapToGrid w:val="0"/>
          <w:color w:val="auto"/>
          <w:spacing w:val="4"/>
          <w:sz w:val="24"/>
          <w:szCs w:val="24"/>
          <w:highlight w:val="none"/>
          <w:lang w:eastAsia="zh-CN"/>
        </w:rPr>
        <w:t>江门粤海置地有限公司</w:t>
      </w:r>
      <w:r>
        <w:rPr>
          <w:rFonts w:hint="eastAsia"/>
          <w:snapToGrid w:val="0"/>
          <w:color w:val="auto"/>
          <w:spacing w:val="4"/>
          <w:sz w:val="24"/>
          <w:szCs w:val="24"/>
          <w:highlight w:val="none"/>
        </w:rPr>
        <w:t>（招标人）</w:t>
      </w:r>
    </w:p>
    <w:p>
      <w:pPr>
        <w:topLinePunct/>
        <w:adjustRightInd w:val="0"/>
        <w:snapToGrid w:val="0"/>
        <w:spacing w:line="360" w:lineRule="auto"/>
        <w:ind w:firstLine="496" w:firstLineChars="200"/>
        <w:rPr>
          <w:snapToGrid w:val="0"/>
          <w:color w:val="auto"/>
          <w:spacing w:val="4"/>
          <w:sz w:val="24"/>
          <w:szCs w:val="24"/>
          <w:highlight w:val="none"/>
        </w:rPr>
      </w:pPr>
      <w:r>
        <w:rPr>
          <w:rFonts w:hint="eastAsia"/>
          <w:snapToGrid w:val="0"/>
          <w:color w:val="auto"/>
          <w:spacing w:val="4"/>
          <w:sz w:val="24"/>
          <w:szCs w:val="24"/>
          <w:highlight w:val="none"/>
        </w:rPr>
        <w:t>我公司对招标人提供的</w:t>
      </w:r>
      <w:r>
        <w:rPr>
          <w:rFonts w:hint="eastAsia"/>
          <w:snapToGrid w:val="0"/>
          <w:color w:val="auto"/>
          <w:spacing w:val="4"/>
          <w:sz w:val="24"/>
          <w:szCs w:val="24"/>
          <w:highlight w:val="none"/>
          <w:u w:val="single"/>
          <w:lang w:eastAsia="zh-CN"/>
        </w:rPr>
        <w:t>粤海江门甘化厂项目新宁街道路及天桥工程</w:t>
      </w:r>
      <w:r>
        <w:rPr>
          <w:rFonts w:hint="eastAsia"/>
          <w:snapToGrid w:val="0"/>
          <w:color w:val="auto"/>
          <w:spacing w:val="4"/>
          <w:sz w:val="24"/>
          <w:szCs w:val="24"/>
          <w:highlight w:val="none"/>
        </w:rPr>
        <w:t>招标文件及拟签订的合同版本、签约方式均无异议或无意见，完全接受该版本的所有条款，中标后，按此合同版本签订合同。</w:t>
      </w: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r>
        <w:rPr>
          <w:rFonts w:hint="eastAsia"/>
          <w:snapToGrid w:val="0"/>
          <w:color w:val="auto"/>
          <w:spacing w:val="4"/>
          <w:sz w:val="24"/>
          <w:szCs w:val="24"/>
          <w:highlight w:val="none"/>
        </w:rPr>
        <w:t>投标人（盖章）：</w:t>
      </w:r>
    </w:p>
    <w:p>
      <w:pPr>
        <w:topLinePunct/>
        <w:adjustRightInd w:val="0"/>
        <w:snapToGrid w:val="0"/>
        <w:spacing w:line="360" w:lineRule="auto"/>
        <w:ind w:firstLine="496" w:firstLineChars="200"/>
        <w:rPr>
          <w:snapToGrid w:val="0"/>
          <w:color w:val="auto"/>
          <w:spacing w:val="4"/>
          <w:sz w:val="24"/>
          <w:szCs w:val="24"/>
          <w:highlight w:val="none"/>
        </w:rPr>
      </w:pPr>
    </w:p>
    <w:p>
      <w:pPr>
        <w:topLinePunct/>
        <w:adjustRightInd w:val="0"/>
        <w:snapToGrid w:val="0"/>
        <w:spacing w:line="360" w:lineRule="auto"/>
        <w:ind w:firstLine="496" w:firstLineChars="200"/>
        <w:rPr>
          <w:snapToGrid w:val="0"/>
          <w:color w:val="auto"/>
          <w:spacing w:val="4"/>
          <w:sz w:val="24"/>
          <w:szCs w:val="24"/>
          <w:highlight w:val="none"/>
        </w:rPr>
      </w:pPr>
      <w:r>
        <w:rPr>
          <w:rFonts w:hint="eastAsia"/>
          <w:snapToGrid w:val="0"/>
          <w:color w:val="auto"/>
          <w:spacing w:val="4"/>
          <w:sz w:val="24"/>
          <w:szCs w:val="24"/>
          <w:highlight w:val="none"/>
        </w:rPr>
        <w:t>日期：    年  月  日</w:t>
      </w:r>
    </w:p>
    <w:p>
      <w:pPr>
        <w:autoSpaceDE w:val="0"/>
        <w:autoSpaceDN w:val="0"/>
        <w:adjustRightInd w:val="0"/>
        <w:rPr>
          <w:rFonts w:ascii="宋体" w:hAnsi="宋体"/>
          <w:color w:val="auto"/>
          <w:sz w:val="24"/>
          <w:szCs w:val="24"/>
          <w:highlight w:val="none"/>
        </w:rPr>
      </w:pPr>
      <w:r>
        <w:rPr>
          <w:rFonts w:ascii="宋体" w:hAnsi="宋体"/>
          <w:color w:val="auto"/>
          <w:sz w:val="24"/>
          <w:szCs w:val="24"/>
          <w:highlight w:val="none"/>
        </w:rPr>
        <w:br w:type="page"/>
      </w:r>
    </w:p>
    <w:p>
      <w:pPr>
        <w:pStyle w:val="7"/>
        <w:ind w:right="46" w:rightChars="22"/>
        <w:jc w:val="left"/>
        <w:rPr>
          <w:rFonts w:ascii="宋体" w:hAnsi="宋体"/>
          <w:b w:val="0"/>
          <w:bCs/>
          <w:color w:val="auto"/>
          <w:sz w:val="21"/>
          <w:szCs w:val="21"/>
          <w:highlight w:val="none"/>
        </w:rPr>
      </w:pPr>
      <w:bookmarkStart w:id="39" w:name="_Toc15802"/>
      <w:r>
        <w:rPr>
          <w:rFonts w:hint="eastAsia" w:ascii="宋体" w:hAnsi="宋体"/>
          <w:b w:val="0"/>
          <w:bCs/>
          <w:color w:val="auto"/>
          <w:sz w:val="21"/>
          <w:szCs w:val="21"/>
          <w:highlight w:val="none"/>
        </w:rPr>
        <w:t>格式</w:t>
      </w:r>
      <w:r>
        <w:rPr>
          <w:rFonts w:hint="eastAsia" w:ascii="宋体" w:hAnsi="宋体"/>
          <w:b w:val="0"/>
          <w:bCs/>
          <w:color w:val="auto"/>
          <w:sz w:val="21"/>
          <w:szCs w:val="21"/>
          <w:highlight w:val="none"/>
          <w:lang w:val="en-US"/>
        </w:rPr>
        <w:t>十一：投标人承接过的类似项目业绩</w:t>
      </w:r>
      <w:bookmarkEnd w:id="39"/>
    </w:p>
    <w:p>
      <w:pPr>
        <w:spacing w:before="240" w:line="360" w:lineRule="auto"/>
        <w:jc w:val="center"/>
        <w:rPr>
          <w:rFonts w:hint="eastAsia" w:eastAsia="宋体"/>
          <w:b/>
          <w:color w:val="auto"/>
          <w:sz w:val="32"/>
          <w:highlight w:val="none"/>
          <w:lang w:val="en-US" w:eastAsia="zh-CN"/>
        </w:rPr>
      </w:pPr>
      <w:r>
        <w:rPr>
          <w:rFonts w:hint="eastAsia"/>
          <w:b/>
          <w:color w:val="auto"/>
          <w:sz w:val="32"/>
          <w:highlight w:val="none"/>
        </w:rPr>
        <w:t>投标人承接过的类似项目业绩</w:t>
      </w:r>
    </w:p>
    <w:tbl>
      <w:tblPr>
        <w:tblStyle w:val="34"/>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7"/>
        <w:gridCol w:w="2082"/>
        <w:gridCol w:w="1338"/>
        <w:gridCol w:w="1232"/>
        <w:gridCol w:w="992"/>
        <w:gridCol w:w="850"/>
        <w:gridCol w:w="127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7"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 w:val="18"/>
                <w:szCs w:val="18"/>
                <w:highlight w:val="none"/>
              </w:rPr>
            </w:pPr>
            <w:r>
              <w:rPr>
                <w:rFonts w:hint="eastAsia"/>
                <w:color w:val="auto"/>
                <w:sz w:val="18"/>
                <w:szCs w:val="18"/>
                <w:highlight w:val="none"/>
              </w:rPr>
              <w:t>序号</w:t>
            </w:r>
          </w:p>
        </w:tc>
        <w:tc>
          <w:tcPr>
            <w:tcW w:w="208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 w:val="18"/>
                <w:szCs w:val="18"/>
                <w:highlight w:val="none"/>
              </w:rPr>
            </w:pPr>
            <w:r>
              <w:rPr>
                <w:rFonts w:hint="eastAsia"/>
                <w:color w:val="auto"/>
                <w:sz w:val="18"/>
                <w:szCs w:val="18"/>
                <w:highlight w:val="none"/>
              </w:rPr>
              <w:t>合同工程名称</w:t>
            </w:r>
          </w:p>
        </w:tc>
        <w:tc>
          <w:tcPr>
            <w:tcW w:w="133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 w:val="18"/>
                <w:szCs w:val="18"/>
                <w:highlight w:val="none"/>
              </w:rPr>
            </w:pPr>
            <w:r>
              <w:rPr>
                <w:rFonts w:hint="eastAsia"/>
                <w:color w:val="auto"/>
                <w:sz w:val="18"/>
                <w:szCs w:val="18"/>
                <w:highlight w:val="none"/>
              </w:rPr>
              <w:t>合同金额（万元）</w:t>
            </w:r>
          </w:p>
        </w:tc>
        <w:tc>
          <w:tcPr>
            <w:tcW w:w="123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 w:val="18"/>
                <w:szCs w:val="18"/>
                <w:highlight w:val="none"/>
              </w:rPr>
            </w:pPr>
            <w:r>
              <w:rPr>
                <w:rFonts w:hint="eastAsia"/>
                <w:color w:val="auto"/>
                <w:sz w:val="18"/>
                <w:szCs w:val="18"/>
                <w:highlight w:val="none"/>
              </w:rPr>
              <w:t>工程类别</w:t>
            </w:r>
          </w:p>
        </w:tc>
        <w:tc>
          <w:tcPr>
            <w:tcW w:w="99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 w:val="18"/>
                <w:szCs w:val="18"/>
                <w:highlight w:val="none"/>
              </w:rPr>
            </w:pPr>
            <w:r>
              <w:rPr>
                <w:rFonts w:hint="eastAsia"/>
                <w:color w:val="auto"/>
                <w:sz w:val="18"/>
                <w:szCs w:val="18"/>
                <w:highlight w:val="none"/>
              </w:rPr>
              <w:t>竣工时间</w:t>
            </w:r>
          </w:p>
        </w:tc>
        <w:tc>
          <w:tcPr>
            <w:tcW w:w="850"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 w:val="18"/>
                <w:szCs w:val="18"/>
                <w:highlight w:val="none"/>
              </w:rPr>
            </w:pPr>
            <w:r>
              <w:rPr>
                <w:rFonts w:hint="eastAsia"/>
                <w:color w:val="auto"/>
                <w:sz w:val="18"/>
                <w:szCs w:val="18"/>
                <w:highlight w:val="none"/>
              </w:rPr>
              <w:t>项目经理</w:t>
            </w:r>
          </w:p>
        </w:tc>
        <w:tc>
          <w:tcPr>
            <w:tcW w:w="1276"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 w:val="18"/>
                <w:szCs w:val="18"/>
                <w:highlight w:val="none"/>
              </w:rPr>
            </w:pPr>
            <w:r>
              <w:rPr>
                <w:rFonts w:hint="eastAsia"/>
                <w:color w:val="auto"/>
                <w:sz w:val="18"/>
                <w:szCs w:val="18"/>
                <w:highlight w:val="none"/>
              </w:rPr>
              <w:t>建设单位及联系方式</w:t>
            </w:r>
          </w:p>
        </w:tc>
        <w:tc>
          <w:tcPr>
            <w:tcW w:w="66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 w:val="18"/>
                <w:szCs w:val="18"/>
                <w:highlight w:val="none"/>
              </w:rPr>
            </w:pPr>
            <w:r>
              <w:rPr>
                <w:rFonts w:hint="eastAsia"/>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7"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r>
              <w:rPr>
                <w:rFonts w:hint="eastAsia"/>
                <w:color w:val="auto"/>
                <w:szCs w:val="22"/>
                <w:highlight w:val="none"/>
              </w:rPr>
              <w:t>1</w:t>
            </w:r>
          </w:p>
        </w:tc>
        <w:tc>
          <w:tcPr>
            <w:tcW w:w="208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33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7"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r>
              <w:rPr>
                <w:rFonts w:hint="eastAsia"/>
                <w:color w:val="auto"/>
                <w:szCs w:val="22"/>
                <w:highlight w:val="none"/>
              </w:rPr>
              <w:t>2</w:t>
            </w:r>
          </w:p>
        </w:tc>
        <w:tc>
          <w:tcPr>
            <w:tcW w:w="208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33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7"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r>
              <w:rPr>
                <w:rFonts w:hint="eastAsia"/>
                <w:color w:val="auto"/>
                <w:szCs w:val="22"/>
                <w:highlight w:val="none"/>
              </w:rPr>
              <w:t>3</w:t>
            </w:r>
          </w:p>
        </w:tc>
        <w:tc>
          <w:tcPr>
            <w:tcW w:w="208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33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7"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r>
              <w:rPr>
                <w:rFonts w:hint="eastAsia"/>
                <w:color w:val="auto"/>
                <w:szCs w:val="22"/>
                <w:highlight w:val="none"/>
              </w:rPr>
              <w:t>4</w:t>
            </w:r>
          </w:p>
        </w:tc>
        <w:tc>
          <w:tcPr>
            <w:tcW w:w="208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33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7"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r>
              <w:rPr>
                <w:rFonts w:hint="eastAsia"/>
                <w:color w:val="auto"/>
                <w:szCs w:val="22"/>
                <w:highlight w:val="none"/>
              </w:rPr>
              <w:t>5</w:t>
            </w:r>
          </w:p>
        </w:tc>
        <w:tc>
          <w:tcPr>
            <w:tcW w:w="208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33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67"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r>
              <w:rPr>
                <w:rFonts w:hint="eastAsia"/>
                <w:color w:val="auto"/>
                <w:szCs w:val="22"/>
                <w:highlight w:val="none"/>
              </w:rPr>
              <w:t>…</w:t>
            </w:r>
          </w:p>
        </w:tc>
        <w:tc>
          <w:tcPr>
            <w:tcW w:w="208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33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pPr>
              <w:pStyle w:val="96"/>
              <w:snapToGrid w:val="0"/>
              <w:spacing w:after="200" w:line="300" w:lineRule="auto"/>
              <w:jc w:val="center"/>
              <w:rPr>
                <w:color w:val="auto"/>
                <w:szCs w:val="22"/>
                <w:highlight w:val="none"/>
              </w:rPr>
            </w:pPr>
          </w:p>
        </w:tc>
      </w:tr>
    </w:tbl>
    <w:p>
      <w:pPr>
        <w:spacing w:line="360" w:lineRule="auto"/>
        <w:rPr>
          <w:rFonts w:ascii="宋体" w:hAnsi="宋体"/>
          <w:color w:val="auto"/>
          <w:highlight w:val="none"/>
        </w:rPr>
      </w:pPr>
      <w:r>
        <w:rPr>
          <w:rFonts w:hint="eastAsia" w:ascii="宋体" w:hAnsi="宋体"/>
          <w:color w:val="auto"/>
          <w:highlight w:val="none"/>
        </w:rPr>
        <w:t>注：</w:t>
      </w:r>
    </w:p>
    <w:p>
      <w:pPr>
        <w:widowControl/>
        <w:adjustRightInd w:val="0"/>
        <w:snapToGrid w:val="0"/>
        <w:spacing w:line="360" w:lineRule="auto"/>
        <w:ind w:right="46" w:rightChars="22"/>
        <w:jc w:val="left"/>
        <w:rPr>
          <w:rFonts w:ascii="宋体" w:hAnsi="宋体"/>
          <w:color w:val="auto"/>
          <w:highlight w:val="none"/>
        </w:rPr>
      </w:pPr>
      <w:r>
        <w:rPr>
          <w:rFonts w:hint="eastAsia" w:ascii="宋体" w:hAnsi="宋体"/>
          <w:color w:val="auto"/>
          <w:highlight w:val="none"/>
        </w:rPr>
        <w:t>（1）投标人</w:t>
      </w:r>
      <w:r>
        <w:rPr>
          <w:rFonts w:hint="eastAsia" w:ascii="宋体" w:hAnsi="宋体"/>
          <w:color w:val="auto"/>
          <w:highlight w:val="none"/>
          <w:lang w:eastAsia="zh-CN"/>
        </w:rPr>
        <w:t>结合招标文件、评标办法及定标因素要求</w:t>
      </w:r>
      <w:r>
        <w:rPr>
          <w:rFonts w:hint="eastAsia" w:ascii="宋体" w:hAnsi="宋体"/>
          <w:color w:val="auto"/>
          <w:highlight w:val="none"/>
        </w:rPr>
        <w:t>提供。</w:t>
      </w:r>
    </w:p>
    <w:p>
      <w:pPr>
        <w:widowControl/>
        <w:adjustRightInd w:val="0"/>
        <w:snapToGrid w:val="0"/>
        <w:spacing w:line="360" w:lineRule="auto"/>
        <w:ind w:right="46" w:rightChars="22"/>
        <w:jc w:val="left"/>
        <w:rPr>
          <w:rFonts w:ascii="宋体" w:hAnsi="宋体"/>
          <w:color w:val="auto"/>
          <w:highlight w:val="none"/>
        </w:rPr>
      </w:pPr>
      <w:r>
        <w:rPr>
          <w:rFonts w:hint="eastAsia" w:ascii="宋体" w:hAnsi="宋体"/>
          <w:color w:val="auto"/>
          <w:highlight w:val="none"/>
        </w:rPr>
        <w:t>（2）证明材料：</w:t>
      </w:r>
      <w:r>
        <w:rPr>
          <w:rFonts w:hint="eastAsia" w:ascii="宋体" w:hAnsi="宋体"/>
          <w:color w:val="auto"/>
          <w:highlight w:val="none"/>
          <w:lang w:eastAsia="zh-CN"/>
        </w:rPr>
        <w:t>结合结合招标文件、评标办法及定标因素要求</w:t>
      </w:r>
      <w:r>
        <w:rPr>
          <w:rFonts w:hint="eastAsia" w:ascii="宋体" w:hAnsi="宋体"/>
          <w:color w:val="auto"/>
          <w:highlight w:val="none"/>
        </w:rPr>
        <w:t>提供。</w:t>
      </w:r>
    </w:p>
    <w:p>
      <w:pPr>
        <w:widowControl/>
        <w:adjustRightInd w:val="0"/>
        <w:snapToGrid w:val="0"/>
        <w:spacing w:line="360" w:lineRule="auto"/>
        <w:ind w:right="46" w:rightChars="22"/>
        <w:jc w:val="left"/>
        <w:rPr>
          <w:rFonts w:ascii="宋体" w:hAnsi="宋体"/>
          <w:color w:val="auto"/>
          <w:highlight w:val="none"/>
        </w:rPr>
      </w:pPr>
      <w:r>
        <w:rPr>
          <w:rFonts w:hint="eastAsia" w:ascii="宋体" w:hAnsi="宋体"/>
          <w:color w:val="auto"/>
          <w:highlight w:val="none"/>
        </w:rPr>
        <w:t>（3）完成时间以竣工验收时间为准。</w:t>
      </w:r>
    </w:p>
    <w:p>
      <w:pPr>
        <w:spacing w:line="360" w:lineRule="auto"/>
        <w:ind w:firstLine="4819" w:firstLineChars="2295"/>
        <w:jc w:val="left"/>
        <w:rPr>
          <w:rFonts w:ascii="宋体" w:hAnsi="宋体"/>
          <w:color w:val="auto"/>
          <w:highlight w:val="none"/>
        </w:rPr>
      </w:pPr>
    </w:p>
    <w:p>
      <w:pPr>
        <w:spacing w:line="360" w:lineRule="auto"/>
        <w:ind w:firstLine="4819" w:firstLineChars="2295"/>
        <w:jc w:val="left"/>
        <w:rPr>
          <w:rFonts w:ascii="宋体" w:hAnsi="宋体"/>
          <w:color w:val="auto"/>
          <w:highlight w:val="none"/>
        </w:rPr>
      </w:pPr>
      <w:r>
        <w:rPr>
          <w:rFonts w:hint="eastAsia" w:ascii="宋体" w:hAnsi="宋体"/>
          <w:color w:val="auto"/>
          <w:highlight w:val="none"/>
        </w:rPr>
        <w:t>投 标 人（盖章）：</w:t>
      </w:r>
    </w:p>
    <w:p>
      <w:pPr>
        <w:spacing w:line="360" w:lineRule="auto"/>
        <w:ind w:firstLine="4819" w:firstLineChars="2295"/>
        <w:jc w:val="left"/>
        <w:rPr>
          <w:rFonts w:ascii="宋体" w:hAnsi="宋体"/>
          <w:color w:val="auto"/>
          <w:highlight w:val="none"/>
        </w:rPr>
      </w:pPr>
      <w:r>
        <w:rPr>
          <w:rFonts w:hint="eastAsia" w:ascii="宋体" w:hAnsi="宋体"/>
          <w:color w:val="auto"/>
          <w:highlight w:val="none"/>
        </w:rPr>
        <w:t>法定代表人或授权代表（签字或盖章）：</w:t>
      </w:r>
    </w:p>
    <w:p>
      <w:pPr>
        <w:wordWrap w:val="0"/>
        <w:spacing w:line="360" w:lineRule="auto"/>
        <w:ind w:firstLine="4819" w:firstLineChars="2295"/>
        <w:jc w:val="left"/>
        <w:rPr>
          <w:rFonts w:ascii="宋体" w:hAnsi="宋体"/>
          <w:color w:val="auto"/>
          <w:highlight w:val="none"/>
        </w:rPr>
      </w:pPr>
      <w:r>
        <w:rPr>
          <w:rFonts w:hint="eastAsia" w:ascii="宋体" w:hAnsi="宋体"/>
          <w:color w:val="auto"/>
          <w:highlight w:val="none"/>
        </w:rPr>
        <w:t>日    期：   年   月   日</w:t>
      </w:r>
    </w:p>
    <w:p>
      <w:pPr>
        <w:rPr>
          <w:color w:val="auto"/>
          <w:highlight w:val="none"/>
        </w:rPr>
      </w:pPr>
    </w:p>
    <w:p>
      <w:pPr>
        <w:pStyle w:val="10"/>
        <w:rPr>
          <w:color w:val="auto"/>
          <w:highlight w:val="none"/>
        </w:rPr>
      </w:pPr>
    </w:p>
    <w:p>
      <w:pPr>
        <w:jc w:val="left"/>
        <w:rPr>
          <w:rFonts w:ascii="宋体" w:hAnsi="宋体"/>
          <w:color w:val="auto"/>
          <w:sz w:val="24"/>
          <w:szCs w:val="24"/>
          <w:highlight w:val="none"/>
        </w:rPr>
      </w:pPr>
      <w:r>
        <w:rPr>
          <w:rFonts w:ascii="宋体" w:hAnsi="宋体"/>
          <w:color w:val="auto"/>
          <w:sz w:val="24"/>
          <w:szCs w:val="24"/>
          <w:highlight w:val="none"/>
        </w:rPr>
        <w:br w:type="page"/>
      </w:r>
    </w:p>
    <w:p>
      <w:pPr>
        <w:pStyle w:val="7"/>
        <w:ind w:right="46" w:rightChars="22"/>
        <w:jc w:val="left"/>
        <w:rPr>
          <w:rFonts w:ascii="宋体" w:hAnsi="宋体"/>
          <w:b w:val="0"/>
          <w:bCs/>
          <w:color w:val="auto"/>
          <w:sz w:val="21"/>
          <w:szCs w:val="21"/>
          <w:highlight w:val="none"/>
        </w:rPr>
      </w:pPr>
      <w:bookmarkStart w:id="40" w:name="_Toc7882"/>
      <w:r>
        <w:rPr>
          <w:rFonts w:hint="eastAsia" w:ascii="宋体" w:hAnsi="宋体"/>
          <w:b w:val="0"/>
          <w:bCs/>
          <w:color w:val="auto"/>
          <w:sz w:val="21"/>
          <w:szCs w:val="21"/>
          <w:highlight w:val="none"/>
          <w:lang w:val="en-US"/>
        </w:rPr>
        <w:t>格式十二：投标人获奖情况表</w:t>
      </w:r>
      <w:bookmarkEnd w:id="40"/>
    </w:p>
    <w:p>
      <w:pPr>
        <w:spacing w:before="240" w:line="360" w:lineRule="auto"/>
        <w:jc w:val="center"/>
        <w:rPr>
          <w:b/>
          <w:color w:val="auto"/>
          <w:sz w:val="32"/>
          <w:highlight w:val="none"/>
        </w:rPr>
      </w:pPr>
      <w:r>
        <w:rPr>
          <w:rFonts w:hint="eastAsia"/>
          <w:b/>
          <w:color w:val="auto"/>
          <w:sz w:val="32"/>
          <w:highlight w:val="none"/>
        </w:rPr>
        <w:t>投标人获奖情况表</w:t>
      </w:r>
    </w:p>
    <w:tbl>
      <w:tblPr>
        <w:tblStyle w:val="3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6"/>
        <w:gridCol w:w="1106"/>
        <w:gridCol w:w="1306"/>
        <w:gridCol w:w="1306"/>
        <w:gridCol w:w="1306"/>
        <w:gridCol w:w="1306"/>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ind w:left="-25" w:leftChars="-12"/>
              <w:jc w:val="center"/>
              <w:rPr>
                <w:rFonts w:hint="eastAsia" w:ascii="宋体" w:hAnsi="宋体" w:eastAsia="宋体"/>
                <w:color w:val="auto"/>
                <w:highlight w:val="none"/>
                <w:lang w:eastAsia="zh-CN"/>
              </w:rPr>
            </w:pPr>
            <w:r>
              <w:rPr>
                <w:rFonts w:hint="eastAsia" w:ascii="宋体" w:hAnsi="宋体"/>
                <w:color w:val="auto"/>
                <w:highlight w:val="none"/>
                <w:lang w:eastAsia="zh-CN"/>
              </w:rPr>
              <w:t>序号</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ind w:left="-25" w:leftChars="-12"/>
              <w:jc w:val="center"/>
              <w:rPr>
                <w:rFonts w:ascii="宋体" w:hAnsi="宋体"/>
                <w:color w:val="auto"/>
                <w:highlight w:val="none"/>
              </w:rPr>
            </w:pPr>
            <w:r>
              <w:rPr>
                <w:rFonts w:hint="eastAsia" w:ascii="宋体" w:hAnsi="宋体"/>
                <w:color w:val="auto"/>
                <w:highlight w:val="none"/>
              </w:rPr>
              <w:t>项目名称</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项目概况</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业主单位</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完成情况</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颁发单位</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获奖奖项</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ind w:left="-99" w:leftChars="-47"/>
              <w:jc w:val="center"/>
              <w:rPr>
                <w:rFonts w:ascii="宋体" w:hAnsi="宋体"/>
                <w:color w:val="auto"/>
                <w:highlight w:val="none"/>
              </w:rPr>
            </w:pPr>
            <w:r>
              <w:rPr>
                <w:rFonts w:hint="eastAsia" w:ascii="宋体" w:hAnsi="宋体"/>
                <w:color w:val="auto"/>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2</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3</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4</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5</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6</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bl>
    <w:p>
      <w:pPr>
        <w:rPr>
          <w:color w:val="auto"/>
          <w:highlight w:val="none"/>
        </w:rPr>
      </w:pPr>
    </w:p>
    <w:p>
      <w:pPr>
        <w:widowControl/>
        <w:adjustRightInd w:val="0"/>
        <w:snapToGrid w:val="0"/>
        <w:spacing w:line="360" w:lineRule="auto"/>
        <w:ind w:right="46" w:rightChars="22"/>
        <w:jc w:val="left"/>
        <w:rPr>
          <w:rFonts w:hint="eastAsia"/>
          <w:color w:val="auto"/>
          <w:sz w:val="21"/>
          <w:szCs w:val="21"/>
          <w:highlight w:val="none"/>
        </w:rPr>
      </w:pPr>
      <w:r>
        <w:rPr>
          <w:rFonts w:hint="eastAsia"/>
          <w:color w:val="auto"/>
          <w:sz w:val="21"/>
          <w:szCs w:val="21"/>
          <w:highlight w:val="none"/>
        </w:rPr>
        <w:t>注：</w:t>
      </w:r>
    </w:p>
    <w:p>
      <w:pPr>
        <w:widowControl/>
        <w:adjustRightInd w:val="0"/>
        <w:snapToGrid w:val="0"/>
        <w:spacing w:line="360" w:lineRule="auto"/>
        <w:ind w:right="46" w:rightChars="22"/>
        <w:jc w:val="left"/>
        <w:rPr>
          <w:rFonts w:ascii="宋体" w:hAnsi="宋体"/>
          <w:color w:val="auto"/>
          <w:highlight w:val="none"/>
        </w:rPr>
      </w:pPr>
      <w:r>
        <w:rPr>
          <w:rFonts w:hint="eastAsia" w:ascii="宋体" w:hAnsi="宋体"/>
          <w:color w:val="auto"/>
          <w:highlight w:val="none"/>
        </w:rPr>
        <w:t>（1）投标人</w:t>
      </w:r>
      <w:r>
        <w:rPr>
          <w:rFonts w:hint="eastAsia" w:ascii="宋体" w:hAnsi="宋体"/>
          <w:color w:val="auto"/>
          <w:highlight w:val="none"/>
          <w:lang w:eastAsia="zh-CN"/>
        </w:rPr>
        <w:t>结合招标文件、评标办法及定标因素要求</w:t>
      </w:r>
      <w:r>
        <w:rPr>
          <w:rFonts w:hint="eastAsia" w:ascii="宋体" w:hAnsi="宋体"/>
          <w:color w:val="auto"/>
          <w:highlight w:val="none"/>
        </w:rPr>
        <w:t>提供。</w:t>
      </w:r>
    </w:p>
    <w:p>
      <w:pPr>
        <w:widowControl/>
        <w:adjustRightInd w:val="0"/>
        <w:snapToGrid w:val="0"/>
        <w:spacing w:line="360" w:lineRule="auto"/>
        <w:ind w:right="46" w:rightChars="22"/>
        <w:jc w:val="left"/>
        <w:rPr>
          <w:rFonts w:ascii="宋体" w:hAnsi="宋体"/>
          <w:color w:val="auto"/>
          <w:highlight w:val="none"/>
        </w:rPr>
      </w:pPr>
      <w:r>
        <w:rPr>
          <w:rFonts w:hint="eastAsia" w:ascii="宋体" w:hAnsi="宋体"/>
          <w:color w:val="auto"/>
          <w:highlight w:val="none"/>
        </w:rPr>
        <w:t>（2）证明材料：</w:t>
      </w:r>
      <w:r>
        <w:rPr>
          <w:rFonts w:hint="eastAsia" w:ascii="宋体" w:hAnsi="宋体"/>
          <w:color w:val="auto"/>
          <w:highlight w:val="none"/>
          <w:lang w:eastAsia="zh-CN"/>
        </w:rPr>
        <w:t>结合结合招标文件、评标办法及定标因素要求</w:t>
      </w:r>
      <w:r>
        <w:rPr>
          <w:rFonts w:hint="eastAsia" w:ascii="宋体" w:hAnsi="宋体"/>
          <w:color w:val="auto"/>
          <w:highlight w:val="none"/>
        </w:rPr>
        <w:t>提供。</w:t>
      </w:r>
    </w:p>
    <w:p>
      <w:pPr>
        <w:pStyle w:val="97"/>
        <w:rPr>
          <w:rFonts w:ascii="宋体" w:hAnsi="宋体"/>
          <w:color w:val="auto"/>
          <w:szCs w:val="21"/>
          <w:highlight w:val="none"/>
        </w:rPr>
      </w:pPr>
    </w:p>
    <w:p>
      <w:pPr>
        <w:pStyle w:val="97"/>
        <w:rPr>
          <w:color w:val="auto"/>
          <w:highlight w:val="none"/>
        </w:rPr>
      </w:pPr>
    </w:p>
    <w:p>
      <w:pPr>
        <w:pStyle w:val="96"/>
        <w:tabs>
          <w:tab w:val="left" w:pos="0"/>
        </w:tabs>
        <w:snapToGrid w:val="0"/>
        <w:spacing w:after="200" w:line="276" w:lineRule="auto"/>
        <w:rPr>
          <w:color w:val="auto"/>
          <w:sz w:val="21"/>
          <w:szCs w:val="21"/>
          <w:highlight w:val="none"/>
        </w:rPr>
        <w:sectPr>
          <w:pgSz w:w="11907" w:h="16839"/>
          <w:pgMar w:top="1134" w:right="1134" w:bottom="1134" w:left="1134" w:header="1247" w:footer="737" w:gutter="0"/>
          <w:cols w:space="720" w:num="1"/>
          <w:docGrid w:linePitch="380" w:charSpace="-4301"/>
        </w:sectPr>
      </w:pPr>
    </w:p>
    <w:p>
      <w:pPr>
        <w:pStyle w:val="7"/>
        <w:ind w:right="46" w:rightChars="22"/>
        <w:jc w:val="left"/>
        <w:rPr>
          <w:rFonts w:hint="default" w:ascii="宋体" w:hAnsi="宋体" w:eastAsia="宋体"/>
          <w:b w:val="0"/>
          <w:bCs/>
          <w:color w:val="auto"/>
          <w:sz w:val="21"/>
          <w:szCs w:val="21"/>
          <w:highlight w:val="none"/>
          <w:lang w:val="en-US" w:eastAsia="zh-CN"/>
        </w:rPr>
      </w:pPr>
      <w:bookmarkStart w:id="41" w:name="_Toc10769"/>
      <w:bookmarkStart w:id="42" w:name="_Toc9143"/>
      <w:r>
        <w:rPr>
          <w:rFonts w:hint="eastAsia" w:ascii="宋体" w:hAnsi="宋体"/>
          <w:b w:val="0"/>
          <w:bCs/>
          <w:color w:val="auto"/>
          <w:sz w:val="21"/>
          <w:szCs w:val="21"/>
          <w:highlight w:val="none"/>
          <w:lang w:val="en-US"/>
        </w:rPr>
        <w:t>格式十三：承诺书</w:t>
      </w:r>
      <w:bookmarkEnd w:id="41"/>
    </w:p>
    <w:p>
      <w:pPr>
        <w:pStyle w:val="86"/>
        <w:rPr>
          <w:rFonts w:ascii="宋体" w:hAnsi="宋体" w:eastAsia="宋体"/>
          <w:color w:val="auto"/>
          <w:sz w:val="32"/>
          <w:szCs w:val="32"/>
          <w:highlight w:val="none"/>
        </w:rPr>
      </w:pPr>
      <w:r>
        <w:rPr>
          <w:rFonts w:hint="eastAsia" w:ascii="宋体" w:hAnsi="宋体" w:eastAsia="宋体"/>
          <w:color w:val="auto"/>
          <w:sz w:val="32"/>
          <w:szCs w:val="32"/>
          <w:highlight w:val="none"/>
        </w:rPr>
        <w:t>承  诺  书</w:t>
      </w:r>
    </w:p>
    <w:p>
      <w:pPr>
        <w:pStyle w:val="79"/>
        <w:ind w:firstLine="420"/>
        <w:rPr>
          <w:rFonts w:ascii="宋体" w:hAnsi="宋体"/>
          <w:color w:val="auto"/>
          <w:spacing w:val="0"/>
          <w:sz w:val="21"/>
          <w:szCs w:val="21"/>
          <w:highlight w:val="none"/>
        </w:rPr>
      </w:pPr>
      <w:r>
        <w:rPr>
          <w:rFonts w:hint="eastAsia" w:ascii="宋体" w:hAnsi="宋体"/>
          <w:color w:val="auto"/>
          <w:spacing w:val="0"/>
          <w:sz w:val="21"/>
          <w:szCs w:val="21"/>
          <w:highlight w:val="none"/>
        </w:rPr>
        <w:t>经详细阅读本工程招标文件、招标答疑纪要和踏勘现场，我司已理解招标人对本招标项目工程管理的高标准及工期的严格要求，在此，我司郑重作出以下承诺：</w:t>
      </w:r>
    </w:p>
    <w:p>
      <w:pPr>
        <w:pStyle w:val="79"/>
        <w:ind w:firstLine="420"/>
        <w:rPr>
          <w:rFonts w:ascii="宋体" w:hAnsi="宋体"/>
          <w:color w:val="auto"/>
          <w:spacing w:val="0"/>
          <w:sz w:val="21"/>
          <w:szCs w:val="21"/>
          <w:highlight w:val="none"/>
        </w:rPr>
      </w:pPr>
      <w:r>
        <w:rPr>
          <w:rFonts w:hint="eastAsia" w:ascii="宋体" w:hAnsi="宋体"/>
          <w:color w:val="auto"/>
          <w:spacing w:val="0"/>
          <w:sz w:val="21"/>
          <w:szCs w:val="21"/>
          <w:highlight w:val="none"/>
        </w:rPr>
        <w:t>一、我司已按投标须知</w:t>
      </w:r>
      <w:r>
        <w:rPr>
          <w:rFonts w:hint="eastAsia" w:ascii="宋体" w:hAnsi="宋体"/>
          <w:color w:val="auto"/>
          <w:spacing w:val="0"/>
          <w:sz w:val="21"/>
          <w:szCs w:val="21"/>
          <w:highlight w:val="none"/>
          <w:u w:val="single"/>
        </w:rPr>
        <w:t>第5条</w:t>
      </w:r>
      <w:r>
        <w:rPr>
          <w:rFonts w:hint="eastAsia" w:ascii="宋体" w:hAnsi="宋体"/>
          <w:color w:val="auto"/>
          <w:spacing w:val="0"/>
          <w:sz w:val="21"/>
          <w:szCs w:val="21"/>
          <w:highlight w:val="none"/>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79"/>
        <w:ind w:firstLine="420"/>
        <w:rPr>
          <w:rFonts w:ascii="宋体" w:hAnsi="宋体"/>
          <w:color w:val="auto"/>
          <w:spacing w:val="0"/>
          <w:sz w:val="21"/>
          <w:szCs w:val="21"/>
          <w:highlight w:val="none"/>
        </w:rPr>
      </w:pPr>
      <w:r>
        <w:rPr>
          <w:rFonts w:hint="eastAsia" w:ascii="宋体" w:hAnsi="宋体"/>
          <w:color w:val="auto"/>
          <w:spacing w:val="0"/>
          <w:sz w:val="21"/>
          <w:szCs w:val="21"/>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79"/>
        <w:ind w:firstLine="420"/>
        <w:rPr>
          <w:rFonts w:ascii="宋体" w:hAnsi="宋体"/>
          <w:color w:val="auto"/>
          <w:spacing w:val="0"/>
          <w:sz w:val="21"/>
          <w:szCs w:val="21"/>
          <w:highlight w:val="none"/>
        </w:rPr>
      </w:pPr>
      <w:r>
        <w:rPr>
          <w:rFonts w:hint="eastAsia" w:ascii="宋体" w:hAnsi="宋体"/>
          <w:color w:val="auto"/>
          <w:spacing w:val="0"/>
          <w:sz w:val="21"/>
          <w:szCs w:val="21"/>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pStyle w:val="79"/>
        <w:ind w:firstLine="420"/>
        <w:rPr>
          <w:rFonts w:ascii="宋体" w:hAnsi="宋体"/>
          <w:color w:val="auto"/>
          <w:spacing w:val="0"/>
          <w:sz w:val="21"/>
          <w:szCs w:val="21"/>
          <w:highlight w:val="none"/>
        </w:rPr>
      </w:pPr>
      <w:r>
        <w:rPr>
          <w:rFonts w:hint="eastAsia" w:ascii="宋体" w:hAnsi="宋体"/>
          <w:color w:val="auto"/>
          <w:spacing w:val="0"/>
          <w:sz w:val="21"/>
          <w:szCs w:val="21"/>
          <w:highlight w:val="none"/>
        </w:rPr>
        <w:t>四、经认真进行市场调查，我司承诺本招标项目材料、设备来源有保证，可按投标承诺及时组织到货，无需代换，图纸、资料和设计文件中所要求的条件我司全部能够满足。</w:t>
      </w:r>
    </w:p>
    <w:p>
      <w:pPr>
        <w:pStyle w:val="79"/>
        <w:ind w:firstLine="420"/>
        <w:rPr>
          <w:rFonts w:ascii="宋体" w:hAnsi="宋体"/>
          <w:color w:val="auto"/>
          <w:spacing w:val="0"/>
          <w:sz w:val="21"/>
          <w:szCs w:val="21"/>
          <w:highlight w:val="none"/>
        </w:rPr>
      </w:pPr>
      <w:r>
        <w:rPr>
          <w:rFonts w:hint="eastAsia" w:ascii="宋体" w:hAnsi="宋体"/>
          <w:color w:val="auto"/>
          <w:spacing w:val="0"/>
          <w:sz w:val="21"/>
          <w:szCs w:val="21"/>
          <w:highlight w:val="none"/>
        </w:rPr>
        <w:t>五、</w:t>
      </w:r>
      <w:r>
        <w:rPr>
          <w:rFonts w:hint="eastAsia" w:ascii="宋体" w:hAnsi="宋体"/>
          <w:color w:val="auto"/>
          <w:spacing w:val="0"/>
          <w:position w:val="2"/>
          <w:sz w:val="21"/>
          <w:szCs w:val="21"/>
          <w:highlight w:val="none"/>
        </w:rPr>
        <w:t>鉴于本工程的重要性、复杂性和工期的紧迫性，为确保按时、按质完成本工程的施工任务，</w:t>
      </w:r>
      <w:r>
        <w:rPr>
          <w:rStyle w:val="39"/>
          <w:rFonts w:ascii="宋体" w:hAnsi="宋体"/>
          <w:color w:val="auto"/>
          <w:spacing w:val="0"/>
          <w:sz w:val="21"/>
          <w:szCs w:val="21"/>
          <w:highlight w:val="none"/>
        </w:rPr>
        <w:t>我司</w:t>
      </w:r>
      <w:r>
        <w:rPr>
          <w:rFonts w:hint="eastAsia" w:ascii="宋体" w:hAnsi="宋体"/>
          <w:color w:val="auto"/>
          <w:spacing w:val="0"/>
          <w:position w:val="2"/>
          <w:sz w:val="21"/>
          <w:szCs w:val="21"/>
          <w:highlight w:val="none"/>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pPr>
        <w:pStyle w:val="79"/>
        <w:ind w:firstLine="420"/>
        <w:rPr>
          <w:rFonts w:ascii="宋体" w:hAnsi="宋体"/>
          <w:color w:val="auto"/>
          <w:spacing w:val="0"/>
          <w:sz w:val="21"/>
          <w:szCs w:val="21"/>
          <w:highlight w:val="none"/>
        </w:rPr>
      </w:pPr>
      <w:r>
        <w:rPr>
          <w:rFonts w:hint="eastAsia" w:ascii="宋体" w:hAnsi="宋体"/>
          <w:color w:val="auto"/>
          <w:spacing w:val="0"/>
          <w:position w:val="2"/>
          <w:sz w:val="21"/>
          <w:szCs w:val="21"/>
          <w:highlight w:val="none"/>
        </w:rPr>
        <w:t>六</w:t>
      </w:r>
      <w:r>
        <w:rPr>
          <w:rFonts w:hint="eastAsia" w:ascii="宋体" w:hAnsi="宋体"/>
          <w:color w:val="auto"/>
          <w:spacing w:val="0"/>
          <w:sz w:val="21"/>
          <w:szCs w:val="21"/>
          <w:highlight w:val="none"/>
        </w:rPr>
        <w:t>、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w:t>
      </w:r>
      <w:r>
        <w:rPr>
          <w:rFonts w:hint="eastAsia" w:ascii="宋体" w:hAnsi="宋体"/>
          <w:color w:val="auto"/>
          <w:spacing w:val="0"/>
          <w:sz w:val="21"/>
          <w:szCs w:val="21"/>
          <w:highlight w:val="none"/>
          <w:lang w:val="en-US" w:eastAsia="zh-CN"/>
        </w:rPr>
        <w:t>招标人</w:t>
      </w:r>
      <w:r>
        <w:rPr>
          <w:rFonts w:hint="eastAsia" w:ascii="宋体" w:hAnsi="宋体"/>
          <w:color w:val="auto"/>
          <w:spacing w:val="0"/>
          <w:sz w:val="21"/>
          <w:szCs w:val="21"/>
          <w:highlight w:val="none"/>
        </w:rPr>
        <w:t>签订合同，且在办理合同签订手续时积极主动配合</w:t>
      </w:r>
      <w:r>
        <w:rPr>
          <w:rFonts w:hint="eastAsia" w:ascii="宋体" w:hAnsi="宋体"/>
          <w:color w:val="auto"/>
          <w:spacing w:val="0"/>
          <w:sz w:val="21"/>
          <w:szCs w:val="21"/>
          <w:highlight w:val="none"/>
          <w:lang w:val="en-US" w:eastAsia="zh-CN"/>
        </w:rPr>
        <w:t>招标人</w:t>
      </w:r>
      <w:r>
        <w:rPr>
          <w:rFonts w:hint="eastAsia" w:ascii="宋体" w:hAnsi="宋体"/>
          <w:color w:val="auto"/>
          <w:spacing w:val="0"/>
          <w:sz w:val="21"/>
          <w:szCs w:val="21"/>
          <w:highlight w:val="none"/>
        </w:rPr>
        <w:t>，不提出任何违反招标文件合同条款精神的任何书面要求和疑问，否则，同意被视为自动放弃中标，由招标人没收我司提交的投标保证金，对由此造成的后果由我司承担相应的法律责任。</w:t>
      </w:r>
    </w:p>
    <w:p>
      <w:pPr>
        <w:pStyle w:val="79"/>
        <w:ind w:firstLine="420"/>
        <w:rPr>
          <w:rFonts w:ascii="宋体" w:hAnsi="宋体"/>
          <w:bCs/>
          <w:color w:val="auto"/>
          <w:spacing w:val="0"/>
          <w:sz w:val="21"/>
          <w:szCs w:val="21"/>
          <w:highlight w:val="none"/>
        </w:rPr>
      </w:pPr>
      <w:r>
        <w:rPr>
          <w:rFonts w:hint="eastAsia" w:ascii="宋体" w:hAnsi="宋体"/>
          <w:color w:val="auto"/>
          <w:spacing w:val="0"/>
          <w:sz w:val="21"/>
          <w:szCs w:val="21"/>
          <w:highlight w:val="none"/>
        </w:rPr>
        <w:t>七、我司保证本工程文明施工和职业健康安全管理方案完全满足国家、省、市政府、主管部门颁布的安全生产规程与规定</w:t>
      </w:r>
      <w:r>
        <w:rPr>
          <w:rFonts w:hint="eastAsia" w:ascii="宋体" w:hAnsi="宋体"/>
          <w:color w:val="auto"/>
          <w:spacing w:val="0"/>
          <w:sz w:val="21"/>
          <w:szCs w:val="21"/>
          <w:highlight w:val="none"/>
          <w:lang w:val="en-US" w:eastAsia="zh-CN"/>
        </w:rPr>
        <w:t>以及招标人</w:t>
      </w:r>
      <w:r>
        <w:rPr>
          <w:rFonts w:hint="eastAsia" w:ascii="宋体" w:hAnsi="宋体"/>
          <w:color w:val="auto"/>
          <w:spacing w:val="0"/>
          <w:sz w:val="21"/>
          <w:szCs w:val="21"/>
          <w:highlight w:val="none"/>
        </w:rPr>
        <w:t>及其上级单位安全生产有关管理制度，完全满足《建筑施工安全检查标准》（JGJ59-2011）及</w:t>
      </w:r>
      <w:r>
        <w:rPr>
          <w:rFonts w:hint="eastAsia" w:ascii="宋体" w:hAnsi="宋体"/>
          <w:color w:val="auto"/>
          <w:spacing w:val="0"/>
          <w:sz w:val="21"/>
          <w:szCs w:val="21"/>
          <w:highlight w:val="none"/>
          <w:lang w:val="en-US" w:eastAsia="zh-CN"/>
        </w:rPr>
        <w:t>江门市</w:t>
      </w:r>
      <w:r>
        <w:rPr>
          <w:rFonts w:hint="eastAsia" w:ascii="宋体" w:hAnsi="宋体"/>
          <w:color w:val="auto"/>
          <w:spacing w:val="0"/>
          <w:sz w:val="21"/>
          <w:szCs w:val="21"/>
          <w:highlight w:val="none"/>
        </w:rPr>
        <w:t>建设行政监督部门关于现场文明施工各项规定和招标文件要求。否则，愿意无条件接受招标人的任何处罚，直至被清退出场，并为此承担相应的法律责任。</w:t>
      </w:r>
    </w:p>
    <w:p>
      <w:pPr>
        <w:pStyle w:val="79"/>
        <w:ind w:firstLine="420"/>
        <w:rPr>
          <w:rFonts w:ascii="宋体" w:hAnsi="宋体"/>
          <w:bCs/>
          <w:color w:val="auto"/>
          <w:spacing w:val="0"/>
          <w:sz w:val="21"/>
          <w:szCs w:val="21"/>
          <w:highlight w:val="none"/>
        </w:rPr>
      </w:pPr>
      <w:r>
        <w:rPr>
          <w:rFonts w:hint="eastAsia" w:ascii="宋体" w:hAnsi="宋体"/>
          <w:bCs/>
          <w:color w:val="auto"/>
          <w:spacing w:val="0"/>
          <w:sz w:val="21"/>
          <w:szCs w:val="21"/>
          <w:highlight w:val="none"/>
        </w:rPr>
        <w:t>八、</w:t>
      </w:r>
      <w:r>
        <w:rPr>
          <w:rFonts w:hint="eastAsia" w:ascii="宋体" w:hAnsi="宋体"/>
          <w:color w:val="auto"/>
          <w:spacing w:val="0"/>
          <w:sz w:val="21"/>
          <w:szCs w:val="21"/>
          <w:highlight w:val="none"/>
        </w:rPr>
        <w:t>我司保证本工程竣工验收、竣工资料和竣工备案管理完全符合国家、省、市政府、主管部门颁布的竣工验收和档案管理各项规定及招标文件中提出的各项管理要求。</w:t>
      </w:r>
    </w:p>
    <w:p>
      <w:pPr>
        <w:pStyle w:val="79"/>
        <w:ind w:firstLine="420"/>
        <w:rPr>
          <w:rFonts w:ascii="宋体" w:hAnsi="宋体"/>
          <w:color w:val="auto"/>
          <w:spacing w:val="0"/>
          <w:sz w:val="21"/>
          <w:szCs w:val="21"/>
          <w:highlight w:val="none"/>
        </w:rPr>
      </w:pPr>
      <w:r>
        <w:rPr>
          <w:rFonts w:hint="eastAsia" w:ascii="宋体" w:hAnsi="宋体"/>
          <w:color w:val="auto"/>
          <w:spacing w:val="0"/>
          <w:sz w:val="21"/>
          <w:szCs w:val="21"/>
          <w:highlight w:val="none"/>
        </w:rPr>
        <w:t>九、我司保证在本项目投标中不存在围标、串标等违法、违规行为，如经招标监管部门查实存在上述行为，我司同意由招标人没收我司提交的投标保证金，并对由此造成的后果承担相应的法律责任。</w:t>
      </w:r>
    </w:p>
    <w:p>
      <w:pPr>
        <w:pStyle w:val="79"/>
        <w:ind w:firstLine="420"/>
        <w:rPr>
          <w:rFonts w:ascii="宋体" w:hAnsi="宋体"/>
          <w:bCs/>
          <w:color w:val="auto"/>
          <w:spacing w:val="0"/>
          <w:sz w:val="21"/>
          <w:szCs w:val="21"/>
          <w:highlight w:val="none"/>
        </w:rPr>
      </w:pPr>
      <w:r>
        <w:rPr>
          <w:rFonts w:hint="eastAsia" w:ascii="宋体" w:hAnsi="宋体"/>
          <w:color w:val="auto"/>
          <w:spacing w:val="0"/>
          <w:sz w:val="21"/>
          <w:szCs w:val="21"/>
          <w:highlight w:val="none"/>
        </w:rPr>
        <w:t>十、如果我司中标，我司保证实际投入本项目的人员、材料、机械、设备与我司递交的投标文件</w:t>
      </w:r>
      <w:r>
        <w:rPr>
          <w:rFonts w:hint="eastAsia" w:ascii="宋体" w:hAnsi="宋体"/>
          <w:bCs/>
          <w:color w:val="auto"/>
          <w:spacing w:val="0"/>
          <w:sz w:val="21"/>
          <w:szCs w:val="21"/>
          <w:highlight w:val="none"/>
        </w:rPr>
        <w:t>一致，且不低于本项目招标文件的要求，并保证本项目管理机构人员[包括但不限于项目负责人（项目经理）、项目总工]在进场前准时参加招标人组织的面</w:t>
      </w:r>
      <w:r>
        <w:rPr>
          <w:rFonts w:hint="eastAsia" w:ascii="宋体" w:hAnsi="宋体"/>
          <w:color w:val="auto"/>
          <w:spacing w:val="0"/>
          <w:sz w:val="21"/>
          <w:szCs w:val="21"/>
          <w:highlight w:val="none"/>
        </w:rPr>
        <w:t>试考核。若不满足招标文件要求或考核不通过，我司承诺无条件按招标人的要求进行更换，直至招标人满意为止。</w:t>
      </w:r>
      <w:r>
        <w:rPr>
          <w:rFonts w:hint="eastAsia" w:ascii="宋体" w:hAnsi="宋体"/>
          <w:bCs/>
          <w:color w:val="auto"/>
          <w:spacing w:val="0"/>
          <w:sz w:val="21"/>
          <w:szCs w:val="21"/>
          <w:highlight w:val="none"/>
        </w:rPr>
        <w:t>经招标人和总监理工程师考核，我司未按投标文件投入项目管理机构人员或经过更换后的人员不能满足本项目要求的，</w:t>
      </w:r>
      <w:r>
        <w:rPr>
          <w:rFonts w:hint="eastAsia" w:ascii="宋体" w:hAnsi="宋体"/>
          <w:color w:val="auto"/>
          <w:spacing w:val="0"/>
          <w:sz w:val="21"/>
          <w:szCs w:val="21"/>
          <w:highlight w:val="none"/>
        </w:rPr>
        <w:t>我司承诺</w:t>
      </w:r>
      <w:r>
        <w:rPr>
          <w:rFonts w:hint="eastAsia" w:ascii="宋体" w:hAnsi="宋体"/>
          <w:bCs/>
          <w:color w:val="auto"/>
          <w:spacing w:val="0"/>
          <w:sz w:val="21"/>
          <w:szCs w:val="21"/>
          <w:highlight w:val="none"/>
        </w:rPr>
        <w:t>除无条件按招标人的要求更换外，还应按合同约定的金额向招标人支付违约金。</w:t>
      </w:r>
    </w:p>
    <w:p>
      <w:pPr>
        <w:pStyle w:val="79"/>
        <w:ind w:firstLine="420"/>
        <w:rPr>
          <w:rFonts w:ascii="宋体" w:hAnsi="宋体"/>
          <w:color w:val="auto"/>
          <w:spacing w:val="0"/>
          <w:sz w:val="21"/>
          <w:szCs w:val="21"/>
          <w:highlight w:val="none"/>
        </w:rPr>
      </w:pPr>
      <w:r>
        <w:rPr>
          <w:rFonts w:hint="eastAsia" w:ascii="宋体" w:hAnsi="宋体"/>
          <w:color w:val="auto"/>
          <w:spacing w:val="0"/>
          <w:sz w:val="21"/>
          <w:szCs w:val="21"/>
          <w:highlight w:val="none"/>
        </w:rPr>
        <w:t>十一、如果我司中标，我司承诺如出现施工进度、质量、投入不满足需要，严重影响施工现场推进或出现招标人认为必要的其他情形，招标人还有权视现场情况要求我司法定代表人驻场办公，直至招标人同意退场为止，否则我司愿承担有关违约责任。</w:t>
      </w:r>
    </w:p>
    <w:p>
      <w:pPr>
        <w:pStyle w:val="79"/>
        <w:ind w:firstLine="420"/>
        <w:rPr>
          <w:rFonts w:ascii="宋体" w:hAnsi="宋体"/>
          <w:color w:val="auto"/>
          <w:spacing w:val="0"/>
          <w:sz w:val="21"/>
          <w:szCs w:val="21"/>
          <w:highlight w:val="none"/>
        </w:rPr>
      </w:pPr>
      <w:r>
        <w:rPr>
          <w:rFonts w:hint="eastAsia" w:ascii="宋体" w:hAnsi="宋体"/>
          <w:color w:val="auto"/>
          <w:spacing w:val="0"/>
          <w:sz w:val="21"/>
          <w:szCs w:val="21"/>
          <w:highlight w:val="none"/>
        </w:rPr>
        <w:t>十二、如果我司中标，对招标人、监理人为确保工程质量管理和工程进度而下达的调整项目部组成人员的指令、通知，我司承诺无条件地在限期内执行并调整到位。</w:t>
      </w:r>
    </w:p>
    <w:p>
      <w:pPr>
        <w:pStyle w:val="79"/>
        <w:ind w:firstLine="420"/>
        <w:rPr>
          <w:rFonts w:ascii="宋体" w:hAnsi="宋体"/>
          <w:color w:val="auto"/>
          <w:spacing w:val="0"/>
          <w:sz w:val="21"/>
          <w:szCs w:val="21"/>
          <w:highlight w:val="none"/>
        </w:rPr>
      </w:pPr>
      <w:r>
        <w:rPr>
          <w:rFonts w:hint="eastAsia" w:ascii="宋体" w:hAnsi="宋体"/>
          <w:color w:val="auto"/>
          <w:spacing w:val="0"/>
          <w:sz w:val="21"/>
          <w:szCs w:val="21"/>
          <w:highlight w:val="none"/>
        </w:rPr>
        <w:t>十三、</w:t>
      </w:r>
      <w:r>
        <w:rPr>
          <w:rFonts w:hint="eastAsia" w:ascii="宋体" w:hAnsi="宋体"/>
          <w:strike/>
          <w:color w:val="auto"/>
          <w:spacing w:val="0"/>
          <w:sz w:val="21"/>
          <w:szCs w:val="21"/>
          <w:highlight w:val="none"/>
        </w:rPr>
        <w:t>对于本工程使用的材料、设备，我司已对位于广州公共资源交易中心(广州市天河区天润路333号)首层大厅,由招标人展示的本项目实物样板进行了勘验、查看。</w:t>
      </w:r>
      <w:r>
        <w:rPr>
          <w:rFonts w:hint="eastAsia" w:ascii="宋体" w:hAnsi="宋体"/>
          <w:color w:val="auto"/>
          <w:spacing w:val="0"/>
          <w:sz w:val="21"/>
          <w:szCs w:val="21"/>
          <w:highlight w:val="none"/>
        </w:rPr>
        <w:t>我司承诺按招标效果图</w:t>
      </w:r>
      <w:r>
        <w:rPr>
          <w:rFonts w:hint="eastAsia" w:ascii="宋体" w:hAnsi="宋体"/>
          <w:color w:val="auto"/>
          <w:spacing w:val="0"/>
          <w:sz w:val="21"/>
          <w:szCs w:val="21"/>
          <w:highlight w:val="none"/>
          <w:lang w:eastAsia="zh-CN"/>
        </w:rPr>
        <w:t>（</w:t>
      </w:r>
      <w:r>
        <w:rPr>
          <w:rFonts w:hint="eastAsia" w:ascii="宋体" w:hAnsi="宋体"/>
          <w:color w:val="auto"/>
          <w:spacing w:val="0"/>
          <w:sz w:val="21"/>
          <w:szCs w:val="21"/>
          <w:highlight w:val="none"/>
          <w:lang w:val="en-US" w:eastAsia="zh-CN"/>
        </w:rPr>
        <w:t>若有</w:t>
      </w:r>
      <w:r>
        <w:rPr>
          <w:rFonts w:hint="eastAsia" w:ascii="宋体" w:hAnsi="宋体"/>
          <w:color w:val="auto"/>
          <w:spacing w:val="0"/>
          <w:sz w:val="21"/>
          <w:szCs w:val="21"/>
          <w:highlight w:val="none"/>
          <w:lang w:eastAsia="zh-CN"/>
        </w:rPr>
        <w:t>）</w:t>
      </w:r>
      <w:r>
        <w:rPr>
          <w:rFonts w:hint="eastAsia" w:ascii="宋体" w:hAnsi="宋体"/>
          <w:color w:val="auto"/>
          <w:spacing w:val="0"/>
          <w:sz w:val="21"/>
          <w:szCs w:val="21"/>
          <w:highlight w:val="none"/>
        </w:rPr>
        <w:t>、不低于</w:t>
      </w:r>
      <w:r>
        <w:rPr>
          <w:rFonts w:hint="eastAsia" w:ascii="宋体" w:hAnsi="宋体"/>
          <w:strike/>
          <w:color w:val="auto"/>
          <w:spacing w:val="0"/>
          <w:sz w:val="21"/>
          <w:szCs w:val="21"/>
          <w:highlight w:val="none"/>
        </w:rPr>
        <w:t>招标人实物样板、</w:t>
      </w:r>
      <w:r>
        <w:rPr>
          <w:rFonts w:hint="eastAsia" w:ascii="宋体" w:hAnsi="宋体"/>
          <w:color w:val="auto"/>
          <w:spacing w:val="0"/>
          <w:sz w:val="21"/>
          <w:szCs w:val="21"/>
          <w:highlight w:val="none"/>
        </w:rPr>
        <w:t>招标技术文件要求、招标图纸及推荐品牌</w:t>
      </w:r>
      <w:r>
        <w:rPr>
          <w:rFonts w:hint="eastAsia" w:ascii="宋体" w:hAnsi="宋体"/>
          <w:color w:val="auto"/>
          <w:spacing w:val="0"/>
          <w:sz w:val="21"/>
          <w:szCs w:val="21"/>
          <w:highlight w:val="none"/>
          <w:lang w:eastAsia="zh-CN"/>
        </w:rPr>
        <w:t>（</w:t>
      </w:r>
      <w:r>
        <w:rPr>
          <w:rFonts w:hint="eastAsia" w:ascii="宋体" w:hAnsi="宋体"/>
          <w:color w:val="auto"/>
          <w:spacing w:val="0"/>
          <w:sz w:val="21"/>
          <w:szCs w:val="21"/>
          <w:highlight w:val="none"/>
          <w:lang w:val="en-US" w:eastAsia="zh-CN"/>
        </w:rPr>
        <w:t>若有</w:t>
      </w:r>
      <w:r>
        <w:rPr>
          <w:rFonts w:hint="eastAsia" w:ascii="宋体" w:hAnsi="宋体"/>
          <w:color w:val="auto"/>
          <w:spacing w:val="0"/>
          <w:sz w:val="21"/>
          <w:szCs w:val="21"/>
          <w:highlight w:val="none"/>
          <w:lang w:eastAsia="zh-CN"/>
        </w:rPr>
        <w:t>）</w:t>
      </w:r>
      <w:r>
        <w:rPr>
          <w:rFonts w:hint="eastAsia" w:ascii="宋体" w:hAnsi="宋体"/>
          <w:color w:val="auto"/>
          <w:spacing w:val="0"/>
          <w:sz w:val="21"/>
          <w:szCs w:val="21"/>
          <w:highlight w:val="none"/>
        </w:rPr>
        <w:t>等选用本工程材料、设备，我司报价已综合考虑招标效果图</w:t>
      </w:r>
      <w:r>
        <w:rPr>
          <w:rFonts w:hint="eastAsia" w:ascii="宋体" w:hAnsi="宋体"/>
          <w:color w:val="auto"/>
          <w:spacing w:val="0"/>
          <w:sz w:val="21"/>
          <w:szCs w:val="21"/>
          <w:highlight w:val="none"/>
          <w:lang w:eastAsia="zh-CN"/>
        </w:rPr>
        <w:t>（</w:t>
      </w:r>
      <w:r>
        <w:rPr>
          <w:rFonts w:hint="eastAsia" w:ascii="宋体" w:hAnsi="宋体"/>
          <w:color w:val="auto"/>
          <w:spacing w:val="0"/>
          <w:sz w:val="21"/>
          <w:szCs w:val="21"/>
          <w:highlight w:val="none"/>
          <w:lang w:val="en-US" w:eastAsia="zh-CN"/>
        </w:rPr>
        <w:t>若有</w:t>
      </w:r>
      <w:r>
        <w:rPr>
          <w:rFonts w:hint="eastAsia" w:ascii="宋体" w:hAnsi="宋体"/>
          <w:color w:val="auto"/>
          <w:spacing w:val="0"/>
          <w:sz w:val="21"/>
          <w:szCs w:val="21"/>
          <w:highlight w:val="none"/>
          <w:lang w:eastAsia="zh-CN"/>
        </w:rPr>
        <w:t>）</w:t>
      </w:r>
      <w:r>
        <w:rPr>
          <w:rFonts w:hint="eastAsia" w:ascii="宋体" w:hAnsi="宋体"/>
          <w:color w:val="auto"/>
          <w:spacing w:val="0"/>
          <w:sz w:val="21"/>
          <w:szCs w:val="21"/>
          <w:highlight w:val="none"/>
        </w:rPr>
        <w:t>、</w:t>
      </w:r>
      <w:r>
        <w:rPr>
          <w:rFonts w:hint="eastAsia" w:ascii="宋体" w:hAnsi="宋体"/>
          <w:strike/>
          <w:color w:val="auto"/>
          <w:spacing w:val="0"/>
          <w:sz w:val="21"/>
          <w:szCs w:val="21"/>
          <w:highlight w:val="none"/>
        </w:rPr>
        <w:t>招标人实物样板、</w:t>
      </w:r>
      <w:r>
        <w:rPr>
          <w:rFonts w:hint="eastAsia" w:ascii="宋体" w:hAnsi="宋体"/>
          <w:color w:val="auto"/>
          <w:spacing w:val="0"/>
          <w:sz w:val="21"/>
          <w:szCs w:val="21"/>
          <w:highlight w:val="none"/>
        </w:rPr>
        <w:t>招标技术文件要求、招标图纸及推荐品牌</w:t>
      </w:r>
      <w:r>
        <w:rPr>
          <w:rFonts w:hint="eastAsia" w:ascii="宋体" w:hAnsi="宋体"/>
          <w:color w:val="auto"/>
          <w:spacing w:val="0"/>
          <w:sz w:val="21"/>
          <w:szCs w:val="21"/>
          <w:highlight w:val="none"/>
          <w:lang w:eastAsia="zh-CN"/>
        </w:rPr>
        <w:t>（</w:t>
      </w:r>
      <w:r>
        <w:rPr>
          <w:rFonts w:hint="eastAsia" w:ascii="宋体" w:hAnsi="宋体"/>
          <w:color w:val="auto"/>
          <w:spacing w:val="0"/>
          <w:sz w:val="21"/>
          <w:szCs w:val="21"/>
          <w:highlight w:val="none"/>
          <w:lang w:val="en-US" w:eastAsia="zh-CN"/>
        </w:rPr>
        <w:t>若有</w:t>
      </w:r>
      <w:r>
        <w:rPr>
          <w:rFonts w:hint="eastAsia" w:ascii="宋体" w:hAnsi="宋体"/>
          <w:color w:val="auto"/>
          <w:spacing w:val="0"/>
          <w:sz w:val="21"/>
          <w:szCs w:val="21"/>
          <w:highlight w:val="none"/>
          <w:lang w:eastAsia="zh-CN"/>
        </w:rPr>
        <w:t>）</w:t>
      </w:r>
      <w:r>
        <w:rPr>
          <w:rFonts w:hint="eastAsia" w:ascii="宋体" w:hAnsi="宋体"/>
          <w:color w:val="auto"/>
          <w:spacing w:val="0"/>
          <w:sz w:val="21"/>
          <w:szCs w:val="21"/>
          <w:highlight w:val="none"/>
        </w:rPr>
        <w:t>等的相关要求；如我司中标本项目，在报招标人同意后方用于本工程。</w:t>
      </w:r>
    </w:p>
    <w:p>
      <w:pPr>
        <w:pStyle w:val="79"/>
        <w:ind w:firstLine="420"/>
        <w:rPr>
          <w:rFonts w:ascii="宋体" w:hAnsi="宋体"/>
          <w:color w:val="auto"/>
          <w:spacing w:val="0"/>
          <w:sz w:val="21"/>
          <w:szCs w:val="21"/>
          <w:highlight w:val="none"/>
        </w:rPr>
      </w:pPr>
      <w:r>
        <w:rPr>
          <w:rFonts w:hint="eastAsia" w:ascii="宋体" w:hAnsi="宋体"/>
          <w:color w:val="auto"/>
          <w:spacing w:val="0"/>
          <w:sz w:val="21"/>
          <w:szCs w:val="21"/>
          <w:highlight w:val="none"/>
        </w:rPr>
        <w:t>十四、我司承诺投标报价已充分考虑本项目工期、施工特殊要求等涉及的相关费用。</w:t>
      </w:r>
    </w:p>
    <w:p>
      <w:pPr>
        <w:pStyle w:val="79"/>
        <w:ind w:firstLine="420"/>
        <w:rPr>
          <w:rFonts w:ascii="宋体" w:hAnsi="宋体"/>
          <w:color w:val="auto"/>
          <w:spacing w:val="0"/>
          <w:sz w:val="21"/>
          <w:szCs w:val="21"/>
          <w:highlight w:val="none"/>
        </w:rPr>
      </w:pPr>
      <w:r>
        <w:rPr>
          <w:rFonts w:hint="eastAsia" w:ascii="宋体" w:hAnsi="宋体"/>
          <w:color w:val="auto"/>
          <w:spacing w:val="0"/>
          <w:sz w:val="21"/>
          <w:szCs w:val="21"/>
          <w:highlight w:val="none"/>
        </w:rPr>
        <w:t>十五、如果我司中标，我司承诺采用正版计价软件计价、并提供与投标金额完全一致的正版计价软件的备份文件。</w:t>
      </w:r>
    </w:p>
    <w:p>
      <w:pPr>
        <w:pStyle w:val="79"/>
        <w:spacing w:line="380" w:lineRule="exact"/>
        <w:ind w:firstLine="480"/>
        <w:rPr>
          <w:rFonts w:ascii="宋体" w:hAnsi="宋体"/>
          <w:color w:val="auto"/>
          <w:spacing w:val="0"/>
          <w:highlight w:val="none"/>
        </w:rPr>
      </w:pPr>
    </w:p>
    <w:p>
      <w:pPr>
        <w:pStyle w:val="79"/>
        <w:ind w:firstLine="3480" w:firstLineChars="1450"/>
        <w:rPr>
          <w:rFonts w:ascii="宋体" w:hAnsi="宋体"/>
          <w:color w:val="auto"/>
          <w:spacing w:val="0"/>
          <w:highlight w:val="none"/>
        </w:rPr>
      </w:pPr>
      <w:r>
        <w:rPr>
          <w:rFonts w:hint="eastAsia" w:ascii="宋体" w:hAnsi="宋体"/>
          <w:color w:val="auto"/>
          <w:spacing w:val="0"/>
          <w:highlight w:val="none"/>
        </w:rPr>
        <w:t>投标人：　　（盖章）</w:t>
      </w:r>
    </w:p>
    <w:p>
      <w:pPr>
        <w:pStyle w:val="79"/>
        <w:ind w:firstLine="3480" w:firstLineChars="1450"/>
        <w:rPr>
          <w:rFonts w:ascii="宋体" w:hAnsi="宋体"/>
          <w:color w:val="auto"/>
          <w:spacing w:val="0"/>
          <w:highlight w:val="none"/>
        </w:rPr>
      </w:pPr>
      <w:r>
        <w:rPr>
          <w:rFonts w:hint="eastAsia" w:ascii="宋体" w:hAnsi="宋体"/>
          <w:color w:val="auto"/>
          <w:spacing w:val="0"/>
          <w:highlight w:val="none"/>
        </w:rPr>
        <w:t>法定代表人或授权代理人(签字或盖章)：</w:t>
      </w:r>
    </w:p>
    <w:p>
      <w:pPr>
        <w:pStyle w:val="79"/>
        <w:spacing w:before="156" w:after="156"/>
        <w:ind w:firstLine="3480" w:firstLineChars="1450"/>
        <w:jc w:val="center"/>
        <w:rPr>
          <w:b/>
          <w:color w:val="auto"/>
          <w:sz w:val="32"/>
          <w:szCs w:val="32"/>
          <w:highlight w:val="none"/>
        </w:rPr>
      </w:pPr>
      <w:r>
        <w:rPr>
          <w:rFonts w:hint="eastAsia" w:ascii="宋体" w:hAnsi="宋体"/>
          <w:color w:val="auto"/>
          <w:spacing w:val="0"/>
          <w:highlight w:val="none"/>
        </w:rPr>
        <w:t xml:space="preserve">日   期：    年    月    日 </w:t>
      </w:r>
      <w:bookmarkStart w:id="43" w:name="_Toc62481126"/>
      <w:r>
        <w:rPr>
          <w:rFonts w:hint="eastAsia"/>
          <w:b/>
          <w:color w:val="auto"/>
          <w:sz w:val="32"/>
          <w:szCs w:val="32"/>
          <w:highlight w:val="none"/>
        </w:rPr>
        <w:br w:type="page"/>
      </w:r>
    </w:p>
    <w:p>
      <w:pPr>
        <w:pStyle w:val="5"/>
        <w:spacing w:after="0" w:line="360" w:lineRule="auto"/>
        <w:ind w:firstLine="0"/>
        <w:rPr>
          <w:bCs/>
          <w:color w:val="auto"/>
          <w:sz w:val="21"/>
          <w:szCs w:val="21"/>
          <w:highlight w:val="none"/>
        </w:rPr>
      </w:pPr>
      <w:r>
        <w:rPr>
          <w:rFonts w:hint="eastAsia" w:ascii="宋体" w:hAnsi="宋体"/>
          <w:b w:val="0"/>
          <w:bCs/>
          <w:color w:val="auto"/>
          <w:sz w:val="21"/>
          <w:szCs w:val="21"/>
          <w:highlight w:val="none"/>
        </w:rPr>
        <w:t>格式十四：</w:t>
      </w:r>
      <w:r>
        <w:rPr>
          <w:rFonts w:hint="eastAsia" w:ascii="宋体" w:hAnsi="宋体"/>
          <w:b w:val="0"/>
          <w:bCs/>
          <w:color w:val="auto"/>
          <w:sz w:val="21"/>
          <w:szCs w:val="21"/>
          <w:highlight w:val="none"/>
          <w:lang w:val="en-US"/>
        </w:rPr>
        <w:t>危险性较大的分部分项工程清单及超过一定规模的危险性较大的分部分项工程清单</w:t>
      </w:r>
    </w:p>
    <w:p>
      <w:pPr>
        <w:pStyle w:val="8"/>
        <w:spacing w:before="0" w:beforeAutospacing="0" w:after="0" w:afterAutospacing="0"/>
        <w:jc w:val="center"/>
        <w:rPr>
          <w:b/>
          <w:color w:val="auto"/>
          <w:sz w:val="32"/>
          <w:szCs w:val="32"/>
          <w:highlight w:val="none"/>
        </w:rPr>
      </w:pPr>
      <w:bookmarkStart w:id="44" w:name="_Toc27080"/>
      <w:r>
        <w:rPr>
          <w:rFonts w:hint="eastAsia"/>
          <w:b/>
          <w:color w:val="auto"/>
          <w:sz w:val="32"/>
          <w:szCs w:val="32"/>
          <w:highlight w:val="none"/>
        </w:rPr>
        <w:t>危险性较大的分部分项工程清单及</w:t>
      </w:r>
      <w:bookmarkEnd w:id="44"/>
    </w:p>
    <w:p>
      <w:pPr>
        <w:pStyle w:val="8"/>
        <w:spacing w:before="0" w:beforeAutospacing="0" w:after="0" w:afterAutospacing="0"/>
        <w:jc w:val="center"/>
        <w:rPr>
          <w:b/>
          <w:color w:val="auto"/>
          <w:sz w:val="32"/>
          <w:szCs w:val="32"/>
          <w:highlight w:val="none"/>
        </w:rPr>
      </w:pPr>
      <w:bookmarkStart w:id="45" w:name="_Toc32556"/>
      <w:r>
        <w:rPr>
          <w:rFonts w:hint="eastAsia"/>
          <w:b/>
          <w:color w:val="auto"/>
          <w:sz w:val="32"/>
          <w:szCs w:val="32"/>
          <w:highlight w:val="none"/>
        </w:rPr>
        <w:t>超过一定规模的危险性较大的分部分项工程清单</w:t>
      </w:r>
      <w:bookmarkEnd w:id="45"/>
    </w:p>
    <w:p>
      <w:pPr>
        <w:spacing w:line="360" w:lineRule="auto"/>
        <w:ind w:firstLine="480" w:firstLineChars="200"/>
        <w:jc w:val="left"/>
        <w:rPr>
          <w:rFonts w:ascii="宋体 ，Arial" w:eastAsia="宋体 ，Arial"/>
          <w:color w:val="auto"/>
          <w:sz w:val="24"/>
          <w:szCs w:val="24"/>
          <w:highlight w:val="none"/>
        </w:rPr>
      </w:pPr>
      <w:r>
        <w:rPr>
          <w:rFonts w:hint="eastAsia" w:ascii="宋体 ，Arial" w:eastAsia="宋体 ，Arial"/>
          <w:color w:val="auto"/>
          <w:sz w:val="24"/>
          <w:szCs w:val="24"/>
          <w:highlight w:val="none"/>
        </w:rPr>
        <w:t>1、根据中华人民共和国住房和城乡建设部令第37号《危险性较大的分部分项工程安全管理规定》（以下简称“37号文”），投标人在投标时须补充完善危大工程清单并明确相应的安全管理措施。</w:t>
      </w:r>
    </w:p>
    <w:p>
      <w:pPr>
        <w:spacing w:line="360" w:lineRule="auto"/>
        <w:ind w:firstLine="480" w:firstLineChars="200"/>
        <w:jc w:val="left"/>
        <w:rPr>
          <w:rFonts w:ascii="宋体 ，Arial" w:eastAsia="宋体 ，Arial"/>
          <w:color w:val="auto"/>
          <w:sz w:val="24"/>
          <w:szCs w:val="24"/>
          <w:highlight w:val="none"/>
        </w:rPr>
      </w:pPr>
      <w:r>
        <w:rPr>
          <w:rFonts w:hint="eastAsia" w:ascii="宋体 ，Arial" w:eastAsia="宋体 ，Arial"/>
          <w:color w:val="auto"/>
          <w:sz w:val="24"/>
          <w:szCs w:val="24"/>
          <w:highlight w:val="none"/>
        </w:rPr>
        <w:t>2、招标人根据设计文件的要求及37号文的规定列出“危险性较大的分部分项工程清单及超过一定规模的危险性较大的分部分项工程清单”中与本招标项目相关的清单项，具体详第5点“打√”标识。</w:t>
      </w:r>
    </w:p>
    <w:p>
      <w:pPr>
        <w:spacing w:line="360" w:lineRule="auto"/>
        <w:ind w:firstLine="480" w:firstLineChars="200"/>
        <w:jc w:val="left"/>
        <w:rPr>
          <w:rFonts w:ascii="宋体 ，Arial" w:eastAsia="宋体 ，Arial"/>
          <w:color w:val="auto"/>
          <w:sz w:val="24"/>
          <w:szCs w:val="24"/>
          <w:highlight w:val="none"/>
        </w:rPr>
      </w:pPr>
      <w:r>
        <w:rPr>
          <w:rFonts w:hint="eastAsia" w:ascii="宋体 ，Arial" w:eastAsia="宋体 ，Arial"/>
          <w:color w:val="auto"/>
          <w:sz w:val="24"/>
          <w:szCs w:val="24"/>
          <w:highlight w:val="none"/>
        </w:rPr>
        <w:t>（1）投标单位同意建设单位在清单中标识的该项请在对应项打“√”标识，并与投标文件中提供相应的安全管理措施。</w:t>
      </w:r>
    </w:p>
    <w:p>
      <w:pPr>
        <w:spacing w:line="360" w:lineRule="auto"/>
        <w:ind w:firstLine="480" w:firstLineChars="200"/>
        <w:jc w:val="left"/>
        <w:rPr>
          <w:rFonts w:ascii="宋体 ，Arial" w:eastAsia="宋体 ，Arial"/>
          <w:color w:val="auto"/>
          <w:sz w:val="24"/>
          <w:szCs w:val="24"/>
          <w:highlight w:val="none"/>
        </w:rPr>
      </w:pPr>
      <w:r>
        <w:rPr>
          <w:rFonts w:hint="eastAsia" w:ascii="宋体 ，Arial" w:eastAsia="宋体 ，Arial"/>
          <w:color w:val="auto"/>
          <w:sz w:val="24"/>
          <w:szCs w:val="24"/>
          <w:highlight w:val="none"/>
        </w:rPr>
        <w:t>（2）投标单位对清单中认为需要补充的该项请在对应项打“√”标识，并与投标文件中提供相应的安全管理措施。</w:t>
      </w:r>
    </w:p>
    <w:p>
      <w:pPr>
        <w:spacing w:line="360" w:lineRule="auto"/>
        <w:ind w:firstLine="480" w:firstLineChars="200"/>
        <w:jc w:val="left"/>
        <w:rPr>
          <w:rFonts w:ascii="宋体 ，Arial" w:eastAsia="宋体 ，Arial"/>
          <w:color w:val="auto"/>
          <w:sz w:val="24"/>
          <w:szCs w:val="24"/>
          <w:highlight w:val="none"/>
        </w:rPr>
      </w:pPr>
      <w:r>
        <w:rPr>
          <w:rFonts w:hint="eastAsia" w:ascii="宋体 ，Arial" w:eastAsia="宋体 ，Arial"/>
          <w:color w:val="auto"/>
          <w:sz w:val="24"/>
          <w:szCs w:val="24"/>
          <w:highlight w:val="none"/>
        </w:rPr>
        <w:t>（3）投标单位不同意建设单位在清单中标识的该项请在对应项打“×”标识，并在备注栏填上相关说明。</w:t>
      </w:r>
    </w:p>
    <w:p>
      <w:pPr>
        <w:spacing w:line="360" w:lineRule="auto"/>
        <w:ind w:firstLine="480" w:firstLineChars="200"/>
        <w:jc w:val="left"/>
        <w:rPr>
          <w:rFonts w:ascii="宋体 ，Arial" w:eastAsia="宋体 ，Arial"/>
          <w:color w:val="auto"/>
          <w:sz w:val="24"/>
          <w:szCs w:val="24"/>
          <w:highlight w:val="none"/>
        </w:rPr>
      </w:pPr>
      <w:r>
        <w:rPr>
          <w:rFonts w:hint="eastAsia" w:ascii="宋体 ，Arial" w:eastAsia="宋体 ，Arial"/>
          <w:color w:val="auto"/>
          <w:sz w:val="24"/>
          <w:szCs w:val="24"/>
          <w:highlight w:val="none"/>
        </w:rPr>
        <w:t>3、投标单位应当在投标时根据招标人提供的下述第5点清单，在投标施工组织中编制专项施工方案。</w:t>
      </w:r>
    </w:p>
    <w:p>
      <w:pPr>
        <w:spacing w:line="360" w:lineRule="auto"/>
        <w:ind w:firstLine="480" w:firstLineChars="200"/>
        <w:jc w:val="left"/>
        <w:rPr>
          <w:rFonts w:ascii="宋体 ，Arial" w:eastAsia="宋体 ，Arial"/>
          <w:color w:val="auto"/>
          <w:sz w:val="24"/>
          <w:szCs w:val="24"/>
          <w:highlight w:val="none"/>
        </w:rPr>
      </w:pPr>
      <w:r>
        <w:rPr>
          <w:rFonts w:hint="eastAsia" w:ascii="宋体 ，Arial" w:eastAsia="宋体 ，Arial"/>
          <w:color w:val="auto"/>
          <w:sz w:val="24"/>
          <w:szCs w:val="24"/>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w:t>
      </w:r>
    </w:p>
    <w:p>
      <w:pPr>
        <w:spacing w:line="360" w:lineRule="auto"/>
        <w:ind w:firstLine="480" w:firstLineChars="200"/>
        <w:jc w:val="left"/>
        <w:rPr>
          <w:rFonts w:ascii="宋体 ，Arial" w:eastAsia="宋体 ，Arial"/>
          <w:color w:val="auto"/>
          <w:sz w:val="28"/>
          <w:szCs w:val="28"/>
          <w:highlight w:val="none"/>
        </w:rPr>
      </w:pPr>
      <w:r>
        <w:rPr>
          <w:rFonts w:hint="eastAsia" w:ascii="宋体 ，Arial" w:eastAsia="宋体 ，Arial"/>
          <w:color w:val="auto"/>
          <w:sz w:val="24"/>
          <w:szCs w:val="24"/>
          <w:highlight w:val="none"/>
        </w:rPr>
        <w:t>5、危险性较大的分部分项工程清单及超过一定规模的危险性较大的分部分项工程清单：</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275"/>
        <w:gridCol w:w="1418"/>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jc w:val="center"/>
              <w:rPr>
                <w:b/>
                <w:color w:val="auto"/>
                <w:sz w:val="24"/>
                <w:szCs w:val="24"/>
                <w:highlight w:val="none"/>
              </w:rPr>
            </w:pPr>
            <w:r>
              <w:rPr>
                <w:rFonts w:hint="eastAsia"/>
                <w:b/>
                <w:color w:val="auto"/>
                <w:sz w:val="24"/>
                <w:szCs w:val="24"/>
                <w:highlight w:val="none"/>
              </w:rPr>
              <w:t>一、危险性较大的分部分项工程清单</w:t>
            </w:r>
          </w:p>
        </w:tc>
        <w:tc>
          <w:tcPr>
            <w:tcW w:w="1275" w:type="dxa"/>
            <w:vAlign w:val="center"/>
          </w:tcPr>
          <w:p>
            <w:pPr>
              <w:jc w:val="center"/>
              <w:rPr>
                <w:color w:val="auto"/>
                <w:sz w:val="24"/>
                <w:szCs w:val="36"/>
                <w:highlight w:val="none"/>
              </w:rPr>
            </w:pPr>
            <w:r>
              <w:rPr>
                <w:rFonts w:hint="eastAsia" w:ascii="宋体" w:hAnsi="宋体"/>
                <w:color w:val="auto"/>
                <w:sz w:val="24"/>
                <w:szCs w:val="36"/>
                <w:highlight w:val="none"/>
              </w:rPr>
              <w:t>建设单位</w:t>
            </w:r>
          </w:p>
        </w:tc>
        <w:tc>
          <w:tcPr>
            <w:tcW w:w="1418" w:type="dxa"/>
            <w:vAlign w:val="center"/>
          </w:tcPr>
          <w:p>
            <w:pPr>
              <w:jc w:val="center"/>
              <w:rPr>
                <w:color w:val="auto"/>
                <w:sz w:val="24"/>
                <w:szCs w:val="36"/>
                <w:highlight w:val="none"/>
              </w:rPr>
            </w:pPr>
            <w:r>
              <w:rPr>
                <w:rFonts w:hint="eastAsia" w:ascii="宋体" w:hAnsi="宋体"/>
                <w:color w:val="auto"/>
                <w:sz w:val="24"/>
                <w:szCs w:val="36"/>
                <w:highlight w:val="none"/>
              </w:rPr>
              <w:t>投标单位</w:t>
            </w:r>
          </w:p>
        </w:tc>
        <w:tc>
          <w:tcPr>
            <w:tcW w:w="759" w:type="dxa"/>
            <w:shd w:val="clear" w:color="auto" w:fill="auto"/>
            <w:vAlign w:val="center"/>
          </w:tcPr>
          <w:p>
            <w:pPr>
              <w:jc w:val="center"/>
              <w:rPr>
                <w:color w:val="auto"/>
                <w:sz w:val="24"/>
                <w:szCs w:val="36"/>
                <w:highlight w:val="none"/>
              </w:rPr>
            </w:pPr>
            <w:r>
              <w:rPr>
                <w:rFonts w:hint="eastAsia" w:ascii="宋体" w:hAnsi="宋体"/>
                <w:color w:val="auto"/>
                <w:sz w:val="24"/>
                <w:szCs w:val="36"/>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color w:val="auto"/>
                <w:sz w:val="24"/>
                <w:szCs w:val="24"/>
                <w:highlight w:val="none"/>
              </w:rPr>
              <w:t>一、基坑支护</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（一）开挖深度超过3m（含3m）的基坑（槽）的土方开挖、支护、降水工程。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（二）开挖深度虽未超过3m，但地质条件、周围环境和地下管线复杂，或影响毗邻建、构筑物安全的基坑（槽）的土方开挖、支护、降水工程。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二、模板工程及支撑体系</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（一）各类工具式模板工程：包括滑模、爬模、飞模、隧道模等工程。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75" w:type="dxa"/>
            <w:vAlign w:val="center"/>
          </w:tcPr>
          <w:p>
            <w:pPr>
              <w:jc w:val="center"/>
              <w:rPr>
                <w:color w:val="auto"/>
                <w:sz w:val="24"/>
                <w:szCs w:val="36"/>
                <w:highlight w:val="none"/>
              </w:rPr>
            </w:pPr>
            <w:r>
              <w:rPr>
                <w:rFonts w:hint="eastAsia"/>
                <w:color w:val="auto"/>
                <w:sz w:val="24"/>
                <w:szCs w:val="36"/>
                <w:highlight w:val="none"/>
              </w:rPr>
              <w:t>(</w:t>
            </w:r>
            <w:r>
              <w:rPr>
                <w:rFonts w:hint="eastAsia" w:ascii="宋体 ，Arial" w:eastAsia="宋体 ，Arial"/>
                <w:color w:val="auto"/>
                <w:sz w:val="24"/>
                <w:szCs w:val="24"/>
                <w:highlight w:val="none"/>
                <w:lang w:val="en-US" w:eastAsia="zh-CN"/>
              </w:rPr>
              <w:t xml:space="preserve">    </w:t>
            </w:r>
            <w:r>
              <w:rPr>
                <w:rFonts w:hint="eastAsia"/>
                <w:color w:val="auto"/>
                <w:sz w:val="24"/>
                <w:szCs w:val="36"/>
                <w:highlight w:val="none"/>
              </w:rPr>
              <w:t>)</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widowControl/>
              <w:spacing w:line="360" w:lineRule="atLeast"/>
              <w:jc w:val="left"/>
              <w:rPr>
                <w:rFonts w:ascii="宋体 ，Arial" w:hAnsi="宋体" w:eastAsia="宋体 ，Arial" w:cs="宋体"/>
                <w:color w:val="auto"/>
                <w:kern w:val="0"/>
                <w:sz w:val="24"/>
                <w:szCs w:val="24"/>
                <w:highlight w:val="none"/>
              </w:rPr>
            </w:pPr>
            <w:r>
              <w:rPr>
                <w:rFonts w:hint="eastAsia" w:ascii="宋体 ，Arial" w:hAnsi="宋体" w:eastAsia="宋体 ，Arial" w:cs="宋体"/>
                <w:color w:val="auto"/>
                <w:kern w:val="0"/>
                <w:sz w:val="24"/>
                <w:szCs w:val="24"/>
                <w:highlight w:val="none"/>
              </w:rPr>
              <w:t>（三）承重支撑体系：用于钢结构安装等满堂支撑体系。</w:t>
            </w:r>
          </w:p>
        </w:tc>
        <w:tc>
          <w:tcPr>
            <w:tcW w:w="1275" w:type="dxa"/>
            <w:vAlign w:val="center"/>
          </w:tcPr>
          <w:p>
            <w:pPr>
              <w:jc w:val="center"/>
              <w:rPr>
                <w:color w:val="auto"/>
                <w:sz w:val="24"/>
                <w:szCs w:val="36"/>
                <w:highlight w:val="none"/>
              </w:rPr>
            </w:pPr>
            <w:r>
              <w:rPr>
                <w:rFonts w:hint="eastAsia"/>
                <w:color w:val="auto"/>
                <w:sz w:val="24"/>
                <w:szCs w:val="36"/>
                <w:highlight w:val="none"/>
              </w:rPr>
              <w:t>(</w:t>
            </w:r>
            <w:r>
              <w:rPr>
                <w:rFonts w:hint="eastAsia" w:ascii="宋体 ，Arial" w:eastAsia="宋体 ，Arial"/>
                <w:color w:val="auto"/>
                <w:sz w:val="24"/>
                <w:szCs w:val="24"/>
                <w:highlight w:val="none"/>
              </w:rPr>
              <w:t>√</w:t>
            </w:r>
            <w:r>
              <w:rPr>
                <w:rFonts w:hint="eastAsia"/>
                <w:color w:val="auto"/>
                <w:sz w:val="24"/>
                <w:szCs w:val="36"/>
                <w:highlight w:val="none"/>
              </w:rPr>
              <w:t>)</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widowControl/>
              <w:spacing w:line="360" w:lineRule="atLeast"/>
              <w:jc w:val="left"/>
              <w:rPr>
                <w:rFonts w:ascii="宋体 ，Arial" w:hAnsi="宋体" w:eastAsia="宋体 ，Arial" w:cs="宋体"/>
                <w:color w:val="auto"/>
                <w:kern w:val="0"/>
                <w:sz w:val="24"/>
                <w:szCs w:val="24"/>
                <w:highlight w:val="none"/>
              </w:rPr>
            </w:pPr>
            <w:r>
              <w:rPr>
                <w:rFonts w:hint="eastAsia" w:ascii="宋体 ，Arial" w:hAnsi="宋体" w:eastAsia="宋体 ，Arial" w:cs="宋体"/>
                <w:color w:val="auto"/>
                <w:kern w:val="0"/>
                <w:sz w:val="24"/>
                <w:szCs w:val="24"/>
                <w:highlight w:val="none"/>
              </w:rPr>
              <w:t>　三、起重吊装及起重机械安装拆卸工程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widowControl/>
              <w:spacing w:line="360" w:lineRule="atLeast"/>
              <w:jc w:val="left"/>
              <w:rPr>
                <w:rFonts w:ascii="宋体 ，Arial" w:hAnsi="宋体" w:eastAsia="宋体 ，Arial" w:cs="宋体"/>
                <w:color w:val="auto"/>
                <w:kern w:val="0"/>
                <w:sz w:val="24"/>
                <w:szCs w:val="24"/>
                <w:highlight w:val="none"/>
              </w:rPr>
            </w:pPr>
            <w:r>
              <w:rPr>
                <w:rFonts w:hint="eastAsia" w:ascii="宋体 ，Arial" w:hAnsi="宋体" w:eastAsia="宋体 ，Arial" w:cs="宋体"/>
                <w:color w:val="auto"/>
                <w:kern w:val="0"/>
                <w:sz w:val="24"/>
                <w:szCs w:val="24"/>
                <w:highlight w:val="none"/>
              </w:rPr>
              <w:t>（一）采用非常规起重设备、方法，且单件起吊重量在10kN及以上的起重吊装工程。</w:t>
            </w:r>
          </w:p>
        </w:tc>
        <w:tc>
          <w:tcPr>
            <w:tcW w:w="1275" w:type="dxa"/>
            <w:vAlign w:val="center"/>
          </w:tcPr>
          <w:p>
            <w:pPr>
              <w:jc w:val="center"/>
              <w:rPr>
                <w:color w:val="auto"/>
                <w:sz w:val="24"/>
                <w:szCs w:val="36"/>
                <w:highlight w:val="none"/>
              </w:rPr>
            </w:pPr>
            <w:r>
              <w:rPr>
                <w:rFonts w:hint="eastAsia"/>
                <w:color w:val="auto"/>
                <w:sz w:val="24"/>
                <w:szCs w:val="36"/>
                <w:highlight w:val="none"/>
              </w:rPr>
              <w:t>(</w:t>
            </w:r>
            <w:r>
              <w:rPr>
                <w:rFonts w:hint="eastAsia" w:ascii="宋体 ，Arial" w:eastAsia="宋体 ，Arial"/>
                <w:color w:val="auto"/>
                <w:sz w:val="24"/>
                <w:szCs w:val="24"/>
                <w:highlight w:val="none"/>
              </w:rPr>
              <w:t>√</w:t>
            </w:r>
            <w:r>
              <w:rPr>
                <w:rFonts w:hint="eastAsia"/>
                <w:color w:val="auto"/>
                <w:sz w:val="24"/>
                <w:szCs w:val="36"/>
                <w:highlight w:val="none"/>
              </w:rPr>
              <w:t>)</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hAnsi="宋体" w:eastAsia="宋体 ，Arial" w:cs="宋体"/>
                <w:color w:val="auto"/>
                <w:kern w:val="0"/>
                <w:sz w:val="24"/>
                <w:szCs w:val="24"/>
                <w:highlight w:val="none"/>
              </w:rPr>
              <w:t>（二）采用起重机械进行安装的工程。</w:t>
            </w:r>
          </w:p>
        </w:tc>
        <w:tc>
          <w:tcPr>
            <w:tcW w:w="1275" w:type="dxa"/>
            <w:vAlign w:val="center"/>
          </w:tcPr>
          <w:p>
            <w:pPr>
              <w:jc w:val="center"/>
              <w:rPr>
                <w:color w:val="auto"/>
                <w:sz w:val="24"/>
                <w:szCs w:val="36"/>
                <w:highlight w:val="none"/>
              </w:rPr>
            </w:pPr>
            <w:r>
              <w:rPr>
                <w:rFonts w:hint="eastAsia"/>
                <w:color w:val="auto"/>
                <w:sz w:val="24"/>
                <w:szCs w:val="36"/>
                <w:highlight w:val="none"/>
              </w:rPr>
              <w:t>(</w:t>
            </w:r>
            <w:r>
              <w:rPr>
                <w:rFonts w:hint="eastAsia" w:ascii="宋体 ，Arial" w:eastAsia="宋体 ，Arial"/>
                <w:color w:val="auto"/>
                <w:sz w:val="24"/>
                <w:szCs w:val="24"/>
                <w:highlight w:val="none"/>
              </w:rPr>
              <w:t>√</w:t>
            </w:r>
            <w:r>
              <w:rPr>
                <w:rFonts w:hint="eastAsia"/>
                <w:color w:val="auto"/>
                <w:sz w:val="24"/>
                <w:szCs w:val="36"/>
                <w:highlight w:val="none"/>
              </w:rPr>
              <w:t>)</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hAnsi="宋体" w:eastAsia="宋体 ，Arial" w:cs="宋体"/>
                <w:color w:val="auto"/>
                <w:kern w:val="0"/>
                <w:sz w:val="24"/>
                <w:szCs w:val="24"/>
                <w:highlight w:val="none"/>
              </w:rPr>
            </w:pPr>
            <w:r>
              <w:rPr>
                <w:rFonts w:hint="eastAsia" w:ascii="宋体 ，Arial" w:hAnsi="宋体" w:eastAsia="宋体 ，Arial" w:cs="宋体"/>
                <w:color w:val="auto"/>
                <w:kern w:val="0"/>
                <w:sz w:val="24"/>
                <w:szCs w:val="24"/>
                <w:highlight w:val="none"/>
              </w:rPr>
              <w:t>（三）起重机械安装和拆卸工程。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四、脚手架工程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（一）搭设高度24m及以上的落地式钢管脚手架工程（包括采光井、电梯井脚手架）。</w:t>
            </w:r>
          </w:p>
        </w:tc>
        <w:tc>
          <w:tcPr>
            <w:tcW w:w="1275" w:type="dxa"/>
            <w:vAlign w:val="center"/>
          </w:tcPr>
          <w:p>
            <w:pPr>
              <w:jc w:val="center"/>
              <w:rPr>
                <w:color w:val="auto"/>
                <w:sz w:val="24"/>
                <w:szCs w:val="36"/>
                <w:highlight w:val="none"/>
              </w:rPr>
            </w:pPr>
            <w:r>
              <w:rPr>
                <w:rFonts w:hint="eastAsia"/>
                <w:color w:val="auto"/>
                <w:sz w:val="24"/>
                <w:szCs w:val="36"/>
                <w:highlight w:val="none"/>
              </w:rPr>
              <w:t xml:space="preserve">(  </w:t>
            </w:r>
            <w:r>
              <w:rPr>
                <w:color w:val="auto"/>
                <w:sz w:val="24"/>
                <w:szCs w:val="36"/>
                <w:highlight w:val="none"/>
              </w:rPr>
              <w:t xml:space="preserve"> </w:t>
            </w:r>
            <w:r>
              <w:rPr>
                <w:rFonts w:hint="eastAsia"/>
                <w:color w:val="auto"/>
                <w:sz w:val="24"/>
                <w:szCs w:val="36"/>
                <w:highlight w:val="none"/>
              </w:rPr>
              <w:t xml:space="preserve"> )</w:t>
            </w:r>
          </w:p>
        </w:tc>
        <w:tc>
          <w:tcPr>
            <w:tcW w:w="1418" w:type="dxa"/>
            <w:vAlign w:val="center"/>
          </w:tcPr>
          <w:p>
            <w:pPr>
              <w:jc w:val="center"/>
              <w:rPr>
                <w:color w:val="auto"/>
                <w:sz w:val="24"/>
                <w:szCs w:val="36"/>
                <w:highlight w:val="none"/>
              </w:rPr>
            </w:pPr>
            <w:r>
              <w:rPr>
                <w:rFonts w:hint="eastAsia"/>
                <w:color w:val="auto"/>
                <w:sz w:val="24"/>
                <w:szCs w:val="36"/>
                <w:highlight w:val="none"/>
              </w:rPr>
              <w:t>(</w:t>
            </w:r>
            <w:r>
              <w:rPr>
                <w:rFonts w:hint="eastAsia" w:ascii="宋体 ，Arial" w:eastAsia="宋体 ，Arial"/>
                <w:color w:val="auto"/>
                <w:kern w:val="0"/>
                <w:sz w:val="24"/>
                <w:szCs w:val="24"/>
                <w:highlight w:val="none"/>
              </w:rPr>
              <w:t xml:space="preserve"> </w:t>
            </w:r>
            <w:r>
              <w:rPr>
                <w:rFonts w:ascii="宋体 ，Arial" w:eastAsia="宋体 ，Arial"/>
                <w:color w:val="auto"/>
                <w:kern w:val="0"/>
                <w:sz w:val="24"/>
                <w:szCs w:val="24"/>
                <w:highlight w:val="none"/>
              </w:rPr>
              <w:t xml:space="preserve">  </w:t>
            </w:r>
            <w:r>
              <w:rPr>
                <w:rFonts w:hint="eastAsia"/>
                <w:color w:val="auto"/>
                <w:sz w:val="24"/>
                <w:szCs w:val="36"/>
                <w:highlight w:val="none"/>
              </w:rPr>
              <w:t xml:space="preserve">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（二）附着式升降脚手架工程。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w:t>
            </w:r>
            <w:r>
              <w:rPr>
                <w:rFonts w:hint="eastAsia" w:ascii="宋体 ，Arial" w:eastAsia="宋体 ，Arial"/>
                <w:color w:val="auto"/>
                <w:kern w:val="0"/>
                <w:sz w:val="24"/>
                <w:szCs w:val="24"/>
                <w:highlight w:val="none"/>
              </w:rPr>
              <w:t xml:space="preserve"> </w:t>
            </w:r>
            <w:r>
              <w:rPr>
                <w:rFonts w:ascii="宋体 ，Arial" w:eastAsia="宋体 ，Arial"/>
                <w:color w:val="auto"/>
                <w:kern w:val="0"/>
                <w:sz w:val="24"/>
                <w:szCs w:val="24"/>
                <w:highlight w:val="none"/>
              </w:rPr>
              <w:t xml:space="preserve">  </w:t>
            </w:r>
            <w:r>
              <w:rPr>
                <w:rFonts w:hint="eastAsia"/>
                <w:color w:val="auto"/>
                <w:sz w:val="24"/>
                <w:szCs w:val="36"/>
                <w:highlight w:val="none"/>
              </w:rPr>
              <w:t xml:space="preserve">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（三）悬挑式脚手架工程。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w:t>
            </w:r>
            <w:r>
              <w:rPr>
                <w:rFonts w:hint="eastAsia" w:ascii="宋体 ，Arial" w:eastAsia="宋体 ，Arial"/>
                <w:color w:val="auto"/>
                <w:kern w:val="0"/>
                <w:sz w:val="24"/>
                <w:szCs w:val="24"/>
                <w:highlight w:val="none"/>
              </w:rPr>
              <w:t xml:space="preserve"> </w:t>
            </w:r>
            <w:r>
              <w:rPr>
                <w:rFonts w:ascii="宋体 ，Arial" w:eastAsia="宋体 ，Arial"/>
                <w:color w:val="auto"/>
                <w:kern w:val="0"/>
                <w:sz w:val="24"/>
                <w:szCs w:val="24"/>
                <w:highlight w:val="none"/>
              </w:rPr>
              <w:t xml:space="preserve">  </w:t>
            </w:r>
            <w:r>
              <w:rPr>
                <w:rFonts w:hint="eastAsia"/>
                <w:color w:val="auto"/>
                <w:sz w:val="24"/>
                <w:szCs w:val="36"/>
                <w:highlight w:val="none"/>
              </w:rPr>
              <w:t xml:space="preserve">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（四）高处作业吊篮。</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w:t>
            </w:r>
            <w:r>
              <w:rPr>
                <w:rFonts w:hint="eastAsia" w:ascii="宋体 ，Arial" w:eastAsia="宋体 ，Arial"/>
                <w:color w:val="auto"/>
                <w:kern w:val="0"/>
                <w:sz w:val="24"/>
                <w:szCs w:val="24"/>
                <w:highlight w:val="none"/>
              </w:rPr>
              <w:t xml:space="preserve"> </w:t>
            </w:r>
            <w:r>
              <w:rPr>
                <w:rFonts w:ascii="宋体 ，Arial" w:eastAsia="宋体 ，Arial"/>
                <w:color w:val="auto"/>
                <w:kern w:val="0"/>
                <w:sz w:val="24"/>
                <w:szCs w:val="24"/>
                <w:highlight w:val="none"/>
              </w:rPr>
              <w:t xml:space="preserve">  </w:t>
            </w:r>
            <w:r>
              <w:rPr>
                <w:rFonts w:hint="eastAsia"/>
                <w:color w:val="auto"/>
                <w:sz w:val="24"/>
                <w:szCs w:val="36"/>
                <w:highlight w:val="none"/>
              </w:rPr>
              <w:t xml:space="preserve">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（五）卸料平台、操作平台工程。</w:t>
            </w:r>
          </w:p>
        </w:tc>
        <w:tc>
          <w:tcPr>
            <w:tcW w:w="1275" w:type="dxa"/>
            <w:vAlign w:val="center"/>
          </w:tcPr>
          <w:p>
            <w:pPr>
              <w:jc w:val="center"/>
              <w:rPr>
                <w:color w:val="auto"/>
                <w:sz w:val="24"/>
                <w:szCs w:val="36"/>
                <w:highlight w:val="none"/>
              </w:rPr>
            </w:pPr>
            <w:r>
              <w:rPr>
                <w:rFonts w:hint="eastAsia"/>
                <w:color w:val="auto"/>
                <w:sz w:val="24"/>
                <w:szCs w:val="36"/>
                <w:highlight w:val="none"/>
              </w:rPr>
              <w:t xml:space="preserve">(  </w:t>
            </w:r>
            <w:r>
              <w:rPr>
                <w:color w:val="auto"/>
                <w:sz w:val="24"/>
                <w:szCs w:val="36"/>
                <w:highlight w:val="none"/>
              </w:rPr>
              <w:t xml:space="preserve"> </w:t>
            </w:r>
            <w:r>
              <w:rPr>
                <w:rFonts w:hint="eastAsia"/>
                <w:color w:val="auto"/>
                <w:sz w:val="24"/>
                <w:szCs w:val="36"/>
                <w:highlight w:val="none"/>
              </w:rPr>
              <w:t xml:space="preserve"> )</w:t>
            </w:r>
          </w:p>
        </w:tc>
        <w:tc>
          <w:tcPr>
            <w:tcW w:w="1418" w:type="dxa"/>
            <w:vAlign w:val="center"/>
          </w:tcPr>
          <w:p>
            <w:pPr>
              <w:jc w:val="center"/>
              <w:rPr>
                <w:color w:val="auto"/>
                <w:sz w:val="24"/>
                <w:szCs w:val="36"/>
                <w:highlight w:val="none"/>
              </w:rPr>
            </w:pPr>
            <w:r>
              <w:rPr>
                <w:rFonts w:hint="eastAsia"/>
                <w:color w:val="auto"/>
                <w:sz w:val="24"/>
                <w:szCs w:val="36"/>
                <w:highlight w:val="none"/>
              </w:rPr>
              <w:t>(</w:t>
            </w:r>
            <w:r>
              <w:rPr>
                <w:rFonts w:hint="eastAsia" w:ascii="宋体 ，Arial" w:eastAsia="宋体 ，Arial"/>
                <w:color w:val="auto"/>
                <w:kern w:val="0"/>
                <w:sz w:val="24"/>
                <w:szCs w:val="24"/>
                <w:highlight w:val="none"/>
              </w:rPr>
              <w:t xml:space="preserve"> </w:t>
            </w:r>
            <w:r>
              <w:rPr>
                <w:rFonts w:ascii="宋体 ，Arial" w:eastAsia="宋体 ，Arial"/>
                <w:color w:val="auto"/>
                <w:kern w:val="0"/>
                <w:sz w:val="24"/>
                <w:szCs w:val="24"/>
                <w:highlight w:val="none"/>
              </w:rPr>
              <w:t xml:space="preserve">  </w:t>
            </w:r>
            <w:r>
              <w:rPr>
                <w:rFonts w:hint="eastAsia"/>
                <w:color w:val="auto"/>
                <w:sz w:val="24"/>
                <w:szCs w:val="36"/>
                <w:highlight w:val="none"/>
              </w:rPr>
              <w:t xml:space="preserve">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（六）异型脚手架工程。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w:t>
            </w:r>
            <w:r>
              <w:rPr>
                <w:rFonts w:hint="eastAsia" w:ascii="宋体 ，Arial" w:eastAsia="宋体 ，Arial"/>
                <w:color w:val="auto"/>
                <w:kern w:val="0"/>
                <w:sz w:val="24"/>
                <w:szCs w:val="24"/>
                <w:highlight w:val="none"/>
              </w:rPr>
              <w:t xml:space="preserve"> </w:t>
            </w:r>
            <w:r>
              <w:rPr>
                <w:rFonts w:ascii="宋体 ，Arial" w:eastAsia="宋体 ，Arial"/>
                <w:color w:val="auto"/>
                <w:kern w:val="0"/>
                <w:sz w:val="24"/>
                <w:szCs w:val="24"/>
                <w:highlight w:val="none"/>
              </w:rPr>
              <w:t xml:space="preserve"> </w:t>
            </w:r>
            <w:r>
              <w:rPr>
                <w:rFonts w:hint="eastAsia"/>
                <w:color w:val="auto"/>
                <w:sz w:val="24"/>
                <w:szCs w:val="36"/>
                <w:highlight w:val="none"/>
              </w:rPr>
              <w:t xml:space="preserve">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五、拆除工程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可能影响行人、交通、电力设施、通讯设施或其它建、构筑物安全的拆除工程。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auto"/>
                <w:sz w:val="24"/>
                <w:szCs w:val="24"/>
                <w:highlight w:val="none"/>
              </w:rPr>
            </w:pPr>
            <w:r>
              <w:rPr>
                <w:rFonts w:hint="eastAsia" w:ascii="宋体 ，Arial" w:eastAsia="宋体 ，Arial"/>
                <w:color w:val="auto"/>
                <w:sz w:val="24"/>
                <w:szCs w:val="24"/>
                <w:highlight w:val="none"/>
              </w:rPr>
              <w:t>　六、暗挖工程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采用矿山法、盾构法、顶管法施工的隧道、洞室工程。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七、其它</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（一）建筑幕墙安装工程。</w:t>
            </w:r>
          </w:p>
        </w:tc>
        <w:tc>
          <w:tcPr>
            <w:tcW w:w="1275" w:type="dxa"/>
            <w:vAlign w:val="center"/>
          </w:tcPr>
          <w:p>
            <w:pPr>
              <w:jc w:val="center"/>
              <w:rPr>
                <w:color w:val="auto"/>
                <w:sz w:val="24"/>
                <w:szCs w:val="36"/>
                <w:highlight w:val="none"/>
              </w:rPr>
            </w:pPr>
            <w:r>
              <w:rPr>
                <w:rFonts w:hint="eastAsia"/>
                <w:color w:val="auto"/>
                <w:sz w:val="24"/>
                <w:szCs w:val="36"/>
                <w:highlight w:val="none"/>
              </w:rPr>
              <w:t>(</w:t>
            </w:r>
            <w:r>
              <w:rPr>
                <w:rFonts w:hint="eastAsia" w:ascii="宋体 ，Arial" w:eastAsia="宋体 ，Arial"/>
                <w:color w:val="auto"/>
                <w:sz w:val="24"/>
                <w:szCs w:val="24"/>
                <w:highlight w:val="none"/>
              </w:rPr>
              <w:t>√</w:t>
            </w:r>
            <w:r>
              <w:rPr>
                <w:rFonts w:hint="eastAsia"/>
                <w:color w:val="auto"/>
                <w:sz w:val="24"/>
                <w:szCs w:val="36"/>
                <w:highlight w:val="none"/>
              </w:rPr>
              <w:t>)</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（二）钢结构、网架和索膜结构安装工程。</w:t>
            </w:r>
          </w:p>
        </w:tc>
        <w:tc>
          <w:tcPr>
            <w:tcW w:w="1275" w:type="dxa"/>
            <w:vAlign w:val="center"/>
          </w:tcPr>
          <w:p>
            <w:pPr>
              <w:jc w:val="center"/>
              <w:rPr>
                <w:color w:val="auto"/>
                <w:sz w:val="24"/>
                <w:szCs w:val="36"/>
                <w:highlight w:val="none"/>
              </w:rPr>
            </w:pPr>
            <w:r>
              <w:rPr>
                <w:rFonts w:hint="eastAsia"/>
                <w:color w:val="auto"/>
                <w:sz w:val="24"/>
                <w:szCs w:val="36"/>
                <w:highlight w:val="none"/>
              </w:rPr>
              <w:t>(</w:t>
            </w:r>
            <w:r>
              <w:rPr>
                <w:rFonts w:hint="eastAsia" w:ascii="宋体 ，Arial" w:eastAsia="宋体 ，Arial"/>
                <w:color w:val="auto"/>
                <w:sz w:val="24"/>
                <w:szCs w:val="24"/>
                <w:highlight w:val="none"/>
              </w:rPr>
              <w:t>√</w:t>
            </w:r>
            <w:r>
              <w:rPr>
                <w:rFonts w:hint="eastAsia"/>
                <w:color w:val="auto"/>
                <w:sz w:val="24"/>
                <w:szCs w:val="36"/>
                <w:highlight w:val="none"/>
              </w:rPr>
              <w:t>)</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（三）人工挖孔桩工程。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（四）水下作业工程。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（五）装配式建筑混凝土预制构件安装工程。</w:t>
            </w:r>
          </w:p>
        </w:tc>
        <w:tc>
          <w:tcPr>
            <w:tcW w:w="1275" w:type="dxa"/>
            <w:vAlign w:val="center"/>
          </w:tcPr>
          <w:p>
            <w:pPr>
              <w:jc w:val="center"/>
              <w:rPr>
                <w:color w:val="auto"/>
                <w:sz w:val="24"/>
                <w:szCs w:val="36"/>
                <w:highlight w:val="none"/>
              </w:rPr>
            </w:pPr>
            <w:r>
              <w:rPr>
                <w:rFonts w:hint="eastAsia"/>
                <w:color w:val="auto"/>
                <w:sz w:val="24"/>
                <w:szCs w:val="36"/>
                <w:highlight w:val="none"/>
              </w:rPr>
              <w:t>(</w:t>
            </w:r>
            <w:r>
              <w:rPr>
                <w:color w:val="auto"/>
                <w:sz w:val="24"/>
                <w:szCs w:val="36"/>
                <w:highlight w:val="none"/>
              </w:rPr>
              <w:t xml:space="preserve">    </w:t>
            </w:r>
            <w:r>
              <w:rPr>
                <w:rFonts w:hint="eastAsia"/>
                <w:color w:val="auto"/>
                <w:sz w:val="24"/>
                <w:szCs w:val="36"/>
                <w:highlight w:val="none"/>
              </w:rPr>
              <w:t>)</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（六）采用新技术、新工艺、新材料、新设备可能影响工程施工安全，尚无国家、行业及地方技术标准的分部分项工程。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widowControl/>
              <w:spacing w:line="360" w:lineRule="atLeast"/>
              <w:jc w:val="center"/>
              <w:rPr>
                <w:rFonts w:eastAsia="宋体 ，Arial" w:cs="宋体"/>
                <w:b/>
                <w:color w:val="auto"/>
                <w:kern w:val="0"/>
                <w:sz w:val="24"/>
                <w:szCs w:val="24"/>
                <w:highlight w:val="none"/>
              </w:rPr>
            </w:pPr>
            <w:r>
              <w:rPr>
                <w:rFonts w:hint="eastAsia" w:ascii="宋体 ，Arial" w:hAnsi="宋体" w:eastAsia="宋体 ，Arial" w:cs="宋体"/>
                <w:b/>
                <w:bCs/>
                <w:color w:val="auto"/>
                <w:kern w:val="0"/>
                <w:sz w:val="24"/>
                <w:szCs w:val="24"/>
                <w:highlight w:val="none"/>
              </w:rPr>
              <w:t>二、超过一定规模的危险性较大的分部分项工程清单</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一、深基坑工程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开挖深度超过5m（含5m）的基坑（槽）的土方开挖、支护、降水工程。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二、模板工程及支撑体系</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（一）各类工具式模板工程：包括滑模、爬模、飞模、隧道模等工程。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（二）混凝土模板支撑工程：搭设高度8m及以上，或搭设跨度18m及以上，或施工总荷载（设计值）15kN/m2及以上，或集中线荷载（设计值）20kN/m及以上。</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（三）承重支撑体系：用于钢结构安装等满堂支撑体系，承受单点集中荷载</w:t>
            </w:r>
            <w:r>
              <w:rPr>
                <w:rFonts w:ascii="宋体 ，Arial" w:eastAsia="宋体 ，Arial"/>
                <w:color w:val="auto"/>
                <w:sz w:val="24"/>
                <w:szCs w:val="24"/>
                <w:highlight w:val="none"/>
              </w:rPr>
              <w:t>7kN</w:t>
            </w:r>
            <w:r>
              <w:rPr>
                <w:rFonts w:hint="eastAsia" w:ascii="宋体 ，Arial" w:eastAsia="宋体 ，Arial"/>
                <w:color w:val="auto"/>
                <w:sz w:val="24"/>
                <w:szCs w:val="24"/>
                <w:highlight w:val="none"/>
              </w:rPr>
              <w:t>及以上。</w:t>
            </w:r>
          </w:p>
        </w:tc>
        <w:tc>
          <w:tcPr>
            <w:tcW w:w="1275" w:type="dxa"/>
            <w:vAlign w:val="center"/>
          </w:tcPr>
          <w:p>
            <w:pPr>
              <w:jc w:val="center"/>
              <w:rPr>
                <w:color w:val="auto"/>
                <w:sz w:val="24"/>
                <w:szCs w:val="36"/>
                <w:highlight w:val="none"/>
              </w:rPr>
            </w:pPr>
            <w:r>
              <w:rPr>
                <w:rFonts w:hint="eastAsia"/>
                <w:color w:val="auto"/>
                <w:sz w:val="24"/>
                <w:szCs w:val="36"/>
                <w:highlight w:val="none"/>
              </w:rPr>
              <w:t xml:space="preserve">( </w:t>
            </w:r>
            <w:r>
              <w:rPr>
                <w:rFonts w:hint="eastAsia"/>
                <w:color w:val="auto"/>
                <w:sz w:val="24"/>
                <w:szCs w:val="36"/>
                <w:highlight w:val="none"/>
                <w:lang w:val="en-US" w:eastAsia="zh-CN"/>
              </w:rPr>
              <w:t xml:space="preserve">  </w:t>
            </w:r>
            <w:r>
              <w:rPr>
                <w:rFonts w:hint="eastAsia"/>
                <w:color w:val="auto"/>
                <w:sz w:val="24"/>
                <w:szCs w:val="36"/>
                <w:highlight w:val="none"/>
              </w:rPr>
              <w:t xml:space="preserve">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　三、起重吊装及起重机械安装拆卸工程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（一）采用非常规起重设备、方法，且单件起吊重量在100kN及以上的起重吊装工程。</w:t>
            </w:r>
          </w:p>
        </w:tc>
        <w:tc>
          <w:tcPr>
            <w:tcW w:w="1275" w:type="dxa"/>
            <w:vAlign w:val="center"/>
          </w:tcPr>
          <w:p>
            <w:pPr>
              <w:jc w:val="center"/>
              <w:rPr>
                <w:color w:val="auto"/>
                <w:sz w:val="24"/>
                <w:szCs w:val="36"/>
                <w:highlight w:val="none"/>
              </w:rPr>
            </w:pPr>
            <w:r>
              <w:rPr>
                <w:rFonts w:hint="eastAsia"/>
                <w:color w:val="auto"/>
                <w:sz w:val="24"/>
                <w:szCs w:val="36"/>
                <w:highlight w:val="none"/>
              </w:rPr>
              <w:t>(</w:t>
            </w:r>
            <w:r>
              <w:rPr>
                <w:color w:val="auto"/>
                <w:sz w:val="24"/>
                <w:szCs w:val="36"/>
                <w:highlight w:val="none"/>
              </w:rPr>
              <w:t xml:space="preserve"> </w:t>
            </w:r>
            <w:r>
              <w:rPr>
                <w:rFonts w:hint="eastAsia" w:ascii="宋体 ，Arial" w:eastAsia="宋体 ，Arial"/>
                <w:color w:val="auto"/>
                <w:sz w:val="24"/>
                <w:szCs w:val="24"/>
                <w:highlight w:val="none"/>
                <w:lang w:val="en-US" w:eastAsia="zh-CN"/>
              </w:rPr>
              <w:t xml:space="preserve">  </w:t>
            </w:r>
            <w:r>
              <w:rPr>
                <w:rFonts w:hint="eastAsia" w:ascii="宋体 ，Arial" w:eastAsia="宋体 ，Arial"/>
                <w:color w:val="auto"/>
                <w:sz w:val="24"/>
                <w:szCs w:val="24"/>
                <w:highlight w:val="none"/>
              </w:rPr>
              <w:t xml:space="preserve"> </w:t>
            </w:r>
            <w:r>
              <w:rPr>
                <w:rFonts w:hint="eastAsia"/>
                <w:color w:val="auto"/>
                <w:sz w:val="24"/>
                <w:szCs w:val="36"/>
                <w:highlight w:val="none"/>
              </w:rPr>
              <w:t>)</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（二）起重量</w:t>
            </w:r>
            <w:r>
              <w:rPr>
                <w:rFonts w:ascii="宋体 ，Arial" w:eastAsia="宋体 ，Arial"/>
                <w:color w:val="auto"/>
                <w:sz w:val="24"/>
                <w:szCs w:val="24"/>
                <w:highlight w:val="none"/>
              </w:rPr>
              <w:t>300kN</w:t>
            </w:r>
            <w:r>
              <w:rPr>
                <w:rFonts w:hint="eastAsia" w:ascii="宋体 ，Arial" w:eastAsia="宋体 ，Arial"/>
                <w:color w:val="auto"/>
                <w:sz w:val="24"/>
                <w:szCs w:val="24"/>
                <w:highlight w:val="none"/>
              </w:rPr>
              <w:t>及以上，或搭设总高度</w:t>
            </w:r>
            <w:r>
              <w:rPr>
                <w:rFonts w:ascii="宋体 ，Arial" w:eastAsia="宋体 ，Arial"/>
                <w:color w:val="auto"/>
                <w:sz w:val="24"/>
                <w:szCs w:val="24"/>
                <w:highlight w:val="none"/>
              </w:rPr>
              <w:t>200m</w:t>
            </w:r>
            <w:r>
              <w:rPr>
                <w:rFonts w:hint="eastAsia" w:ascii="宋体 ，Arial" w:eastAsia="宋体 ，Arial"/>
                <w:color w:val="auto"/>
                <w:sz w:val="24"/>
                <w:szCs w:val="24"/>
                <w:highlight w:val="none"/>
              </w:rPr>
              <w:t>及以上，或搭设基础标高在</w:t>
            </w:r>
            <w:r>
              <w:rPr>
                <w:rFonts w:ascii="宋体 ，Arial" w:eastAsia="宋体 ，Arial"/>
                <w:color w:val="auto"/>
                <w:sz w:val="24"/>
                <w:szCs w:val="24"/>
                <w:highlight w:val="none"/>
              </w:rPr>
              <w:t>200m</w:t>
            </w:r>
            <w:r>
              <w:rPr>
                <w:rFonts w:hint="eastAsia" w:ascii="宋体 ，Arial" w:eastAsia="宋体 ，Arial"/>
                <w:color w:val="auto"/>
                <w:sz w:val="24"/>
                <w:szCs w:val="24"/>
                <w:highlight w:val="none"/>
              </w:rPr>
              <w:t>及以上的起重机械安装和拆卸工程。</w:t>
            </w:r>
          </w:p>
        </w:tc>
        <w:tc>
          <w:tcPr>
            <w:tcW w:w="1275" w:type="dxa"/>
            <w:vAlign w:val="center"/>
          </w:tcPr>
          <w:p>
            <w:pPr>
              <w:jc w:val="center"/>
              <w:rPr>
                <w:color w:val="auto"/>
                <w:sz w:val="24"/>
                <w:szCs w:val="36"/>
                <w:highlight w:val="none"/>
              </w:rPr>
            </w:pPr>
            <w:r>
              <w:rPr>
                <w:rFonts w:hint="eastAsia"/>
                <w:color w:val="auto"/>
                <w:sz w:val="24"/>
                <w:szCs w:val="36"/>
                <w:highlight w:val="none"/>
              </w:rPr>
              <w:t>(</w:t>
            </w:r>
            <w:r>
              <w:rPr>
                <w:rFonts w:hint="eastAsia" w:ascii="宋体 ，Arial" w:eastAsia="宋体 ，Arial"/>
                <w:color w:val="auto"/>
                <w:sz w:val="24"/>
                <w:szCs w:val="24"/>
                <w:highlight w:val="none"/>
              </w:rPr>
              <w:t>√</w:t>
            </w:r>
            <w:r>
              <w:rPr>
                <w:rFonts w:hint="eastAsia"/>
                <w:color w:val="auto"/>
                <w:sz w:val="24"/>
                <w:szCs w:val="36"/>
                <w:highlight w:val="none"/>
              </w:rPr>
              <w:t>)</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四、脚手架工程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（一）搭设高度50m及以上的落地式钢管脚手架工程。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xml:space="preserve">(  </w:t>
            </w:r>
            <w:r>
              <w:rPr>
                <w:rFonts w:hint="eastAsia" w:ascii="宋体 ，Arial" w:eastAsia="宋体 ，Arial"/>
                <w:color w:val="auto"/>
                <w:kern w:val="0"/>
                <w:sz w:val="24"/>
                <w:szCs w:val="24"/>
                <w:highlight w:val="none"/>
              </w:rPr>
              <w:t xml:space="preserve"> </w:t>
            </w:r>
            <w:r>
              <w:rPr>
                <w:rFonts w:hint="eastAsia"/>
                <w:color w:val="auto"/>
                <w:sz w:val="24"/>
                <w:szCs w:val="36"/>
                <w:highlight w:val="none"/>
              </w:rPr>
              <w:t xml:space="preserve">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（二）提升高度在150m及以上的附着式升降脚手架工程或附着式升降操作平台工程。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（三）分段架体搭设高度20m及以上的悬挑式脚手架工程。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xml:space="preserve">(  </w:t>
            </w:r>
            <w:r>
              <w:rPr>
                <w:rFonts w:hint="eastAsia" w:ascii="宋体 ，Arial" w:eastAsia="宋体 ，Arial"/>
                <w:color w:val="auto"/>
                <w:kern w:val="0"/>
                <w:sz w:val="24"/>
                <w:szCs w:val="24"/>
                <w:highlight w:val="none"/>
              </w:rPr>
              <w:t xml:space="preserve"> </w:t>
            </w:r>
            <w:r>
              <w:rPr>
                <w:rFonts w:hint="eastAsia"/>
                <w:color w:val="auto"/>
                <w:sz w:val="24"/>
                <w:szCs w:val="36"/>
                <w:highlight w:val="none"/>
              </w:rPr>
              <w:t xml:space="preserve">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五、拆除工程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（一）码头、桥梁、高架、烟囱、水塔或拆除中容易引起有毒有害气（液）体或粉尘扩散、易燃易爆事故发生的特殊建、构筑物的拆除工程。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（二）文物保护建筑、优秀历史建筑或历史文化风貌区影响范围内的拆除工程。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六、暗挖工程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采用矿山法、盾构法、顶管法施工的隧道、洞室工程。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七、其它</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（一）施工高度50m及以上的建筑幕墙安装工程。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（二）跨度36m及以上的钢结构安装工程，或跨度60m及以上的网架和索膜结构安装工程。</w:t>
            </w:r>
          </w:p>
        </w:tc>
        <w:tc>
          <w:tcPr>
            <w:tcW w:w="1275" w:type="dxa"/>
            <w:vAlign w:val="center"/>
          </w:tcPr>
          <w:p>
            <w:pPr>
              <w:jc w:val="center"/>
              <w:rPr>
                <w:color w:val="auto"/>
                <w:sz w:val="24"/>
                <w:szCs w:val="36"/>
                <w:highlight w:val="none"/>
              </w:rPr>
            </w:pPr>
            <w:r>
              <w:rPr>
                <w:rFonts w:hint="eastAsia"/>
                <w:color w:val="auto"/>
                <w:sz w:val="24"/>
                <w:szCs w:val="36"/>
                <w:highlight w:val="none"/>
              </w:rPr>
              <w:t>(</w:t>
            </w:r>
            <w:r>
              <w:rPr>
                <w:color w:val="auto"/>
                <w:sz w:val="24"/>
                <w:szCs w:val="36"/>
                <w:highlight w:val="none"/>
              </w:rPr>
              <w:t xml:space="preserve"> </w:t>
            </w:r>
            <w:r>
              <w:rPr>
                <w:rFonts w:hint="eastAsia" w:ascii="宋体 ，Arial" w:eastAsia="宋体 ，Arial"/>
                <w:color w:val="auto"/>
                <w:sz w:val="24"/>
                <w:szCs w:val="24"/>
                <w:highlight w:val="none"/>
                <w:lang w:val="en-US" w:eastAsia="zh-CN"/>
              </w:rPr>
              <w:t xml:space="preserve">  </w:t>
            </w:r>
            <w:r>
              <w:rPr>
                <w:rFonts w:hint="eastAsia" w:ascii="宋体 ，Arial" w:eastAsia="宋体 ，Arial"/>
                <w:color w:val="auto"/>
                <w:sz w:val="24"/>
                <w:szCs w:val="24"/>
                <w:highlight w:val="none"/>
              </w:rPr>
              <w:t xml:space="preserve"> </w:t>
            </w:r>
            <w:r>
              <w:rPr>
                <w:rFonts w:hint="eastAsia"/>
                <w:color w:val="auto"/>
                <w:sz w:val="24"/>
                <w:szCs w:val="36"/>
                <w:highlight w:val="none"/>
              </w:rPr>
              <w:t>)</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（三）开挖深度16m及以上的人工挖孔桩工程。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（四）水下作业工程。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（五）重量1000kN及以上的大型结构整体顶升、平移、转体等施工工艺。</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auto"/>
                <w:sz w:val="24"/>
                <w:szCs w:val="24"/>
                <w:highlight w:val="none"/>
              </w:rPr>
            </w:pPr>
            <w:r>
              <w:rPr>
                <w:rFonts w:hint="eastAsia" w:ascii="宋体 ，Arial" w:eastAsia="宋体 ，Arial"/>
                <w:color w:val="auto"/>
                <w:sz w:val="24"/>
                <w:szCs w:val="24"/>
                <w:highlight w:val="none"/>
              </w:rPr>
              <w:t>（六）采用新技术、新工艺、新材料、新设备可能影响工程施工安全，尚无国家、行业及地方技术标准的分部分项工程。</w:t>
            </w:r>
          </w:p>
        </w:tc>
        <w:tc>
          <w:tcPr>
            <w:tcW w:w="1275" w:type="dxa"/>
            <w:vAlign w:val="center"/>
          </w:tcPr>
          <w:p>
            <w:pPr>
              <w:jc w:val="center"/>
              <w:rPr>
                <w:color w:val="auto"/>
                <w:sz w:val="24"/>
                <w:szCs w:val="36"/>
                <w:highlight w:val="none"/>
              </w:rPr>
            </w:pPr>
            <w:r>
              <w:rPr>
                <w:rFonts w:hint="eastAsia"/>
                <w:color w:val="auto"/>
                <w:sz w:val="24"/>
                <w:szCs w:val="36"/>
                <w:highlight w:val="none"/>
              </w:rPr>
              <w:t>(    )</w:t>
            </w:r>
          </w:p>
        </w:tc>
        <w:tc>
          <w:tcPr>
            <w:tcW w:w="1418" w:type="dxa"/>
            <w:vAlign w:val="center"/>
          </w:tcPr>
          <w:p>
            <w:pPr>
              <w:jc w:val="center"/>
              <w:rPr>
                <w:color w:val="auto"/>
                <w:sz w:val="24"/>
                <w:szCs w:val="36"/>
                <w:highlight w:val="none"/>
              </w:rPr>
            </w:pPr>
            <w:r>
              <w:rPr>
                <w:rFonts w:hint="eastAsia"/>
                <w:color w:val="auto"/>
                <w:sz w:val="24"/>
                <w:szCs w:val="36"/>
                <w:highlight w:val="none"/>
              </w:rPr>
              <w:t>(    )</w:t>
            </w:r>
          </w:p>
        </w:tc>
        <w:tc>
          <w:tcPr>
            <w:tcW w:w="759" w:type="dxa"/>
            <w:shd w:val="clear" w:color="auto" w:fill="auto"/>
            <w:vAlign w:val="center"/>
          </w:tcPr>
          <w:p>
            <w:pPr>
              <w:jc w:val="center"/>
              <w:rPr>
                <w:color w:val="auto"/>
                <w:highlight w:val="none"/>
              </w:rPr>
            </w:pPr>
          </w:p>
        </w:tc>
      </w:tr>
    </w:tbl>
    <w:p>
      <w:pPr>
        <w:jc w:val="center"/>
        <w:rPr>
          <w:b/>
          <w:color w:val="auto"/>
          <w:sz w:val="36"/>
          <w:szCs w:val="36"/>
          <w:highlight w:val="none"/>
        </w:rPr>
      </w:pPr>
    </w:p>
    <w:p>
      <w:pPr>
        <w:pStyle w:val="79"/>
        <w:ind w:firstLine="3596" w:firstLineChars="1450"/>
        <w:rPr>
          <w:rFonts w:ascii="宋体" w:hAnsi="宋体"/>
          <w:color w:val="auto"/>
          <w:highlight w:val="none"/>
        </w:rPr>
      </w:pPr>
      <w:r>
        <w:rPr>
          <w:rFonts w:hint="eastAsia" w:ascii="宋体" w:hAnsi="宋体"/>
          <w:color w:val="auto"/>
          <w:highlight w:val="none"/>
        </w:rPr>
        <w:t>投标人：　　（盖章）</w:t>
      </w:r>
    </w:p>
    <w:p>
      <w:pPr>
        <w:pStyle w:val="79"/>
        <w:ind w:firstLine="3596" w:firstLineChars="1450"/>
        <w:rPr>
          <w:rFonts w:ascii="宋体" w:hAnsi="宋体"/>
          <w:color w:val="auto"/>
          <w:highlight w:val="none"/>
        </w:rPr>
      </w:pPr>
      <w:r>
        <w:rPr>
          <w:rFonts w:hint="eastAsia" w:ascii="宋体" w:hAnsi="宋体"/>
          <w:color w:val="auto"/>
          <w:highlight w:val="none"/>
        </w:rPr>
        <w:t>法定代表人或授权代理人(签字或盖章)：</w:t>
      </w:r>
    </w:p>
    <w:p>
      <w:pPr>
        <w:pStyle w:val="79"/>
        <w:spacing w:before="156" w:after="156"/>
        <w:ind w:firstLine="3596" w:firstLineChars="1450"/>
        <w:rPr>
          <w:rFonts w:ascii="宋体" w:hAnsi="宋体"/>
          <w:color w:val="auto"/>
          <w:highlight w:val="none"/>
        </w:rPr>
      </w:pPr>
      <w:r>
        <w:rPr>
          <w:rFonts w:hint="eastAsia" w:ascii="宋体" w:hAnsi="宋体"/>
          <w:color w:val="auto"/>
          <w:highlight w:val="none"/>
        </w:rPr>
        <w:t xml:space="preserve">日   期：    年    月    日 </w:t>
      </w:r>
    </w:p>
    <w:p>
      <w:pPr>
        <w:rPr>
          <w:color w:val="auto"/>
          <w:highlight w:val="none"/>
        </w:rPr>
      </w:pPr>
    </w:p>
    <w:bookmarkEnd w:id="43"/>
    <w:p>
      <w:pPr>
        <w:pStyle w:val="79"/>
        <w:spacing w:before="156" w:after="156"/>
        <w:ind w:firstLine="3596" w:firstLineChars="1450"/>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rPr>
        <w:br w:type="page"/>
      </w:r>
    </w:p>
    <w:p>
      <w:pPr>
        <w:widowControl/>
        <w:topLinePunct/>
        <w:adjustRightInd w:val="0"/>
        <w:snapToGrid w:val="0"/>
        <w:spacing w:after="200"/>
        <w:jc w:val="left"/>
        <w:outlineLvl w:val="1"/>
        <w:rPr>
          <w:rFonts w:ascii="宋体" w:hAnsi="Times New Roman"/>
          <w:color w:val="auto"/>
          <w:sz w:val="24"/>
          <w:szCs w:val="24"/>
          <w:highlight w:val="none"/>
        </w:rPr>
      </w:pPr>
      <w:bookmarkStart w:id="46" w:name="_Toc5586"/>
      <w:r>
        <w:rPr>
          <w:rFonts w:hint="eastAsia" w:ascii="宋体" w:hAnsi="宋体"/>
          <w:color w:val="auto"/>
          <w:highlight w:val="none"/>
        </w:rPr>
        <w:t>格式十五：</w:t>
      </w:r>
      <w:r>
        <w:rPr>
          <w:rFonts w:hint="eastAsia" w:ascii="宋体" w:hAnsi="宋体"/>
          <w:color w:val="auto"/>
          <w:spacing w:val="4"/>
          <w:kern w:val="0"/>
          <w:sz w:val="24"/>
          <w:szCs w:val="24"/>
          <w:highlight w:val="none"/>
        </w:rPr>
        <w:t>投标保证金（格式可自定）</w:t>
      </w:r>
      <w:bookmarkEnd w:id="46"/>
    </w:p>
    <w:p>
      <w:pPr>
        <w:spacing w:line="360" w:lineRule="auto"/>
        <w:ind w:firstLine="420" w:firstLineChars="200"/>
        <w:rPr>
          <w:color w:val="auto"/>
          <w:highlight w:val="none"/>
        </w:rPr>
      </w:pPr>
    </w:p>
    <w:p>
      <w:pPr>
        <w:spacing w:line="360" w:lineRule="auto"/>
        <w:ind w:firstLine="420" w:firstLineChars="200"/>
        <w:rPr>
          <w:color w:val="auto"/>
          <w:highlight w:val="none"/>
        </w:rPr>
      </w:pPr>
      <w:r>
        <w:rPr>
          <w:rFonts w:hint="eastAsia"/>
          <w:color w:val="auto"/>
          <w:highlight w:val="none"/>
        </w:rPr>
        <w:t>（注：投标人采用投标保函或投标保证保险的形式提交投标保证金的，应提交投标保函或投标保证保险文本的扫描件并加盖投标人电子印章。）</w:t>
      </w:r>
    </w:p>
    <w:p>
      <w:pPr>
        <w:spacing w:line="360" w:lineRule="auto"/>
        <w:jc w:val="center"/>
        <w:rPr>
          <w:rFonts w:ascii="宋体" w:hAnsi="宋体"/>
          <w:b/>
          <w:color w:val="auto"/>
          <w:sz w:val="28"/>
          <w:szCs w:val="28"/>
          <w:highlight w:val="none"/>
        </w:rPr>
      </w:pPr>
    </w:p>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投标保证金</w:t>
      </w:r>
    </w:p>
    <w:p>
      <w:pPr>
        <w:spacing w:line="200" w:lineRule="exact"/>
        <w:rPr>
          <w:rFonts w:ascii="宋体" w:hAnsi="宋体"/>
          <w:color w:val="auto"/>
          <w:highlight w:val="none"/>
        </w:rPr>
      </w:pPr>
    </w:p>
    <w:p>
      <w:pPr>
        <w:spacing w:line="360" w:lineRule="auto"/>
        <w:rPr>
          <w:rFonts w:ascii="宋体" w:hAnsi="宋体"/>
          <w:color w:val="auto"/>
          <w:sz w:val="24"/>
          <w:highlight w:val="none"/>
          <w:u w:val="single"/>
        </w:rPr>
      </w:pP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（招标人名称）：</w:t>
      </w:r>
    </w:p>
    <w:p>
      <w:pPr>
        <w:spacing w:line="360" w:lineRule="auto"/>
        <w:rPr>
          <w:rFonts w:ascii="宋体" w:hAnsi="宋体"/>
          <w:color w:val="auto"/>
          <w:sz w:val="24"/>
          <w:highlight w:val="none"/>
          <w:u w:val="single"/>
        </w:rPr>
      </w:pP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我方于  年  月  日参加          （项目名称）的投标，现保证：我方在规定的投标有效期内撤销或修改投标文件的，或者在收到中标通知书后无正当理由拒签合同或拒交规定履约担保的，投标保证金不予退还。</w:t>
      </w:r>
    </w:p>
    <w:p>
      <w:pPr>
        <w:spacing w:line="440" w:lineRule="exact"/>
        <w:rPr>
          <w:rFonts w:ascii="宋体" w:hAnsi="宋体"/>
          <w:color w:val="auto"/>
          <w:highlight w:val="none"/>
          <w:u w:val="single"/>
        </w:rPr>
      </w:pPr>
    </w:p>
    <w:tbl>
      <w:tblPr>
        <w:tblStyle w:val="34"/>
        <w:tblW w:w="928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jc w:val="center"/>
              <w:rPr>
                <w:rFonts w:ascii="宋体" w:hAnsi="宋体"/>
                <w:b/>
                <w:color w:val="auto"/>
                <w:sz w:val="48"/>
                <w:highlight w:val="none"/>
              </w:rPr>
            </w:pPr>
            <w:r>
              <w:rPr>
                <w:rFonts w:hint="eastAsia" w:ascii="宋体" w:hAnsi="宋体"/>
                <w:b/>
                <w:color w:val="auto"/>
                <w:sz w:val="48"/>
                <w:highlight w:val="none"/>
              </w:rPr>
              <w:t>粘 贴 处</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tc>
      </w:tr>
    </w:tbl>
    <w:p>
      <w:pPr>
        <w:ind w:right="46" w:rightChars="22"/>
        <w:rPr>
          <w:color w:val="auto"/>
          <w:highlight w:val="none"/>
        </w:rPr>
      </w:pPr>
    </w:p>
    <w:p>
      <w:pPr>
        <w:widowControl/>
        <w:jc w:val="left"/>
        <w:rPr>
          <w:rFonts w:ascii="宋体" w:hAnsi="宋体"/>
          <w:b/>
          <w:color w:val="auto"/>
          <w:kern w:val="0"/>
          <w:sz w:val="24"/>
          <w:szCs w:val="24"/>
          <w:highlight w:val="none"/>
        </w:rPr>
      </w:pPr>
      <w:r>
        <w:rPr>
          <w:rFonts w:ascii="宋体" w:hAnsi="宋体"/>
          <w:color w:val="auto"/>
          <w:highlight w:val="none"/>
        </w:rPr>
        <w:br w:type="page"/>
      </w:r>
    </w:p>
    <w:p>
      <w:pPr>
        <w:pStyle w:val="7"/>
        <w:ind w:right="46" w:rightChars="22"/>
        <w:jc w:val="both"/>
        <w:rPr>
          <w:rFonts w:hint="eastAsia" w:ascii="宋体" w:hAnsi="宋体"/>
          <w:b w:val="0"/>
          <w:bCs/>
          <w:color w:val="auto"/>
          <w:sz w:val="21"/>
          <w:szCs w:val="21"/>
          <w:highlight w:val="none"/>
          <w:lang w:val="en-US" w:eastAsia="zh-CN"/>
        </w:rPr>
      </w:pPr>
      <w:bookmarkStart w:id="47" w:name="_Toc4126"/>
      <w:r>
        <w:rPr>
          <w:rFonts w:hint="eastAsia" w:ascii="宋体" w:hAnsi="宋体"/>
          <w:b w:val="0"/>
          <w:bCs/>
          <w:color w:val="auto"/>
          <w:sz w:val="21"/>
          <w:szCs w:val="21"/>
          <w:highlight w:val="none"/>
          <w:lang w:val="en-US"/>
        </w:rPr>
        <w:t>格式十六：</w:t>
      </w:r>
      <w:r>
        <w:rPr>
          <w:rFonts w:hint="eastAsia" w:ascii="宋体" w:hAnsi="宋体"/>
          <w:b w:val="0"/>
          <w:bCs/>
          <w:color w:val="auto"/>
          <w:sz w:val="21"/>
          <w:szCs w:val="21"/>
          <w:highlight w:val="none"/>
          <w:lang w:val="en-US" w:eastAsia="zh-CN"/>
        </w:rPr>
        <w:t>投标人资信</w:t>
      </w:r>
      <w:bookmarkEnd w:id="47"/>
    </w:p>
    <w:p>
      <w:pPr>
        <w:topLinePunct/>
        <w:adjustRightInd w:val="0"/>
        <w:snapToGrid w:val="0"/>
        <w:spacing w:line="360" w:lineRule="auto"/>
        <w:ind w:firstLine="659" w:firstLineChars="200"/>
        <w:jc w:val="center"/>
        <w:rPr>
          <w:rFonts w:hint="default"/>
          <w:b/>
          <w:bCs/>
          <w:snapToGrid w:val="0"/>
          <w:color w:val="auto"/>
          <w:spacing w:val="4"/>
          <w:sz w:val="24"/>
          <w:szCs w:val="24"/>
          <w:highlight w:val="none"/>
          <w:lang w:val="en-US" w:eastAsia="zh-CN"/>
        </w:rPr>
      </w:pPr>
      <w:r>
        <w:rPr>
          <w:rFonts w:hint="eastAsia" w:ascii="宋体" w:hAnsi="宋体" w:eastAsia="宋体" w:cs="Times New Roman"/>
          <w:b/>
          <w:color w:val="auto"/>
          <w:spacing w:val="4"/>
          <w:kern w:val="0"/>
          <w:sz w:val="32"/>
          <w:szCs w:val="32"/>
          <w:highlight w:val="none"/>
          <w:lang w:val="en-US" w:eastAsia="zh-CN" w:bidi="ar-SA"/>
        </w:rPr>
        <w:t>投标人资信</w:t>
      </w:r>
    </w:p>
    <w:p>
      <w:pPr>
        <w:topLinePunct/>
        <w:adjustRightInd w:val="0"/>
        <w:snapToGrid w:val="0"/>
        <w:spacing w:line="360" w:lineRule="auto"/>
        <w:ind w:firstLine="496" w:firstLineChars="200"/>
        <w:jc w:val="left"/>
        <w:rPr>
          <w:snapToGrid w:val="0"/>
          <w:color w:val="auto"/>
          <w:spacing w:val="4"/>
          <w:sz w:val="24"/>
          <w:szCs w:val="24"/>
          <w:highlight w:val="none"/>
        </w:rPr>
      </w:pPr>
      <w:r>
        <w:rPr>
          <w:rFonts w:hint="eastAsia" w:ascii="宋体" w:hAnsi="宋体" w:eastAsia="宋体" w:cs="宋体"/>
          <w:b w:val="0"/>
          <w:bCs w:val="0"/>
          <w:snapToGrid w:val="0"/>
          <w:color w:val="auto"/>
          <w:spacing w:val="4"/>
          <w:sz w:val="24"/>
          <w:szCs w:val="24"/>
          <w:highlight w:val="none"/>
          <w:lang w:val="en-US" w:eastAsia="zh-CN"/>
        </w:rPr>
        <w:t>【</w:t>
      </w:r>
      <w:r>
        <w:rPr>
          <w:rFonts w:hint="default" w:ascii="Times New Roman" w:hAnsi="Times New Roman" w:cs="Times New Roman"/>
          <w:bCs/>
          <w:color w:val="auto"/>
          <w:sz w:val="24"/>
          <w:szCs w:val="24"/>
          <w:highlight w:val="none"/>
          <w:lang w:val="en-US" w:eastAsia="zh-CN"/>
        </w:rPr>
        <w:t>投标人信用情况</w:t>
      </w:r>
      <w:r>
        <w:rPr>
          <w:rFonts w:hint="eastAsia" w:ascii="Times New Roman" w:hAnsi="Times New Roman" w:cs="Times New Roman"/>
          <w:bCs/>
          <w:color w:val="auto"/>
          <w:sz w:val="24"/>
          <w:szCs w:val="24"/>
          <w:highlight w:val="none"/>
          <w:lang w:val="en-US" w:eastAsia="zh-CN"/>
        </w:rPr>
        <w:t>（</w:t>
      </w:r>
      <w:r>
        <w:rPr>
          <w:rFonts w:hint="default" w:ascii="Times New Roman" w:hAnsi="Times New Roman" w:cs="Times New Roman"/>
          <w:bCs/>
          <w:color w:val="auto"/>
          <w:sz w:val="24"/>
          <w:szCs w:val="24"/>
          <w:highlight w:val="none"/>
          <w:lang w:val="en-US" w:eastAsia="zh-CN"/>
        </w:rPr>
        <w:t>信用中国（官网：www.creditchina.gov.cn）查询</w:t>
      </w:r>
      <w:r>
        <w:rPr>
          <w:rFonts w:hint="eastAsia" w:ascii="Times New Roman" w:hAnsi="Times New Roman" w:cs="Times New Roman"/>
          <w:bCs/>
          <w:color w:val="auto"/>
          <w:sz w:val="24"/>
          <w:szCs w:val="24"/>
          <w:highlight w:val="none"/>
          <w:lang w:val="en-US" w:eastAsia="zh-CN"/>
        </w:rPr>
        <w:t>记录网页截图（加盖电子公章）</w:t>
      </w:r>
      <w:r>
        <w:rPr>
          <w:rFonts w:hint="eastAsia" w:ascii="宋体" w:hAnsi="宋体" w:eastAsia="宋体" w:cs="宋体"/>
          <w:b w:val="0"/>
          <w:bCs w:val="0"/>
          <w:snapToGrid w:val="0"/>
          <w:color w:val="auto"/>
          <w:spacing w:val="4"/>
          <w:sz w:val="24"/>
          <w:szCs w:val="24"/>
          <w:highlight w:val="none"/>
          <w:lang w:val="en-US" w:eastAsia="zh-CN"/>
        </w:rPr>
        <w:t>，以及根据《</w:t>
      </w:r>
      <w:r>
        <w:rPr>
          <w:rFonts w:hint="eastAsia" w:ascii="宋体" w:hAnsi="宋体" w:eastAsia="宋体" w:cs="宋体"/>
          <w:b w:val="0"/>
          <w:bCs w:val="0"/>
          <w:color w:val="auto"/>
          <w:sz w:val="24"/>
          <w:szCs w:val="24"/>
          <w:highlight w:val="none"/>
        </w:rPr>
        <w:t>定标因素表</w:t>
      </w:r>
      <w:r>
        <w:rPr>
          <w:rFonts w:hint="eastAsia" w:ascii="宋体" w:hAnsi="宋体" w:eastAsia="宋体" w:cs="宋体"/>
          <w:b w:val="0"/>
          <w:bCs w:val="0"/>
          <w:snapToGrid w:val="0"/>
          <w:color w:val="auto"/>
          <w:spacing w:val="4"/>
          <w:sz w:val="24"/>
          <w:szCs w:val="24"/>
          <w:highlight w:val="none"/>
          <w:lang w:val="en-US" w:eastAsia="zh-CN"/>
        </w:rPr>
        <w:t>》要求提供的其他材料及相关证明资料】</w:t>
      </w:r>
    </w:p>
    <w:p>
      <w:pPr>
        <w:rPr>
          <w:rFonts w:hint="eastAsia"/>
          <w:color w:val="auto"/>
          <w:highlight w:val="none"/>
          <w:lang w:val="en-US" w:eastAsia="zh-CN"/>
        </w:rPr>
      </w:pPr>
    </w:p>
    <w:p>
      <w:pPr>
        <w:rPr>
          <w:rFonts w:hint="eastAsia" w:ascii="宋体" w:hAnsi="宋体"/>
          <w:color w:val="auto"/>
          <w:highlight w:val="none"/>
          <w:lang w:val="en-US" w:eastAsia="zh-CN"/>
        </w:rPr>
      </w:pPr>
      <w:r>
        <w:rPr>
          <w:rFonts w:hint="eastAsia" w:ascii="宋体" w:hAnsi="宋体"/>
          <w:color w:val="auto"/>
          <w:highlight w:val="none"/>
          <w:lang w:val="en-US" w:eastAsia="zh-CN"/>
        </w:rPr>
        <w:br w:type="page"/>
      </w:r>
    </w:p>
    <w:p>
      <w:pPr>
        <w:pStyle w:val="7"/>
        <w:ind w:right="46" w:rightChars="22"/>
        <w:jc w:val="both"/>
        <w:rPr>
          <w:rFonts w:ascii="宋体" w:hAnsi="宋体"/>
          <w:b w:val="0"/>
          <w:bCs/>
          <w:color w:val="auto"/>
          <w:sz w:val="21"/>
          <w:szCs w:val="21"/>
          <w:highlight w:val="none"/>
        </w:rPr>
      </w:pPr>
      <w:bookmarkStart w:id="48" w:name="_Toc24177"/>
      <w:r>
        <w:rPr>
          <w:rFonts w:hint="eastAsia" w:ascii="宋体" w:hAnsi="宋体"/>
          <w:b w:val="0"/>
          <w:bCs/>
          <w:color w:val="auto"/>
          <w:sz w:val="21"/>
          <w:szCs w:val="21"/>
          <w:highlight w:val="none"/>
          <w:lang w:val="en-US"/>
        </w:rPr>
        <w:t>格式十</w:t>
      </w:r>
      <w:r>
        <w:rPr>
          <w:rFonts w:hint="eastAsia" w:ascii="宋体" w:hAnsi="宋体"/>
          <w:b w:val="0"/>
          <w:bCs/>
          <w:color w:val="auto"/>
          <w:sz w:val="21"/>
          <w:szCs w:val="21"/>
          <w:highlight w:val="none"/>
          <w:lang w:val="en-US" w:eastAsia="zh-CN"/>
        </w:rPr>
        <w:t>七：</w:t>
      </w:r>
      <w:r>
        <w:rPr>
          <w:rFonts w:hint="eastAsia" w:ascii="宋体" w:hAnsi="宋体"/>
          <w:b w:val="0"/>
          <w:bCs/>
          <w:color w:val="auto"/>
          <w:sz w:val="21"/>
          <w:szCs w:val="21"/>
          <w:highlight w:val="none"/>
          <w:lang w:val="en-US"/>
        </w:rPr>
        <w:t>其他资料</w:t>
      </w:r>
      <w:bookmarkEnd w:id="48"/>
    </w:p>
    <w:p>
      <w:pPr>
        <w:jc w:val="center"/>
        <w:rPr>
          <w:b/>
          <w:color w:val="auto"/>
          <w:sz w:val="36"/>
          <w:highlight w:val="none"/>
        </w:rPr>
      </w:pPr>
      <w:r>
        <w:rPr>
          <w:b/>
          <w:color w:val="auto"/>
          <w:sz w:val="36"/>
          <w:highlight w:val="none"/>
        </w:rPr>
        <w:t>其他资料</w:t>
      </w:r>
      <w:bookmarkEnd w:id="42"/>
    </w:p>
    <w:p>
      <w:pPr>
        <w:widowControl/>
        <w:jc w:val="left"/>
        <w:rPr>
          <w:rFonts w:ascii="宋体" w:hAnsi="宋体"/>
          <w:color w:val="auto"/>
          <w:szCs w:val="21"/>
          <w:highlight w:val="none"/>
        </w:rPr>
      </w:pPr>
    </w:p>
    <w:p>
      <w:pPr>
        <w:widowControl/>
        <w:ind w:firstLine="420" w:firstLineChars="200"/>
        <w:jc w:val="left"/>
        <w:rPr>
          <w:rFonts w:ascii="宋体" w:hAnsi="宋体"/>
          <w:color w:val="auto"/>
          <w:szCs w:val="21"/>
          <w:highlight w:val="none"/>
        </w:rPr>
      </w:pPr>
      <w:r>
        <w:rPr>
          <w:rFonts w:hint="eastAsia" w:ascii="宋体" w:hAnsi="宋体"/>
          <w:color w:val="auto"/>
          <w:szCs w:val="21"/>
          <w:highlight w:val="none"/>
        </w:rPr>
        <w:t>注：投标人认为有必要或招标文件要求提供的其他资料，均需单位盖章。</w:t>
      </w:r>
    </w:p>
    <w:p>
      <w:pPr>
        <w:autoSpaceDE w:val="0"/>
        <w:autoSpaceDN w:val="0"/>
        <w:adjustRightInd w:val="0"/>
        <w:rPr>
          <w:rFonts w:ascii="宋体" w:hAnsi="宋体"/>
          <w:color w:val="auto"/>
          <w:sz w:val="24"/>
          <w:szCs w:val="24"/>
          <w:highlight w:val="none"/>
        </w:rPr>
      </w:pPr>
      <w:r>
        <w:rPr>
          <w:rFonts w:ascii="宋体" w:hAnsi="宋体"/>
          <w:color w:val="auto"/>
          <w:sz w:val="24"/>
          <w:szCs w:val="24"/>
          <w:highlight w:val="none"/>
        </w:rPr>
        <w:br w:type="page"/>
      </w:r>
    </w:p>
    <w:p>
      <w:pPr>
        <w:autoSpaceDE w:val="0"/>
        <w:autoSpaceDN w:val="0"/>
        <w:adjustRightInd w:val="0"/>
        <w:rPr>
          <w:rFonts w:ascii="宋体" w:hAnsi="宋体" w:cs="宋体"/>
          <w:color w:val="auto"/>
          <w:sz w:val="28"/>
          <w:highlight w:val="none"/>
        </w:rPr>
      </w:pPr>
    </w:p>
    <w:p>
      <w:pPr>
        <w:pStyle w:val="88"/>
        <w:spacing w:beforeLines="0" w:afterLines="0" w:line="360" w:lineRule="auto"/>
        <w:outlineLvl w:val="0"/>
        <w:rPr>
          <w:rFonts w:ascii="宋体" w:hAnsi="宋体" w:eastAsia="宋体" w:cs="宋体"/>
          <w:color w:val="auto"/>
          <w:sz w:val="28"/>
          <w:highlight w:val="none"/>
        </w:rPr>
      </w:pPr>
      <w:bookmarkStart w:id="49" w:name="_Toc5120"/>
      <w:r>
        <w:rPr>
          <w:rFonts w:hint="eastAsia" w:ascii="宋体" w:hAnsi="宋体" w:eastAsia="宋体" w:cs="宋体"/>
          <w:color w:val="auto"/>
          <w:sz w:val="28"/>
          <w:highlight w:val="none"/>
        </w:rPr>
        <w:t>二、经济标投标文件格式</w:t>
      </w:r>
      <w:bookmarkEnd w:id="49"/>
    </w:p>
    <w:p>
      <w:pPr>
        <w:autoSpaceDE w:val="0"/>
        <w:autoSpaceDN w:val="0"/>
        <w:adjustRightInd w:val="0"/>
        <w:outlineLvl w:val="1"/>
        <w:rPr>
          <w:rFonts w:ascii="宋体" w:hAnsi="宋体"/>
          <w:b/>
          <w:color w:val="auto"/>
          <w:sz w:val="24"/>
          <w:szCs w:val="24"/>
          <w:highlight w:val="none"/>
        </w:rPr>
      </w:pPr>
      <w:bookmarkStart w:id="50" w:name="_Toc18735"/>
      <w:r>
        <w:rPr>
          <w:rFonts w:hint="eastAsia" w:ascii="宋体" w:hAnsi="宋体"/>
          <w:color w:val="auto"/>
          <w:szCs w:val="21"/>
          <w:highlight w:val="none"/>
        </w:rPr>
        <w:t>格式一：封面</w:t>
      </w:r>
      <w:bookmarkEnd w:id="50"/>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pPr>
        <w:topLinePunct/>
        <w:adjustRightInd w:val="0"/>
        <w:snapToGrid w:val="0"/>
        <w:spacing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第二册 （经济标书）</w:t>
      </w:r>
    </w:p>
    <w:p>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xml:space="preserve">   </w:t>
      </w: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topLinePunct/>
        <w:adjustRightInd w:val="0"/>
        <w:snapToGrid w:val="0"/>
        <w:spacing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r>
        <w:rPr>
          <w:rFonts w:hint="eastAsia" w:ascii="宋体" w:hAnsi="宋体"/>
          <w:color w:val="auto"/>
          <w:spacing w:val="4"/>
          <w:kern w:val="0"/>
          <w:sz w:val="30"/>
          <w:szCs w:val="30"/>
          <w:highlight w:val="none"/>
          <w:u w:val="single"/>
        </w:rPr>
        <w:t xml:space="preserve">       （填写投标人单位名称）    （盖章）</w:t>
      </w:r>
    </w:p>
    <w:p>
      <w:pPr>
        <w:topLinePunct/>
        <w:adjustRightInd w:val="0"/>
        <w:snapToGrid w:val="0"/>
        <w:spacing w:line="360" w:lineRule="auto"/>
        <w:ind w:firstLine="616" w:firstLineChars="200"/>
        <w:jc w:val="left"/>
        <w:rPr>
          <w:rFonts w:ascii="宋体" w:hAnsi="宋体"/>
          <w:color w:val="auto"/>
          <w:spacing w:val="4"/>
          <w:kern w:val="0"/>
          <w:sz w:val="30"/>
          <w:szCs w:val="30"/>
          <w:highlight w:val="none"/>
        </w:rPr>
      </w:pPr>
    </w:p>
    <w:p>
      <w:pPr>
        <w:topLinePunct/>
        <w:adjustRightInd w:val="0"/>
        <w:snapToGrid w:val="0"/>
        <w:spacing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w:t>
      </w:r>
    </w:p>
    <w:p>
      <w:pPr>
        <w:topLinePunct/>
        <w:adjustRightInd w:val="0"/>
        <w:snapToGrid w:val="0"/>
        <w:spacing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其委托代理人：</w:t>
      </w:r>
      <w:r>
        <w:rPr>
          <w:rFonts w:hint="eastAsia" w:ascii="宋体" w:hAnsi="宋体"/>
          <w:color w:val="auto"/>
          <w:spacing w:val="4"/>
          <w:kern w:val="0"/>
          <w:sz w:val="30"/>
          <w:szCs w:val="30"/>
          <w:highlight w:val="none"/>
          <w:u w:val="single"/>
        </w:rPr>
        <w:t xml:space="preserve">                     （签字或盖章）</w:t>
      </w:r>
    </w:p>
    <w:p>
      <w:pPr>
        <w:topLinePunct/>
        <w:adjustRightInd w:val="0"/>
        <w:snapToGrid w:val="0"/>
        <w:spacing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日  期：</w:t>
      </w:r>
      <w:r>
        <w:rPr>
          <w:rFonts w:hint="eastAsia" w:ascii="宋体" w:hAnsi="宋体"/>
          <w:color w:val="auto"/>
          <w:spacing w:val="4"/>
          <w:kern w:val="0"/>
          <w:sz w:val="30"/>
          <w:szCs w:val="30"/>
          <w:highlight w:val="none"/>
          <w:u w:val="single"/>
        </w:rPr>
        <w:t xml:space="preserve">                                </w:t>
      </w:r>
      <w:r>
        <w:rPr>
          <w:rFonts w:ascii="宋体" w:hAnsi="宋体"/>
          <w:color w:val="auto"/>
          <w:spacing w:val="4"/>
          <w:kern w:val="0"/>
          <w:sz w:val="30"/>
          <w:szCs w:val="30"/>
          <w:highlight w:val="none"/>
          <w:u w:val="single"/>
        </w:rPr>
        <w:t xml:space="preserve">  </w:t>
      </w:r>
      <w:r>
        <w:rPr>
          <w:rFonts w:hint="eastAsia" w:ascii="宋体" w:hAnsi="宋体"/>
          <w:color w:val="auto"/>
          <w:spacing w:val="4"/>
          <w:kern w:val="0"/>
          <w:sz w:val="30"/>
          <w:szCs w:val="30"/>
          <w:highlight w:val="none"/>
          <w:u w:val="single"/>
        </w:rPr>
        <w:t xml:space="preserve">       </w:t>
      </w:r>
    </w:p>
    <w:p>
      <w:pPr>
        <w:autoSpaceDE w:val="0"/>
        <w:autoSpaceDN w:val="0"/>
        <w:adjustRightInd w:val="0"/>
        <w:outlineLvl w:val="1"/>
        <w:rPr>
          <w:rFonts w:ascii="宋体" w:cs="宋体"/>
          <w:color w:val="auto"/>
          <w:highlight w:val="none"/>
        </w:rPr>
      </w:pPr>
      <w:r>
        <w:rPr>
          <w:rFonts w:ascii="宋体" w:hAnsi="宋体"/>
          <w:color w:val="auto"/>
          <w:sz w:val="24"/>
          <w:szCs w:val="24"/>
          <w:highlight w:val="none"/>
        </w:rPr>
        <w:br w:type="page"/>
      </w:r>
      <w:bookmarkStart w:id="51" w:name="_Toc24368098"/>
      <w:bookmarkStart w:id="52" w:name="_Toc8132550"/>
      <w:bookmarkStart w:id="53" w:name="_Toc16833"/>
      <w:r>
        <w:rPr>
          <w:rFonts w:hint="eastAsia" w:ascii="宋体" w:hAnsi="宋体"/>
          <w:color w:val="auto"/>
          <w:szCs w:val="21"/>
          <w:highlight w:val="none"/>
        </w:rPr>
        <w:t>格式二</w:t>
      </w:r>
      <w:bookmarkEnd w:id="51"/>
      <w:bookmarkEnd w:id="52"/>
      <w:r>
        <w:rPr>
          <w:rFonts w:hint="eastAsia" w:ascii="宋体" w:hAnsi="宋体"/>
          <w:color w:val="auto"/>
          <w:szCs w:val="21"/>
          <w:highlight w:val="none"/>
        </w:rPr>
        <w:t>：工程量清单计价表</w:t>
      </w:r>
      <w:bookmarkEnd w:id="53"/>
    </w:p>
    <w:p>
      <w:pPr>
        <w:pStyle w:val="79"/>
        <w:ind w:firstLine="498"/>
        <w:rPr>
          <w:rFonts w:ascii="宋体" w:hAnsi="宋体" w:cs="宋体"/>
          <w:b/>
          <w:color w:val="auto"/>
          <w:highlight w:val="none"/>
        </w:rPr>
      </w:pPr>
    </w:p>
    <w:p>
      <w:pPr>
        <w:pStyle w:val="86"/>
        <w:ind w:firstLine="392"/>
        <w:rPr>
          <w:rFonts w:ascii="宋体" w:hAnsi="宋体" w:eastAsia="宋体" w:cs="宋体"/>
          <w:color w:val="auto"/>
          <w:highlight w:val="none"/>
        </w:rPr>
      </w:pPr>
      <w:r>
        <w:rPr>
          <w:rFonts w:hint="eastAsia" w:ascii="宋体" w:hAnsi="宋体" w:eastAsia="宋体" w:cs="宋体"/>
          <w:color w:val="auto"/>
          <w:highlight w:val="none"/>
        </w:rPr>
        <w:t>工程量清单计价表</w:t>
      </w:r>
    </w:p>
    <w:p>
      <w:pPr>
        <w:pStyle w:val="79"/>
        <w:ind w:firstLine="498"/>
        <w:rPr>
          <w:rFonts w:ascii="宋体" w:hAnsi="宋体" w:cs="宋体"/>
          <w:b/>
          <w:color w:val="auto"/>
          <w:highlight w:val="none"/>
        </w:rPr>
      </w:pPr>
    </w:p>
    <w:p>
      <w:pPr>
        <w:pStyle w:val="79"/>
        <w:ind w:firstLine="496"/>
        <w:rPr>
          <w:rFonts w:ascii="宋体" w:hAnsi="宋体" w:cs="宋体"/>
          <w:color w:val="auto"/>
          <w:highlight w:val="none"/>
        </w:rPr>
      </w:pPr>
      <w:r>
        <w:rPr>
          <w:rFonts w:hint="eastAsia" w:ascii="宋体" w:hAnsi="宋体" w:cs="宋体"/>
          <w:color w:val="auto"/>
          <w:highlight w:val="none"/>
        </w:rPr>
        <w:t>本部分内容详见招标文件第七章工程量清单。</w:t>
      </w:r>
    </w:p>
    <w:p>
      <w:pPr>
        <w:autoSpaceDE w:val="0"/>
        <w:autoSpaceDN w:val="0"/>
        <w:adjustRightInd w:val="0"/>
        <w:outlineLvl w:val="1"/>
        <w:rPr>
          <w:rFonts w:ascii="宋体" w:hAnsi="宋体"/>
          <w:color w:val="auto"/>
          <w:szCs w:val="21"/>
          <w:highlight w:val="none"/>
        </w:rPr>
      </w:pPr>
      <w:r>
        <w:rPr>
          <w:rFonts w:ascii="宋体" w:hAnsi="宋体"/>
          <w:color w:val="auto"/>
          <w:sz w:val="24"/>
          <w:szCs w:val="24"/>
          <w:highlight w:val="none"/>
        </w:rPr>
        <w:br w:type="page"/>
      </w:r>
      <w:bookmarkStart w:id="54" w:name="_Toc24368099"/>
      <w:bookmarkStart w:id="55" w:name="_Toc8132551"/>
      <w:bookmarkStart w:id="56" w:name="_Toc666"/>
      <w:r>
        <w:rPr>
          <w:rFonts w:hint="eastAsia" w:ascii="宋体" w:hAnsi="宋体"/>
          <w:color w:val="auto"/>
          <w:szCs w:val="21"/>
          <w:highlight w:val="none"/>
        </w:rPr>
        <w:t>格式三</w:t>
      </w:r>
      <w:bookmarkEnd w:id="54"/>
      <w:bookmarkEnd w:id="55"/>
      <w:r>
        <w:rPr>
          <w:rFonts w:hint="eastAsia" w:ascii="宋体" w:hAnsi="宋体"/>
          <w:color w:val="auto"/>
          <w:szCs w:val="21"/>
          <w:highlight w:val="none"/>
        </w:rPr>
        <w:t>：参与编制经济标投标文件人员名单</w:t>
      </w:r>
      <w:bookmarkEnd w:id="56"/>
    </w:p>
    <w:p>
      <w:pPr>
        <w:autoSpaceDE w:val="0"/>
        <w:autoSpaceDN w:val="0"/>
        <w:adjustRightInd w:val="0"/>
        <w:rPr>
          <w:rFonts w:ascii="宋体" w:cs="宋体"/>
          <w:color w:val="auto"/>
          <w:highlight w:val="none"/>
        </w:rPr>
      </w:pPr>
    </w:p>
    <w:p>
      <w:pPr>
        <w:pStyle w:val="86"/>
        <w:ind w:firstLine="392"/>
        <w:rPr>
          <w:rFonts w:ascii="宋体" w:hAnsi="宋体" w:eastAsia="宋体" w:cs="宋体"/>
          <w:color w:val="auto"/>
          <w:highlight w:val="none"/>
        </w:rPr>
      </w:pPr>
      <w:r>
        <w:rPr>
          <w:rFonts w:hint="eastAsia" w:ascii="宋体" w:hAnsi="宋体" w:eastAsia="宋体" w:cs="宋体"/>
          <w:color w:val="auto"/>
          <w:highlight w:val="none"/>
        </w:rPr>
        <w:t>参与编制经济标投标文件人员名单</w:t>
      </w:r>
    </w:p>
    <w:p>
      <w:pPr>
        <w:tabs>
          <w:tab w:val="left" w:pos="720"/>
        </w:tabs>
        <w:snapToGrid w:val="0"/>
        <w:spacing w:line="360" w:lineRule="auto"/>
        <w:jc w:val="center"/>
        <w:rPr>
          <w:rFonts w:ascii="宋体" w:hAnsi="宋体"/>
          <w:color w:val="auto"/>
          <w:szCs w:val="21"/>
          <w:highlight w:val="none"/>
        </w:rPr>
      </w:pP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autoSpaceDE w:val="0"/>
        <w:autoSpaceDN w:val="0"/>
        <w:adjustRightInd w:val="0"/>
        <w:spacing w:line="360" w:lineRule="auto"/>
        <w:ind w:firstLine="368"/>
        <w:rPr>
          <w:rFonts w:ascii="宋体" w:hAnsi="宋体" w:cs="宋体"/>
          <w:color w:val="auto"/>
          <w:szCs w:val="21"/>
          <w:highlight w:val="none"/>
        </w:rPr>
      </w:pPr>
      <w:r>
        <w:rPr>
          <w:rFonts w:hint="eastAsia" w:ascii="宋体" w:hAnsi="宋体" w:cs="宋体"/>
          <w:color w:val="auto"/>
          <w:highlight w:val="none"/>
        </w:rPr>
        <w:t>注：参与编制经济标书所有人员名单应包括如编制各种专业工程量清单投标报价、负责清样校对、负责打印及复印等所有人员在内的人员名单。</w:t>
      </w:r>
      <w:r>
        <w:rPr>
          <w:rFonts w:hint="eastAsia" w:ascii="宋体" w:hAnsi="宋体" w:cs="宋体"/>
          <w:bCs/>
          <w:color w:val="auto"/>
          <w:sz w:val="24"/>
          <w:highlight w:val="none"/>
        </w:rPr>
        <w:t xml:space="preserve"> </w:t>
      </w:r>
    </w:p>
    <w:p>
      <w:pPr>
        <w:autoSpaceDE w:val="0"/>
        <w:autoSpaceDN w:val="0"/>
        <w:adjustRightInd w:val="0"/>
        <w:outlineLvl w:val="1"/>
        <w:rPr>
          <w:rFonts w:ascii="宋体" w:hAnsi="宋体"/>
          <w:color w:val="auto"/>
          <w:szCs w:val="21"/>
          <w:highlight w:val="none"/>
        </w:rPr>
      </w:pPr>
      <w:r>
        <w:rPr>
          <w:rFonts w:ascii="宋体" w:hAnsi="宋体"/>
          <w:color w:val="auto"/>
          <w:sz w:val="24"/>
          <w:szCs w:val="24"/>
          <w:highlight w:val="none"/>
        </w:rPr>
        <w:br w:type="page"/>
      </w:r>
      <w:bookmarkStart w:id="57" w:name="_Toc10128"/>
      <w:r>
        <w:rPr>
          <w:rFonts w:hint="eastAsia" w:ascii="宋体" w:hAnsi="宋体"/>
          <w:color w:val="auto"/>
          <w:szCs w:val="21"/>
          <w:highlight w:val="none"/>
        </w:rPr>
        <w:t>附件四：对投标文件编制的承诺</w:t>
      </w:r>
      <w:bookmarkEnd w:id="57"/>
    </w:p>
    <w:p>
      <w:pPr>
        <w:pStyle w:val="5"/>
        <w:spacing w:after="0" w:line="360" w:lineRule="auto"/>
        <w:ind w:firstLine="0"/>
        <w:jc w:val="center"/>
        <w:rPr>
          <w:rFonts w:ascii="宋体" w:hAnsi="宋体"/>
          <w:color w:val="auto"/>
          <w:sz w:val="32"/>
          <w:szCs w:val="32"/>
          <w:highlight w:val="none"/>
        </w:rPr>
      </w:pPr>
      <w:r>
        <w:rPr>
          <w:rFonts w:hint="eastAsia" w:ascii="宋体" w:hAnsi="宋体"/>
          <w:b/>
          <w:color w:val="auto"/>
          <w:sz w:val="32"/>
          <w:szCs w:val="32"/>
          <w:highlight w:val="none"/>
        </w:rPr>
        <w:t>对投标文件编制的承诺</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auto"/>
          <w:sz w:val="24"/>
          <w:szCs w:val="24"/>
          <w:highlight w:val="none"/>
        </w:rPr>
      </w:pP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投标人名称（盖章）：</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p>
    <w:p>
      <w:pPr>
        <w:spacing w:line="360" w:lineRule="auto"/>
        <w:ind w:firstLine="4440" w:firstLineChars="1850"/>
        <w:jc w:val="center"/>
        <w:rPr>
          <w:rFonts w:ascii="宋体" w:hAnsi="宋体"/>
          <w:color w:val="auto"/>
          <w:sz w:val="24"/>
          <w:szCs w:val="24"/>
          <w:highlight w:val="none"/>
        </w:rPr>
      </w:pPr>
      <w:r>
        <w:rPr>
          <w:rFonts w:hint="eastAsia" w:ascii="宋体" w:hAnsi="宋体"/>
          <w:color w:val="auto"/>
          <w:sz w:val="24"/>
          <w:szCs w:val="24"/>
          <w:highlight w:val="none"/>
        </w:rPr>
        <w:t xml:space="preserve">日期：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年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月 </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5"/>
        <w:spacing w:after="0" w:line="360" w:lineRule="auto"/>
        <w:ind w:firstLine="0"/>
        <w:rPr>
          <w:rFonts w:ascii="宋体" w:hAnsi="宋体"/>
          <w:b/>
          <w:color w:val="auto"/>
          <w:sz w:val="32"/>
          <w:szCs w:val="32"/>
          <w:highlight w:val="none"/>
        </w:rPr>
      </w:pPr>
    </w:p>
    <w:p>
      <w:pPr>
        <w:pStyle w:val="5"/>
        <w:spacing w:after="0" w:line="360" w:lineRule="auto"/>
        <w:ind w:firstLine="0"/>
        <w:jc w:val="center"/>
        <w:rPr>
          <w:rFonts w:ascii="宋体" w:hAnsi="宋体"/>
          <w:color w:val="auto"/>
          <w:sz w:val="18"/>
          <w:szCs w:val="18"/>
          <w:highlight w:val="none"/>
        </w:rPr>
      </w:pPr>
      <w:r>
        <w:rPr>
          <w:rFonts w:hint="eastAsia" w:ascii="宋体" w:hAnsi="宋体"/>
          <w:b/>
          <w:color w:val="auto"/>
          <w:sz w:val="32"/>
          <w:szCs w:val="32"/>
          <w:highlight w:val="none"/>
        </w:rPr>
        <w:t>投标文件编制情况</w:t>
      </w:r>
    </w:p>
    <w:p>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4"/>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0"/>
              <w:rPr>
                <w:rFonts w:ascii="宋体" w:hAnsi="宋体"/>
                <w:color w:val="auto"/>
                <w:kern w:val="2"/>
                <w:sz w:val="24"/>
                <w:szCs w:val="24"/>
                <w:highlight w:val="none"/>
                <w:lang w:val="en-US"/>
              </w:rPr>
            </w:pPr>
            <w:r>
              <w:rPr>
                <w:rFonts w:hint="eastAsia" w:ascii="宋体" w:hAnsi="宋体"/>
                <w:color w:val="auto"/>
                <w:kern w:val="2"/>
                <w:sz w:val="24"/>
                <w:szCs w:val="24"/>
                <w:highlight w:val="none"/>
                <w:lang w:val="en-US"/>
              </w:rPr>
              <w:t>投标文件加密打包的电脑  自有    □      外包    □   其他    □</w:t>
            </w:r>
          </w:p>
          <w:p>
            <w:pPr>
              <w:pStyle w:val="5"/>
              <w:spacing w:after="0" w:line="360" w:lineRule="auto"/>
              <w:ind w:firstLine="0"/>
              <w:rPr>
                <w:rFonts w:ascii="宋体" w:hAnsi="宋体"/>
                <w:color w:val="auto"/>
                <w:kern w:val="2"/>
                <w:sz w:val="24"/>
                <w:szCs w:val="24"/>
                <w:highlight w:val="none"/>
                <w:lang w:val="en-US"/>
              </w:rPr>
            </w:pPr>
            <w:r>
              <w:rPr>
                <w:rFonts w:hint="eastAsia" w:ascii="宋体" w:hAnsi="宋体"/>
                <w:color w:val="auto"/>
                <w:kern w:val="2"/>
                <w:sz w:val="24"/>
                <w:szCs w:val="24"/>
                <w:highlight w:val="none"/>
                <w:lang w:val="en-US"/>
              </w:rPr>
              <w:t>电脑类型</w:t>
            </w:r>
          </w:p>
          <w:p>
            <w:pPr>
              <w:pStyle w:val="5"/>
              <w:spacing w:after="0" w:line="360" w:lineRule="auto"/>
              <w:ind w:firstLine="0"/>
              <w:rPr>
                <w:rFonts w:ascii="宋体" w:hAnsi="宋体"/>
                <w:color w:val="auto"/>
                <w:kern w:val="2"/>
                <w:sz w:val="24"/>
                <w:szCs w:val="24"/>
                <w:highlight w:val="none"/>
                <w:lang w:val="en-US"/>
              </w:rPr>
            </w:pPr>
            <w:r>
              <w:rPr>
                <w:rFonts w:hint="eastAsia" w:ascii="宋体" w:hAnsi="宋体"/>
                <w:color w:val="auto"/>
                <w:kern w:val="2"/>
                <w:sz w:val="24"/>
                <w:szCs w:val="24"/>
                <w:highlight w:val="none"/>
                <w:lang w:val="en-US"/>
              </w:rPr>
              <w:t>电脑所属单位</w:t>
            </w:r>
          </w:p>
          <w:p>
            <w:pPr>
              <w:pStyle w:val="5"/>
              <w:spacing w:after="0" w:line="360" w:lineRule="auto"/>
              <w:ind w:firstLine="0"/>
              <w:rPr>
                <w:rFonts w:ascii="宋体" w:hAnsi="宋体"/>
                <w:color w:val="auto"/>
                <w:kern w:val="2"/>
                <w:sz w:val="24"/>
                <w:szCs w:val="24"/>
                <w:highlight w:val="none"/>
                <w:lang w:val="en-US"/>
              </w:rPr>
            </w:pPr>
            <w:r>
              <w:rPr>
                <w:rFonts w:hint="eastAsia" w:ascii="宋体" w:hAnsi="宋体"/>
                <w:color w:val="auto"/>
                <w:kern w:val="2"/>
                <w:sz w:val="24"/>
                <w:szCs w:val="24"/>
                <w:highlight w:val="none"/>
                <w:lang w:val="en-US"/>
              </w:rPr>
              <w:t>电脑所在地址        （如××市××区(县) ××街（路）××号××大厦××房）</w:t>
            </w:r>
          </w:p>
        </w:tc>
      </w:tr>
    </w:tbl>
    <w:p>
      <w:pPr>
        <w:topLinePunct/>
        <w:adjustRightInd w:val="0"/>
        <w:snapToGrid w:val="0"/>
        <w:spacing w:before="156" w:beforeLines="50" w:after="156" w:afterLines="50"/>
        <w:outlineLvl w:val="2"/>
        <w:rPr>
          <w:color w:val="auto"/>
          <w:highlight w:val="none"/>
        </w:rPr>
      </w:pPr>
      <w:r>
        <w:rPr>
          <w:rFonts w:ascii="宋体" w:hAnsi="宋体"/>
          <w:color w:val="auto"/>
          <w:sz w:val="24"/>
          <w:szCs w:val="24"/>
          <w:highlight w:val="none"/>
        </w:rPr>
        <w:br w:type="page"/>
      </w:r>
    </w:p>
    <w:p>
      <w:pPr>
        <w:pStyle w:val="3"/>
        <w:rPr>
          <w:rStyle w:val="67"/>
          <w:rFonts w:ascii="宋体" w:hAnsi="宋体"/>
          <w:b w:val="0"/>
          <w:color w:val="auto"/>
          <w:highlight w:val="none"/>
        </w:rPr>
      </w:pPr>
      <w:bookmarkStart w:id="58" w:name="_Toc3231"/>
      <w:r>
        <w:rPr>
          <w:rFonts w:hint="eastAsia"/>
          <w:color w:val="auto"/>
          <w:highlight w:val="none"/>
        </w:rPr>
        <w:t>第五章技术条件（工程建设标准）</w:t>
      </w:r>
      <w:bookmarkEnd w:id="58"/>
    </w:p>
    <w:p>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本工程按照国家有关规定、规范进行施工、验收，具体以施工图纸及相关技术和验收标准、遵照招标人相关规定要求为准。</w:t>
      </w:r>
    </w:p>
    <w:p>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1.本工程采用的工程建设标准、规范必须遵守现行中华人民共和国以及广东省、江门市或行业最新的工程建设标准及规范，且必须满足设计文件的相关要求。</w:t>
      </w:r>
    </w:p>
    <w:p>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2.本工程实施中采用的材料、设备与工艺，都必须符合上述标准、规范及设计文件的相应要求。</w:t>
      </w:r>
    </w:p>
    <w:p>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3.在招标文件发出之日起至全部合同执行期间，如果所引用的标准和规范有局部的修订或新颁，</w:t>
      </w:r>
      <w:r>
        <w:rPr>
          <w:rFonts w:hint="eastAsia" w:ascii="宋体" w:hAnsi="宋体" w:cs="宋体"/>
          <w:color w:val="auto"/>
          <w:highlight w:val="none"/>
          <w:lang w:val="en-US" w:eastAsia="zh-CN"/>
        </w:rPr>
        <w:t>承包人</w:t>
      </w:r>
      <w:r>
        <w:rPr>
          <w:rFonts w:hint="eastAsia" w:ascii="宋体" w:hAnsi="宋体" w:cs="宋体"/>
          <w:color w:val="auto"/>
          <w:highlight w:val="none"/>
        </w:rPr>
        <w:t>应报发包</w:t>
      </w:r>
      <w:r>
        <w:rPr>
          <w:rFonts w:hint="eastAsia" w:ascii="宋体" w:hAnsi="宋体" w:cs="宋体"/>
          <w:color w:val="auto"/>
          <w:highlight w:val="none"/>
          <w:lang w:val="en-US" w:eastAsia="zh-CN"/>
        </w:rPr>
        <w:t>人</w:t>
      </w:r>
      <w:r>
        <w:rPr>
          <w:rFonts w:hint="eastAsia" w:ascii="宋体" w:hAnsi="宋体" w:cs="宋体"/>
          <w:color w:val="auto"/>
          <w:highlight w:val="none"/>
        </w:rPr>
        <w:t>批核决定是否采用。如果批准，应由</w:t>
      </w:r>
      <w:r>
        <w:rPr>
          <w:rFonts w:hint="eastAsia" w:ascii="宋体" w:hAnsi="宋体" w:cs="宋体"/>
          <w:color w:val="auto"/>
          <w:highlight w:val="none"/>
          <w:lang w:val="en-US" w:eastAsia="zh-CN"/>
        </w:rPr>
        <w:t>发包人</w:t>
      </w:r>
      <w:r>
        <w:rPr>
          <w:rFonts w:hint="eastAsia" w:ascii="宋体" w:hAnsi="宋体" w:cs="宋体"/>
          <w:color w:val="auto"/>
          <w:highlight w:val="none"/>
        </w:rPr>
        <w:t>发出指令，承包人应执行新的标准或规范，但不得以此为理由要求增加合同费用。</w:t>
      </w:r>
    </w:p>
    <w:p>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4.本招标工程所说明的工程规范是以中国国家公布的所有现行规范及地方政府有关的现行规定，承包人须按此等规范执行。</w:t>
      </w:r>
    </w:p>
    <w:p>
      <w:pPr>
        <w:pStyle w:val="79"/>
        <w:ind w:firstLine="496"/>
        <w:rPr>
          <w:rFonts w:hint="eastAsia" w:ascii="宋体" w:hAnsi="宋体" w:cs="宋体"/>
          <w:color w:val="auto"/>
          <w:spacing w:val="0"/>
          <w:kern w:val="2"/>
          <w:sz w:val="21"/>
          <w:szCs w:val="22"/>
          <w:highlight w:val="none"/>
          <w:lang w:val="en-US"/>
        </w:rPr>
      </w:pPr>
      <w:r>
        <w:rPr>
          <w:rFonts w:hint="eastAsia" w:ascii="宋体" w:hAnsi="宋体" w:cs="宋体"/>
          <w:color w:val="auto"/>
          <w:highlight w:val="none"/>
        </w:rPr>
        <w:t>5.</w:t>
      </w:r>
      <w:r>
        <w:rPr>
          <w:rFonts w:hint="eastAsia" w:ascii="宋体" w:hAnsi="宋体" w:cs="宋体"/>
          <w:color w:val="auto"/>
          <w:spacing w:val="0"/>
          <w:kern w:val="2"/>
          <w:sz w:val="21"/>
          <w:szCs w:val="22"/>
          <w:highlight w:val="none"/>
          <w:lang w:val="en-US"/>
        </w:rPr>
        <w:t>本招标工程所说明的工程规范亦包括设计说明、施工说明及做法说明和要求等。承包人亦须按此等说明及要求执行，若此等说明及要求与国家规范及地方政府有关的现行规定之间有差异，承包</w:t>
      </w:r>
      <w:r>
        <w:rPr>
          <w:rFonts w:hint="eastAsia" w:ascii="宋体" w:hAnsi="宋体" w:cs="宋体"/>
          <w:color w:val="auto"/>
          <w:spacing w:val="0"/>
          <w:kern w:val="2"/>
          <w:sz w:val="21"/>
          <w:szCs w:val="22"/>
          <w:highlight w:val="none"/>
          <w:lang w:val="en-US" w:eastAsia="zh-CN"/>
        </w:rPr>
        <w:t>人</w:t>
      </w:r>
      <w:r>
        <w:rPr>
          <w:rFonts w:hint="eastAsia" w:ascii="宋体" w:hAnsi="宋体" w:cs="宋体"/>
          <w:color w:val="auto"/>
          <w:spacing w:val="0"/>
          <w:kern w:val="2"/>
          <w:sz w:val="21"/>
          <w:szCs w:val="22"/>
          <w:highlight w:val="none"/>
          <w:lang w:val="en-US"/>
        </w:rPr>
        <w:t>须按较高之标准执行。</w:t>
      </w:r>
    </w:p>
    <w:p>
      <w:pPr>
        <w:pStyle w:val="3"/>
        <w:ind w:firstLine="420"/>
        <w:rPr>
          <w:rFonts w:ascii="宋体" w:hAnsi="宋体"/>
          <w:color w:val="auto"/>
          <w:highlight w:val="none"/>
        </w:rPr>
      </w:pPr>
      <w:r>
        <w:rPr>
          <w:rFonts w:ascii="宋体" w:hAnsi="宋体"/>
          <w:color w:val="auto"/>
          <w:sz w:val="24"/>
          <w:szCs w:val="24"/>
          <w:highlight w:val="none"/>
        </w:rPr>
        <w:br w:type="page"/>
      </w:r>
      <w:bookmarkStart w:id="59" w:name="_Toc591"/>
      <w:r>
        <w:rPr>
          <w:rFonts w:hint="eastAsia" w:ascii="宋体" w:hAnsi="宋体"/>
          <w:color w:val="auto"/>
          <w:highlight w:val="none"/>
        </w:rPr>
        <w:t>第六章图纸及勘察资料</w:t>
      </w:r>
      <w:bookmarkEnd w:id="59"/>
    </w:p>
    <w:p>
      <w:pPr>
        <w:rPr>
          <w:rFonts w:ascii="宋体" w:hAnsi="宋体"/>
          <w:b/>
          <w:color w:val="auto"/>
          <w:sz w:val="24"/>
          <w:szCs w:val="24"/>
          <w:highlight w:val="none"/>
        </w:rPr>
      </w:pPr>
      <w:r>
        <w:rPr>
          <w:rFonts w:hint="eastAsia" w:ascii="宋体" w:hAnsi="宋体"/>
          <w:color w:val="auto"/>
          <w:sz w:val="24"/>
          <w:szCs w:val="24"/>
          <w:highlight w:val="none"/>
        </w:rPr>
        <w:t>注：本章由招标人自行制定，另册。</w:t>
      </w:r>
    </w:p>
    <w:p>
      <w:pPr>
        <w:pStyle w:val="3"/>
        <w:rPr>
          <w:rFonts w:ascii="宋体" w:hAnsi="宋体"/>
          <w:color w:val="auto"/>
          <w:highlight w:val="none"/>
        </w:rPr>
      </w:pPr>
      <w:r>
        <w:rPr>
          <w:rFonts w:ascii="宋体" w:hAnsi="宋体"/>
          <w:color w:val="auto"/>
          <w:sz w:val="24"/>
          <w:szCs w:val="24"/>
          <w:highlight w:val="none"/>
        </w:rPr>
        <w:br w:type="page"/>
      </w:r>
      <w:bookmarkStart w:id="60" w:name="_Toc4245"/>
      <w:r>
        <w:rPr>
          <w:rFonts w:hint="eastAsia" w:ascii="宋体" w:hAnsi="宋体"/>
          <w:color w:val="auto"/>
          <w:highlight w:val="none"/>
        </w:rPr>
        <w:t>第七章工程量清单</w:t>
      </w:r>
      <w:bookmarkEnd w:id="60"/>
    </w:p>
    <w:p>
      <w:pPr>
        <w:rPr>
          <w:rFonts w:ascii="宋体" w:hAnsi="宋体"/>
          <w:b/>
          <w:color w:val="auto"/>
          <w:sz w:val="24"/>
          <w:szCs w:val="24"/>
          <w:highlight w:val="none"/>
        </w:rPr>
      </w:pPr>
      <w:r>
        <w:rPr>
          <w:rFonts w:hint="eastAsia" w:ascii="宋体" w:hAnsi="宋体"/>
          <w:color w:val="auto"/>
          <w:sz w:val="24"/>
          <w:szCs w:val="24"/>
          <w:highlight w:val="none"/>
        </w:rPr>
        <w:t>注：本章由招标人自行制定，另册。</w:t>
      </w:r>
    </w:p>
    <w:p>
      <w:pPr>
        <w:pStyle w:val="5"/>
        <w:spacing w:after="0" w:line="360" w:lineRule="auto"/>
        <w:ind w:left="-2" w:leftChars="-1" w:firstLine="960" w:firstLineChars="400"/>
        <w:rPr>
          <w:rFonts w:ascii="宋体" w:hAnsi="宋体"/>
          <w:color w:val="auto"/>
          <w:sz w:val="24"/>
          <w:highlight w:val="none"/>
        </w:rPr>
      </w:pPr>
    </w:p>
    <w:p>
      <w:pPr>
        <w:pStyle w:val="3"/>
        <w:rPr>
          <w:rFonts w:ascii="宋体" w:hAnsi="宋体" w:cs="宋体"/>
          <w:color w:val="auto"/>
          <w:highlight w:val="none"/>
        </w:rPr>
      </w:pPr>
      <w:r>
        <w:rPr>
          <w:rFonts w:ascii="宋体" w:hAnsi="宋体"/>
          <w:color w:val="auto"/>
          <w:highlight w:val="none"/>
        </w:rPr>
        <w:br w:type="page"/>
      </w:r>
      <w:bookmarkStart w:id="61" w:name="_Toc8132556"/>
      <w:bookmarkStart w:id="62" w:name="_Toc24368104"/>
      <w:bookmarkStart w:id="63" w:name="_Toc15863"/>
      <w:r>
        <w:rPr>
          <w:rFonts w:hint="eastAsia" w:ascii="宋体" w:hAnsi="宋体" w:cs="宋体"/>
          <w:color w:val="auto"/>
          <w:highlight w:val="none"/>
        </w:rPr>
        <w:t>第八章最高投标限价</w:t>
      </w:r>
      <w:bookmarkEnd w:id="61"/>
      <w:bookmarkEnd w:id="62"/>
      <w:bookmarkEnd w:id="63"/>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招标人应当在发布招标文件时，公布最高投标限价的总价，以及绿色施工安全防护措施费、暂列金额等投标人不可竞争的固定报价。</w:t>
      </w:r>
    </w:p>
    <w:p>
      <w:pPr>
        <w:spacing w:line="6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详见《最高投标限价公布函》</w:t>
      </w:r>
    </w:p>
    <w:p>
      <w:pPr>
        <w:pStyle w:val="2"/>
        <w:rPr>
          <w:rFonts w:hint="eastAsia" w:ascii="宋体" w:hAnsi="宋体" w:cs="宋体"/>
          <w:color w:val="auto"/>
          <w:sz w:val="24"/>
          <w:szCs w:val="24"/>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宋体 ，Arial">
    <w:altName w:val="宋体"/>
    <w:panose1 w:val="00000000000000000000"/>
    <w:charset w:val="86"/>
    <w:family w:val="roma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center"/>
      <w:rPr>
        <w:rStyle w:val="39"/>
      </w:rPr>
    </w:pPr>
    <w:r>
      <w:fldChar w:fldCharType="begin"/>
    </w:r>
    <w:r>
      <w:rPr>
        <w:rStyle w:val="39"/>
      </w:rPr>
      <w:instrText xml:space="preserve">PAGE  </w:instrText>
    </w:r>
    <w:r>
      <w:fldChar w:fldCharType="separate"/>
    </w:r>
    <w:r>
      <w:rPr>
        <w:rStyle w:val="39"/>
      </w:rPr>
      <w:t>54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39"/>
      </w:rPr>
    </w:pPr>
    <w:r>
      <w:fldChar w:fldCharType="begin"/>
    </w:r>
    <w:r>
      <w:rPr>
        <w:rStyle w:val="39"/>
      </w:rPr>
      <w:instrText xml:space="preserve">PAGE  </w:instrText>
    </w:r>
    <w:r>
      <w:fldChar w:fldCharType="separate"/>
    </w:r>
    <w:r>
      <w:rPr>
        <w:rStyle w:val="39"/>
        <w:rFonts w:hint="eastAsia"/>
        <w:lang w:val="en-US"/>
      </w:rPr>
      <w:t>一</w:t>
    </w:r>
    <w:r>
      <w:rPr>
        <w:rStyle w:val="39"/>
        <w:lang w:val="en-US"/>
      </w:rPr>
      <w:t>–2</w:t>
    </w:r>
    <w:r>
      <w:fldChar w:fldCharType="end"/>
    </w:r>
  </w:p>
  <w:p>
    <w:pPr>
      <w:pStyle w:val="24"/>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t>79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82"/>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1">
    <w:nsid w:val="33575336"/>
    <w:multiLevelType w:val="multilevel"/>
    <w:tmpl w:val="33575336"/>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0BF777"/>
    <w:multiLevelType w:val="singleLevel"/>
    <w:tmpl w:val="5E0BF777"/>
    <w:lvl w:ilvl="0" w:tentative="0">
      <w:start w:val="2"/>
      <w:numFmt w:val="decimal"/>
      <w:suff w:val="nothing"/>
      <w:lvlText w:val="%1、"/>
      <w:lvlJc w:val="left"/>
    </w:lvl>
  </w:abstractNum>
  <w:abstractNum w:abstractNumId="3">
    <w:nsid w:val="5E0C0C8D"/>
    <w:multiLevelType w:val="singleLevel"/>
    <w:tmpl w:val="5E0C0C8D"/>
    <w:lvl w:ilvl="0" w:tentative="0">
      <w:start w:val="31"/>
      <w:numFmt w:val="decimal"/>
      <w:suff w:val="nothing"/>
      <w:lvlText w:val="%1．"/>
      <w:lvlJc w:val="left"/>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ODFjYzQzNzhkN2MwNWMzYmJhZjNkYWYwMWE1ZTkifQ=="/>
  </w:docVars>
  <w:rsids>
    <w:rsidRoot w:val="00347B42"/>
    <w:rsid w:val="000005E2"/>
    <w:rsid w:val="00000C16"/>
    <w:rsid w:val="00002543"/>
    <w:rsid w:val="0000323E"/>
    <w:rsid w:val="0001060C"/>
    <w:rsid w:val="00010C32"/>
    <w:rsid w:val="00010EA5"/>
    <w:rsid w:val="00011FD8"/>
    <w:rsid w:val="00012158"/>
    <w:rsid w:val="00013C7D"/>
    <w:rsid w:val="00015C83"/>
    <w:rsid w:val="00016176"/>
    <w:rsid w:val="00016F6F"/>
    <w:rsid w:val="0001760A"/>
    <w:rsid w:val="00020B6C"/>
    <w:rsid w:val="00026C2A"/>
    <w:rsid w:val="000306C2"/>
    <w:rsid w:val="00032AA0"/>
    <w:rsid w:val="00034DBD"/>
    <w:rsid w:val="00036FB3"/>
    <w:rsid w:val="0003752C"/>
    <w:rsid w:val="000402BA"/>
    <w:rsid w:val="000442DA"/>
    <w:rsid w:val="000448C2"/>
    <w:rsid w:val="00045410"/>
    <w:rsid w:val="0004594E"/>
    <w:rsid w:val="000460AE"/>
    <w:rsid w:val="000503B2"/>
    <w:rsid w:val="00052C95"/>
    <w:rsid w:val="00053083"/>
    <w:rsid w:val="0005345A"/>
    <w:rsid w:val="00054803"/>
    <w:rsid w:val="00054995"/>
    <w:rsid w:val="0006078D"/>
    <w:rsid w:val="00061053"/>
    <w:rsid w:val="00061908"/>
    <w:rsid w:val="00061D6F"/>
    <w:rsid w:val="00062844"/>
    <w:rsid w:val="00062AEF"/>
    <w:rsid w:val="000636B6"/>
    <w:rsid w:val="0006420A"/>
    <w:rsid w:val="00071650"/>
    <w:rsid w:val="00071E69"/>
    <w:rsid w:val="00071FE8"/>
    <w:rsid w:val="00073D70"/>
    <w:rsid w:val="00074D0D"/>
    <w:rsid w:val="000753CD"/>
    <w:rsid w:val="00075D64"/>
    <w:rsid w:val="00076377"/>
    <w:rsid w:val="00081E49"/>
    <w:rsid w:val="000840D1"/>
    <w:rsid w:val="00084ECA"/>
    <w:rsid w:val="00084F28"/>
    <w:rsid w:val="0008650C"/>
    <w:rsid w:val="000871EF"/>
    <w:rsid w:val="0009311A"/>
    <w:rsid w:val="0009332A"/>
    <w:rsid w:val="000949B0"/>
    <w:rsid w:val="00096202"/>
    <w:rsid w:val="000971B7"/>
    <w:rsid w:val="00097A36"/>
    <w:rsid w:val="000A14FB"/>
    <w:rsid w:val="000A2B71"/>
    <w:rsid w:val="000A454D"/>
    <w:rsid w:val="000A67CF"/>
    <w:rsid w:val="000B10F0"/>
    <w:rsid w:val="000B188E"/>
    <w:rsid w:val="000B39D9"/>
    <w:rsid w:val="000B4127"/>
    <w:rsid w:val="000B5B07"/>
    <w:rsid w:val="000B5DC3"/>
    <w:rsid w:val="000B5E51"/>
    <w:rsid w:val="000B6105"/>
    <w:rsid w:val="000C257F"/>
    <w:rsid w:val="000C307E"/>
    <w:rsid w:val="000C34BD"/>
    <w:rsid w:val="000C3BEC"/>
    <w:rsid w:val="000C606B"/>
    <w:rsid w:val="000D53FD"/>
    <w:rsid w:val="000D71FF"/>
    <w:rsid w:val="000D7CAF"/>
    <w:rsid w:val="000D7EC5"/>
    <w:rsid w:val="000E053B"/>
    <w:rsid w:val="000E22CB"/>
    <w:rsid w:val="000E3334"/>
    <w:rsid w:val="000E3868"/>
    <w:rsid w:val="000E391A"/>
    <w:rsid w:val="000E59FD"/>
    <w:rsid w:val="000F1479"/>
    <w:rsid w:val="000F22FC"/>
    <w:rsid w:val="000F2C2C"/>
    <w:rsid w:val="000F369B"/>
    <w:rsid w:val="000F72CB"/>
    <w:rsid w:val="001001A3"/>
    <w:rsid w:val="00102881"/>
    <w:rsid w:val="00103896"/>
    <w:rsid w:val="00103D22"/>
    <w:rsid w:val="001061BC"/>
    <w:rsid w:val="00106D5C"/>
    <w:rsid w:val="00110932"/>
    <w:rsid w:val="00111051"/>
    <w:rsid w:val="0011250E"/>
    <w:rsid w:val="00113581"/>
    <w:rsid w:val="00113A4E"/>
    <w:rsid w:val="0011470D"/>
    <w:rsid w:val="00114D24"/>
    <w:rsid w:val="00117141"/>
    <w:rsid w:val="0011719C"/>
    <w:rsid w:val="00117296"/>
    <w:rsid w:val="00121379"/>
    <w:rsid w:val="001249D0"/>
    <w:rsid w:val="00125C0E"/>
    <w:rsid w:val="0012612A"/>
    <w:rsid w:val="001364EB"/>
    <w:rsid w:val="00136D79"/>
    <w:rsid w:val="00137B7C"/>
    <w:rsid w:val="0014018D"/>
    <w:rsid w:val="00144AAD"/>
    <w:rsid w:val="00147A1D"/>
    <w:rsid w:val="00150937"/>
    <w:rsid w:val="00154F47"/>
    <w:rsid w:val="001601EA"/>
    <w:rsid w:val="00161CB6"/>
    <w:rsid w:val="00161CF0"/>
    <w:rsid w:val="00162557"/>
    <w:rsid w:val="00162AF5"/>
    <w:rsid w:val="00162BDB"/>
    <w:rsid w:val="00163656"/>
    <w:rsid w:val="001647E3"/>
    <w:rsid w:val="00165DFA"/>
    <w:rsid w:val="00174120"/>
    <w:rsid w:val="00175B0D"/>
    <w:rsid w:val="00176E98"/>
    <w:rsid w:val="00177C9A"/>
    <w:rsid w:val="0018182F"/>
    <w:rsid w:val="0018339B"/>
    <w:rsid w:val="0018397A"/>
    <w:rsid w:val="00184EFF"/>
    <w:rsid w:val="001853DD"/>
    <w:rsid w:val="0018662F"/>
    <w:rsid w:val="0018780E"/>
    <w:rsid w:val="001914E9"/>
    <w:rsid w:val="00195344"/>
    <w:rsid w:val="001967E3"/>
    <w:rsid w:val="001A0A7C"/>
    <w:rsid w:val="001A35BC"/>
    <w:rsid w:val="001A584E"/>
    <w:rsid w:val="001B10C9"/>
    <w:rsid w:val="001B1869"/>
    <w:rsid w:val="001B4135"/>
    <w:rsid w:val="001B5234"/>
    <w:rsid w:val="001C1434"/>
    <w:rsid w:val="001C2500"/>
    <w:rsid w:val="001C4586"/>
    <w:rsid w:val="001C5A2D"/>
    <w:rsid w:val="001D11BE"/>
    <w:rsid w:val="001D3834"/>
    <w:rsid w:val="001D6E76"/>
    <w:rsid w:val="001D716F"/>
    <w:rsid w:val="001D78C1"/>
    <w:rsid w:val="001E06BC"/>
    <w:rsid w:val="001E1076"/>
    <w:rsid w:val="001E1B21"/>
    <w:rsid w:val="001E4736"/>
    <w:rsid w:val="001E6107"/>
    <w:rsid w:val="001E6D18"/>
    <w:rsid w:val="001F149A"/>
    <w:rsid w:val="001F1C7F"/>
    <w:rsid w:val="001F1D00"/>
    <w:rsid w:val="001F2118"/>
    <w:rsid w:val="001F2229"/>
    <w:rsid w:val="001F299B"/>
    <w:rsid w:val="001F45E9"/>
    <w:rsid w:val="001F5AB2"/>
    <w:rsid w:val="001F5E60"/>
    <w:rsid w:val="001F72D9"/>
    <w:rsid w:val="00200197"/>
    <w:rsid w:val="002001CE"/>
    <w:rsid w:val="002013C8"/>
    <w:rsid w:val="00205F2B"/>
    <w:rsid w:val="00210286"/>
    <w:rsid w:val="002153FF"/>
    <w:rsid w:val="00216436"/>
    <w:rsid w:val="002175C4"/>
    <w:rsid w:val="00217748"/>
    <w:rsid w:val="00220F2C"/>
    <w:rsid w:val="00222A58"/>
    <w:rsid w:val="00223049"/>
    <w:rsid w:val="00223491"/>
    <w:rsid w:val="00223FE1"/>
    <w:rsid w:val="002265DC"/>
    <w:rsid w:val="00231650"/>
    <w:rsid w:val="00233947"/>
    <w:rsid w:val="00233B1B"/>
    <w:rsid w:val="002351FB"/>
    <w:rsid w:val="002357F9"/>
    <w:rsid w:val="002361BF"/>
    <w:rsid w:val="002373DA"/>
    <w:rsid w:val="00244825"/>
    <w:rsid w:val="002448F9"/>
    <w:rsid w:val="00246410"/>
    <w:rsid w:val="002468C8"/>
    <w:rsid w:val="002479B7"/>
    <w:rsid w:val="00247FF7"/>
    <w:rsid w:val="00250FBE"/>
    <w:rsid w:val="00251DE7"/>
    <w:rsid w:val="002540E8"/>
    <w:rsid w:val="00255819"/>
    <w:rsid w:val="00256599"/>
    <w:rsid w:val="00257BCA"/>
    <w:rsid w:val="0026001D"/>
    <w:rsid w:val="00260918"/>
    <w:rsid w:val="002619CA"/>
    <w:rsid w:val="00263069"/>
    <w:rsid w:val="002635D5"/>
    <w:rsid w:val="00263B3E"/>
    <w:rsid w:val="002658A0"/>
    <w:rsid w:val="00272A7F"/>
    <w:rsid w:val="00272F67"/>
    <w:rsid w:val="00276136"/>
    <w:rsid w:val="00282638"/>
    <w:rsid w:val="0028360C"/>
    <w:rsid w:val="00283FA4"/>
    <w:rsid w:val="00285FE0"/>
    <w:rsid w:val="0028615B"/>
    <w:rsid w:val="00290C97"/>
    <w:rsid w:val="00291F3B"/>
    <w:rsid w:val="00294074"/>
    <w:rsid w:val="00294F89"/>
    <w:rsid w:val="00296734"/>
    <w:rsid w:val="00296FD1"/>
    <w:rsid w:val="002A2085"/>
    <w:rsid w:val="002A4235"/>
    <w:rsid w:val="002A4E62"/>
    <w:rsid w:val="002A6A1E"/>
    <w:rsid w:val="002A6EA1"/>
    <w:rsid w:val="002A7B37"/>
    <w:rsid w:val="002B0FC2"/>
    <w:rsid w:val="002B25C8"/>
    <w:rsid w:val="002B2D72"/>
    <w:rsid w:val="002B3519"/>
    <w:rsid w:val="002B464B"/>
    <w:rsid w:val="002B4A4C"/>
    <w:rsid w:val="002B4F8B"/>
    <w:rsid w:val="002B76F6"/>
    <w:rsid w:val="002B788E"/>
    <w:rsid w:val="002C0157"/>
    <w:rsid w:val="002C0B6A"/>
    <w:rsid w:val="002C1F62"/>
    <w:rsid w:val="002C219A"/>
    <w:rsid w:val="002C4537"/>
    <w:rsid w:val="002C6165"/>
    <w:rsid w:val="002C7333"/>
    <w:rsid w:val="002D194A"/>
    <w:rsid w:val="002D198A"/>
    <w:rsid w:val="002D408D"/>
    <w:rsid w:val="002D4605"/>
    <w:rsid w:val="002D4645"/>
    <w:rsid w:val="002D4B66"/>
    <w:rsid w:val="002D56DB"/>
    <w:rsid w:val="002D6301"/>
    <w:rsid w:val="002D70FB"/>
    <w:rsid w:val="002E0EE0"/>
    <w:rsid w:val="002E4FBA"/>
    <w:rsid w:val="002E5633"/>
    <w:rsid w:val="002E6565"/>
    <w:rsid w:val="002E6F2F"/>
    <w:rsid w:val="002E78AC"/>
    <w:rsid w:val="002E7C8E"/>
    <w:rsid w:val="002F0FB2"/>
    <w:rsid w:val="002F33BD"/>
    <w:rsid w:val="002F3749"/>
    <w:rsid w:val="002F3B4F"/>
    <w:rsid w:val="002F522E"/>
    <w:rsid w:val="002F5AAC"/>
    <w:rsid w:val="00301CC6"/>
    <w:rsid w:val="003028EA"/>
    <w:rsid w:val="00302A5A"/>
    <w:rsid w:val="003053FF"/>
    <w:rsid w:val="0031136A"/>
    <w:rsid w:val="003119C8"/>
    <w:rsid w:val="00312537"/>
    <w:rsid w:val="00325B7D"/>
    <w:rsid w:val="003266E4"/>
    <w:rsid w:val="00326B8E"/>
    <w:rsid w:val="00330283"/>
    <w:rsid w:val="00330F90"/>
    <w:rsid w:val="0033348E"/>
    <w:rsid w:val="0033375F"/>
    <w:rsid w:val="00335917"/>
    <w:rsid w:val="00337981"/>
    <w:rsid w:val="003379A6"/>
    <w:rsid w:val="00337AAB"/>
    <w:rsid w:val="00337C35"/>
    <w:rsid w:val="00337D1F"/>
    <w:rsid w:val="00340588"/>
    <w:rsid w:val="00341C86"/>
    <w:rsid w:val="00342F23"/>
    <w:rsid w:val="0034309F"/>
    <w:rsid w:val="003475ED"/>
    <w:rsid w:val="00347697"/>
    <w:rsid w:val="00347B42"/>
    <w:rsid w:val="0035201F"/>
    <w:rsid w:val="00352208"/>
    <w:rsid w:val="00354A31"/>
    <w:rsid w:val="00355EC9"/>
    <w:rsid w:val="00356D9A"/>
    <w:rsid w:val="003572BA"/>
    <w:rsid w:val="003601D7"/>
    <w:rsid w:val="00362411"/>
    <w:rsid w:val="003633A8"/>
    <w:rsid w:val="00363AE9"/>
    <w:rsid w:val="00364B4B"/>
    <w:rsid w:val="00365AEE"/>
    <w:rsid w:val="00366FB6"/>
    <w:rsid w:val="0036776E"/>
    <w:rsid w:val="0037040B"/>
    <w:rsid w:val="0037126B"/>
    <w:rsid w:val="00371299"/>
    <w:rsid w:val="00374C84"/>
    <w:rsid w:val="00374E14"/>
    <w:rsid w:val="0037531C"/>
    <w:rsid w:val="00376CE6"/>
    <w:rsid w:val="0037782D"/>
    <w:rsid w:val="00380F9A"/>
    <w:rsid w:val="00382589"/>
    <w:rsid w:val="0038295D"/>
    <w:rsid w:val="003861FF"/>
    <w:rsid w:val="00392FD9"/>
    <w:rsid w:val="00394C3A"/>
    <w:rsid w:val="0039508B"/>
    <w:rsid w:val="00396CA9"/>
    <w:rsid w:val="00396CFE"/>
    <w:rsid w:val="00396D9E"/>
    <w:rsid w:val="003A22C1"/>
    <w:rsid w:val="003A317D"/>
    <w:rsid w:val="003A575B"/>
    <w:rsid w:val="003A64AA"/>
    <w:rsid w:val="003A6D3E"/>
    <w:rsid w:val="003B29B7"/>
    <w:rsid w:val="003B2AA3"/>
    <w:rsid w:val="003B7810"/>
    <w:rsid w:val="003C1B84"/>
    <w:rsid w:val="003C24E2"/>
    <w:rsid w:val="003C3D80"/>
    <w:rsid w:val="003C63D9"/>
    <w:rsid w:val="003D0219"/>
    <w:rsid w:val="003D1361"/>
    <w:rsid w:val="003D1BDE"/>
    <w:rsid w:val="003D2D22"/>
    <w:rsid w:val="003D316F"/>
    <w:rsid w:val="003D3703"/>
    <w:rsid w:val="003D4D0D"/>
    <w:rsid w:val="003D58E5"/>
    <w:rsid w:val="003D5E5D"/>
    <w:rsid w:val="003E32B1"/>
    <w:rsid w:val="003E445E"/>
    <w:rsid w:val="003E4619"/>
    <w:rsid w:val="003E67E3"/>
    <w:rsid w:val="003E74DF"/>
    <w:rsid w:val="003E7F5C"/>
    <w:rsid w:val="003F4CF5"/>
    <w:rsid w:val="003F517C"/>
    <w:rsid w:val="00401743"/>
    <w:rsid w:val="00403BF6"/>
    <w:rsid w:val="004041DC"/>
    <w:rsid w:val="00404D36"/>
    <w:rsid w:val="00405959"/>
    <w:rsid w:val="00405C28"/>
    <w:rsid w:val="00406F19"/>
    <w:rsid w:val="00407552"/>
    <w:rsid w:val="00410075"/>
    <w:rsid w:val="0041048D"/>
    <w:rsid w:val="00413DDB"/>
    <w:rsid w:val="00414DDE"/>
    <w:rsid w:val="00416A8C"/>
    <w:rsid w:val="00416AFF"/>
    <w:rsid w:val="00417599"/>
    <w:rsid w:val="0042125D"/>
    <w:rsid w:val="00424AB5"/>
    <w:rsid w:val="00426CF9"/>
    <w:rsid w:val="00426D85"/>
    <w:rsid w:val="004305A3"/>
    <w:rsid w:val="00430B44"/>
    <w:rsid w:val="00431C33"/>
    <w:rsid w:val="0043318F"/>
    <w:rsid w:val="004342D6"/>
    <w:rsid w:val="00436DC3"/>
    <w:rsid w:val="00440AEB"/>
    <w:rsid w:val="00440E9B"/>
    <w:rsid w:val="00441917"/>
    <w:rsid w:val="00445AF8"/>
    <w:rsid w:val="00446140"/>
    <w:rsid w:val="00447046"/>
    <w:rsid w:val="004476B1"/>
    <w:rsid w:val="00447C79"/>
    <w:rsid w:val="00451468"/>
    <w:rsid w:val="00453CC9"/>
    <w:rsid w:val="0045431A"/>
    <w:rsid w:val="004554BD"/>
    <w:rsid w:val="004560D9"/>
    <w:rsid w:val="00456B5D"/>
    <w:rsid w:val="00456D3A"/>
    <w:rsid w:val="00462704"/>
    <w:rsid w:val="00462ED4"/>
    <w:rsid w:val="00462F0C"/>
    <w:rsid w:val="00464A26"/>
    <w:rsid w:val="00464E1B"/>
    <w:rsid w:val="0046746D"/>
    <w:rsid w:val="00470081"/>
    <w:rsid w:val="004702B4"/>
    <w:rsid w:val="00472A11"/>
    <w:rsid w:val="00472ECE"/>
    <w:rsid w:val="00473C0B"/>
    <w:rsid w:val="004745D6"/>
    <w:rsid w:val="004748E2"/>
    <w:rsid w:val="00477F3D"/>
    <w:rsid w:val="004817DD"/>
    <w:rsid w:val="004834D6"/>
    <w:rsid w:val="004838D9"/>
    <w:rsid w:val="00484678"/>
    <w:rsid w:val="00484D1C"/>
    <w:rsid w:val="00490398"/>
    <w:rsid w:val="004A1BDE"/>
    <w:rsid w:val="004A295E"/>
    <w:rsid w:val="004A351E"/>
    <w:rsid w:val="004A5365"/>
    <w:rsid w:val="004A5EA2"/>
    <w:rsid w:val="004A6348"/>
    <w:rsid w:val="004A6D39"/>
    <w:rsid w:val="004A6FBB"/>
    <w:rsid w:val="004B21FA"/>
    <w:rsid w:val="004B2260"/>
    <w:rsid w:val="004B36AE"/>
    <w:rsid w:val="004C26E1"/>
    <w:rsid w:val="004C2D22"/>
    <w:rsid w:val="004D42F6"/>
    <w:rsid w:val="004D52F5"/>
    <w:rsid w:val="004D63B6"/>
    <w:rsid w:val="004E073F"/>
    <w:rsid w:val="004E23D2"/>
    <w:rsid w:val="004E2462"/>
    <w:rsid w:val="004E2AD9"/>
    <w:rsid w:val="004E40C9"/>
    <w:rsid w:val="004E60B5"/>
    <w:rsid w:val="004E7C5C"/>
    <w:rsid w:val="004F04C0"/>
    <w:rsid w:val="004F0A6B"/>
    <w:rsid w:val="004F165A"/>
    <w:rsid w:val="004F6AF1"/>
    <w:rsid w:val="004F71EB"/>
    <w:rsid w:val="00500EB8"/>
    <w:rsid w:val="00502991"/>
    <w:rsid w:val="005059F5"/>
    <w:rsid w:val="00506207"/>
    <w:rsid w:val="005063C9"/>
    <w:rsid w:val="0051115B"/>
    <w:rsid w:val="0051212A"/>
    <w:rsid w:val="0051265B"/>
    <w:rsid w:val="005127D6"/>
    <w:rsid w:val="00513ACB"/>
    <w:rsid w:val="00513C3D"/>
    <w:rsid w:val="00514A7E"/>
    <w:rsid w:val="00514D6C"/>
    <w:rsid w:val="0052004B"/>
    <w:rsid w:val="00520F5B"/>
    <w:rsid w:val="00524DD8"/>
    <w:rsid w:val="00525243"/>
    <w:rsid w:val="0052662A"/>
    <w:rsid w:val="00530AE3"/>
    <w:rsid w:val="00534B28"/>
    <w:rsid w:val="00537255"/>
    <w:rsid w:val="00537EFF"/>
    <w:rsid w:val="00542451"/>
    <w:rsid w:val="00542A75"/>
    <w:rsid w:val="00542F36"/>
    <w:rsid w:val="0054413D"/>
    <w:rsid w:val="00545826"/>
    <w:rsid w:val="0054787A"/>
    <w:rsid w:val="00550D50"/>
    <w:rsid w:val="005513F8"/>
    <w:rsid w:val="00552641"/>
    <w:rsid w:val="00554DD4"/>
    <w:rsid w:val="00555B57"/>
    <w:rsid w:val="0055648A"/>
    <w:rsid w:val="00562F8C"/>
    <w:rsid w:val="005659A2"/>
    <w:rsid w:val="005659C4"/>
    <w:rsid w:val="00566A20"/>
    <w:rsid w:val="00567E95"/>
    <w:rsid w:val="00570EF5"/>
    <w:rsid w:val="00571973"/>
    <w:rsid w:val="00571D09"/>
    <w:rsid w:val="00575E95"/>
    <w:rsid w:val="00576230"/>
    <w:rsid w:val="00580EB3"/>
    <w:rsid w:val="00583742"/>
    <w:rsid w:val="00583B3A"/>
    <w:rsid w:val="005853D8"/>
    <w:rsid w:val="00587565"/>
    <w:rsid w:val="005879B4"/>
    <w:rsid w:val="0059096F"/>
    <w:rsid w:val="00590DEB"/>
    <w:rsid w:val="005911E8"/>
    <w:rsid w:val="00593D1E"/>
    <w:rsid w:val="00595115"/>
    <w:rsid w:val="005A26E9"/>
    <w:rsid w:val="005A3974"/>
    <w:rsid w:val="005A49CA"/>
    <w:rsid w:val="005A51E5"/>
    <w:rsid w:val="005B12D1"/>
    <w:rsid w:val="005B14C1"/>
    <w:rsid w:val="005B24D1"/>
    <w:rsid w:val="005B4D2F"/>
    <w:rsid w:val="005B6BD5"/>
    <w:rsid w:val="005B7AA0"/>
    <w:rsid w:val="005C0722"/>
    <w:rsid w:val="005C18DD"/>
    <w:rsid w:val="005C23BD"/>
    <w:rsid w:val="005C2663"/>
    <w:rsid w:val="005C667A"/>
    <w:rsid w:val="005C7F5B"/>
    <w:rsid w:val="005D1679"/>
    <w:rsid w:val="005D3BAD"/>
    <w:rsid w:val="005D4707"/>
    <w:rsid w:val="005D5DD2"/>
    <w:rsid w:val="005D691E"/>
    <w:rsid w:val="005D7A03"/>
    <w:rsid w:val="005E40BE"/>
    <w:rsid w:val="005E5F19"/>
    <w:rsid w:val="005E689A"/>
    <w:rsid w:val="005E6FE7"/>
    <w:rsid w:val="005E7F2B"/>
    <w:rsid w:val="005F3600"/>
    <w:rsid w:val="00600847"/>
    <w:rsid w:val="006027D1"/>
    <w:rsid w:val="0060354B"/>
    <w:rsid w:val="00603655"/>
    <w:rsid w:val="00603C87"/>
    <w:rsid w:val="006052F2"/>
    <w:rsid w:val="006061AE"/>
    <w:rsid w:val="00611C01"/>
    <w:rsid w:val="00612EF6"/>
    <w:rsid w:val="00613EEC"/>
    <w:rsid w:val="0061419F"/>
    <w:rsid w:val="0062370B"/>
    <w:rsid w:val="006256AC"/>
    <w:rsid w:val="0062626C"/>
    <w:rsid w:val="00626846"/>
    <w:rsid w:val="00627039"/>
    <w:rsid w:val="0063325C"/>
    <w:rsid w:val="00635764"/>
    <w:rsid w:val="00636039"/>
    <w:rsid w:val="006378DE"/>
    <w:rsid w:val="00637D56"/>
    <w:rsid w:val="006404F7"/>
    <w:rsid w:val="00641D6C"/>
    <w:rsid w:val="006432E3"/>
    <w:rsid w:val="006441C4"/>
    <w:rsid w:val="00644CF5"/>
    <w:rsid w:val="00644DA3"/>
    <w:rsid w:val="00646144"/>
    <w:rsid w:val="006467FA"/>
    <w:rsid w:val="00653293"/>
    <w:rsid w:val="006540D2"/>
    <w:rsid w:val="0065420C"/>
    <w:rsid w:val="00654266"/>
    <w:rsid w:val="00654F27"/>
    <w:rsid w:val="006558D2"/>
    <w:rsid w:val="006572AF"/>
    <w:rsid w:val="00657700"/>
    <w:rsid w:val="00657E4A"/>
    <w:rsid w:val="00662A99"/>
    <w:rsid w:val="00662C84"/>
    <w:rsid w:val="00664A7E"/>
    <w:rsid w:val="00665C9E"/>
    <w:rsid w:val="00671671"/>
    <w:rsid w:val="006747FF"/>
    <w:rsid w:val="006748E6"/>
    <w:rsid w:val="00674C0E"/>
    <w:rsid w:val="00675461"/>
    <w:rsid w:val="00675A12"/>
    <w:rsid w:val="006764AB"/>
    <w:rsid w:val="006764B1"/>
    <w:rsid w:val="00683CBB"/>
    <w:rsid w:val="00686DD6"/>
    <w:rsid w:val="00690832"/>
    <w:rsid w:val="006930CE"/>
    <w:rsid w:val="00694038"/>
    <w:rsid w:val="006A2B18"/>
    <w:rsid w:val="006A324B"/>
    <w:rsid w:val="006A43AD"/>
    <w:rsid w:val="006A6D82"/>
    <w:rsid w:val="006B0ABB"/>
    <w:rsid w:val="006B2E88"/>
    <w:rsid w:val="006B364C"/>
    <w:rsid w:val="006B3C76"/>
    <w:rsid w:val="006B4921"/>
    <w:rsid w:val="006B4DA9"/>
    <w:rsid w:val="006C01B5"/>
    <w:rsid w:val="006C0A98"/>
    <w:rsid w:val="006C188C"/>
    <w:rsid w:val="006C1AE1"/>
    <w:rsid w:val="006C4BA2"/>
    <w:rsid w:val="006C50B0"/>
    <w:rsid w:val="006D09BB"/>
    <w:rsid w:val="006D29EE"/>
    <w:rsid w:val="006D619D"/>
    <w:rsid w:val="006E14DC"/>
    <w:rsid w:val="006E493B"/>
    <w:rsid w:val="006E7E5D"/>
    <w:rsid w:val="006F1269"/>
    <w:rsid w:val="006F2ADA"/>
    <w:rsid w:val="006F6F8E"/>
    <w:rsid w:val="0070422B"/>
    <w:rsid w:val="00706C2B"/>
    <w:rsid w:val="00710A9A"/>
    <w:rsid w:val="00711057"/>
    <w:rsid w:val="00713067"/>
    <w:rsid w:val="0071381B"/>
    <w:rsid w:val="00713B42"/>
    <w:rsid w:val="00716B5C"/>
    <w:rsid w:val="00717BB0"/>
    <w:rsid w:val="00717F24"/>
    <w:rsid w:val="00720FC7"/>
    <w:rsid w:val="00724215"/>
    <w:rsid w:val="007263EF"/>
    <w:rsid w:val="00726831"/>
    <w:rsid w:val="007268D5"/>
    <w:rsid w:val="00726A79"/>
    <w:rsid w:val="007270DA"/>
    <w:rsid w:val="00730BC3"/>
    <w:rsid w:val="007367B3"/>
    <w:rsid w:val="0073694B"/>
    <w:rsid w:val="00745EBB"/>
    <w:rsid w:val="007463E8"/>
    <w:rsid w:val="00746927"/>
    <w:rsid w:val="007476C0"/>
    <w:rsid w:val="00750B83"/>
    <w:rsid w:val="00750F3B"/>
    <w:rsid w:val="00750F57"/>
    <w:rsid w:val="00751BDD"/>
    <w:rsid w:val="007523D2"/>
    <w:rsid w:val="00754B8D"/>
    <w:rsid w:val="00760150"/>
    <w:rsid w:val="007631AF"/>
    <w:rsid w:val="0076596A"/>
    <w:rsid w:val="00771F15"/>
    <w:rsid w:val="007722C4"/>
    <w:rsid w:val="007738EC"/>
    <w:rsid w:val="007741B2"/>
    <w:rsid w:val="00774547"/>
    <w:rsid w:val="00774A07"/>
    <w:rsid w:val="007751F3"/>
    <w:rsid w:val="00775538"/>
    <w:rsid w:val="007757A9"/>
    <w:rsid w:val="0077607F"/>
    <w:rsid w:val="00777146"/>
    <w:rsid w:val="0078003A"/>
    <w:rsid w:val="0078247D"/>
    <w:rsid w:val="00786D20"/>
    <w:rsid w:val="00790F7F"/>
    <w:rsid w:val="00790FBD"/>
    <w:rsid w:val="00791682"/>
    <w:rsid w:val="00793EE9"/>
    <w:rsid w:val="00794DC2"/>
    <w:rsid w:val="007959BC"/>
    <w:rsid w:val="00795F53"/>
    <w:rsid w:val="00796416"/>
    <w:rsid w:val="00797696"/>
    <w:rsid w:val="007A0025"/>
    <w:rsid w:val="007A1030"/>
    <w:rsid w:val="007A1826"/>
    <w:rsid w:val="007A30AA"/>
    <w:rsid w:val="007A4750"/>
    <w:rsid w:val="007A73C7"/>
    <w:rsid w:val="007B092F"/>
    <w:rsid w:val="007B1278"/>
    <w:rsid w:val="007B3520"/>
    <w:rsid w:val="007B5583"/>
    <w:rsid w:val="007C29A0"/>
    <w:rsid w:val="007C2C04"/>
    <w:rsid w:val="007C478F"/>
    <w:rsid w:val="007C4E45"/>
    <w:rsid w:val="007C5AF4"/>
    <w:rsid w:val="007C6405"/>
    <w:rsid w:val="007D020A"/>
    <w:rsid w:val="007D24BE"/>
    <w:rsid w:val="007D25F4"/>
    <w:rsid w:val="007D36FD"/>
    <w:rsid w:val="007D5643"/>
    <w:rsid w:val="007D6537"/>
    <w:rsid w:val="007D74C0"/>
    <w:rsid w:val="007D7B11"/>
    <w:rsid w:val="007E0026"/>
    <w:rsid w:val="007E0D3E"/>
    <w:rsid w:val="007E11A6"/>
    <w:rsid w:val="007E3986"/>
    <w:rsid w:val="007E3DA5"/>
    <w:rsid w:val="007E4300"/>
    <w:rsid w:val="007E6447"/>
    <w:rsid w:val="007E7542"/>
    <w:rsid w:val="007F019F"/>
    <w:rsid w:val="007F0AFC"/>
    <w:rsid w:val="007F38AA"/>
    <w:rsid w:val="007F52B5"/>
    <w:rsid w:val="007F7A27"/>
    <w:rsid w:val="007F7C1E"/>
    <w:rsid w:val="00800302"/>
    <w:rsid w:val="00803CB0"/>
    <w:rsid w:val="00805618"/>
    <w:rsid w:val="008061BC"/>
    <w:rsid w:val="00812CAF"/>
    <w:rsid w:val="008150C6"/>
    <w:rsid w:val="00816003"/>
    <w:rsid w:val="008176B4"/>
    <w:rsid w:val="00820519"/>
    <w:rsid w:val="008221B2"/>
    <w:rsid w:val="00823980"/>
    <w:rsid w:val="0082574C"/>
    <w:rsid w:val="008308EB"/>
    <w:rsid w:val="0083178B"/>
    <w:rsid w:val="00832266"/>
    <w:rsid w:val="00834CBA"/>
    <w:rsid w:val="0084067C"/>
    <w:rsid w:val="0084070D"/>
    <w:rsid w:val="00843FC5"/>
    <w:rsid w:val="00844506"/>
    <w:rsid w:val="0084795C"/>
    <w:rsid w:val="00850F6F"/>
    <w:rsid w:val="00851103"/>
    <w:rsid w:val="0085136E"/>
    <w:rsid w:val="00854D6C"/>
    <w:rsid w:val="00857454"/>
    <w:rsid w:val="008576C7"/>
    <w:rsid w:val="0086109B"/>
    <w:rsid w:val="00863CEC"/>
    <w:rsid w:val="00866192"/>
    <w:rsid w:val="008663C9"/>
    <w:rsid w:val="008706B1"/>
    <w:rsid w:val="00871629"/>
    <w:rsid w:val="008718B9"/>
    <w:rsid w:val="00872703"/>
    <w:rsid w:val="0087356D"/>
    <w:rsid w:val="00876F8C"/>
    <w:rsid w:val="00877F9C"/>
    <w:rsid w:val="00880304"/>
    <w:rsid w:val="0088333B"/>
    <w:rsid w:val="00883FC1"/>
    <w:rsid w:val="00885A5C"/>
    <w:rsid w:val="00891C5D"/>
    <w:rsid w:val="00893417"/>
    <w:rsid w:val="00895365"/>
    <w:rsid w:val="0089575A"/>
    <w:rsid w:val="00896481"/>
    <w:rsid w:val="008967DB"/>
    <w:rsid w:val="00897796"/>
    <w:rsid w:val="00897A1D"/>
    <w:rsid w:val="008A12A7"/>
    <w:rsid w:val="008A28BE"/>
    <w:rsid w:val="008A4499"/>
    <w:rsid w:val="008A4792"/>
    <w:rsid w:val="008A5EDE"/>
    <w:rsid w:val="008A5F07"/>
    <w:rsid w:val="008A749F"/>
    <w:rsid w:val="008B16A6"/>
    <w:rsid w:val="008B16DC"/>
    <w:rsid w:val="008B641A"/>
    <w:rsid w:val="008B668B"/>
    <w:rsid w:val="008B7B23"/>
    <w:rsid w:val="008C0D28"/>
    <w:rsid w:val="008C1124"/>
    <w:rsid w:val="008C2C26"/>
    <w:rsid w:val="008C30C6"/>
    <w:rsid w:val="008C483B"/>
    <w:rsid w:val="008C577E"/>
    <w:rsid w:val="008C57AC"/>
    <w:rsid w:val="008D36A3"/>
    <w:rsid w:val="008D4D1D"/>
    <w:rsid w:val="008D5BEB"/>
    <w:rsid w:val="008D6002"/>
    <w:rsid w:val="008E00B3"/>
    <w:rsid w:val="008E044D"/>
    <w:rsid w:val="008E126B"/>
    <w:rsid w:val="008E1E5C"/>
    <w:rsid w:val="008E45D8"/>
    <w:rsid w:val="008F00CB"/>
    <w:rsid w:val="008F0309"/>
    <w:rsid w:val="008F1750"/>
    <w:rsid w:val="008F1FCE"/>
    <w:rsid w:val="008F6D42"/>
    <w:rsid w:val="00901D1F"/>
    <w:rsid w:val="0090234C"/>
    <w:rsid w:val="009044C0"/>
    <w:rsid w:val="00907341"/>
    <w:rsid w:val="00920600"/>
    <w:rsid w:val="0092132D"/>
    <w:rsid w:val="00921386"/>
    <w:rsid w:val="0092169E"/>
    <w:rsid w:val="00921A95"/>
    <w:rsid w:val="00924CAE"/>
    <w:rsid w:val="009258A6"/>
    <w:rsid w:val="00925C66"/>
    <w:rsid w:val="009303CE"/>
    <w:rsid w:val="009317FE"/>
    <w:rsid w:val="009349D9"/>
    <w:rsid w:val="00935D46"/>
    <w:rsid w:val="00936FC6"/>
    <w:rsid w:val="00937F7E"/>
    <w:rsid w:val="009408C7"/>
    <w:rsid w:val="0094175E"/>
    <w:rsid w:val="009443E4"/>
    <w:rsid w:val="0094491C"/>
    <w:rsid w:val="00945195"/>
    <w:rsid w:val="00946331"/>
    <w:rsid w:val="00950BD7"/>
    <w:rsid w:val="009513E1"/>
    <w:rsid w:val="00951455"/>
    <w:rsid w:val="00951921"/>
    <w:rsid w:val="00953CEA"/>
    <w:rsid w:val="00960064"/>
    <w:rsid w:val="009627ED"/>
    <w:rsid w:val="00966304"/>
    <w:rsid w:val="00971567"/>
    <w:rsid w:val="00973120"/>
    <w:rsid w:val="009761B5"/>
    <w:rsid w:val="0097797C"/>
    <w:rsid w:val="00977EB4"/>
    <w:rsid w:val="009845C6"/>
    <w:rsid w:val="009851BD"/>
    <w:rsid w:val="00986F16"/>
    <w:rsid w:val="00987A7A"/>
    <w:rsid w:val="0099063A"/>
    <w:rsid w:val="00994D31"/>
    <w:rsid w:val="0099505A"/>
    <w:rsid w:val="00996DCD"/>
    <w:rsid w:val="00996ED9"/>
    <w:rsid w:val="009A1697"/>
    <w:rsid w:val="009A2BF9"/>
    <w:rsid w:val="009A2F77"/>
    <w:rsid w:val="009A4161"/>
    <w:rsid w:val="009A4217"/>
    <w:rsid w:val="009A5ED7"/>
    <w:rsid w:val="009A69C4"/>
    <w:rsid w:val="009B240D"/>
    <w:rsid w:val="009B379C"/>
    <w:rsid w:val="009B3C28"/>
    <w:rsid w:val="009B3CB2"/>
    <w:rsid w:val="009B6489"/>
    <w:rsid w:val="009B6940"/>
    <w:rsid w:val="009B6FE1"/>
    <w:rsid w:val="009B7B98"/>
    <w:rsid w:val="009C20EA"/>
    <w:rsid w:val="009C2A97"/>
    <w:rsid w:val="009C3BBA"/>
    <w:rsid w:val="009C4520"/>
    <w:rsid w:val="009C582B"/>
    <w:rsid w:val="009C795A"/>
    <w:rsid w:val="009D2429"/>
    <w:rsid w:val="009D2E29"/>
    <w:rsid w:val="009D65DD"/>
    <w:rsid w:val="009D69E7"/>
    <w:rsid w:val="009E1F89"/>
    <w:rsid w:val="009E2847"/>
    <w:rsid w:val="009E3EB7"/>
    <w:rsid w:val="009F0919"/>
    <w:rsid w:val="009F2A94"/>
    <w:rsid w:val="009F2E64"/>
    <w:rsid w:val="009F3B39"/>
    <w:rsid w:val="009F46FF"/>
    <w:rsid w:val="009F54EF"/>
    <w:rsid w:val="009F74BA"/>
    <w:rsid w:val="009F7634"/>
    <w:rsid w:val="00A00A12"/>
    <w:rsid w:val="00A01EFD"/>
    <w:rsid w:val="00A04B7E"/>
    <w:rsid w:val="00A06215"/>
    <w:rsid w:val="00A0764E"/>
    <w:rsid w:val="00A076F8"/>
    <w:rsid w:val="00A12954"/>
    <w:rsid w:val="00A16430"/>
    <w:rsid w:val="00A17313"/>
    <w:rsid w:val="00A17E82"/>
    <w:rsid w:val="00A22B24"/>
    <w:rsid w:val="00A2745D"/>
    <w:rsid w:val="00A3031B"/>
    <w:rsid w:val="00A30C8D"/>
    <w:rsid w:val="00A33519"/>
    <w:rsid w:val="00A33573"/>
    <w:rsid w:val="00A3565B"/>
    <w:rsid w:val="00A374EE"/>
    <w:rsid w:val="00A427AC"/>
    <w:rsid w:val="00A427DD"/>
    <w:rsid w:val="00A43BA0"/>
    <w:rsid w:val="00A471EA"/>
    <w:rsid w:val="00A51553"/>
    <w:rsid w:val="00A51FEF"/>
    <w:rsid w:val="00A53069"/>
    <w:rsid w:val="00A54115"/>
    <w:rsid w:val="00A55B36"/>
    <w:rsid w:val="00A562FA"/>
    <w:rsid w:val="00A563EB"/>
    <w:rsid w:val="00A61897"/>
    <w:rsid w:val="00A636C6"/>
    <w:rsid w:val="00A6479C"/>
    <w:rsid w:val="00A64FA5"/>
    <w:rsid w:val="00A70347"/>
    <w:rsid w:val="00A7119E"/>
    <w:rsid w:val="00A71EAC"/>
    <w:rsid w:val="00A7631F"/>
    <w:rsid w:val="00A76DFE"/>
    <w:rsid w:val="00A76F12"/>
    <w:rsid w:val="00A81F41"/>
    <w:rsid w:val="00A84276"/>
    <w:rsid w:val="00A86613"/>
    <w:rsid w:val="00A86D90"/>
    <w:rsid w:val="00A871A1"/>
    <w:rsid w:val="00A874E9"/>
    <w:rsid w:val="00A904A5"/>
    <w:rsid w:val="00A91850"/>
    <w:rsid w:val="00A92CB7"/>
    <w:rsid w:val="00A93013"/>
    <w:rsid w:val="00A93DA3"/>
    <w:rsid w:val="00A9485C"/>
    <w:rsid w:val="00A972D1"/>
    <w:rsid w:val="00AA22B0"/>
    <w:rsid w:val="00AA358F"/>
    <w:rsid w:val="00AA68F0"/>
    <w:rsid w:val="00AA6DA3"/>
    <w:rsid w:val="00AB08C5"/>
    <w:rsid w:val="00AB0BFE"/>
    <w:rsid w:val="00AB15E7"/>
    <w:rsid w:val="00AB324F"/>
    <w:rsid w:val="00AB41F3"/>
    <w:rsid w:val="00AB4F1F"/>
    <w:rsid w:val="00AB524A"/>
    <w:rsid w:val="00AC1E17"/>
    <w:rsid w:val="00AC2AB8"/>
    <w:rsid w:val="00AC3779"/>
    <w:rsid w:val="00AC51D5"/>
    <w:rsid w:val="00AC57E9"/>
    <w:rsid w:val="00AD0A5F"/>
    <w:rsid w:val="00AD2F5E"/>
    <w:rsid w:val="00AD3436"/>
    <w:rsid w:val="00AD4B69"/>
    <w:rsid w:val="00AD6661"/>
    <w:rsid w:val="00AD6DFE"/>
    <w:rsid w:val="00AD7E1A"/>
    <w:rsid w:val="00AD7FCF"/>
    <w:rsid w:val="00AE0CF8"/>
    <w:rsid w:val="00AE1AB2"/>
    <w:rsid w:val="00AE27E4"/>
    <w:rsid w:val="00AF0A2E"/>
    <w:rsid w:val="00AF13DA"/>
    <w:rsid w:val="00AF23E1"/>
    <w:rsid w:val="00AF52F1"/>
    <w:rsid w:val="00AF56F3"/>
    <w:rsid w:val="00AF5FDB"/>
    <w:rsid w:val="00AF7D38"/>
    <w:rsid w:val="00B019CB"/>
    <w:rsid w:val="00B06B5F"/>
    <w:rsid w:val="00B075DF"/>
    <w:rsid w:val="00B10910"/>
    <w:rsid w:val="00B10CD4"/>
    <w:rsid w:val="00B116EA"/>
    <w:rsid w:val="00B12126"/>
    <w:rsid w:val="00B17C84"/>
    <w:rsid w:val="00B22A71"/>
    <w:rsid w:val="00B2461A"/>
    <w:rsid w:val="00B264F2"/>
    <w:rsid w:val="00B27549"/>
    <w:rsid w:val="00B30D9E"/>
    <w:rsid w:val="00B31A6D"/>
    <w:rsid w:val="00B34D27"/>
    <w:rsid w:val="00B43A91"/>
    <w:rsid w:val="00B440A5"/>
    <w:rsid w:val="00B477B1"/>
    <w:rsid w:val="00B51AEF"/>
    <w:rsid w:val="00B53251"/>
    <w:rsid w:val="00B54973"/>
    <w:rsid w:val="00B54DA7"/>
    <w:rsid w:val="00B55091"/>
    <w:rsid w:val="00B560F9"/>
    <w:rsid w:val="00B57781"/>
    <w:rsid w:val="00B601A6"/>
    <w:rsid w:val="00B6198F"/>
    <w:rsid w:val="00B629DC"/>
    <w:rsid w:val="00B62DC9"/>
    <w:rsid w:val="00B633AA"/>
    <w:rsid w:val="00B64AF8"/>
    <w:rsid w:val="00B650A1"/>
    <w:rsid w:val="00B66152"/>
    <w:rsid w:val="00B73B87"/>
    <w:rsid w:val="00B76CB7"/>
    <w:rsid w:val="00B8044A"/>
    <w:rsid w:val="00B81AFA"/>
    <w:rsid w:val="00B82916"/>
    <w:rsid w:val="00B848B2"/>
    <w:rsid w:val="00B84D5B"/>
    <w:rsid w:val="00B853CD"/>
    <w:rsid w:val="00B85761"/>
    <w:rsid w:val="00B921A5"/>
    <w:rsid w:val="00B92430"/>
    <w:rsid w:val="00B925AD"/>
    <w:rsid w:val="00B94955"/>
    <w:rsid w:val="00B95FBD"/>
    <w:rsid w:val="00B97F98"/>
    <w:rsid w:val="00BA3632"/>
    <w:rsid w:val="00BA64C3"/>
    <w:rsid w:val="00BA6615"/>
    <w:rsid w:val="00BA6624"/>
    <w:rsid w:val="00BA749D"/>
    <w:rsid w:val="00BA79F2"/>
    <w:rsid w:val="00BB0D8F"/>
    <w:rsid w:val="00BB10E9"/>
    <w:rsid w:val="00BB2856"/>
    <w:rsid w:val="00BB35A9"/>
    <w:rsid w:val="00BB3944"/>
    <w:rsid w:val="00BB395B"/>
    <w:rsid w:val="00BB3AFA"/>
    <w:rsid w:val="00BB3FB4"/>
    <w:rsid w:val="00BB4AE7"/>
    <w:rsid w:val="00BB543A"/>
    <w:rsid w:val="00BB5DDC"/>
    <w:rsid w:val="00BB5EEC"/>
    <w:rsid w:val="00BC0F95"/>
    <w:rsid w:val="00BC1175"/>
    <w:rsid w:val="00BC158C"/>
    <w:rsid w:val="00BC3587"/>
    <w:rsid w:val="00BC39EC"/>
    <w:rsid w:val="00BC6502"/>
    <w:rsid w:val="00BD248B"/>
    <w:rsid w:val="00BD2A40"/>
    <w:rsid w:val="00BD4502"/>
    <w:rsid w:val="00BD454A"/>
    <w:rsid w:val="00BD5205"/>
    <w:rsid w:val="00BE0C34"/>
    <w:rsid w:val="00BE25F0"/>
    <w:rsid w:val="00BE2EC0"/>
    <w:rsid w:val="00BE309C"/>
    <w:rsid w:val="00BE506D"/>
    <w:rsid w:val="00BE53A2"/>
    <w:rsid w:val="00BE5A6C"/>
    <w:rsid w:val="00BF05B1"/>
    <w:rsid w:val="00BF1829"/>
    <w:rsid w:val="00BF63F3"/>
    <w:rsid w:val="00BF6E78"/>
    <w:rsid w:val="00BF7174"/>
    <w:rsid w:val="00C02B79"/>
    <w:rsid w:val="00C03729"/>
    <w:rsid w:val="00C1095B"/>
    <w:rsid w:val="00C10A85"/>
    <w:rsid w:val="00C10D9B"/>
    <w:rsid w:val="00C16176"/>
    <w:rsid w:val="00C2137A"/>
    <w:rsid w:val="00C250FA"/>
    <w:rsid w:val="00C25A07"/>
    <w:rsid w:val="00C30633"/>
    <w:rsid w:val="00C306D6"/>
    <w:rsid w:val="00C32601"/>
    <w:rsid w:val="00C34D8C"/>
    <w:rsid w:val="00C36C97"/>
    <w:rsid w:val="00C417B2"/>
    <w:rsid w:val="00C427AA"/>
    <w:rsid w:val="00C446FE"/>
    <w:rsid w:val="00C4548F"/>
    <w:rsid w:val="00C4760F"/>
    <w:rsid w:val="00C50760"/>
    <w:rsid w:val="00C51B0B"/>
    <w:rsid w:val="00C51D97"/>
    <w:rsid w:val="00C5246B"/>
    <w:rsid w:val="00C53A3F"/>
    <w:rsid w:val="00C54D59"/>
    <w:rsid w:val="00C55378"/>
    <w:rsid w:val="00C5585B"/>
    <w:rsid w:val="00C55CEB"/>
    <w:rsid w:val="00C567F2"/>
    <w:rsid w:val="00C57125"/>
    <w:rsid w:val="00C60C2F"/>
    <w:rsid w:val="00C60DD0"/>
    <w:rsid w:val="00C6163D"/>
    <w:rsid w:val="00C62764"/>
    <w:rsid w:val="00C6482A"/>
    <w:rsid w:val="00C64DF7"/>
    <w:rsid w:val="00C65149"/>
    <w:rsid w:val="00C651C8"/>
    <w:rsid w:val="00C66112"/>
    <w:rsid w:val="00C67335"/>
    <w:rsid w:val="00C67983"/>
    <w:rsid w:val="00C712DF"/>
    <w:rsid w:val="00C7383A"/>
    <w:rsid w:val="00C73883"/>
    <w:rsid w:val="00C74D19"/>
    <w:rsid w:val="00C74D68"/>
    <w:rsid w:val="00C75244"/>
    <w:rsid w:val="00C76F81"/>
    <w:rsid w:val="00C776C1"/>
    <w:rsid w:val="00C8021A"/>
    <w:rsid w:val="00C809ED"/>
    <w:rsid w:val="00C80D1E"/>
    <w:rsid w:val="00C82227"/>
    <w:rsid w:val="00C82825"/>
    <w:rsid w:val="00C83F34"/>
    <w:rsid w:val="00C83F5F"/>
    <w:rsid w:val="00C841FC"/>
    <w:rsid w:val="00C85387"/>
    <w:rsid w:val="00C8559A"/>
    <w:rsid w:val="00C85DA3"/>
    <w:rsid w:val="00C85F7C"/>
    <w:rsid w:val="00C909DE"/>
    <w:rsid w:val="00C95676"/>
    <w:rsid w:val="00C96E62"/>
    <w:rsid w:val="00C97116"/>
    <w:rsid w:val="00C9737C"/>
    <w:rsid w:val="00CA17FB"/>
    <w:rsid w:val="00CA26AC"/>
    <w:rsid w:val="00CA35C9"/>
    <w:rsid w:val="00CA447C"/>
    <w:rsid w:val="00CA508A"/>
    <w:rsid w:val="00CA74D7"/>
    <w:rsid w:val="00CA7BB7"/>
    <w:rsid w:val="00CB060E"/>
    <w:rsid w:val="00CB0AB2"/>
    <w:rsid w:val="00CB0E22"/>
    <w:rsid w:val="00CB2553"/>
    <w:rsid w:val="00CB3D5B"/>
    <w:rsid w:val="00CB42A4"/>
    <w:rsid w:val="00CB42FF"/>
    <w:rsid w:val="00CB67DA"/>
    <w:rsid w:val="00CC3899"/>
    <w:rsid w:val="00CC433C"/>
    <w:rsid w:val="00CD3A48"/>
    <w:rsid w:val="00CD407E"/>
    <w:rsid w:val="00CD46A7"/>
    <w:rsid w:val="00CD4F69"/>
    <w:rsid w:val="00CD662B"/>
    <w:rsid w:val="00CE0C22"/>
    <w:rsid w:val="00CE3814"/>
    <w:rsid w:val="00CE59B0"/>
    <w:rsid w:val="00CE6883"/>
    <w:rsid w:val="00CE6DC8"/>
    <w:rsid w:val="00CF0371"/>
    <w:rsid w:val="00CF052B"/>
    <w:rsid w:val="00CF200A"/>
    <w:rsid w:val="00CF423B"/>
    <w:rsid w:val="00CF5271"/>
    <w:rsid w:val="00D0151E"/>
    <w:rsid w:val="00D023B2"/>
    <w:rsid w:val="00D027F1"/>
    <w:rsid w:val="00D0594F"/>
    <w:rsid w:val="00D0627E"/>
    <w:rsid w:val="00D0720D"/>
    <w:rsid w:val="00D16358"/>
    <w:rsid w:val="00D172E0"/>
    <w:rsid w:val="00D179CD"/>
    <w:rsid w:val="00D2291B"/>
    <w:rsid w:val="00D23FC8"/>
    <w:rsid w:val="00D25CB0"/>
    <w:rsid w:val="00D25F6F"/>
    <w:rsid w:val="00D263D9"/>
    <w:rsid w:val="00D26562"/>
    <w:rsid w:val="00D26F14"/>
    <w:rsid w:val="00D27B71"/>
    <w:rsid w:val="00D30399"/>
    <w:rsid w:val="00D310A6"/>
    <w:rsid w:val="00D31185"/>
    <w:rsid w:val="00D32685"/>
    <w:rsid w:val="00D3478B"/>
    <w:rsid w:val="00D368B3"/>
    <w:rsid w:val="00D42415"/>
    <w:rsid w:val="00D42D93"/>
    <w:rsid w:val="00D431D5"/>
    <w:rsid w:val="00D43D2C"/>
    <w:rsid w:val="00D52E92"/>
    <w:rsid w:val="00D54A83"/>
    <w:rsid w:val="00D5505A"/>
    <w:rsid w:val="00D5616D"/>
    <w:rsid w:val="00D60A41"/>
    <w:rsid w:val="00D6419E"/>
    <w:rsid w:val="00D641D0"/>
    <w:rsid w:val="00D6498E"/>
    <w:rsid w:val="00D65957"/>
    <w:rsid w:val="00D66CE4"/>
    <w:rsid w:val="00D67410"/>
    <w:rsid w:val="00D67A72"/>
    <w:rsid w:val="00D71594"/>
    <w:rsid w:val="00D73076"/>
    <w:rsid w:val="00D774EF"/>
    <w:rsid w:val="00D80586"/>
    <w:rsid w:val="00D80A58"/>
    <w:rsid w:val="00D80BD1"/>
    <w:rsid w:val="00D815FE"/>
    <w:rsid w:val="00D828C0"/>
    <w:rsid w:val="00D82CC6"/>
    <w:rsid w:val="00D900BF"/>
    <w:rsid w:val="00D932D6"/>
    <w:rsid w:val="00D94932"/>
    <w:rsid w:val="00D9642D"/>
    <w:rsid w:val="00D96528"/>
    <w:rsid w:val="00D97001"/>
    <w:rsid w:val="00D97027"/>
    <w:rsid w:val="00DA0AAD"/>
    <w:rsid w:val="00DA0B05"/>
    <w:rsid w:val="00DA1415"/>
    <w:rsid w:val="00DA66FF"/>
    <w:rsid w:val="00DA7D2A"/>
    <w:rsid w:val="00DB203B"/>
    <w:rsid w:val="00DB5710"/>
    <w:rsid w:val="00DB69B3"/>
    <w:rsid w:val="00DC2CE3"/>
    <w:rsid w:val="00DC30AB"/>
    <w:rsid w:val="00DC4BCE"/>
    <w:rsid w:val="00DC542E"/>
    <w:rsid w:val="00DC5E43"/>
    <w:rsid w:val="00DC619E"/>
    <w:rsid w:val="00DC6F20"/>
    <w:rsid w:val="00DC7764"/>
    <w:rsid w:val="00DD052F"/>
    <w:rsid w:val="00DD05C6"/>
    <w:rsid w:val="00DD31D5"/>
    <w:rsid w:val="00DD43AB"/>
    <w:rsid w:val="00DD4659"/>
    <w:rsid w:val="00DD4EF1"/>
    <w:rsid w:val="00DD590F"/>
    <w:rsid w:val="00DD65B8"/>
    <w:rsid w:val="00DD77AD"/>
    <w:rsid w:val="00DE09AF"/>
    <w:rsid w:val="00DE10A4"/>
    <w:rsid w:val="00DE1BC0"/>
    <w:rsid w:val="00DE2FAA"/>
    <w:rsid w:val="00DE30E4"/>
    <w:rsid w:val="00DE31AD"/>
    <w:rsid w:val="00DE4367"/>
    <w:rsid w:val="00DE5070"/>
    <w:rsid w:val="00DE7215"/>
    <w:rsid w:val="00DE7356"/>
    <w:rsid w:val="00DF0231"/>
    <w:rsid w:val="00DF0EEE"/>
    <w:rsid w:val="00DF18A0"/>
    <w:rsid w:val="00DF1D9D"/>
    <w:rsid w:val="00DF29CF"/>
    <w:rsid w:val="00DF3183"/>
    <w:rsid w:val="00DF3BA0"/>
    <w:rsid w:val="00DF5F0A"/>
    <w:rsid w:val="00E0046D"/>
    <w:rsid w:val="00E00866"/>
    <w:rsid w:val="00E032B5"/>
    <w:rsid w:val="00E05243"/>
    <w:rsid w:val="00E07503"/>
    <w:rsid w:val="00E130EC"/>
    <w:rsid w:val="00E1795D"/>
    <w:rsid w:val="00E17A07"/>
    <w:rsid w:val="00E17D86"/>
    <w:rsid w:val="00E212FA"/>
    <w:rsid w:val="00E2497C"/>
    <w:rsid w:val="00E25F92"/>
    <w:rsid w:val="00E26982"/>
    <w:rsid w:val="00E26DE4"/>
    <w:rsid w:val="00E35A4D"/>
    <w:rsid w:val="00E427E9"/>
    <w:rsid w:val="00E4563A"/>
    <w:rsid w:val="00E46F7E"/>
    <w:rsid w:val="00E50ED6"/>
    <w:rsid w:val="00E519ED"/>
    <w:rsid w:val="00E53702"/>
    <w:rsid w:val="00E54A12"/>
    <w:rsid w:val="00E54BFE"/>
    <w:rsid w:val="00E550D6"/>
    <w:rsid w:val="00E55297"/>
    <w:rsid w:val="00E5790C"/>
    <w:rsid w:val="00E57A3C"/>
    <w:rsid w:val="00E57FF9"/>
    <w:rsid w:val="00E603A6"/>
    <w:rsid w:val="00E607F0"/>
    <w:rsid w:val="00E608C5"/>
    <w:rsid w:val="00E6152C"/>
    <w:rsid w:val="00E61D7E"/>
    <w:rsid w:val="00E635D1"/>
    <w:rsid w:val="00E649F7"/>
    <w:rsid w:val="00E657AA"/>
    <w:rsid w:val="00E66C13"/>
    <w:rsid w:val="00E700AA"/>
    <w:rsid w:val="00E71B8E"/>
    <w:rsid w:val="00E73FE8"/>
    <w:rsid w:val="00E74A6F"/>
    <w:rsid w:val="00E74E5E"/>
    <w:rsid w:val="00E753F6"/>
    <w:rsid w:val="00E75684"/>
    <w:rsid w:val="00E76A4B"/>
    <w:rsid w:val="00E76AC0"/>
    <w:rsid w:val="00E76D11"/>
    <w:rsid w:val="00E806E6"/>
    <w:rsid w:val="00E82A74"/>
    <w:rsid w:val="00E85C6C"/>
    <w:rsid w:val="00E90309"/>
    <w:rsid w:val="00E92F4D"/>
    <w:rsid w:val="00E94049"/>
    <w:rsid w:val="00E941D1"/>
    <w:rsid w:val="00E95A4A"/>
    <w:rsid w:val="00E95B5C"/>
    <w:rsid w:val="00E96177"/>
    <w:rsid w:val="00E9689F"/>
    <w:rsid w:val="00E974E6"/>
    <w:rsid w:val="00EA02EB"/>
    <w:rsid w:val="00EA2484"/>
    <w:rsid w:val="00EA4A8F"/>
    <w:rsid w:val="00EA5887"/>
    <w:rsid w:val="00EA758C"/>
    <w:rsid w:val="00EB01AA"/>
    <w:rsid w:val="00EB23E8"/>
    <w:rsid w:val="00EB29BF"/>
    <w:rsid w:val="00EB2C07"/>
    <w:rsid w:val="00EB30D2"/>
    <w:rsid w:val="00EB487B"/>
    <w:rsid w:val="00EB5C00"/>
    <w:rsid w:val="00EB5D6B"/>
    <w:rsid w:val="00EB6655"/>
    <w:rsid w:val="00EB67A9"/>
    <w:rsid w:val="00EB67B0"/>
    <w:rsid w:val="00EB7932"/>
    <w:rsid w:val="00EC1180"/>
    <w:rsid w:val="00EC11D3"/>
    <w:rsid w:val="00EC470A"/>
    <w:rsid w:val="00EC4927"/>
    <w:rsid w:val="00EC5FAD"/>
    <w:rsid w:val="00EC6DA8"/>
    <w:rsid w:val="00EC6F88"/>
    <w:rsid w:val="00EC7A12"/>
    <w:rsid w:val="00EC7A69"/>
    <w:rsid w:val="00ED01FE"/>
    <w:rsid w:val="00ED03AC"/>
    <w:rsid w:val="00ED09EF"/>
    <w:rsid w:val="00ED2DF1"/>
    <w:rsid w:val="00ED39E4"/>
    <w:rsid w:val="00ED3EFE"/>
    <w:rsid w:val="00ED528D"/>
    <w:rsid w:val="00EE228A"/>
    <w:rsid w:val="00EE310E"/>
    <w:rsid w:val="00EE38E6"/>
    <w:rsid w:val="00EE3C0F"/>
    <w:rsid w:val="00EE4990"/>
    <w:rsid w:val="00EE4CB5"/>
    <w:rsid w:val="00EE5481"/>
    <w:rsid w:val="00EE5ADA"/>
    <w:rsid w:val="00EE7073"/>
    <w:rsid w:val="00EF05F8"/>
    <w:rsid w:val="00EF3E3A"/>
    <w:rsid w:val="00EF55FD"/>
    <w:rsid w:val="00EF69FC"/>
    <w:rsid w:val="00EF70D9"/>
    <w:rsid w:val="00F03695"/>
    <w:rsid w:val="00F06C04"/>
    <w:rsid w:val="00F11AE2"/>
    <w:rsid w:val="00F12FC9"/>
    <w:rsid w:val="00F13F07"/>
    <w:rsid w:val="00F141B5"/>
    <w:rsid w:val="00F17E03"/>
    <w:rsid w:val="00F21468"/>
    <w:rsid w:val="00F236D1"/>
    <w:rsid w:val="00F23D3E"/>
    <w:rsid w:val="00F24459"/>
    <w:rsid w:val="00F25269"/>
    <w:rsid w:val="00F25315"/>
    <w:rsid w:val="00F25928"/>
    <w:rsid w:val="00F32301"/>
    <w:rsid w:val="00F33F14"/>
    <w:rsid w:val="00F415E5"/>
    <w:rsid w:val="00F453F6"/>
    <w:rsid w:val="00F45DD9"/>
    <w:rsid w:val="00F45F4F"/>
    <w:rsid w:val="00F46546"/>
    <w:rsid w:val="00F47312"/>
    <w:rsid w:val="00F47313"/>
    <w:rsid w:val="00F47440"/>
    <w:rsid w:val="00F5289C"/>
    <w:rsid w:val="00F55E8E"/>
    <w:rsid w:val="00F60747"/>
    <w:rsid w:val="00F61709"/>
    <w:rsid w:val="00F62115"/>
    <w:rsid w:val="00F6465E"/>
    <w:rsid w:val="00F65F55"/>
    <w:rsid w:val="00F66F21"/>
    <w:rsid w:val="00F67BDB"/>
    <w:rsid w:val="00F72575"/>
    <w:rsid w:val="00F75771"/>
    <w:rsid w:val="00F813B8"/>
    <w:rsid w:val="00F81C56"/>
    <w:rsid w:val="00F83A04"/>
    <w:rsid w:val="00F83C57"/>
    <w:rsid w:val="00F8489C"/>
    <w:rsid w:val="00F84EF2"/>
    <w:rsid w:val="00F867EA"/>
    <w:rsid w:val="00F90FA0"/>
    <w:rsid w:val="00F91685"/>
    <w:rsid w:val="00F91778"/>
    <w:rsid w:val="00F95174"/>
    <w:rsid w:val="00F97307"/>
    <w:rsid w:val="00F97718"/>
    <w:rsid w:val="00FA131A"/>
    <w:rsid w:val="00FA19D6"/>
    <w:rsid w:val="00FA1C21"/>
    <w:rsid w:val="00FA2281"/>
    <w:rsid w:val="00FA5051"/>
    <w:rsid w:val="00FA53E3"/>
    <w:rsid w:val="00FA55A3"/>
    <w:rsid w:val="00FA6576"/>
    <w:rsid w:val="00FA69E4"/>
    <w:rsid w:val="00FA7C7F"/>
    <w:rsid w:val="00FB13B4"/>
    <w:rsid w:val="00FB1E1F"/>
    <w:rsid w:val="00FB5555"/>
    <w:rsid w:val="00FB5EE4"/>
    <w:rsid w:val="00FB73D2"/>
    <w:rsid w:val="00FC3836"/>
    <w:rsid w:val="00FC5EA0"/>
    <w:rsid w:val="00FC7FD7"/>
    <w:rsid w:val="00FD16EB"/>
    <w:rsid w:val="00FD28BF"/>
    <w:rsid w:val="00FD2A21"/>
    <w:rsid w:val="00FD316C"/>
    <w:rsid w:val="00FD33AD"/>
    <w:rsid w:val="00FD4D99"/>
    <w:rsid w:val="00FD77AA"/>
    <w:rsid w:val="00FE0162"/>
    <w:rsid w:val="00FE5E32"/>
    <w:rsid w:val="00FE7886"/>
    <w:rsid w:val="00FF1275"/>
    <w:rsid w:val="00FF158F"/>
    <w:rsid w:val="00FF1D78"/>
    <w:rsid w:val="00FF48DF"/>
    <w:rsid w:val="00FF49EA"/>
    <w:rsid w:val="00FF4E8A"/>
    <w:rsid w:val="00FF77A6"/>
    <w:rsid w:val="010756CB"/>
    <w:rsid w:val="01620C7B"/>
    <w:rsid w:val="01993D60"/>
    <w:rsid w:val="026D1A94"/>
    <w:rsid w:val="03A43FD2"/>
    <w:rsid w:val="03CC37C8"/>
    <w:rsid w:val="05060818"/>
    <w:rsid w:val="0571005B"/>
    <w:rsid w:val="070F420A"/>
    <w:rsid w:val="07883680"/>
    <w:rsid w:val="07D40E31"/>
    <w:rsid w:val="08AD6091"/>
    <w:rsid w:val="09501834"/>
    <w:rsid w:val="0A327993"/>
    <w:rsid w:val="0B50723E"/>
    <w:rsid w:val="0C0B5016"/>
    <w:rsid w:val="0D604C11"/>
    <w:rsid w:val="0FA55E9D"/>
    <w:rsid w:val="10CA7A92"/>
    <w:rsid w:val="113969C6"/>
    <w:rsid w:val="121C256F"/>
    <w:rsid w:val="123E7485"/>
    <w:rsid w:val="133B388D"/>
    <w:rsid w:val="13A4226B"/>
    <w:rsid w:val="144C4458"/>
    <w:rsid w:val="152B6CD0"/>
    <w:rsid w:val="161B40BC"/>
    <w:rsid w:val="164B51D1"/>
    <w:rsid w:val="16504596"/>
    <w:rsid w:val="16DC1ECF"/>
    <w:rsid w:val="17533D62"/>
    <w:rsid w:val="175F166F"/>
    <w:rsid w:val="17A75E35"/>
    <w:rsid w:val="18982D7A"/>
    <w:rsid w:val="19225484"/>
    <w:rsid w:val="1B007F44"/>
    <w:rsid w:val="1BAB4461"/>
    <w:rsid w:val="1C033DF7"/>
    <w:rsid w:val="1C333B67"/>
    <w:rsid w:val="1CD62745"/>
    <w:rsid w:val="1D8C6905"/>
    <w:rsid w:val="1EE06282"/>
    <w:rsid w:val="20B64B1A"/>
    <w:rsid w:val="219709BD"/>
    <w:rsid w:val="21D160EC"/>
    <w:rsid w:val="21D7200F"/>
    <w:rsid w:val="22190545"/>
    <w:rsid w:val="23E36FBF"/>
    <w:rsid w:val="241B40BE"/>
    <w:rsid w:val="24B86128"/>
    <w:rsid w:val="25061147"/>
    <w:rsid w:val="27B26AAE"/>
    <w:rsid w:val="28585D79"/>
    <w:rsid w:val="29101B6E"/>
    <w:rsid w:val="298E3BC5"/>
    <w:rsid w:val="29E17ECF"/>
    <w:rsid w:val="2A2102CB"/>
    <w:rsid w:val="2B192BE2"/>
    <w:rsid w:val="2B6E7F3D"/>
    <w:rsid w:val="2BA016C4"/>
    <w:rsid w:val="2C15207B"/>
    <w:rsid w:val="2CCD0296"/>
    <w:rsid w:val="2CCD3365"/>
    <w:rsid w:val="2D520757"/>
    <w:rsid w:val="2DAB05FF"/>
    <w:rsid w:val="2DC46368"/>
    <w:rsid w:val="2F8B39FC"/>
    <w:rsid w:val="310D0D48"/>
    <w:rsid w:val="31E94C38"/>
    <w:rsid w:val="33B76AAF"/>
    <w:rsid w:val="344405A6"/>
    <w:rsid w:val="35720F89"/>
    <w:rsid w:val="361A5BE9"/>
    <w:rsid w:val="36E772B0"/>
    <w:rsid w:val="37FC325C"/>
    <w:rsid w:val="384B5FF3"/>
    <w:rsid w:val="39341F0A"/>
    <w:rsid w:val="3A0C7A8A"/>
    <w:rsid w:val="3D456A6D"/>
    <w:rsid w:val="3D8E5820"/>
    <w:rsid w:val="3E2F5B90"/>
    <w:rsid w:val="405F34A4"/>
    <w:rsid w:val="407A5DBE"/>
    <w:rsid w:val="40CF687B"/>
    <w:rsid w:val="40D41DE6"/>
    <w:rsid w:val="411E5469"/>
    <w:rsid w:val="4401096D"/>
    <w:rsid w:val="444807E2"/>
    <w:rsid w:val="461C2893"/>
    <w:rsid w:val="46A547D5"/>
    <w:rsid w:val="47137611"/>
    <w:rsid w:val="474F208A"/>
    <w:rsid w:val="47596E9F"/>
    <w:rsid w:val="47CB3D6E"/>
    <w:rsid w:val="4919245E"/>
    <w:rsid w:val="49A2581E"/>
    <w:rsid w:val="49C83E68"/>
    <w:rsid w:val="4A25750C"/>
    <w:rsid w:val="4BC845F3"/>
    <w:rsid w:val="4CFB3F7C"/>
    <w:rsid w:val="4E0627C3"/>
    <w:rsid w:val="4E203C94"/>
    <w:rsid w:val="4F51496A"/>
    <w:rsid w:val="4F836FD1"/>
    <w:rsid w:val="51921F09"/>
    <w:rsid w:val="51BF60AB"/>
    <w:rsid w:val="534E7AD3"/>
    <w:rsid w:val="53EE7EBD"/>
    <w:rsid w:val="57452F9B"/>
    <w:rsid w:val="579014EE"/>
    <w:rsid w:val="590D7529"/>
    <w:rsid w:val="59D35EFB"/>
    <w:rsid w:val="5A640BAB"/>
    <w:rsid w:val="5B131932"/>
    <w:rsid w:val="5CDC27BC"/>
    <w:rsid w:val="5DCA244C"/>
    <w:rsid w:val="5E0A5137"/>
    <w:rsid w:val="5EBD1811"/>
    <w:rsid w:val="5F9928B8"/>
    <w:rsid w:val="60397506"/>
    <w:rsid w:val="60566219"/>
    <w:rsid w:val="62315B16"/>
    <w:rsid w:val="63F8715B"/>
    <w:rsid w:val="64803865"/>
    <w:rsid w:val="64D32DA9"/>
    <w:rsid w:val="65776C57"/>
    <w:rsid w:val="66E0683D"/>
    <w:rsid w:val="683F57E5"/>
    <w:rsid w:val="687A681D"/>
    <w:rsid w:val="6A8B7F76"/>
    <w:rsid w:val="6C4F6A0A"/>
    <w:rsid w:val="6CB010F1"/>
    <w:rsid w:val="6D6C24D7"/>
    <w:rsid w:val="6DD170C5"/>
    <w:rsid w:val="6DD54248"/>
    <w:rsid w:val="6EBA1BC7"/>
    <w:rsid w:val="6FB5510C"/>
    <w:rsid w:val="708F6BDE"/>
    <w:rsid w:val="709132D3"/>
    <w:rsid w:val="70E13D17"/>
    <w:rsid w:val="711C2427"/>
    <w:rsid w:val="71AD41F9"/>
    <w:rsid w:val="727F0102"/>
    <w:rsid w:val="73154B8C"/>
    <w:rsid w:val="73487C44"/>
    <w:rsid w:val="734E0F7B"/>
    <w:rsid w:val="73B86E1B"/>
    <w:rsid w:val="74E2040F"/>
    <w:rsid w:val="77173B49"/>
    <w:rsid w:val="78461CB8"/>
    <w:rsid w:val="789B2444"/>
    <w:rsid w:val="79ED50E6"/>
    <w:rsid w:val="7A6A6466"/>
    <w:rsid w:val="7A730ED1"/>
    <w:rsid w:val="7C2214D6"/>
    <w:rsid w:val="7C611D76"/>
    <w:rsid w:val="7C6A3EB6"/>
    <w:rsid w:val="7D7A39E8"/>
    <w:rsid w:val="7E027FB1"/>
    <w:rsid w:val="7E615EA9"/>
    <w:rsid w:val="7E6478FC"/>
    <w:rsid w:val="7EA52DF9"/>
    <w:rsid w:val="7ED13A1B"/>
    <w:rsid w:val="7F6F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7"/>
    <w:qFormat/>
    <w:uiPriority w:val="0"/>
    <w:pPr>
      <w:keepNext/>
      <w:keepLines/>
      <w:spacing w:after="120" w:line="360" w:lineRule="auto"/>
      <w:outlineLvl w:val="0"/>
    </w:pPr>
    <w:rPr>
      <w:kern w:val="44"/>
      <w:sz w:val="28"/>
      <w:szCs w:val="28"/>
    </w:rPr>
  </w:style>
  <w:style w:type="paragraph" w:styleId="7">
    <w:name w:val="heading 2"/>
    <w:basedOn w:val="1"/>
    <w:next w:val="1"/>
    <w:link w:val="54"/>
    <w:qFormat/>
    <w:uiPriority w:val="0"/>
    <w:pPr>
      <w:keepNext/>
      <w:keepLines/>
      <w:spacing w:before="120" w:after="120" w:line="415" w:lineRule="auto"/>
      <w:jc w:val="center"/>
      <w:outlineLvl w:val="1"/>
    </w:pPr>
    <w:rPr>
      <w:rFonts w:ascii="Arial" w:hAnsi="Arial"/>
      <w:b/>
      <w:color w:val="000000"/>
      <w:kern w:val="0"/>
      <w:sz w:val="24"/>
      <w:szCs w:val="24"/>
      <w:lang w:val="zh-CN"/>
    </w:rPr>
  </w:style>
  <w:style w:type="paragraph" w:styleId="8">
    <w:name w:val="heading 3"/>
    <w:basedOn w:val="1"/>
    <w:next w:val="1"/>
    <w:link w:val="70"/>
    <w:qFormat/>
    <w:uiPriority w:val="0"/>
    <w:pPr>
      <w:widowControl/>
      <w:spacing w:before="100" w:beforeAutospacing="1" w:after="100" w:afterAutospacing="1"/>
      <w:jc w:val="left"/>
      <w:outlineLvl w:val="2"/>
    </w:pPr>
    <w:rPr>
      <w:rFonts w:ascii="宋体" w:hAnsi="宋体"/>
      <w:kern w:val="0"/>
      <w:sz w:val="27"/>
      <w:szCs w:val="27"/>
      <w:lang w:val="zh-CN"/>
    </w:rPr>
  </w:style>
  <w:style w:type="paragraph" w:styleId="9">
    <w:name w:val="heading 4"/>
    <w:basedOn w:val="8"/>
    <w:next w:val="10"/>
    <w:link w:val="52"/>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11">
    <w:name w:val="heading 5"/>
    <w:basedOn w:val="9"/>
    <w:next w:val="10"/>
    <w:link w:val="60"/>
    <w:qFormat/>
    <w:uiPriority w:val="0"/>
    <w:pPr>
      <w:numPr>
        <w:ilvl w:val="4"/>
      </w:numPr>
      <w:spacing w:line="240" w:lineRule="exact"/>
      <w:outlineLvl w:val="4"/>
    </w:pPr>
  </w:style>
  <w:style w:type="paragraph" w:styleId="12">
    <w:name w:val="heading 6"/>
    <w:basedOn w:val="1"/>
    <w:next w:val="1"/>
    <w:link w:val="62"/>
    <w:qFormat/>
    <w:uiPriority w:val="0"/>
    <w:pPr>
      <w:keepNext/>
      <w:keepLines/>
      <w:numPr>
        <w:ilvl w:val="5"/>
        <w:numId w:val="2"/>
      </w:numPr>
      <w:spacing w:before="240" w:after="64" w:line="320" w:lineRule="auto"/>
      <w:outlineLvl w:val="5"/>
    </w:pPr>
    <w:rPr>
      <w:rFonts w:ascii="Arial" w:hAnsi="Arial" w:eastAsia="黑体"/>
      <w:b/>
      <w:bCs/>
      <w:kern w:val="0"/>
      <w:sz w:val="24"/>
      <w:szCs w:val="24"/>
      <w:lang w:val="zh-CN"/>
    </w:rPr>
  </w:style>
  <w:style w:type="paragraph" w:styleId="13">
    <w:name w:val="heading 7"/>
    <w:basedOn w:val="1"/>
    <w:next w:val="10"/>
    <w:link w:val="69"/>
    <w:qFormat/>
    <w:uiPriority w:val="0"/>
    <w:pPr>
      <w:keepNext/>
      <w:keepLines/>
      <w:numPr>
        <w:ilvl w:val="6"/>
        <w:numId w:val="1"/>
      </w:numPr>
      <w:spacing w:before="240" w:after="64" w:line="320" w:lineRule="auto"/>
      <w:outlineLvl w:val="6"/>
    </w:pPr>
    <w:rPr>
      <w:rFonts w:ascii="Times New Roman" w:hAnsi="Times New Roman"/>
      <w:b/>
      <w:kern w:val="0"/>
      <w:sz w:val="24"/>
      <w:szCs w:val="20"/>
      <w:lang w:val="zh-CN"/>
    </w:rPr>
  </w:style>
  <w:style w:type="paragraph" w:styleId="14">
    <w:name w:val="heading 8"/>
    <w:basedOn w:val="1"/>
    <w:next w:val="10"/>
    <w:link w:val="46"/>
    <w:qFormat/>
    <w:uiPriority w:val="0"/>
    <w:pPr>
      <w:keepNext/>
      <w:keepLines/>
      <w:numPr>
        <w:ilvl w:val="7"/>
        <w:numId w:val="1"/>
      </w:numPr>
      <w:spacing w:before="240" w:after="64" w:line="320" w:lineRule="auto"/>
      <w:outlineLvl w:val="7"/>
    </w:pPr>
    <w:rPr>
      <w:rFonts w:ascii="Arial" w:hAnsi="Arial" w:eastAsia="黑体"/>
      <w:kern w:val="0"/>
      <w:sz w:val="24"/>
      <w:szCs w:val="20"/>
      <w:lang w:val="zh-CN"/>
    </w:rPr>
  </w:style>
  <w:style w:type="paragraph" w:styleId="15">
    <w:name w:val="heading 9"/>
    <w:basedOn w:val="1"/>
    <w:next w:val="10"/>
    <w:link w:val="55"/>
    <w:qFormat/>
    <w:uiPriority w:val="0"/>
    <w:pPr>
      <w:keepNext/>
      <w:keepLines/>
      <w:numPr>
        <w:ilvl w:val="8"/>
        <w:numId w:val="1"/>
      </w:numPr>
      <w:spacing w:before="240" w:after="64" w:line="320" w:lineRule="auto"/>
      <w:outlineLvl w:val="8"/>
    </w:pPr>
    <w:rPr>
      <w:rFonts w:ascii="Arial" w:hAnsi="Arial" w:eastAsia="黑体"/>
      <w:kern w:val="0"/>
      <w:sz w:val="20"/>
      <w:szCs w:val="20"/>
      <w:lang w:val="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57"/>
    <w:qFormat/>
    <w:uiPriority w:val="0"/>
    <w:rPr>
      <w:rFonts w:ascii="宋体" w:hAnsi="Courier New"/>
      <w:kern w:val="0"/>
      <w:sz w:val="20"/>
      <w:szCs w:val="20"/>
      <w:lang w:val="zh-CN"/>
    </w:rPr>
  </w:style>
  <w:style w:type="paragraph" w:styleId="4">
    <w:name w:val="Title"/>
    <w:basedOn w:val="1"/>
    <w:link w:val="51"/>
    <w:qFormat/>
    <w:uiPriority w:val="0"/>
    <w:pPr>
      <w:spacing w:before="120" w:after="60"/>
      <w:jc w:val="center"/>
    </w:pPr>
    <w:rPr>
      <w:rFonts w:ascii="Arial" w:hAnsi="Arial"/>
      <w:b/>
      <w:kern w:val="0"/>
      <w:sz w:val="44"/>
      <w:szCs w:val="20"/>
      <w:lang w:val="zh-CN"/>
    </w:rPr>
  </w:style>
  <w:style w:type="paragraph" w:styleId="5">
    <w:name w:val="Body Text First Indent"/>
    <w:basedOn w:val="6"/>
    <w:link w:val="63"/>
    <w:qFormat/>
    <w:uiPriority w:val="0"/>
    <w:pPr>
      <w:ind w:firstLine="420"/>
    </w:pPr>
  </w:style>
  <w:style w:type="paragraph" w:styleId="6">
    <w:name w:val="Body Text"/>
    <w:basedOn w:val="1"/>
    <w:link w:val="59"/>
    <w:qFormat/>
    <w:uiPriority w:val="0"/>
    <w:pPr>
      <w:spacing w:after="120"/>
    </w:pPr>
    <w:rPr>
      <w:rFonts w:ascii="Times New Roman" w:hAnsi="Times New Roman"/>
      <w:kern w:val="0"/>
      <w:sz w:val="20"/>
      <w:szCs w:val="20"/>
      <w:lang w:val="zh-CN"/>
    </w:rPr>
  </w:style>
  <w:style w:type="paragraph" w:styleId="10">
    <w:name w:val="Normal Indent"/>
    <w:basedOn w:val="1"/>
    <w:link w:val="58"/>
    <w:qFormat/>
    <w:uiPriority w:val="0"/>
    <w:pPr>
      <w:ind w:firstLine="420"/>
    </w:pPr>
    <w:rPr>
      <w:rFonts w:ascii="Times New Roman" w:hAnsi="Times New Roman"/>
      <w:kern w:val="0"/>
      <w:sz w:val="20"/>
      <w:szCs w:val="20"/>
      <w:lang w:val="zh-CN"/>
    </w:rPr>
  </w:style>
  <w:style w:type="paragraph" w:styleId="16">
    <w:name w:val="Document Map"/>
    <w:basedOn w:val="1"/>
    <w:link w:val="71"/>
    <w:qFormat/>
    <w:uiPriority w:val="0"/>
    <w:pPr>
      <w:shd w:val="clear" w:color="auto" w:fill="000080"/>
    </w:pPr>
    <w:rPr>
      <w:rFonts w:ascii="Times New Roman" w:hAnsi="Times New Roman"/>
      <w:kern w:val="0"/>
      <w:sz w:val="20"/>
      <w:szCs w:val="20"/>
      <w:lang w:val="zh-CN"/>
    </w:rPr>
  </w:style>
  <w:style w:type="paragraph" w:styleId="17">
    <w:name w:val="annotation text"/>
    <w:basedOn w:val="1"/>
    <w:link w:val="68"/>
    <w:qFormat/>
    <w:uiPriority w:val="0"/>
    <w:pPr>
      <w:spacing w:line="360" w:lineRule="auto"/>
      <w:ind w:firstLine="523" w:firstLineChars="218"/>
      <w:jc w:val="left"/>
    </w:pPr>
    <w:rPr>
      <w:rFonts w:ascii="宋体" w:hAnsi="宋体"/>
      <w:kern w:val="0"/>
      <w:sz w:val="24"/>
      <w:szCs w:val="24"/>
      <w:lang w:val="zh-CN"/>
    </w:rPr>
  </w:style>
  <w:style w:type="paragraph" w:styleId="18">
    <w:name w:val="Body Text Indent"/>
    <w:basedOn w:val="1"/>
    <w:link w:val="53"/>
    <w:qFormat/>
    <w:uiPriority w:val="0"/>
    <w:pPr>
      <w:ind w:firstLine="570"/>
    </w:pPr>
    <w:rPr>
      <w:rFonts w:ascii="Times New Roman" w:hAnsi="Times New Roman"/>
      <w:kern w:val="0"/>
      <w:sz w:val="28"/>
      <w:szCs w:val="20"/>
      <w:lang w:val="zh-CN"/>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44"/>
    <w:qFormat/>
    <w:uiPriority w:val="0"/>
    <w:rPr>
      <w:rFonts w:ascii="Times New Roman" w:hAnsi="Times New Roman"/>
      <w:kern w:val="0"/>
      <w:sz w:val="20"/>
      <w:szCs w:val="20"/>
      <w:lang w:val="zh-CN"/>
    </w:rPr>
  </w:style>
  <w:style w:type="paragraph" w:styleId="21">
    <w:name w:val="Body Text Indent 2"/>
    <w:basedOn w:val="1"/>
    <w:link w:val="56"/>
    <w:qFormat/>
    <w:uiPriority w:val="0"/>
    <w:pPr>
      <w:spacing w:line="400" w:lineRule="exact"/>
      <w:ind w:left="425"/>
    </w:pPr>
    <w:rPr>
      <w:rFonts w:ascii="Times New Roman" w:hAnsi="Times New Roman"/>
      <w:color w:val="000000"/>
      <w:kern w:val="0"/>
      <w:sz w:val="24"/>
      <w:szCs w:val="20"/>
      <w:lang w:val="zh-CN"/>
    </w:rPr>
  </w:style>
  <w:style w:type="paragraph" w:styleId="22">
    <w:name w:val="endnote text"/>
    <w:basedOn w:val="1"/>
    <w:link w:val="47"/>
    <w:qFormat/>
    <w:uiPriority w:val="0"/>
    <w:pPr>
      <w:snapToGrid w:val="0"/>
      <w:jc w:val="left"/>
    </w:pPr>
    <w:rPr>
      <w:rFonts w:ascii="Times New Roman" w:hAnsi="Times New Roman"/>
      <w:kern w:val="0"/>
      <w:sz w:val="20"/>
      <w:szCs w:val="20"/>
      <w:lang w:val="zh-CN"/>
    </w:rPr>
  </w:style>
  <w:style w:type="paragraph" w:styleId="23">
    <w:name w:val="Balloon Text"/>
    <w:basedOn w:val="1"/>
    <w:link w:val="49"/>
    <w:qFormat/>
    <w:uiPriority w:val="0"/>
    <w:rPr>
      <w:rFonts w:ascii="Times New Roman" w:hAnsi="Times New Roman"/>
      <w:kern w:val="0"/>
      <w:sz w:val="18"/>
      <w:szCs w:val="18"/>
      <w:lang w:val="zh-CN"/>
    </w:rPr>
  </w:style>
  <w:style w:type="paragraph" w:styleId="24">
    <w:name w:val="footer"/>
    <w:basedOn w:val="1"/>
    <w:link w:val="50"/>
    <w:unhideWhenUsed/>
    <w:qFormat/>
    <w:uiPriority w:val="99"/>
    <w:pPr>
      <w:tabs>
        <w:tab w:val="center" w:pos="4153"/>
        <w:tab w:val="right" w:pos="8306"/>
      </w:tabs>
      <w:snapToGrid w:val="0"/>
      <w:jc w:val="left"/>
    </w:pPr>
    <w:rPr>
      <w:kern w:val="0"/>
      <w:sz w:val="18"/>
      <w:szCs w:val="18"/>
      <w:lang w:val="zh-CN"/>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66"/>
    <w:qFormat/>
    <w:uiPriority w:val="0"/>
    <w:pPr>
      <w:snapToGrid w:val="0"/>
      <w:spacing w:line="360" w:lineRule="auto"/>
      <w:ind w:firstLine="523" w:firstLineChars="218"/>
      <w:jc w:val="left"/>
    </w:pPr>
    <w:rPr>
      <w:rFonts w:ascii="宋体" w:hAnsi="宋体"/>
      <w:kern w:val="0"/>
      <w:sz w:val="18"/>
      <w:szCs w:val="18"/>
      <w:lang w:val="zh-CN"/>
    </w:rPr>
  </w:style>
  <w:style w:type="paragraph" w:styleId="28">
    <w:name w:val="Body Text Indent 3"/>
    <w:basedOn w:val="1"/>
    <w:link w:val="48"/>
    <w:qFormat/>
    <w:uiPriority w:val="0"/>
    <w:pPr>
      <w:tabs>
        <w:tab w:val="left" w:pos="0"/>
      </w:tabs>
      <w:spacing w:line="400" w:lineRule="exact"/>
      <w:ind w:left="563" w:leftChars="228" w:hanging="84" w:hangingChars="35"/>
    </w:pPr>
    <w:rPr>
      <w:rFonts w:ascii="Times New Roman" w:hAnsi="Times New Roman"/>
      <w:color w:val="000000"/>
      <w:kern w:val="0"/>
      <w:sz w:val="24"/>
      <w:szCs w:val="20"/>
      <w:lang w:val="zh-CN"/>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45"/>
    <w:qFormat/>
    <w:uiPriority w:val="0"/>
    <w:rPr>
      <w:rFonts w:ascii="宋体" w:hAnsi="宋体"/>
      <w:kern w:val="0"/>
      <w:sz w:val="20"/>
      <w:szCs w:val="24"/>
      <w:u w:val="single"/>
      <w:lang w:val="zh-CN"/>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7"/>
    <w:next w:val="17"/>
    <w:link w:val="64"/>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character" w:customStyle="1" w:styleId="44">
    <w:name w:val="日期 字符"/>
    <w:link w:val="20"/>
    <w:qFormat/>
    <w:uiPriority w:val="0"/>
    <w:rPr>
      <w:rFonts w:ascii="Times New Roman" w:hAnsi="Times New Roman" w:eastAsia="宋体" w:cs="Times New Roman"/>
      <w:szCs w:val="20"/>
    </w:rPr>
  </w:style>
  <w:style w:type="character" w:customStyle="1" w:styleId="45">
    <w:name w:val="正文文本 2 字符"/>
    <w:link w:val="30"/>
    <w:qFormat/>
    <w:uiPriority w:val="0"/>
    <w:rPr>
      <w:rFonts w:ascii="宋体" w:hAnsi="宋体" w:eastAsia="宋体" w:cs="Times New Roman"/>
      <w:szCs w:val="24"/>
      <w:u w:val="single"/>
    </w:rPr>
  </w:style>
  <w:style w:type="character" w:customStyle="1" w:styleId="46">
    <w:name w:val="标题 8 字符"/>
    <w:link w:val="14"/>
    <w:qFormat/>
    <w:uiPriority w:val="0"/>
    <w:rPr>
      <w:rFonts w:ascii="Arial" w:hAnsi="Arial" w:eastAsia="黑体" w:cs="Times New Roman"/>
      <w:sz w:val="24"/>
      <w:szCs w:val="20"/>
    </w:rPr>
  </w:style>
  <w:style w:type="character" w:customStyle="1" w:styleId="47">
    <w:name w:val="尾注文本 字符"/>
    <w:link w:val="22"/>
    <w:qFormat/>
    <w:uiPriority w:val="0"/>
    <w:rPr>
      <w:rFonts w:ascii="Times New Roman" w:hAnsi="Times New Roman" w:eastAsia="宋体" w:cs="Times New Roman"/>
      <w:szCs w:val="20"/>
    </w:rPr>
  </w:style>
  <w:style w:type="character" w:customStyle="1" w:styleId="48">
    <w:name w:val="正文文本缩进 3 字符"/>
    <w:link w:val="28"/>
    <w:qFormat/>
    <w:uiPriority w:val="0"/>
    <w:rPr>
      <w:rFonts w:ascii="Times New Roman" w:hAnsi="Times New Roman" w:eastAsia="宋体" w:cs="Times New Roman"/>
      <w:color w:val="000000"/>
      <w:sz w:val="24"/>
      <w:szCs w:val="20"/>
    </w:rPr>
  </w:style>
  <w:style w:type="character" w:customStyle="1" w:styleId="49">
    <w:name w:val="批注框文本 字符"/>
    <w:link w:val="23"/>
    <w:qFormat/>
    <w:uiPriority w:val="0"/>
    <w:rPr>
      <w:rFonts w:ascii="Times New Roman" w:hAnsi="Times New Roman" w:eastAsia="宋体" w:cs="Times New Roman"/>
      <w:sz w:val="18"/>
      <w:szCs w:val="18"/>
    </w:rPr>
  </w:style>
  <w:style w:type="character" w:customStyle="1" w:styleId="50">
    <w:name w:val="页脚 字符"/>
    <w:link w:val="24"/>
    <w:qFormat/>
    <w:uiPriority w:val="99"/>
    <w:rPr>
      <w:sz w:val="18"/>
      <w:szCs w:val="18"/>
    </w:rPr>
  </w:style>
  <w:style w:type="character" w:customStyle="1" w:styleId="51">
    <w:name w:val="标题 字符"/>
    <w:link w:val="4"/>
    <w:qFormat/>
    <w:uiPriority w:val="0"/>
    <w:rPr>
      <w:rFonts w:ascii="Arial" w:hAnsi="Arial" w:eastAsia="宋体" w:cs="Times New Roman"/>
      <w:b/>
      <w:sz w:val="44"/>
      <w:szCs w:val="20"/>
    </w:rPr>
  </w:style>
  <w:style w:type="character" w:customStyle="1" w:styleId="52">
    <w:name w:val="标题 4 字符"/>
    <w:link w:val="9"/>
    <w:qFormat/>
    <w:uiPriority w:val="0"/>
    <w:rPr>
      <w:rFonts w:ascii="Arial" w:hAnsi="Arial" w:eastAsia="宋体" w:cs="Times New Roman"/>
      <w:color w:val="000000"/>
      <w:szCs w:val="21"/>
    </w:rPr>
  </w:style>
  <w:style w:type="character" w:customStyle="1" w:styleId="53">
    <w:name w:val="正文文本缩进 字符"/>
    <w:link w:val="18"/>
    <w:qFormat/>
    <w:uiPriority w:val="0"/>
    <w:rPr>
      <w:rFonts w:ascii="Times New Roman" w:hAnsi="Times New Roman" w:eastAsia="宋体" w:cs="Times New Roman"/>
      <w:sz w:val="28"/>
      <w:szCs w:val="20"/>
    </w:rPr>
  </w:style>
  <w:style w:type="character" w:customStyle="1" w:styleId="54">
    <w:name w:val="标题 2 字符"/>
    <w:link w:val="7"/>
    <w:qFormat/>
    <w:uiPriority w:val="0"/>
    <w:rPr>
      <w:rFonts w:ascii="Arial" w:hAnsi="Arial" w:eastAsia="宋体" w:cs="Times New Roman"/>
      <w:b/>
      <w:color w:val="000000"/>
      <w:sz w:val="24"/>
      <w:szCs w:val="24"/>
    </w:rPr>
  </w:style>
  <w:style w:type="character" w:customStyle="1" w:styleId="55">
    <w:name w:val="标题 9 字符"/>
    <w:link w:val="15"/>
    <w:qFormat/>
    <w:uiPriority w:val="0"/>
    <w:rPr>
      <w:rFonts w:ascii="Arial" w:hAnsi="Arial" w:eastAsia="黑体" w:cs="Times New Roman"/>
      <w:szCs w:val="20"/>
    </w:rPr>
  </w:style>
  <w:style w:type="character" w:customStyle="1" w:styleId="56">
    <w:name w:val="正文文本缩进 2 字符"/>
    <w:link w:val="21"/>
    <w:qFormat/>
    <w:uiPriority w:val="0"/>
    <w:rPr>
      <w:rFonts w:ascii="Times New Roman" w:hAnsi="Times New Roman" w:eastAsia="宋体" w:cs="Times New Roman"/>
      <w:color w:val="000000"/>
      <w:sz w:val="24"/>
      <w:szCs w:val="20"/>
    </w:rPr>
  </w:style>
  <w:style w:type="character" w:customStyle="1" w:styleId="57">
    <w:name w:val="纯文本 字符"/>
    <w:link w:val="2"/>
    <w:qFormat/>
    <w:uiPriority w:val="0"/>
    <w:rPr>
      <w:rFonts w:ascii="宋体" w:hAnsi="Courier New" w:eastAsia="宋体" w:cs="Times New Roman"/>
      <w:szCs w:val="20"/>
    </w:rPr>
  </w:style>
  <w:style w:type="character" w:customStyle="1" w:styleId="58">
    <w:name w:val="正文缩进 字符"/>
    <w:link w:val="10"/>
    <w:qFormat/>
    <w:uiPriority w:val="0"/>
    <w:rPr>
      <w:rFonts w:ascii="Times New Roman" w:hAnsi="Times New Roman" w:eastAsia="宋体" w:cs="Times New Roman"/>
      <w:szCs w:val="20"/>
    </w:rPr>
  </w:style>
  <w:style w:type="character" w:customStyle="1" w:styleId="59">
    <w:name w:val="正文文本 字符"/>
    <w:link w:val="6"/>
    <w:qFormat/>
    <w:uiPriority w:val="0"/>
    <w:rPr>
      <w:rFonts w:ascii="Times New Roman" w:hAnsi="Times New Roman" w:eastAsia="宋体" w:cs="Times New Roman"/>
      <w:szCs w:val="20"/>
    </w:rPr>
  </w:style>
  <w:style w:type="character" w:customStyle="1" w:styleId="60">
    <w:name w:val="标题 5 字符"/>
    <w:link w:val="11"/>
    <w:qFormat/>
    <w:uiPriority w:val="0"/>
    <w:rPr>
      <w:rFonts w:ascii="Arial" w:hAnsi="Arial" w:eastAsia="宋体" w:cs="Times New Roman"/>
      <w:color w:val="000000"/>
      <w:szCs w:val="21"/>
    </w:rPr>
  </w:style>
  <w:style w:type="character" w:customStyle="1" w:styleId="61">
    <w:name w:val="页眉 字符"/>
    <w:link w:val="25"/>
    <w:qFormat/>
    <w:uiPriority w:val="0"/>
    <w:rPr>
      <w:sz w:val="18"/>
      <w:szCs w:val="18"/>
    </w:rPr>
  </w:style>
  <w:style w:type="character" w:customStyle="1" w:styleId="62">
    <w:name w:val="标题 6 字符"/>
    <w:link w:val="12"/>
    <w:qFormat/>
    <w:uiPriority w:val="0"/>
    <w:rPr>
      <w:rFonts w:ascii="Arial" w:hAnsi="Arial" w:eastAsia="黑体" w:cs="Times New Roman"/>
      <w:b/>
      <w:bCs/>
      <w:sz w:val="24"/>
      <w:szCs w:val="24"/>
    </w:rPr>
  </w:style>
  <w:style w:type="character" w:customStyle="1" w:styleId="63">
    <w:name w:val="正文文本首行缩进 字符"/>
    <w:basedOn w:val="59"/>
    <w:link w:val="5"/>
    <w:qFormat/>
    <w:uiPriority w:val="0"/>
    <w:rPr>
      <w:rFonts w:ascii="Times New Roman" w:hAnsi="Times New Roman" w:eastAsia="宋体" w:cs="Times New Roman"/>
      <w:szCs w:val="20"/>
    </w:rPr>
  </w:style>
  <w:style w:type="character" w:customStyle="1" w:styleId="64">
    <w:name w:val="批注主题 字符"/>
    <w:link w:val="33"/>
    <w:qFormat/>
    <w:uiPriority w:val="0"/>
    <w:rPr>
      <w:rFonts w:ascii="宋体" w:hAnsi="宋体" w:eastAsia="宋体" w:cs="Times New Roman"/>
      <w:b/>
      <w:bCs/>
      <w:sz w:val="24"/>
      <w:szCs w:val="24"/>
    </w:rPr>
  </w:style>
  <w:style w:type="character" w:customStyle="1" w:styleId="65">
    <w:name w:val="批注文字 Char1"/>
    <w:qFormat/>
    <w:uiPriority w:val="0"/>
    <w:rPr>
      <w:kern w:val="2"/>
      <w:sz w:val="21"/>
      <w:lang w:bidi="ar-SA"/>
    </w:rPr>
  </w:style>
  <w:style w:type="character" w:customStyle="1" w:styleId="66">
    <w:name w:val="脚注文本 字符"/>
    <w:link w:val="27"/>
    <w:qFormat/>
    <w:uiPriority w:val="0"/>
    <w:rPr>
      <w:rFonts w:ascii="宋体" w:hAnsi="宋体" w:eastAsia="宋体" w:cs="Times New Roman"/>
      <w:sz w:val="18"/>
      <w:szCs w:val="18"/>
    </w:rPr>
  </w:style>
  <w:style w:type="character" w:customStyle="1" w:styleId="67">
    <w:name w:val="标题 1 字符"/>
    <w:link w:val="3"/>
    <w:qFormat/>
    <w:uiPriority w:val="0"/>
    <w:rPr>
      <w:rFonts w:ascii="Arial" w:hAnsi="Arial" w:eastAsia="宋体" w:cs="Times New Roman"/>
      <w:b/>
      <w:kern w:val="44"/>
      <w:sz w:val="28"/>
      <w:szCs w:val="28"/>
    </w:rPr>
  </w:style>
  <w:style w:type="character" w:customStyle="1" w:styleId="68">
    <w:name w:val="批注文字 字符"/>
    <w:link w:val="17"/>
    <w:qFormat/>
    <w:uiPriority w:val="0"/>
    <w:rPr>
      <w:rFonts w:ascii="宋体" w:hAnsi="宋体" w:eastAsia="宋体" w:cs="Times New Roman"/>
      <w:sz w:val="24"/>
      <w:szCs w:val="24"/>
    </w:rPr>
  </w:style>
  <w:style w:type="character" w:customStyle="1" w:styleId="69">
    <w:name w:val="标题 7 字符"/>
    <w:link w:val="13"/>
    <w:qFormat/>
    <w:uiPriority w:val="0"/>
    <w:rPr>
      <w:rFonts w:ascii="Times New Roman" w:hAnsi="Times New Roman" w:eastAsia="宋体" w:cs="Times New Roman"/>
      <w:b/>
      <w:sz w:val="24"/>
      <w:szCs w:val="20"/>
    </w:rPr>
  </w:style>
  <w:style w:type="character" w:customStyle="1" w:styleId="70">
    <w:name w:val="标题 3 字符"/>
    <w:link w:val="8"/>
    <w:qFormat/>
    <w:uiPriority w:val="0"/>
    <w:rPr>
      <w:rFonts w:ascii="宋体" w:hAnsi="宋体" w:eastAsia="宋体" w:cs="宋体"/>
      <w:kern w:val="0"/>
      <w:sz w:val="27"/>
      <w:szCs w:val="27"/>
    </w:rPr>
  </w:style>
  <w:style w:type="character" w:customStyle="1" w:styleId="71">
    <w:name w:val="文档结构图 字符"/>
    <w:link w:val="16"/>
    <w:qFormat/>
    <w:uiPriority w:val="0"/>
    <w:rPr>
      <w:rFonts w:ascii="Times New Roman" w:hAnsi="Times New Roman" w:eastAsia="宋体" w:cs="Times New Roman"/>
      <w:szCs w:val="20"/>
      <w:shd w:val="clear" w:color="auto" w:fill="000080"/>
    </w:rPr>
  </w:style>
  <w:style w:type="paragraph" w:customStyle="1" w:styleId="72">
    <w:name w:val="Char Char Char Char"/>
    <w:basedOn w:val="1"/>
    <w:qFormat/>
    <w:uiPriority w:val="0"/>
    <w:rPr>
      <w:rFonts w:ascii="Times New Roman" w:hAnsi="Times New Roman"/>
      <w:sz w:val="30"/>
      <w:szCs w:val="24"/>
    </w:rPr>
  </w:style>
  <w:style w:type="paragraph" w:customStyle="1" w:styleId="73">
    <w:name w:val="发文落款"/>
    <w:basedOn w:val="74"/>
    <w:qFormat/>
    <w:uiPriority w:val="0"/>
    <w:pPr>
      <w:ind w:left="4094" w:right="607" w:firstLine="0"/>
      <w:jc w:val="center"/>
    </w:pPr>
  </w:style>
  <w:style w:type="paragraph" w:customStyle="1" w:styleId="7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5">
    <w:name w:val="Char"/>
    <w:basedOn w:val="1"/>
    <w:qFormat/>
    <w:uiPriority w:val="0"/>
    <w:rPr>
      <w:rFonts w:ascii="Tahoma" w:hAnsi="Tahoma"/>
      <w:sz w:val="24"/>
      <w:szCs w:val="20"/>
    </w:rPr>
  </w:style>
  <w:style w:type="paragraph" w:customStyle="1" w:styleId="76">
    <w:name w:val="修订1"/>
    <w:semiHidden/>
    <w:qFormat/>
    <w:uiPriority w:val="99"/>
    <w:rPr>
      <w:rFonts w:ascii="Times New Roman" w:hAnsi="Times New Roman" w:eastAsia="宋体" w:cs="Times New Roman"/>
      <w:kern w:val="2"/>
      <w:sz w:val="21"/>
      <w:lang w:val="en-US" w:eastAsia="zh-CN" w:bidi="ar-SA"/>
    </w:rPr>
  </w:style>
  <w:style w:type="paragraph" w:customStyle="1" w:styleId="77">
    <w:name w:val="公文抬头"/>
    <w:basedOn w:val="10"/>
    <w:qFormat/>
    <w:uiPriority w:val="0"/>
    <w:pPr>
      <w:ind w:firstLine="0"/>
    </w:pPr>
    <w:rPr>
      <w:rFonts w:ascii="仿宋_GB2312" w:eastAsia="仿宋_GB2312"/>
      <w:sz w:val="30"/>
      <w:szCs w:val="24"/>
    </w:rPr>
  </w:style>
  <w:style w:type="paragraph" w:customStyle="1" w:styleId="78">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79">
    <w:name w:val="文一"/>
    <w:basedOn w:val="1"/>
    <w:link w:val="89"/>
    <w:qFormat/>
    <w:uiPriority w:val="0"/>
    <w:pPr>
      <w:topLinePunct/>
      <w:adjustRightInd w:val="0"/>
      <w:snapToGrid w:val="0"/>
      <w:spacing w:line="360" w:lineRule="auto"/>
      <w:ind w:firstLine="200" w:firstLineChars="200"/>
    </w:pPr>
    <w:rPr>
      <w:rFonts w:ascii="等线" w:hAnsi="等线"/>
      <w:spacing w:val="4"/>
      <w:kern w:val="0"/>
      <w:sz w:val="24"/>
      <w:szCs w:val="24"/>
      <w:lang w:val="zh-CN"/>
    </w:rPr>
  </w:style>
  <w:style w:type="paragraph" w:customStyle="1" w:styleId="80">
    <w:name w:val="公文标题"/>
    <w:basedOn w:val="8"/>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81">
    <w:name w:val="表头"/>
    <w:basedOn w:val="1"/>
    <w:qFormat/>
    <w:uiPriority w:val="0"/>
    <w:pPr>
      <w:spacing w:line="360" w:lineRule="auto"/>
      <w:jc w:val="center"/>
    </w:pPr>
    <w:rPr>
      <w:rFonts w:ascii="黑体" w:hAnsi="Times New Roman" w:eastAsia="黑体"/>
      <w:kern w:val="0"/>
      <w:sz w:val="24"/>
      <w:szCs w:val="20"/>
    </w:rPr>
  </w:style>
  <w:style w:type="paragraph" w:customStyle="1" w:styleId="82">
    <w:name w:val="Char1"/>
    <w:basedOn w:val="1"/>
    <w:qFormat/>
    <w:uiPriority w:val="0"/>
    <w:pPr>
      <w:numPr>
        <w:ilvl w:val="0"/>
        <w:numId w:val="1"/>
      </w:numPr>
    </w:pPr>
    <w:rPr>
      <w:rFonts w:ascii="Times New Roman" w:hAnsi="Times New Roman"/>
      <w:sz w:val="24"/>
      <w:szCs w:val="24"/>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Char Char Char1 Char"/>
    <w:basedOn w:val="16"/>
    <w:qFormat/>
    <w:uiPriority w:val="0"/>
    <w:rPr>
      <w:rFonts w:ascii="Tahoma" w:hAnsi="Tahoma"/>
      <w:sz w:val="24"/>
      <w:szCs w:val="24"/>
    </w:rPr>
  </w:style>
  <w:style w:type="paragraph" w:styleId="85">
    <w:name w:val="List Paragraph"/>
    <w:basedOn w:val="1"/>
    <w:qFormat/>
    <w:uiPriority w:val="34"/>
    <w:pPr>
      <w:ind w:firstLine="420" w:firstLineChars="200"/>
    </w:pPr>
    <w:rPr>
      <w:rFonts w:ascii="Times New Roman" w:hAnsi="Times New Roman"/>
      <w:szCs w:val="20"/>
    </w:rPr>
  </w:style>
  <w:style w:type="paragraph" w:customStyle="1" w:styleId="86">
    <w:name w:val="正题"/>
    <w:basedOn w:val="79"/>
    <w:next w:val="79"/>
    <w:qFormat/>
    <w:uiPriority w:val="0"/>
    <w:pPr>
      <w:ind w:firstLine="0" w:firstLineChars="0"/>
      <w:jc w:val="center"/>
    </w:pPr>
    <w:rPr>
      <w:rFonts w:ascii="Times New Roman" w:hAnsi="Times New Roman" w:eastAsia="黑体"/>
      <w:b/>
      <w:sz w:val="36"/>
      <w:szCs w:val="36"/>
    </w:rPr>
  </w:style>
  <w:style w:type="paragraph" w:customStyle="1" w:styleId="87">
    <w:name w:val="文二"/>
    <w:basedOn w:val="1"/>
    <w:qFormat/>
    <w:uiPriority w:val="0"/>
    <w:pPr>
      <w:jc w:val="left"/>
    </w:pPr>
    <w:rPr>
      <w:rFonts w:ascii="宋体" w:hAnsi="宋体"/>
      <w:szCs w:val="21"/>
    </w:rPr>
  </w:style>
  <w:style w:type="paragraph" w:customStyle="1" w:styleId="88">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cs="等线"/>
      <w:b/>
      <w:snapToGrid w:val="0"/>
      <w:spacing w:val="4"/>
      <w:kern w:val="0"/>
      <w:sz w:val="30"/>
      <w:szCs w:val="30"/>
    </w:rPr>
  </w:style>
  <w:style w:type="character" w:customStyle="1" w:styleId="89">
    <w:name w:val="文一 Char"/>
    <w:link w:val="79"/>
    <w:qFormat/>
    <w:uiPriority w:val="0"/>
    <w:rPr>
      <w:rFonts w:ascii="等线" w:hAnsi="等线"/>
      <w:spacing w:val="4"/>
      <w:sz w:val="24"/>
      <w:szCs w:val="24"/>
    </w:rPr>
  </w:style>
  <w:style w:type="paragraph" w:customStyle="1" w:styleId="90">
    <w:name w:val="章节三"/>
    <w:basedOn w:val="1"/>
    <w:next w:val="1"/>
    <w:qFormat/>
    <w:uiPriority w:val="0"/>
    <w:pPr>
      <w:topLinePunct/>
      <w:adjustRightInd w:val="0"/>
      <w:snapToGrid w:val="0"/>
      <w:spacing w:beforeLines="50" w:afterLines="50"/>
      <w:jc w:val="left"/>
      <w:outlineLvl w:val="2"/>
    </w:pPr>
    <w:rPr>
      <w:rFonts w:ascii="黑体" w:hAnsi="宋体" w:eastAsia="黑体" w:cs="等线"/>
      <w:b/>
      <w:snapToGrid w:val="0"/>
      <w:spacing w:val="4"/>
      <w:kern w:val="0"/>
      <w:sz w:val="24"/>
      <w:szCs w:val="24"/>
    </w:rPr>
  </w:style>
  <w:style w:type="character" w:customStyle="1" w:styleId="91">
    <w:name w:val="文一 Char Char"/>
    <w:qFormat/>
    <w:uiPriority w:val="0"/>
    <w:rPr>
      <w:spacing w:val="4"/>
      <w:sz w:val="24"/>
      <w:szCs w:val="24"/>
    </w:rPr>
  </w:style>
  <w:style w:type="paragraph" w:styleId="9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93">
    <w:name w:val="批注文字 Char2"/>
    <w:qFormat/>
    <w:uiPriority w:val="0"/>
    <w:rPr>
      <w:rFonts w:eastAsia="宋体"/>
      <w:kern w:val="2"/>
      <w:sz w:val="21"/>
    </w:rPr>
  </w:style>
  <w:style w:type="character" w:customStyle="1" w:styleId="94">
    <w:name w:val="标题 3 Char"/>
    <w:qFormat/>
    <w:uiPriority w:val="0"/>
    <w:rPr>
      <w:rFonts w:ascii="宋体" w:hAnsi="宋体" w:eastAsia="宋体" w:cs="宋体"/>
      <w:kern w:val="0"/>
      <w:sz w:val="27"/>
      <w:szCs w:val="27"/>
    </w:rPr>
  </w:style>
  <w:style w:type="paragraph" w:customStyle="1" w:styleId="95">
    <w:name w:val="_Style 94"/>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customStyle="1" w:styleId="96">
    <w:name w:val="Normal_0_0"/>
    <w:next w:val="97"/>
    <w:qFormat/>
    <w:uiPriority w:val="0"/>
    <w:rPr>
      <w:rFonts w:ascii="宋体" w:hAnsi="宋体" w:eastAsia="宋体" w:cs="宋体"/>
      <w:sz w:val="24"/>
      <w:szCs w:val="24"/>
      <w:lang w:val="en-US" w:eastAsia="zh-CN" w:bidi="ar-SA"/>
    </w:rPr>
  </w:style>
  <w:style w:type="paragraph" w:customStyle="1" w:styleId="9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修订2"/>
    <w:hidden/>
    <w:unhideWhenUsed/>
    <w:qFormat/>
    <w:uiPriority w:val="99"/>
    <w:rPr>
      <w:rFonts w:ascii="Calibri" w:hAnsi="Calibri" w:eastAsia="宋体" w:cs="Times New Roman"/>
      <w:kern w:val="2"/>
      <w:sz w:val="21"/>
      <w:szCs w:val="22"/>
      <w:lang w:val="en-US" w:eastAsia="zh-CN" w:bidi="ar-SA"/>
    </w:rPr>
  </w:style>
  <w:style w:type="paragraph" w:customStyle="1" w:styleId="99">
    <w:name w:val="样式1-正文"/>
    <w:basedOn w:val="1"/>
    <w:qFormat/>
    <w:uiPriority w:val="0"/>
    <w:pPr>
      <w:autoSpaceDE w:val="0"/>
      <w:autoSpaceDN w:val="0"/>
      <w:adjustRightInd w:val="0"/>
      <w:spacing w:line="360" w:lineRule="auto"/>
      <w:ind w:firstLine="600" w:firstLineChars="200"/>
      <w:jc w:val="left"/>
    </w:pPr>
    <w:rPr>
      <w:rFonts w:ascii="Times New Roman" w:hAnsi="Times New Roman" w:eastAsia="仿宋_GB2312"/>
      <w:color w:val="000000"/>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BCCDE1-3C0B-4ACA-B1BF-D8638F3E7AF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87</Pages>
  <Words>49195</Words>
  <Characters>51770</Characters>
  <Lines>432</Lines>
  <Paragraphs>121</Paragraphs>
  <TotalTime>1</TotalTime>
  <ScaleCrop>false</ScaleCrop>
  <LinksUpToDate>false</LinksUpToDate>
  <CharactersWithSpaces>55555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2021-07-23T01:43:00Z</dcterms:created>
  <dc:creator>叶梓威</dc:creator>
  <cp:lastModifiedBy>薛工</cp:lastModifiedBy>
  <cp:lastPrinted>2022-06-13T06:37:00Z</cp:lastPrinted>
  <dcterms:modified xsi:type="dcterms:W3CDTF">2023-05-12T03:27:55Z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C6120E1A1726475ABC5E1044C80FA3BC</vt:lpwstr>
  </property>
</Properties>
</file>